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5,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4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140"/>
        <w:spacing w:after="0" w:line="269" w:lineRule="auto"/>
        <w:rPr>
          <w:sz w:val="20"/>
          <w:szCs w:val="20"/>
          <w:color w:val="auto"/>
        </w:rPr>
      </w:pPr>
      <w:r>
        <w:rPr>
          <w:rFonts w:ascii="Arial" w:cs="Arial" w:eastAsia="Arial" w:hAnsi="Arial"/>
          <w:sz w:val="17"/>
          <w:szCs w:val="17"/>
          <w:color w:val="auto"/>
        </w:rPr>
        <w:t>On February 5, 2014, Micron Technology, Inc., a Delaware corporation (“Micron”), entered into a purchase agreement (the “Purchase Agreement”) with Morgan Stanley &amp; Co. LLC, Goldman, Sachs &amp; Co. and Credit Suisse Securities (USA) LLC, as representatives of the several initial purchasers named therein (collectively, the “Initial Purchasers”), to issue and sell $600.0 million aggregate principal amount of 5.875% Senior Notes due 2022 (the “2022 Notes”) in the United States to qualified institutional buyers pursuant to Rule 144A under the Securities Act of 1933, as amended (the “Securities Act”), and outside the United States to non-U.S. persons pursuant to Regulation S under the Securities Act. Micron intends to use the net proceeds from the offering to pay a portion of the costs of extinguishing its obligations with respect to its outstanding 1.875% Convertible Senior Notes due 2014 (the “2014 Notes”), which may include payments in settlement of conversions of, or to repurchase or redeem, the 2014 Notes. The Purchase Agreement contains customary representations, warranties and covenants by the Company together with customary closing conditions. Under the terms of the Purchase Agreement, the Company has agreed to indemnify the Initial Purchasers against certain liabilities. The Purchase Agreement is filed as Exhibit 10.1 to this Current Report on Form 8-K and is incorporated by reference herein. The summary of the foregoing transactions is qualified in its entirety by reference to the text of the Purchase Agreement.</w:t>
      </w:r>
    </w:p>
    <w:p>
      <w:pPr>
        <w:spacing w:after="0" w:line="179"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On February 5, 2014, Micron issued a press release with respect to the pricing of its offer and sale of senior notes due 2022. A copy of this press release is filed as Exhibit 99.1 to this report and is incorporated herein by reference.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240" w:type="dxa"/>
            <w:vAlign w:val="bottom"/>
          </w:tcPr>
          <w:p>
            <w:pPr>
              <w:spacing w:after="0"/>
              <w:rPr>
                <w:sz w:val="20"/>
                <w:szCs w:val="20"/>
                <w:color w:val="auto"/>
              </w:rPr>
            </w:pPr>
          </w:p>
        </w:tc>
        <w:tc>
          <w:tcPr>
            <w:tcW w:w="1016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(d) Exhibits.</w:t>
            </w: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The following exhibits are filed herewith:</w:t>
            </w:r>
          </w:p>
        </w:tc>
      </w:tr>
      <w:tr>
        <w:trPr>
          <w:trHeight w:val="365"/>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Purchase Agreement, dated as of February 5, 2014, by and among Micron Technology, Inc. and Morgan Stanley &amp; Co. LLC, Goldman,</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Sachs &amp; Co. and Credit Suisse Securities (USA) LLC, as representatives of the initial purchasers.</w:t>
            </w:r>
          </w:p>
        </w:tc>
      </w:tr>
      <w:tr>
        <w:trPr>
          <w:trHeight w:val="230"/>
        </w:trPr>
        <w:tc>
          <w:tcPr>
            <w:tcW w:w="1020" w:type="dxa"/>
            <w:vAlign w:val="bottom"/>
            <w:gridSpan w:val="2"/>
          </w:tcPr>
          <w:p>
            <w:pPr>
              <w:jc w:val="right"/>
              <w:ind w:right="250"/>
              <w:spacing w:after="0"/>
              <w:rPr>
                <w:sz w:val="20"/>
                <w:szCs w:val="20"/>
                <w:color w:val="auto"/>
              </w:rPr>
            </w:pPr>
            <w:r>
              <w:rPr>
                <w:rFonts w:ascii="Arial" w:cs="Arial" w:eastAsia="Arial" w:hAnsi="Arial"/>
                <w:sz w:val="18"/>
                <w:szCs w:val="18"/>
                <w:color w:val="auto"/>
              </w:rPr>
              <w:t>99.1</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Press Release of Micron Technology, Inc., dated February 5, 2014, announcing pricing of senior notes offering.</w:t>
            </w:r>
          </w:p>
        </w:tc>
      </w:tr>
    </w:tbl>
    <w:p>
      <w:pPr>
        <w:sectPr>
          <w:pgSz w:w="11900" w:h="16838" w:orient="portrait"/>
          <w:cols w:equalWidth="0" w:num="1">
            <w:col w:w="11420"/>
          </w:cols>
          <w:pgMar w:left="240" w:top="544"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6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February 7, 2014</w:t>
            </w:r>
          </w:p>
        </w:tc>
        <w:tc>
          <w:tcPr>
            <w:tcW w:w="2800" w:type="dxa"/>
            <w:vAlign w:val="bottom"/>
          </w:tcPr>
          <w:p>
            <w:pPr>
              <w:ind w:left="20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800" w:type="dxa"/>
            <w:vAlign w:val="bottom"/>
          </w:tcPr>
          <w:p>
            <w:pPr>
              <w:ind w:left="206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800" w:type="dxa"/>
            <w:vAlign w:val="bottom"/>
          </w:tcPr>
          <w:p>
            <w:pPr>
              <w:ind w:left="206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4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800" w:type="dxa"/>
            <w:vAlign w:val="bottom"/>
          </w:tcPr>
          <w:p>
            <w:pPr>
              <w:ind w:left="198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60" w:type="dxa"/>
            <w:vAlign w:val="bottom"/>
          </w:tcPr>
          <w:p>
            <w:pPr>
              <w:jc w:val="center"/>
              <w:ind w:right="1174"/>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60" w:type="dxa"/>
            <w:vAlign w:val="bottom"/>
          </w:tcPr>
          <w:p>
            <w:pPr>
              <w:jc w:val="center"/>
              <w:ind w:right="1154"/>
              <w:spacing w:after="0"/>
              <w:rPr>
                <w:sz w:val="20"/>
                <w:szCs w:val="20"/>
                <w:color w:val="auto"/>
              </w:rPr>
            </w:pPr>
            <w:r>
              <w:rPr>
                <w:rFonts w:ascii="Arial" w:cs="Arial" w:eastAsia="Arial" w:hAnsi="Arial"/>
                <w:sz w:val="18"/>
                <w:szCs w:val="18"/>
                <w:b w:val="1"/>
                <w:bCs w:val="1"/>
                <w:color w:val="auto"/>
                <w:w w:val="98"/>
              </w:rPr>
              <w:t>THE CURRENT REPORT ON FORM 8-K DATED FEBRUARY 7, 2014</w:t>
            </w:r>
          </w:p>
        </w:tc>
        <w:tc>
          <w:tcPr>
            <w:tcW w:w="40" w:type="dxa"/>
            <w:vAlign w:val="bottom"/>
          </w:tcPr>
          <w:p>
            <w:pPr>
              <w:spacing w:after="0"/>
              <w:rPr>
                <w:sz w:val="20"/>
                <w:szCs w:val="20"/>
                <w:color w:val="auto"/>
              </w:rPr>
            </w:pPr>
          </w:p>
        </w:tc>
      </w:tr>
      <w:tr>
        <w:trPr>
          <w:trHeight w:val="365"/>
        </w:trPr>
        <w:tc>
          <w:tcPr>
            <w:tcW w:w="10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5"/>
              </w:rPr>
              <w:t>Exhibit No.</w:t>
            </w:r>
          </w:p>
        </w:tc>
        <w:tc>
          <w:tcPr>
            <w:tcW w:w="240" w:type="dxa"/>
            <w:vAlign w:val="bottom"/>
          </w:tcPr>
          <w:p>
            <w:pPr>
              <w:spacing w:after="0"/>
              <w:rPr>
                <w:sz w:val="24"/>
                <w:szCs w:val="24"/>
                <w:color w:val="auto"/>
              </w:rPr>
            </w:pP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Purchase Agreement, dated as of February 5, 2014, by and among Micron Technology, Inc. and Morgan Stanley &amp; Co. LLC, Goldman,</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Sachs &amp; Co. and Credit Suisse Securities (USA) LLC, as representatives of the initial purchasers.</w:t>
            </w:r>
          </w:p>
        </w:tc>
        <w:tc>
          <w:tcPr>
            <w:tcW w:w="40" w:type="dxa"/>
            <w:vAlign w:val="bottom"/>
          </w:tcPr>
          <w:p>
            <w:pPr>
              <w:spacing w:after="0"/>
              <w:rPr>
                <w:sz w:val="18"/>
                <w:szCs w:val="18"/>
                <w:color w:val="auto"/>
              </w:rPr>
            </w:pPr>
          </w:p>
        </w:tc>
      </w:tr>
      <w:tr>
        <w:trPr>
          <w:trHeight w:val="230"/>
        </w:trPr>
        <w:tc>
          <w:tcPr>
            <w:tcW w:w="1020" w:type="dxa"/>
            <w:vAlign w:val="bottom"/>
            <w:gridSpan w:val="2"/>
          </w:tcPr>
          <w:p>
            <w:pPr>
              <w:jc w:val="right"/>
              <w:ind w:right="250"/>
              <w:spacing w:after="0"/>
              <w:rPr>
                <w:sz w:val="20"/>
                <w:szCs w:val="20"/>
                <w:color w:val="auto"/>
              </w:rPr>
            </w:pPr>
            <w:r>
              <w:rPr>
                <w:rFonts w:ascii="Arial" w:cs="Arial" w:eastAsia="Arial" w:hAnsi="Arial"/>
                <w:sz w:val="18"/>
                <w:szCs w:val="18"/>
                <w:color w:val="auto"/>
              </w:rPr>
              <w:t>99.1</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Press Release of Micron Technology, Inc., dated February 5, 2014, announcing pricing of senior notes offering.</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0" w:type="dxa"/>
            <w:vAlign w:val="bottom"/>
            <w:gridSpan w:val="2"/>
          </w:tcPr>
          <w:p>
            <w:pPr>
              <w:jc w:val="center"/>
              <w:ind w:right="934"/>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5.875% SENIOR NOTES DUE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ectPr>
          <w:pgSz w:w="11900" w:h="16838" w:orient="portrait"/>
          <w:cols w:equalWidth="0" w:num="1">
            <w:col w:w="11420"/>
          </w:cols>
          <w:pgMar w:left="240" w:top="121"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420"/>
            <w:col w:w="10780"/>
          </w:cols>
          <w:pgMar w:left="240" w:top="121"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right="40" w:firstLine="648"/>
        <w:spacing w:after="0" w:line="261" w:lineRule="auto"/>
        <w:rPr>
          <w:sz w:val="20"/>
          <w:szCs w:val="20"/>
          <w:color w:val="auto"/>
        </w:rPr>
      </w:pPr>
      <w:r>
        <w:rPr>
          <w:rFonts w:ascii="Arial" w:cs="Arial" w:eastAsia="Arial" w:hAnsi="Arial"/>
          <w:sz w:val="18"/>
          <w:szCs w:val="18"/>
          <w:color w:val="auto"/>
        </w:rPr>
        <w:t>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purchasers named in Schedule I hereto (the “</w:t>
      </w:r>
      <w:r>
        <w:rPr>
          <w:rFonts w:ascii="Arial" w:cs="Arial" w:eastAsia="Arial" w:hAnsi="Arial"/>
          <w:sz w:val="18"/>
          <w:szCs w:val="18"/>
          <w:b w:val="1"/>
          <w:bCs w:val="1"/>
          <w:color w:val="auto"/>
        </w:rPr>
        <w:t>Initial Purchasers</w:t>
      </w:r>
      <w:r>
        <w:rPr>
          <w:rFonts w:ascii="Arial" w:cs="Arial" w:eastAsia="Arial" w:hAnsi="Arial"/>
          <w:sz w:val="18"/>
          <w:szCs w:val="18"/>
          <w:color w:val="auto"/>
        </w:rPr>
        <w:t>”) $600,000,000 principal amount of its 5.875% Senior Notes due 2022 (the “</w:t>
      </w:r>
      <w:r>
        <w:rPr>
          <w:rFonts w:ascii="Arial" w:cs="Arial" w:eastAsia="Arial" w:hAnsi="Arial"/>
          <w:sz w:val="18"/>
          <w:szCs w:val="18"/>
          <w:b w:val="1"/>
          <w:bCs w:val="1"/>
          <w:color w:val="auto"/>
        </w:rPr>
        <w:t>2022 Notes</w:t>
      </w:r>
      <w:r>
        <w:rPr>
          <w:rFonts w:ascii="Arial" w:cs="Arial" w:eastAsia="Arial" w:hAnsi="Arial"/>
          <w:sz w:val="18"/>
          <w:szCs w:val="18"/>
          <w:color w:val="auto"/>
        </w:rPr>
        <w:t>” or the “</w:t>
      </w:r>
      <w:r>
        <w:rPr>
          <w:rFonts w:ascii="Arial" w:cs="Arial" w:eastAsia="Arial" w:hAnsi="Arial"/>
          <w:sz w:val="18"/>
          <w:szCs w:val="18"/>
          <w:b w:val="1"/>
          <w:bCs w:val="1"/>
          <w:color w:val="auto"/>
        </w:rPr>
        <w:t>Securities</w:t>
      </w:r>
      <w:r>
        <w:rPr>
          <w:rFonts w:ascii="Arial" w:cs="Arial" w:eastAsia="Arial" w:hAnsi="Arial"/>
          <w:sz w:val="18"/>
          <w:szCs w:val="18"/>
          <w:color w:val="auto"/>
        </w:rPr>
        <w:t>”), to be issued pursuant to the provisions of an Indenture dated as of February 10, 2014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80"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The Securities will be offered without being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to qualified institutional buyers in compliance with the exemption from registration provided by Rule 144A under the Securities Act and in offshore transactions in reliance on Regulation S under the Securities Act (“</w:t>
      </w:r>
      <w:r>
        <w:rPr>
          <w:rFonts w:ascii="Arial" w:cs="Arial" w:eastAsia="Arial" w:hAnsi="Arial"/>
          <w:sz w:val="18"/>
          <w:szCs w:val="18"/>
          <w:b w:val="1"/>
          <w:bCs w:val="1"/>
          <w:color w:val="auto"/>
        </w:rPr>
        <w:t>Regulation S</w:t>
      </w:r>
      <w:r>
        <w:rPr>
          <w:rFonts w:ascii="Arial" w:cs="Arial" w:eastAsia="Arial" w:hAnsi="Arial"/>
          <w:sz w:val="18"/>
          <w:szCs w:val="18"/>
          <w:color w:val="auto"/>
        </w:rPr>
        <w:t>”).</w:t>
      </w:r>
    </w:p>
    <w:p>
      <w:pPr>
        <w:spacing w:after="0" w:line="18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Initial Purchasers and their direct and indirect transferees will be entitled to the benefits of a Registration Rights Agreement dated February 10, 2014 between the Company and the Initial Purchasers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sale of the Securities, the Company has prepared a preliminary offering memorandum dated February 3, 2014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Preliminary Memorandum</w:t>
      </w:r>
      <w:r>
        <w:rPr>
          <w:rFonts w:ascii="Arial" w:cs="Arial" w:eastAsia="Arial" w:hAnsi="Arial"/>
          <w:sz w:val="17"/>
          <w:szCs w:val="17"/>
          <w:color w:val="auto"/>
        </w:rPr>
        <w:t>”) and will prepare a final offering memorandum (the “</w:t>
      </w:r>
      <w:r>
        <w:rPr>
          <w:rFonts w:ascii="Arial" w:cs="Arial" w:eastAsia="Arial" w:hAnsi="Arial"/>
          <w:sz w:val="17"/>
          <w:szCs w:val="17"/>
          <w:b w:val="1"/>
          <w:bCs w:val="1"/>
          <w:color w:val="auto"/>
        </w:rPr>
        <w:t>Final Memorandum</w:t>
      </w:r>
      <w:r>
        <w:rPr>
          <w:rFonts w:ascii="Arial" w:cs="Arial" w:eastAsia="Arial" w:hAnsi="Arial"/>
          <w:sz w:val="17"/>
          <w:szCs w:val="17"/>
          <w:color w:val="auto"/>
        </w:rPr>
        <w:t>”) including or incorporating by reference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the terms of the Securities, the terms of the offering and a description of the Company. For purposes of this Agreement, “</w:t>
      </w:r>
      <w:r>
        <w:rPr>
          <w:rFonts w:ascii="Arial" w:cs="Arial" w:eastAsia="Arial" w:hAnsi="Arial"/>
          <w:sz w:val="16"/>
          <w:szCs w:val="16"/>
          <w:b w:val="1"/>
          <w:bCs w:val="1"/>
          <w:color w:val="auto"/>
        </w:rPr>
        <w:t>Additional Written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Communication</w:t>
      </w:r>
      <w:r>
        <w:rPr>
          <w:rFonts w:ascii="Arial" w:cs="Arial" w:eastAsia="Arial" w:hAnsi="Arial"/>
          <w:sz w:val="17"/>
          <w:szCs w:val="17"/>
          <w:color w:val="auto"/>
        </w:rPr>
        <w:t>” means any written communication (as defined in Rule 405 under the Securities Act) that constitutes an offer to sell or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solicitation of an offer to buy the Securities other than the Preliminary Memorandum or the Final Memorandum, and “</w:t>
      </w:r>
      <w:r>
        <w:rPr>
          <w:rFonts w:ascii="Arial" w:cs="Arial" w:eastAsia="Arial" w:hAnsi="Arial"/>
          <w:sz w:val="16"/>
          <w:szCs w:val="16"/>
          <w:b w:val="1"/>
          <w:bCs w:val="1"/>
          <w:color w:val="auto"/>
        </w:rPr>
        <w:t>Time of Sale Memorandum</w:t>
      </w:r>
      <w:r>
        <w:rPr>
          <w:rFonts w:ascii="Arial" w:cs="Arial" w:eastAsia="Arial" w:hAnsi="Arial"/>
          <w:sz w:val="16"/>
          <w:szCs w:val="16"/>
          <w:color w:val="auto"/>
        </w:rPr>
        <w:t>” means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Memorandum together with the Additional Written Offering Communications, if any, each identified in Schedule II hereto. As used herein,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terms Preliminary Memorandum, Time of Sale Memorandum and Final Memorandum shall include the documents, if any, incorporated by reference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therein on the date hereof.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terms “</w:t>
      </w:r>
      <w:r>
        <w:rPr>
          <w:rFonts w:ascii="Arial" w:cs="Arial" w:eastAsia="Arial" w:hAnsi="Arial"/>
          <w:sz w:val="18"/>
          <w:szCs w:val="18"/>
          <w:b w:val="1"/>
          <w:bCs w:val="1"/>
          <w:color w:val="auto"/>
        </w:rPr>
        <w:t>supplement</w:t>
      </w:r>
      <w:r>
        <w:rPr>
          <w:rFonts w:ascii="Arial" w:cs="Arial" w:eastAsia="Arial" w:hAnsi="Arial"/>
          <w:sz w:val="18"/>
          <w:szCs w:val="18"/>
          <w:color w:val="auto"/>
        </w:rPr>
        <w:t>”, “</w:t>
      </w:r>
      <w:r>
        <w:rPr>
          <w:rFonts w:ascii="Arial" w:cs="Arial" w:eastAsia="Arial" w:hAnsi="Arial"/>
          <w:sz w:val="18"/>
          <w:szCs w:val="18"/>
          <w:b w:val="1"/>
          <w:bCs w:val="1"/>
          <w:color w:val="auto"/>
        </w:rPr>
        <w:t>amendment</w:t>
      </w:r>
      <w:r>
        <w:rPr>
          <w:rFonts w:ascii="Arial" w:cs="Arial" w:eastAsia="Arial" w:hAnsi="Arial"/>
          <w:sz w:val="18"/>
          <w:szCs w:val="18"/>
          <w:color w:val="auto"/>
        </w:rPr>
        <w:t>” and “</w:t>
      </w:r>
      <w:r>
        <w:rPr>
          <w:rFonts w:ascii="Arial" w:cs="Arial" w:eastAsia="Arial" w:hAnsi="Arial"/>
          <w:sz w:val="18"/>
          <w:szCs w:val="18"/>
          <w:b w:val="1"/>
          <w:bCs w:val="1"/>
          <w:color w:val="auto"/>
        </w:rPr>
        <w:t>amend</w:t>
      </w:r>
      <w:r>
        <w:rPr>
          <w:rFonts w:ascii="Arial" w:cs="Arial" w:eastAsia="Arial" w:hAnsi="Arial"/>
          <w:sz w:val="18"/>
          <w:szCs w:val="18"/>
          <w:color w:val="auto"/>
        </w:rPr>
        <w:t>” as used herein with respect to the Preliminary Memorandum, the Time of Sale Memorandum, the Final Memorandum or any Additional Written Offering Communication shall include all documents subsequently filed by the Company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that are deemed to be incorporated by reference therein.</w:t>
      </w:r>
    </w:p>
    <w:p>
      <w:pPr>
        <w:spacing w:after="0" w:line="184"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you that:</w:t>
      </w:r>
    </w:p>
    <w:p>
      <w:pPr>
        <w:spacing w:after="0" w:line="225" w:lineRule="exact"/>
        <w:rPr>
          <w:rFonts w:ascii="Arial" w:cs="Arial" w:eastAsia="Arial" w:hAnsi="Arial"/>
          <w:sz w:val="18"/>
          <w:szCs w:val="18"/>
          <w:color w:val="auto"/>
        </w:rPr>
      </w:pPr>
    </w:p>
    <w:p>
      <w:pPr>
        <w:ind w:left="660" w:right="20" w:firstLine="645"/>
        <w:spacing w:after="0" w:line="269" w:lineRule="auto"/>
        <w:tabs>
          <w:tab w:leader="none" w:pos="1954" w:val="left"/>
        </w:tabs>
        <w:numPr>
          <w:ilvl w:val="1"/>
          <w:numId w:val="1"/>
        </w:numPr>
        <w:rPr>
          <w:rFonts w:ascii="Arial" w:cs="Arial" w:eastAsia="Arial" w:hAnsi="Arial"/>
          <w:sz w:val="17"/>
          <w:szCs w:val="17"/>
          <w:color w:val="auto"/>
        </w:rPr>
      </w:pPr>
      <w:r>
        <w:rPr>
          <w:rFonts w:ascii="Arial" w:cs="Arial" w:eastAsia="Arial" w:hAnsi="Arial"/>
          <w:sz w:val="17"/>
          <w:szCs w:val="17"/>
          <w:color w:val="auto"/>
        </w:rPr>
        <w:t>(i) Each document, if any, filed or to be filed pursuant to the Exchange Act and incorporated by reference in the Preliminary Memorandum, the Time of Sale Memorandum or the Final Memorandum complied or will comply when so filed in all material respects with the Exchange Act and the applicable rules and regulations of the Commission thereunder, (ii) the Time of Sale Memorandum does not, and at the time of each sale of the Securities in connection with the offering when the Final Memorandum is not yet available to prospective purchasers and at the Closing Date (as defined in Section 4), the Time of Sale Memorandum, as then amended or supplemented by the Company, if applicable, will not, contain any untrue statement of a material fact or omit to state a material fact necessary to make the statements therein, in the light of the circumstances under which they were made, not misleading, (iii) the Preliminary Memorandum does not contain and the Final Memorandum, in the form used by the Initial Purchasers to confirm sales and on the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Preliminary Memorandum, the Time of Sale Memorandum or the Final Memorandum based upon information relating to any Initial Purchaser furnished to the Company in writing by such Initial Purchaser through you expressly for use therein.</w:t>
      </w:r>
    </w:p>
    <w:p>
      <w:pPr>
        <w:spacing w:after="0" w:line="179"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Except for the Additional Written Offering Communications, if any, identified in Schedule II hereto, and electronic road shows, if any, furnished to you before first use, the Company has not prepared, used or referred to, and will not, without your prior consent, prepare, use or refer to, any Additional Written Offering Communication.</w:t>
      </w:r>
    </w:p>
    <w:p>
      <w:pPr>
        <w:sectPr>
          <w:pgSz w:w="11900" w:h="16838" w:orient="portrait"/>
          <w:cols w:equalWidth="0" w:num="1">
            <w:col w:w="11420"/>
          </w:cols>
          <w:pgMar w:left="240" w:top="121" w:right="239" w:bottom="0" w:gutter="0" w:footer="0" w:header="0"/>
          <w:type w:val="continuous"/>
        </w:sectPr>
      </w:pPr>
    </w:p>
    <w:bookmarkStart w:id="3" w:name="page4"/>
    <w:bookmarkEnd w:id="3"/>
    <w:p>
      <w:pPr>
        <w:ind w:right="80" w:firstLine="645"/>
        <w:spacing w:after="0" w:line="266" w:lineRule="auto"/>
        <w:tabs>
          <w:tab w:leader="none" w:pos="1307"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the Company and Elpida Memory, Inc. (“</w:t>
      </w:r>
      <w:r>
        <w:rPr>
          <w:rFonts w:ascii="Arial" w:cs="Arial" w:eastAsia="Arial" w:hAnsi="Arial"/>
          <w:sz w:val="18"/>
          <w:szCs w:val="18"/>
          <w:b w:val="1"/>
          <w:bCs w:val="1"/>
          <w:color w:val="auto"/>
        </w:rPr>
        <w:t>Elpida</w:t>
      </w:r>
      <w:r>
        <w:rPr>
          <w:rFonts w:ascii="Arial" w:cs="Arial" w:eastAsia="Arial" w:hAnsi="Arial"/>
          <w:sz w:val="18"/>
          <w:szCs w:val="18"/>
          <w:color w:val="auto"/>
        </w:rPr>
        <w:t>”) has been duly incorporated, is validly existing as a corporation under the laws of the jurisdiction of its incorporation, has the corporate power and authority to own its property and to conduct its business as described in the Time of Sale Memorandum (except, in the case of Elpida only, as has</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been previously disclosed to the Initial Purchasers) and is duly qualified to transact business in each jurisdiction identified on Schedule III hereto in which the conduct of its business or its ownership or leasing of property requires such qualification or is subject to material liability or disability by reason of failure to be so qualified in any such jurisdiction. The Company is in good standing in each jurisdiction identified on Schedule III hereto.</w:t>
      </w:r>
    </w:p>
    <w:p>
      <w:pPr>
        <w:spacing w:after="0" w:line="147" w:lineRule="exact"/>
        <w:rPr>
          <w:sz w:val="20"/>
          <w:szCs w:val="20"/>
          <w:color w:val="auto"/>
        </w:rPr>
      </w:pPr>
    </w:p>
    <w:p>
      <w:pPr>
        <w:ind w:left="1300" w:hanging="65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340" w:firstLine="645"/>
        <w:spacing w:after="0" w:line="342" w:lineRule="auto"/>
        <w:tabs>
          <w:tab w:leader="none" w:pos="130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Time of Sale Memorandum, and all of the shares of Common Stock outstanding prior to the issuance of the Securities have been duly authorized and are validly issued, fully paid and non-assessable.</w:t>
      </w:r>
    </w:p>
    <w:p>
      <w:pPr>
        <w:spacing w:after="0" w:line="123" w:lineRule="exact"/>
        <w:rPr>
          <w:rFonts w:ascii="Arial" w:cs="Arial" w:eastAsia="Arial" w:hAnsi="Arial"/>
          <w:sz w:val="16"/>
          <w:szCs w:val="16"/>
          <w:color w:val="auto"/>
        </w:rPr>
      </w:pPr>
    </w:p>
    <w:p>
      <w:pPr>
        <w:ind w:firstLine="645"/>
        <w:spacing w:after="0" w:line="272" w:lineRule="auto"/>
        <w:tabs>
          <w:tab w:leader="none" w:pos="130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Securities have been duly authorized and, when executed and authenticated in accordance with the provisions of the Indenture and delivered to and paid for by the Initial Purchasers in accordance with the terms of this Agreement (assuming due authentication by the Trustee in the manner described in the Indenture), will be valid and binding obligations of the Company, enforceable in accordance with their terms, subject to applicable bankruptcy, insolvency, reorganization, moratorium and similar laws affecting creditors’ rights and remedies generally and equitable principles of general applicability, including principles of commercial reasonableness, good faith and fair dealing (regardless of whether enforcement is sought in a proceeding at law or in equity)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and will be entitled to the benefits of the Indenture pursuant to which such Securities are to be issued.</w:t>
      </w:r>
    </w:p>
    <w:p>
      <w:pPr>
        <w:spacing w:after="0" w:line="177" w:lineRule="exact"/>
        <w:rPr>
          <w:rFonts w:ascii="Arial" w:cs="Arial" w:eastAsia="Arial" w:hAnsi="Arial"/>
          <w:sz w:val="17"/>
          <w:szCs w:val="17"/>
          <w:color w:val="auto"/>
        </w:rPr>
      </w:pPr>
    </w:p>
    <w:p>
      <w:pPr>
        <w:ind w:right="140" w:firstLine="645"/>
        <w:spacing w:after="0" w:line="255" w:lineRule="auto"/>
        <w:tabs>
          <w:tab w:leader="none" w:pos="1317"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Indenture and the Registration Rights Agreement has been duly authorized and, when executed and delivered by the Company, assuming the due authorization, execution and delivery thereof by the other parties thereto, is a valid and binding agreement of, the Company, enforceable against the Company in accordance with its terms, subject to the Enforceability Exceptions and, with respect to the Registration Rights Agreement, except as rights of indemnification and contribution may be limited under applicable law; and the Securities, the Indenture and the Registration Rights Agreement will conform in all material respects to the descriptions thereof in the Time of Sale Memorandum and the Final Memorandum.</w:t>
      </w:r>
    </w:p>
    <w:p>
      <w:pPr>
        <w:spacing w:after="0" w:line="193" w:lineRule="exact"/>
        <w:rPr>
          <w:rFonts w:ascii="Arial" w:cs="Arial" w:eastAsia="Arial" w:hAnsi="Arial"/>
          <w:sz w:val="18"/>
          <w:szCs w:val="18"/>
          <w:color w:val="auto"/>
        </w:rPr>
      </w:pPr>
    </w:p>
    <w:p>
      <w:pPr>
        <w:ind w:right="40" w:firstLine="645"/>
        <w:spacing w:after="0" w:line="264" w:lineRule="auto"/>
        <w:tabs>
          <w:tab w:leader="none" w:pos="1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the Indenture, the Registration Rights Agreement, and the Securities will not conflict with or result in a breach of or violation of any of the terms or provisions of or constitute a default under any agreement or other</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instrument binding upon the Company or any of its subsidiaries, except where such breach, violation or default would not have a Material Adverse Effect on the Company’s ability to perform its obligations under this Agreement, nor will such action result in any violation of (i) the provisions of the Certificate of Incorporation or By-laws of the Company or (ii) any judgment, order or decree of any governmental body, agency or court having jurisdiction over the Company or any subsidiary or, to the Company’s knowledge, any applicable statute, except in the case of (ii) above, where such violation would not have a Material Adverse Effect on the Company’s ability to perform its obligations under this Agreement; and no consent, approval, authorization or order of, or qualification with, any governmental body or agency is required for the performance by the Company of its obligations under this Agreement, the Indenture, the Registration Rights Agreement and the Securities, except for those that have been, or will have been prior to the Closing Date, obtained, such as may be required by the securities or Blue Sky laws of the various states in connection with the offer and sale of the Securities and by Federal and state securities laws with respect to the Company’s obligations under the Registration Rights Agreement, except, where the failure to obtain such consents, individually or in the aggregate, would not have a Material Adverse Effect on the offering of the Securities.</w:t>
      </w:r>
    </w:p>
    <w:p>
      <w:pPr>
        <w:spacing w:after="0" w:line="183" w:lineRule="exact"/>
        <w:rPr>
          <w:sz w:val="20"/>
          <w:szCs w:val="20"/>
          <w:color w:val="auto"/>
        </w:rPr>
      </w:pPr>
    </w:p>
    <w:p>
      <w:pPr>
        <w:jc w:val="both"/>
        <w:ind w:firstLine="645"/>
        <w:spacing w:after="0" w:line="264" w:lineRule="auto"/>
        <w:tabs>
          <w:tab w:leader="none" w:pos="1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Time of Sale Memorandum.</w:t>
      </w:r>
    </w:p>
    <w:p>
      <w:pPr>
        <w:spacing w:after="0" w:line="181" w:lineRule="exact"/>
        <w:rPr>
          <w:rFonts w:ascii="Arial" w:cs="Arial" w:eastAsia="Arial" w:hAnsi="Arial"/>
          <w:sz w:val="18"/>
          <w:szCs w:val="18"/>
          <w:color w:val="auto"/>
        </w:rPr>
      </w:pPr>
    </w:p>
    <w:p>
      <w:pPr>
        <w:ind w:right="80" w:firstLine="645"/>
        <w:spacing w:after="0" w:line="257" w:lineRule="auto"/>
        <w:tabs>
          <w:tab w:leader="none" w:pos="1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than as set forth in the Time of Sale Memorandum, (i) there are no legal or governmental proceedings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(ii) to the Company’s knowledge, no such proceedings are threatened by governmental authorities or by others.</w:t>
      </w:r>
    </w:p>
    <w:p>
      <w:pPr>
        <w:spacing w:after="0" w:line="188" w:lineRule="exact"/>
        <w:rPr>
          <w:rFonts w:ascii="Arial" w:cs="Arial" w:eastAsia="Arial" w:hAnsi="Arial"/>
          <w:sz w:val="18"/>
          <w:szCs w:val="18"/>
          <w:color w:val="auto"/>
        </w:rPr>
      </w:pPr>
    </w:p>
    <w:p>
      <w:pPr>
        <w:ind w:right="180" w:firstLine="645"/>
        <w:spacing w:after="0" w:line="302" w:lineRule="auto"/>
        <w:tabs>
          <w:tab w:leader="none" w:pos="1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and any such permits, consents and authorizations remain in full force and effect. The Company and its subsidiaries are in compliance with the Environmental Laws in all material respects, and there is no pending or, to the Company’s knowledge,</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threatened, action or proceeding against the Company and its subsidiaries alleging violations of the Environmental Laws.</w:t>
      </w:r>
    </w:p>
    <w:p>
      <w:pPr>
        <w:spacing w:after="0" w:line="225" w:lineRule="exact"/>
        <w:rPr>
          <w:sz w:val="20"/>
          <w:szCs w:val="20"/>
          <w:color w:val="auto"/>
        </w:rPr>
      </w:pPr>
    </w:p>
    <w:p>
      <w:pPr>
        <w:ind w:right="200" w:firstLine="645"/>
        <w:spacing w:after="0" w:line="342" w:lineRule="auto"/>
        <w:tabs>
          <w:tab w:leader="none" w:pos="131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can acquire on commercially reasonable terms adequate licenses or other rights to use all patents, trademarks, service marks, trade names, copyrights, mask work rights, technology and knowhow necessary to conduct the</w:t>
      </w:r>
    </w:p>
    <w:p>
      <w:pPr>
        <w:sectPr>
          <w:pgSz w:w="11900" w:h="16838" w:orient="portrait"/>
          <w:cols w:equalWidth="0" w:num="1">
            <w:col w:w="10740"/>
          </w:cols>
          <w:pgMar w:left="900" w:top="121" w:right="259" w:bottom="0" w:gutter="0" w:footer="0" w:header="0"/>
        </w:sectPr>
      </w:pPr>
    </w:p>
    <w:bookmarkStart w:id="4" w:name="page5"/>
    <w:bookmarkEnd w:id="4"/>
    <w:p>
      <w:pPr>
        <w:spacing w:after="0" w:line="10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business now or proposed to be conducted by the Company and its subsidiaries as described in the Time of Sale Memorandum, except where the failure to own, possess or acquire such rights would not reasonably be expected to have a Material Adverse Effect, and except as disclosed in the Time of Sale Memorandum, the Company has not received any notice of infringement of or conflict with (and knows of no such infringement of or conflict with) asserted rights of others with respect to any patents, trademarks, service marks, trade names, copyrights, mask work rights or know how that would be reasonably likely to result in a Material Adverse Effect upon the Company and its subsidiaries.</w:t>
      </w:r>
    </w:p>
    <w:p>
      <w:pPr>
        <w:spacing w:after="0" w:line="158" w:lineRule="exact"/>
        <w:rPr>
          <w:sz w:val="20"/>
          <w:szCs w:val="20"/>
          <w:color w:val="auto"/>
        </w:rPr>
      </w:pPr>
    </w:p>
    <w:p>
      <w:pPr>
        <w:ind w:right="280" w:firstLine="645"/>
        <w:spacing w:after="0" w:line="273"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affiliate (as defined in Rule 501(b) of Regulation D under the Securities Act, an “</w:t>
      </w:r>
      <w:r>
        <w:rPr>
          <w:rFonts w:ascii="Arial" w:cs="Arial" w:eastAsia="Arial" w:hAnsi="Arial"/>
          <w:sz w:val="17"/>
          <w:szCs w:val="17"/>
          <w:b w:val="1"/>
          <w:bCs w:val="1"/>
          <w:color w:val="auto"/>
        </w:rPr>
        <w:t>Affiliate</w:t>
      </w:r>
      <w:r>
        <w:rPr>
          <w:rFonts w:ascii="Arial" w:cs="Arial" w:eastAsia="Arial" w:hAnsi="Arial"/>
          <w:sz w:val="17"/>
          <w:szCs w:val="17"/>
          <w:color w:val="auto"/>
        </w:rPr>
        <w:t>”) of the Company has directly, or through any agent, (i) sold, offered for sale, solicited offers to buy or otherwise negotiated in respect of, any security (as defined in the Securities Act) that is or will be integrated with the sale of the Securities in a manner that would require the registration under the Securities Act of the Securities or (ii) offered, solicited offers to buy or sold the Securities by any form of general solicitation or general advertising (as those terms are used in Regulation D under the Securities Act) or in any manner involving a public offering within the meaning of Section 4(2) of the Securities Act.</w:t>
      </w:r>
    </w:p>
    <w:p>
      <w:pPr>
        <w:spacing w:after="0" w:line="178" w:lineRule="exact"/>
        <w:rPr>
          <w:rFonts w:ascii="Arial" w:cs="Arial" w:eastAsia="Arial" w:hAnsi="Arial"/>
          <w:sz w:val="17"/>
          <w:szCs w:val="17"/>
          <w:color w:val="auto"/>
        </w:rPr>
      </w:pPr>
    </w:p>
    <w:p>
      <w:pPr>
        <w:jc w:val="both"/>
        <w:ind w:right="80" w:firstLine="645"/>
        <w:spacing w:after="0" w:line="302" w:lineRule="auto"/>
        <w:tabs>
          <w:tab w:leader="none" w:pos="1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None of the Company, its Affiliates or any person acting on its or their behalf has engaged or will engage in any directed selling efforts (within the meaning of Regulation S) with respect to the Securities and the Company and its Affiliates and any person acting on its or their behalf have complied and will comply with the offering restrictions requirement of Regulation S, except no representation, warranty or agreement is made by the Company in this paragraph with respect to the Initial Purchasers, their Affiliates or any person acting on their behalf.</w:t>
      </w:r>
    </w:p>
    <w:p>
      <w:pPr>
        <w:spacing w:after="0" w:line="154" w:lineRule="exact"/>
        <w:rPr>
          <w:rFonts w:ascii="Arial" w:cs="Arial" w:eastAsia="Arial" w:hAnsi="Arial"/>
          <w:sz w:val="16"/>
          <w:szCs w:val="16"/>
          <w:color w:val="auto"/>
        </w:rPr>
      </w:pPr>
    </w:p>
    <w:p>
      <w:pPr>
        <w:ind w:right="180" w:firstLine="645"/>
        <w:spacing w:after="0" w:line="264"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statements set forth in each of the Time of Sale Memorandum and the Final Memorandum under the caption “Description of Notes,” insofar as they purport to constitute a summary of the terms of the Indenture, the Registration Rights Agreement and the Securities, fairly summarize such terms in all material respects.</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the Initial Purchasers herein, it is not necessary in connection</w:t>
      </w:r>
    </w:p>
    <w:p>
      <w:pPr>
        <w:spacing w:after="0" w:line="23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with the offer, sale and delivery of the Securities to the Initial Purchasers in the manner contemplated by this Agreement to register the Securities under the Securities Act or to qualify the Indenture under the Trust Indenture Act of 1939, as amended.</w:t>
      </w:r>
    </w:p>
    <w:p>
      <w:pPr>
        <w:spacing w:after="0" w:line="170" w:lineRule="exact"/>
        <w:rPr>
          <w:sz w:val="20"/>
          <w:szCs w:val="20"/>
          <w:color w:val="auto"/>
        </w:rPr>
      </w:pPr>
    </w:p>
    <w:p>
      <w:pPr>
        <w:ind w:left="1300" w:hanging="65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Securities satisfy the requirements set forth in Rule 144A(d)(3) under the Securities Act.</w:t>
      </w:r>
    </w:p>
    <w:p>
      <w:pPr>
        <w:spacing w:after="0" w:line="225" w:lineRule="exact"/>
        <w:rPr>
          <w:rFonts w:ascii="Arial" w:cs="Arial" w:eastAsia="Arial" w:hAnsi="Arial"/>
          <w:sz w:val="18"/>
          <w:szCs w:val="18"/>
          <w:color w:val="auto"/>
        </w:rPr>
      </w:pPr>
    </w:p>
    <w:p>
      <w:pPr>
        <w:ind w:right="20" w:firstLine="645"/>
        <w:spacing w:after="0" w:line="264" w:lineRule="auto"/>
        <w:tabs>
          <w:tab w:leader="none" w:pos="1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Securities Act and the rules and regulations of the Commission thereunder.</w:t>
      </w:r>
    </w:p>
    <w:p>
      <w:pPr>
        <w:spacing w:after="0" w:line="181" w:lineRule="exact"/>
        <w:rPr>
          <w:rFonts w:ascii="Arial" w:cs="Arial" w:eastAsia="Arial" w:hAnsi="Arial"/>
          <w:sz w:val="18"/>
          <w:szCs w:val="18"/>
          <w:color w:val="auto"/>
        </w:rPr>
      </w:pPr>
    </w:p>
    <w:p>
      <w:pPr>
        <w:ind w:right="100" w:firstLine="645"/>
        <w:spacing w:after="0" w:line="289" w:lineRule="auto"/>
        <w:tabs>
          <w:tab w:leader="none" w:pos="131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The Company maintains internal accounting controls sufficient to provide reasonable assurance that interactive data in eXtensible Business Reporting Language included or incorporated by reference in each of the Preliminary Memorandum, the Time of Sale Memorandum and the Final Memorandum is prepared in accordance with the Commission’s rules and guidelines applicable thereto. Except as disclosed in the Time of Sale Memorandum, the Company’s internal control over financial reporting and the Company’s internal control over financial reporting was effective as of August 29, 2013 and the Company is not aware of any material weaknesses in its internal control over financial reporting.</w:t>
      </w:r>
    </w:p>
    <w:p>
      <w:pPr>
        <w:spacing w:after="0" w:line="166" w:lineRule="exact"/>
        <w:rPr>
          <w:rFonts w:ascii="Arial" w:cs="Arial" w:eastAsia="Arial" w:hAnsi="Arial"/>
          <w:sz w:val="16"/>
          <w:szCs w:val="16"/>
          <w:color w:val="auto"/>
        </w:rPr>
      </w:pPr>
    </w:p>
    <w:p>
      <w:pPr>
        <w:ind w:firstLine="645"/>
        <w:spacing w:after="0" w:line="286" w:lineRule="auto"/>
        <w:tabs>
          <w:tab w:leader="none" w:pos="1304"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disclosed in the Time of Sale Memorandum, since the date of the latest audited financial statements included or incorporated by reference in the Time of Sale Memorandum, there has been no change in the Company’s internal control over financial reporting that has materially affected, or is reasonably likely to materially affect, the Company’s internal control over financial reporting.</w:t>
      </w:r>
    </w:p>
    <w:p>
      <w:pPr>
        <w:spacing w:after="0" w:line="165" w:lineRule="exact"/>
        <w:rPr>
          <w:rFonts w:ascii="Arial" w:cs="Arial" w:eastAsia="Arial" w:hAnsi="Arial"/>
          <w:sz w:val="17"/>
          <w:szCs w:val="17"/>
          <w:color w:val="auto"/>
        </w:rPr>
      </w:pPr>
    </w:p>
    <w:p>
      <w:pPr>
        <w:ind w:right="240" w:firstLine="645"/>
        <w:spacing w:after="0" w:line="264" w:lineRule="auto"/>
        <w:tabs>
          <w:tab w:leader="none" w:pos="1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principal executive officer and principal financial officer by others within those entities; and such disclosure controls and procedures were effective as of the quarter ended November 28, 2013.</w:t>
      </w:r>
    </w:p>
    <w:p>
      <w:pPr>
        <w:spacing w:after="0" w:line="170" w:lineRule="exact"/>
        <w:rPr>
          <w:sz w:val="20"/>
          <w:szCs w:val="20"/>
          <w:color w:val="auto"/>
        </w:rPr>
      </w:pPr>
    </w:p>
    <w:p>
      <w:pPr>
        <w:ind w:right="460" w:firstLine="645"/>
        <w:spacing w:after="0" w:line="264" w:lineRule="auto"/>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and each of its subsidiaries maintain a system of internal accounting controls sufficient to provide reasonable assurance that the interactive data in eXtensible Business Reporting Language included or incorporated by reference in each of the Preliminary Memorandum, the Time of Sale Memorandum and the Final Memorandum is accurate.</w:t>
      </w:r>
    </w:p>
    <w:p>
      <w:pPr>
        <w:spacing w:after="0" w:line="181" w:lineRule="exact"/>
        <w:rPr>
          <w:rFonts w:ascii="Arial" w:cs="Arial" w:eastAsia="Arial" w:hAnsi="Arial"/>
          <w:sz w:val="18"/>
          <w:szCs w:val="18"/>
          <w:color w:val="auto"/>
        </w:rPr>
      </w:pPr>
    </w:p>
    <w:p>
      <w:pPr>
        <w:ind w:right="200" w:firstLine="645"/>
        <w:spacing w:after="0" w:line="259" w:lineRule="auto"/>
        <w:tabs>
          <w:tab w:leader="none" w:pos="131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assumptions used in preparing the pro forma financial statements included or incorporated by reference in each of the Preliminary Memorandum, the Time of Sale Memorandum and the Final Memorandum are reasonable. The related pro forma adjustments give appropriate effect to those assumptions, and the pro forma columns therein reflect the proper application of those adjustments to the corresponding historical financial statement amounts.</w:t>
      </w:r>
    </w:p>
    <w:p>
      <w:pPr>
        <w:spacing w:after="0" w:line="186" w:lineRule="exact"/>
        <w:rPr>
          <w:rFonts w:ascii="Arial" w:cs="Arial" w:eastAsia="Arial" w:hAnsi="Arial"/>
          <w:sz w:val="18"/>
          <w:szCs w:val="18"/>
          <w:color w:val="auto"/>
        </w:rPr>
      </w:pPr>
    </w:p>
    <w:p>
      <w:pPr>
        <w:ind w:right="40" w:firstLine="645"/>
        <w:spacing w:after="0" w:line="297" w:lineRule="auto"/>
        <w:tabs>
          <w:tab w:leader="none" w:pos="1304" w:val="left"/>
        </w:tabs>
        <w:numPr>
          <w:ilvl w:val="0"/>
          <w:numId w:val="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director or officer, nor, to the Company’s knowledge, any affiliate, employee, agent or representative of the Company or of any of its subsidiaries or affiliates,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w:t>
      </w:r>
    </w:p>
    <w:p>
      <w:pPr>
        <w:sectPr>
          <w:pgSz w:w="11900" w:h="16941" w:orient="portrait"/>
          <w:cols w:equalWidth="0" w:num="1">
            <w:col w:w="10760"/>
          </w:cols>
          <w:pgMar w:left="900" w:top="125" w:right="239" w:bottom="0" w:gutter="0" w:footer="0" w:header="0"/>
        </w:sectPr>
      </w:pPr>
    </w:p>
    <w:bookmarkStart w:id="5" w:name="page6"/>
    <w:bookmarkEnd w:id="5"/>
    <w:p>
      <w:pPr>
        <w:spacing w:after="0" w:line="137" w:lineRule="exact"/>
        <w:rPr>
          <w:sz w:val="20"/>
          <w:szCs w:val="20"/>
          <w:color w:val="auto"/>
        </w:rPr>
      </w:pPr>
    </w:p>
    <w:p>
      <w:pPr>
        <w:ind w:left="660" w:right="140"/>
        <w:spacing w:after="0" w:line="312" w:lineRule="auto"/>
        <w:rPr>
          <w:sz w:val="20"/>
          <w:szCs w:val="20"/>
          <w:color w:val="auto"/>
        </w:rPr>
      </w:pPr>
      <w:r>
        <w:rPr>
          <w:rFonts w:ascii="Arial" w:cs="Arial" w:eastAsia="Arial" w:hAnsi="Arial"/>
          <w:sz w:val="16"/>
          <w:szCs w:val="16"/>
          <w:color w:val="auto"/>
        </w:rPr>
        <w:t>for political office) to influence official action or secure an improper advantage; and the Company and its subsidiaries and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47" w:lineRule="exact"/>
        <w:rPr>
          <w:sz w:val="20"/>
          <w:szCs w:val="20"/>
          <w:color w:val="auto"/>
        </w:rPr>
      </w:pPr>
    </w:p>
    <w:p>
      <w:pPr>
        <w:ind w:left="660" w:right="160" w:firstLine="645"/>
        <w:spacing w:after="0" w:line="297" w:lineRule="auto"/>
        <w:tabs>
          <w:tab w:leader="none" w:pos="196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160"/>
        <w:spacing w:after="0" w:line="266" w:lineRule="auto"/>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0" w:lineRule="exact"/>
        <w:rPr>
          <w:sz w:val="20"/>
          <w:szCs w:val="20"/>
          <w:color w:val="auto"/>
        </w:rPr>
      </w:pPr>
    </w:p>
    <w:p>
      <w:pPr>
        <w:ind w:left="660" w:right="580" w:firstLine="645"/>
        <w:spacing w:after="0" w:line="277" w:lineRule="auto"/>
        <w:tabs>
          <w:tab w:leader="none" w:pos="19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nor any director, officer, or employee thereof,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166" w:lineRule="exact"/>
        <w:rPr>
          <w:rFonts w:ascii="Arial" w:cs="Arial" w:eastAsia="Arial" w:hAnsi="Arial"/>
          <w:sz w:val="18"/>
          <w:szCs w:val="18"/>
          <w:color w:val="auto"/>
        </w:rPr>
      </w:pPr>
    </w:p>
    <w:p>
      <w:pPr>
        <w:ind w:left="1300" w:firstLine="1301"/>
        <w:spacing w:after="0" w:line="282" w:lineRule="auto"/>
        <w:tabs>
          <w:tab w:leader="none" w:pos="3265"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subject of any sanctions (“</w:t>
      </w:r>
      <w:r>
        <w:rPr>
          <w:rFonts w:ascii="Arial" w:cs="Arial" w:eastAsia="Arial" w:hAnsi="Arial"/>
          <w:sz w:val="18"/>
          <w:szCs w:val="18"/>
          <w:b w:val="1"/>
          <w:bCs w:val="1"/>
          <w:color w:val="auto"/>
        </w:rPr>
        <w:t>Sanctions</w:t>
      </w:r>
      <w:r>
        <w:rPr>
          <w:rFonts w:ascii="Arial" w:cs="Arial" w:eastAsia="Arial" w:hAnsi="Arial"/>
          <w:sz w:val="18"/>
          <w:szCs w:val="18"/>
          <w:color w:val="auto"/>
        </w:rPr>
        <w:t>”) administered or enforced by the U.S. Department of Treasury’s Office of Foreign Assets Control, nor</w:t>
      </w:r>
    </w:p>
    <w:p>
      <w:pPr>
        <w:spacing w:after="0" w:line="165" w:lineRule="exact"/>
        <w:rPr>
          <w:rFonts w:ascii="Arial" w:cs="Arial" w:eastAsia="Arial" w:hAnsi="Arial"/>
          <w:sz w:val="18"/>
          <w:szCs w:val="18"/>
          <w:color w:val="auto"/>
        </w:rPr>
      </w:pPr>
    </w:p>
    <w:p>
      <w:pPr>
        <w:ind w:left="1300" w:right="640" w:firstLine="1301"/>
        <w:spacing w:after="0" w:line="277" w:lineRule="auto"/>
        <w:tabs>
          <w:tab w:leader="none" w:pos="3255" w:val="left"/>
        </w:tabs>
        <w:numPr>
          <w:ilvl w:val="2"/>
          <w:numId w:val="10"/>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Cuba, Iran, Libya, North Korea, Sudan and Syria).</w:t>
      </w:r>
    </w:p>
    <w:p>
      <w:pPr>
        <w:spacing w:after="0" w:line="170" w:lineRule="exact"/>
        <w:rPr>
          <w:rFonts w:ascii="Arial" w:cs="Arial" w:eastAsia="Arial" w:hAnsi="Arial"/>
          <w:sz w:val="18"/>
          <w:szCs w:val="18"/>
          <w:color w:val="auto"/>
        </w:rPr>
      </w:pPr>
    </w:p>
    <w:p>
      <w:pPr>
        <w:ind w:left="1460" w:right="460" w:firstLine="655"/>
        <w:spacing w:after="0" w:line="277" w:lineRule="auto"/>
        <w:tabs>
          <w:tab w:leader="none" w:pos="262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1300" w:right="40" w:firstLine="1301"/>
        <w:spacing w:after="0" w:line="277" w:lineRule="auto"/>
        <w:tabs>
          <w:tab w:leader="none" w:pos="3265"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300" w:right="60" w:firstLine="1301"/>
        <w:spacing w:after="0" w:line="277" w:lineRule="auto"/>
        <w:tabs>
          <w:tab w:leader="none" w:pos="3255"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1460" w:right="200" w:firstLine="655"/>
        <w:spacing w:after="0" w:line="264" w:lineRule="auto"/>
        <w:tabs>
          <w:tab w:leader="none" w:pos="2635"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the past 3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81" w:lineRule="exact"/>
        <w:rPr>
          <w:sz w:val="20"/>
          <w:szCs w:val="20"/>
          <w:color w:val="auto"/>
        </w:rPr>
      </w:pPr>
    </w:p>
    <w:p>
      <w:pPr>
        <w:jc w:val="both"/>
        <w:ind w:left="660" w:right="140" w:firstLine="645"/>
        <w:spacing w:after="0" w:line="264" w:lineRule="auto"/>
        <w:tabs>
          <w:tab w:leader="none" w:pos="1939"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interactive data in eXtensbile Business Reporting Language included or incorporated by reference in each of the Preliminary Memorandum, the Time of Sale Memorandum and the Final Memorandum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Agreements to Sell and Purchase</w:t>
      </w:r>
      <w:r>
        <w:rPr>
          <w:rFonts w:ascii="Arial" w:cs="Arial" w:eastAsia="Arial" w:hAnsi="Arial"/>
          <w:sz w:val="16"/>
          <w:szCs w:val="16"/>
          <w:color w:val="auto"/>
        </w:rPr>
        <w:t>. The Company hereby agrees to sell to the several Initial Purchasers, and each Initial Purchaser, upon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 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representations and warranties herein contained, but subject to the conditions hereinafter stated, agrees, severally and not jointly, to purchase from the Company the respective principal amounts of Securities set forth in Schedule I hereto opposite its name at a purchase price of 98.25% of the principal amount thereof (the “</w:t>
      </w:r>
      <w:r>
        <w:rPr>
          <w:rFonts w:ascii="Arial" w:cs="Arial" w:eastAsia="Arial" w:hAnsi="Arial"/>
          <w:sz w:val="18"/>
          <w:szCs w:val="18"/>
          <w:b w:val="1"/>
          <w:bCs w:val="1"/>
          <w:color w:val="auto"/>
        </w:rPr>
        <w:t>Purchase Price</w:t>
      </w:r>
      <w:r>
        <w:rPr>
          <w:rFonts w:ascii="Arial" w:cs="Arial" w:eastAsia="Arial" w:hAnsi="Arial"/>
          <w:sz w:val="18"/>
          <w:szCs w:val="18"/>
          <w:color w:val="auto"/>
        </w:rPr>
        <w:t>”), plus accrued interest, if any, from February 10, 2014 to the Closing Date.</w:t>
      </w:r>
    </w:p>
    <w:p>
      <w:pPr>
        <w:spacing w:after="0" w:line="181" w:lineRule="exact"/>
        <w:rPr>
          <w:sz w:val="20"/>
          <w:szCs w:val="20"/>
          <w:color w:val="auto"/>
        </w:rPr>
      </w:pPr>
    </w:p>
    <w:p>
      <w:pPr>
        <w:ind w:right="480" w:firstLine="656"/>
        <w:spacing w:after="0" w:line="308" w:lineRule="auto"/>
        <w:tabs>
          <w:tab w:leader="none" w:pos="129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Terms of Offering</w:t>
      </w:r>
      <w:r>
        <w:rPr>
          <w:rFonts w:ascii="Arial" w:cs="Arial" w:eastAsia="Arial" w:hAnsi="Arial"/>
          <w:sz w:val="17"/>
          <w:szCs w:val="17"/>
          <w:color w:val="auto"/>
        </w:rPr>
        <w:t>. You have advised the Company that the Initial Purchasers will make an offering of the Securities purchased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Purchasers hereunder as soon as practicable after this Agreement is entered into as in your judgment is advisable.</w:t>
      </w:r>
    </w:p>
    <w:p>
      <w:pPr>
        <w:spacing w:after="0" w:line="146" w:lineRule="exact"/>
        <w:rPr>
          <w:rFonts w:ascii="Arial" w:cs="Arial" w:eastAsia="Arial" w:hAnsi="Arial"/>
          <w:sz w:val="17"/>
          <w:szCs w:val="17"/>
          <w:color w:val="auto"/>
        </w:rPr>
      </w:pPr>
    </w:p>
    <w:p>
      <w:pPr>
        <w:ind w:right="140" w:firstLine="656"/>
        <w:spacing w:after="0" w:line="257"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Securities shall be made to the Company in Federal or other funds immediately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specified by the Company to you at the office of Wilson Sonsini Goodrich &amp; Rosati, Professional Corporation, 650 Page Mill Road, Palo Alto, California, at approximately 7:00 a.m., California time, on February 10, 2014, or at such other time on the same or such other date, not later than the fifth business day thereafter, as may be mutually agreed in writing by you and the Company.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Securities shall be in definitive form or global form, as specified by you, and registered in such names and in such denominations as you shall request in writing not later than one full business day prior to the Closing Date. The Securities shall be delivered to you on the Closing Date for the respective accounts of the several Initial Purchasers, with any transfer taxes payable in connection with the transfer of the Securities to the Initial Purchasers duly paid, against payment of the Purchase Price therefor.</w:t>
      </w:r>
    </w:p>
    <w:p>
      <w:pPr>
        <w:spacing w:after="0" w:line="187" w:lineRule="exact"/>
        <w:rPr>
          <w:sz w:val="20"/>
          <w:szCs w:val="20"/>
          <w:color w:val="auto"/>
        </w:rPr>
      </w:pPr>
    </w:p>
    <w:p>
      <w:pPr>
        <w:ind w:right="20" w:firstLine="656"/>
        <w:spacing w:after="0" w:line="277"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Conditions to the Initial Purchasers’ Obligations</w:t>
      </w:r>
      <w:r>
        <w:rPr>
          <w:rFonts w:ascii="Arial" w:cs="Arial" w:eastAsia="Arial" w:hAnsi="Arial"/>
          <w:sz w:val="18"/>
          <w:szCs w:val="18"/>
          <w:color w:val="auto"/>
        </w:rPr>
        <w:t>. The several obligations of the Initial Purchasers to purchase and pay for the Securities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Date are subject to the following conditions:</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225" w:lineRule="exact"/>
        <w:rPr>
          <w:rFonts w:ascii="Arial" w:cs="Arial" w:eastAsia="Arial" w:hAnsi="Arial"/>
          <w:sz w:val="18"/>
          <w:szCs w:val="18"/>
          <w:color w:val="auto"/>
        </w:rPr>
      </w:pPr>
    </w:p>
    <w:p>
      <w:pPr>
        <w:ind w:left="1460" w:right="60" w:firstLine="655"/>
        <w:spacing w:after="0" w:line="342" w:lineRule="auto"/>
        <w:tabs>
          <w:tab w:leader="none" w:pos="2616" w:val="left"/>
        </w:tabs>
        <w:numPr>
          <w:ilvl w:val="2"/>
          <w:numId w:val="14"/>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w:t>
      </w:r>
    </w:p>
    <w:p>
      <w:pPr>
        <w:sectPr>
          <w:pgSz w:w="11900" w:h="16975" w:orient="portrait"/>
          <w:cols w:equalWidth="0" w:num="1">
            <w:col w:w="11420"/>
          </w:cols>
          <w:pgMar w:left="240" w:top="125" w:right="239" w:bottom="0" w:gutter="0" w:footer="0" w:header="0"/>
        </w:sectPr>
      </w:pPr>
    </w:p>
    <w:bookmarkStart w:id="6" w:name="page7"/>
    <w:bookmarkEnd w:id="6"/>
    <w:p>
      <w:pPr>
        <w:ind w:left="804" w:right="880"/>
        <w:spacing w:after="0" w:line="277" w:lineRule="auto"/>
        <w:rPr>
          <w:sz w:val="20"/>
          <w:szCs w:val="20"/>
          <w:color w:val="auto"/>
        </w:rPr>
      </w:pPr>
      <w:r>
        <w:rPr>
          <w:rFonts w:ascii="Arial" w:cs="Arial" w:eastAsia="Arial" w:hAnsi="Arial"/>
          <w:sz w:val="18"/>
          <w:szCs w:val="18"/>
          <w:color w:val="auto"/>
        </w:rPr>
        <w:t>of the debt securities of the Company by any “nationally recognized statistical rating organization,” as such term is defined in Section 3(a)(62) of the Exchange Act; and</w:t>
      </w:r>
    </w:p>
    <w:p>
      <w:pPr>
        <w:spacing w:after="0" w:line="170" w:lineRule="exact"/>
        <w:rPr>
          <w:sz w:val="20"/>
          <w:szCs w:val="20"/>
          <w:color w:val="auto"/>
        </w:rPr>
      </w:pPr>
    </w:p>
    <w:p>
      <w:pPr>
        <w:ind w:left="804" w:right="120" w:firstLine="655"/>
        <w:spacing w:after="0" w:line="277" w:lineRule="auto"/>
        <w:tabs>
          <w:tab w:leader="none" w:pos="19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shall not have occurred any material change, or any development involving a prospective Material Adverse Effect, in the condition, financial or otherwise, or in the earnings,</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24"/>
        <w:spacing w:after="0" w:line="264" w:lineRule="auto"/>
        <w:rPr>
          <w:sz w:val="20"/>
          <w:szCs w:val="20"/>
          <w:color w:val="auto"/>
        </w:rPr>
      </w:pPr>
      <w:r>
        <w:rPr>
          <w:rFonts w:ascii="Arial" w:cs="Arial" w:eastAsia="Arial" w:hAnsi="Arial"/>
          <w:sz w:val="18"/>
          <w:szCs w:val="18"/>
          <w:color w:val="auto"/>
        </w:rPr>
        <w:t>business or operations of the Company and its subsidiaries, taken as a whole, from that set forth in the Time of Sale Memorandum that, in your judgment, is material and adverse and that makes it, in your judgment, impracticable to market the Securities on the terms and in the manner contemplated in the Time of Sale Memorandum.</w:t>
      </w:r>
    </w:p>
    <w:p>
      <w:pPr>
        <w:spacing w:after="0" w:line="181" w:lineRule="exact"/>
        <w:rPr>
          <w:sz w:val="20"/>
          <w:szCs w:val="20"/>
          <w:color w:val="auto"/>
        </w:rPr>
      </w:pPr>
    </w:p>
    <w:p>
      <w:pPr>
        <w:ind w:left="4" w:right="100" w:firstLine="645"/>
        <w:spacing w:after="0" w:line="290" w:lineRule="auto"/>
        <w:tabs>
          <w:tab w:leader="none" w:pos="13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Initial Purchasers shall have received on the Closing Date a certificate, dated the Closing Date and signed by the chief executive officer or the chief financial officer of the Company, to the effect set forth in Section 5(a)(i)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(ii) that the Company has complied in all material respects with all of the agreements and satisfied all of the conditions on its part to be performed or satisfied hereunder on or before the Closing Date, and (iii) since the date of the most recent financial statements included in the Time of Sale Memorandum, there has been no material adverse change in the financial condition, earnings, business or properties of the Company and its subsidiaries, taken as a whole, except as set forth or contemplated in the Time of Sale Memorandum.</w:t>
      </w:r>
    </w:p>
    <w:p>
      <w:pPr>
        <w:spacing w:after="0" w:line="166" w:lineRule="exact"/>
        <w:rPr>
          <w:sz w:val="20"/>
          <w:szCs w:val="20"/>
          <w:color w:val="auto"/>
        </w:rPr>
      </w:pPr>
    </w:p>
    <w:p>
      <w:pPr>
        <w:ind w:left="644"/>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237" w:lineRule="exact"/>
        <w:rPr>
          <w:sz w:val="20"/>
          <w:szCs w:val="20"/>
          <w:color w:val="auto"/>
        </w:rPr>
      </w:pPr>
    </w:p>
    <w:p>
      <w:pPr>
        <w:jc w:val="both"/>
        <w:ind w:left="4" w:right="360" w:firstLine="645"/>
        <w:spacing w:after="0" w:line="264"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Wilson Sonsini Goodrich &amp; Rosati, Professional Corporation, outside counsel for the Company, dated the Closing Date, to the effect set forth in Exhibit A. Such opinion shall be rendered to the Initial Purchasers at the request of the Company and shall so state therein.</w:t>
      </w:r>
    </w:p>
    <w:p>
      <w:pPr>
        <w:spacing w:after="0" w:line="181" w:lineRule="exact"/>
        <w:rPr>
          <w:rFonts w:ascii="Arial" w:cs="Arial" w:eastAsia="Arial" w:hAnsi="Arial"/>
          <w:sz w:val="18"/>
          <w:szCs w:val="18"/>
          <w:color w:val="auto"/>
        </w:rPr>
      </w:pPr>
    </w:p>
    <w:p>
      <w:pPr>
        <w:ind w:left="4" w:right="360" w:firstLine="645"/>
        <w:spacing w:after="0" w:line="277" w:lineRule="auto"/>
        <w:tabs>
          <w:tab w:leader="none" w:pos="13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Joel L. Poppen, the Company’s General Counsel, dated the Closing Date, to the effect set forth in Exhibit B.</w:t>
      </w:r>
    </w:p>
    <w:p>
      <w:pPr>
        <w:spacing w:after="0" w:line="170" w:lineRule="exact"/>
        <w:rPr>
          <w:rFonts w:ascii="Arial" w:cs="Arial" w:eastAsia="Arial" w:hAnsi="Arial"/>
          <w:sz w:val="18"/>
          <w:szCs w:val="18"/>
          <w:color w:val="auto"/>
        </w:rPr>
      </w:pPr>
    </w:p>
    <w:p>
      <w:pPr>
        <w:ind w:left="4" w:right="360" w:firstLine="645"/>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Simpson Thacher &amp; Bartlett LLP, counsel for the Initial Purchasers, dated the Closing Date, in form and substance reasonably satisfactory to the Initial Purchasers.</w:t>
      </w:r>
    </w:p>
    <w:p>
      <w:pPr>
        <w:spacing w:after="0" w:line="170" w:lineRule="exact"/>
        <w:rPr>
          <w:rFonts w:ascii="Arial" w:cs="Arial" w:eastAsia="Arial" w:hAnsi="Arial"/>
          <w:sz w:val="18"/>
          <w:szCs w:val="18"/>
          <w:color w:val="auto"/>
        </w:rPr>
      </w:pPr>
    </w:p>
    <w:p>
      <w:pPr>
        <w:jc w:val="both"/>
        <w:ind w:left="4" w:right="380" w:firstLine="645"/>
        <w:spacing w:after="0" w:line="342" w:lineRule="auto"/>
        <w:tabs>
          <w:tab w:leader="none" w:pos="13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Initial Purchasers shall have received on each of the date hereof and the Closing Date a letter, dated the date hereof or the Closing Date, as applicable, in form and substance satisfactory to the Initial Purchasers, from PricewaterhouseCoopers LLP, independent public</w:t>
      </w:r>
    </w:p>
    <w:p>
      <w:pPr>
        <w:spacing w:after="0" w:line="12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accountants, containing statements and information of the type ordinarily included in accountants’ “comfort letters” to underwriters with respect to the financial statements and certain financial information contained in or incorporated by reference into the Time of Sale Memorandum and the Final Memorandum; provided that the letter delivered on the Closing Date shall use a “cut-off date” not earlier than February 3, 2014.</w:t>
      </w:r>
    </w:p>
    <w:p>
      <w:pPr>
        <w:spacing w:after="0" w:line="166" w:lineRule="exact"/>
        <w:rPr>
          <w:sz w:val="20"/>
          <w:szCs w:val="20"/>
          <w:color w:val="auto"/>
        </w:rPr>
      </w:pPr>
    </w:p>
    <w:p>
      <w:pPr>
        <w:ind w:left="4" w:right="160" w:firstLine="645"/>
        <w:spacing w:after="0" w:line="297" w:lineRule="auto"/>
        <w:tabs>
          <w:tab w:leader="none" w:pos="1321"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Initial Purchasers shall have received on each of the date hereof and the Closing Date a letter, dated the date hereof or the Closing Date, as applicable, in form and substance satisfactory to the Initial Purchasers, from KPMG LLP, independent public accountants, containing statements and information of the type ordinarily included in accountants’ “comfort letters” to underwriters with respect to the financial statements of Inotera Memories, Inc. (“</w:t>
      </w:r>
      <w:r>
        <w:rPr>
          <w:rFonts w:ascii="Arial" w:cs="Arial" w:eastAsia="Arial" w:hAnsi="Arial"/>
          <w:sz w:val="16"/>
          <w:szCs w:val="16"/>
          <w:b w:val="1"/>
          <w:bCs w:val="1"/>
          <w:color w:val="auto"/>
        </w:rPr>
        <w:t>Inotera</w:t>
      </w:r>
      <w:r>
        <w:rPr>
          <w:rFonts w:ascii="Arial" w:cs="Arial" w:eastAsia="Arial" w:hAnsi="Arial"/>
          <w:sz w:val="16"/>
          <w:szCs w:val="16"/>
          <w:color w:val="auto"/>
        </w:rPr>
        <w:t>”) contained in or incorporated by reference into the Time of Sale Memorandum and the Final Memorandum; provided that the letter delivered on the Closing Date shall use a “cut-off date” not earlier than December 31, 2012.</w:t>
      </w:r>
    </w:p>
    <w:p>
      <w:pPr>
        <w:spacing w:after="0" w:line="158" w:lineRule="exact"/>
        <w:rPr>
          <w:rFonts w:ascii="Arial" w:cs="Arial" w:eastAsia="Arial" w:hAnsi="Arial"/>
          <w:sz w:val="16"/>
          <w:szCs w:val="16"/>
          <w:color w:val="auto"/>
        </w:rPr>
      </w:pPr>
    </w:p>
    <w:p>
      <w:pPr>
        <w:ind w:left="4" w:right="60" w:firstLine="645"/>
        <w:spacing w:after="0" w:line="276" w:lineRule="auto"/>
        <w:tabs>
          <w:tab w:leader="none" w:pos="1308"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Initial Purchasers shall have received on each of the date hereof and the Closing Date a letter, dated the date hereof or the Closing Date, as applicable, in form and substance satisfactory to the Initial Purchasers, from Ernst &amp; Young ShinNihon LLC, independent auditors, containing statements and information of the type ordinarily included in accountants’ “comfort letters” to underwriters with respect to the financial statements of Elpida contained in or incorporated by reference into the Time of Sale Memorandum and the Final Memorandum; provided that the letter delivered on the Closing Date shall use a “cut-off date” not earlier than May 30, 2013.</w:t>
      </w:r>
    </w:p>
    <w:p>
      <w:pPr>
        <w:spacing w:after="0" w:line="172" w:lineRule="exact"/>
        <w:rPr>
          <w:rFonts w:ascii="Arial" w:cs="Arial" w:eastAsia="Arial" w:hAnsi="Arial"/>
          <w:sz w:val="17"/>
          <w:szCs w:val="17"/>
          <w:color w:val="auto"/>
        </w:rPr>
      </w:pPr>
    </w:p>
    <w:p>
      <w:pPr>
        <w:ind w:left="4" w:right="240" w:firstLine="645"/>
        <w:spacing w:after="0" w:line="302" w:lineRule="auto"/>
        <w:tabs>
          <w:tab w:leader="none" w:pos="1322" w:val="left"/>
        </w:tabs>
        <w:numPr>
          <w:ilvl w:val="1"/>
          <w:numId w:val="18"/>
        </w:numPr>
        <w:rPr>
          <w:rFonts w:ascii="Arial" w:cs="Arial" w:eastAsia="Arial" w:hAnsi="Arial"/>
          <w:sz w:val="16"/>
          <w:szCs w:val="16"/>
          <w:color w:val="auto"/>
        </w:rPr>
      </w:pPr>
      <w:r>
        <w:rPr>
          <w:rFonts w:ascii="Arial" w:cs="Arial" w:eastAsia="Arial" w:hAnsi="Arial"/>
          <w:sz w:val="16"/>
          <w:szCs w:val="16"/>
          <w:color w:val="auto"/>
        </w:rPr>
        <w:t>Prior to the Closing Date, the Company shall have received all waivers or consents under any agreement or other instrument binding upon the Company or any of its subsidiaries, including any indentures,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 and the Securities.</w:t>
      </w:r>
    </w:p>
    <w:p>
      <w:pPr>
        <w:spacing w:after="0" w:line="154" w:lineRule="exact"/>
        <w:rPr>
          <w:rFonts w:ascii="Arial" w:cs="Arial" w:eastAsia="Arial" w:hAnsi="Arial"/>
          <w:sz w:val="16"/>
          <w:szCs w:val="16"/>
          <w:color w:val="auto"/>
        </w:rPr>
      </w:pPr>
    </w:p>
    <w:p>
      <w:pPr>
        <w:ind w:left="644" w:hanging="644"/>
        <w:spacing w:after="0"/>
        <w:tabs>
          <w:tab w:leader="none" w:pos="64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Initial Purchaser as follows:</w:t>
      </w:r>
    </w:p>
    <w:p>
      <w:pPr>
        <w:spacing w:after="0" w:line="225" w:lineRule="exact"/>
        <w:rPr>
          <w:rFonts w:ascii="Arial" w:cs="Arial" w:eastAsia="Arial" w:hAnsi="Arial"/>
          <w:sz w:val="18"/>
          <w:szCs w:val="18"/>
          <w:color w:val="auto"/>
        </w:rPr>
      </w:pPr>
    </w:p>
    <w:p>
      <w:pPr>
        <w:ind w:left="4" w:right="240" w:firstLine="645"/>
        <w:spacing w:after="0" w:line="312" w:lineRule="auto"/>
        <w:tabs>
          <w:tab w:leader="none" w:pos="12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furnish to you in New York City, without charge, prior to 7:00 a.m., California time, on the business day next succeeding the date of this Agreement and during the period mentioned in Section 6(d) or (e), electronic copies of the Time of Sale Memorandum, the Final Memorandum, any documents incorporated by reference therein and any supplements and amendments thereto as you may reasonably request.</w:t>
      </w:r>
    </w:p>
    <w:p>
      <w:pPr>
        <w:spacing w:after="0" w:line="14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60" w:firstLine="645"/>
        <w:spacing w:after="0" w:line="342" w:lineRule="auto"/>
        <w:tabs>
          <w:tab w:leader="none" w:pos="13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Before amending or supplementing the Preliminary Memorandum, the Time of Sale Memorandum or the Final Memorandum, to furnish to you a copy of each such proposed amendment or supplement and not to use any such proposed amendment or supplement to which you</w:t>
      </w:r>
    </w:p>
    <w:p>
      <w:pPr>
        <w:sectPr>
          <w:pgSz w:w="11900" w:h="16838" w:orient="portrait"/>
          <w:cols w:equalWidth="0" w:num="1">
            <w:col w:w="10744"/>
          </w:cols>
          <w:pgMar w:left="896" w:top="125" w:right="259" w:bottom="0" w:gutter="0" w:footer="0" w:header="0"/>
        </w:sectPr>
      </w:pPr>
    </w:p>
    <w:bookmarkStart w:id="7" w:name="page8"/>
    <w:bookmarkEnd w:id="7"/>
    <w:p>
      <w:pPr>
        <w:spacing w:after="0" w:line="137" w:lineRule="exact"/>
        <w:rPr>
          <w:sz w:val="20"/>
          <w:szCs w:val="20"/>
          <w:color w:val="auto"/>
        </w:rPr>
      </w:pPr>
    </w:p>
    <w:p>
      <w:pPr>
        <w:ind w:left="4"/>
        <w:spacing w:after="0"/>
        <w:rPr>
          <w:sz w:val="20"/>
          <w:szCs w:val="20"/>
          <w:color w:val="auto"/>
        </w:rPr>
      </w:pPr>
      <w:r>
        <w:rPr>
          <w:rFonts w:ascii="Arial" w:cs="Arial" w:eastAsia="Arial" w:hAnsi="Arial"/>
          <w:sz w:val="18"/>
          <w:szCs w:val="18"/>
          <w:color w:val="auto"/>
        </w:rPr>
        <w:t>reasonably object, except as may be required by applicable law.</w:t>
      </w:r>
    </w:p>
    <w:p>
      <w:pPr>
        <w:spacing w:after="0" w:line="225" w:lineRule="exact"/>
        <w:rPr>
          <w:sz w:val="20"/>
          <w:szCs w:val="20"/>
          <w:color w:val="auto"/>
        </w:rPr>
      </w:pPr>
    </w:p>
    <w:p>
      <w:pPr>
        <w:ind w:left="4" w:right="60" w:firstLine="645"/>
        <w:spacing w:after="0" w:line="342" w:lineRule="auto"/>
        <w:tabs>
          <w:tab w:leader="none" w:pos="13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furnish to you a copy of each proposed Additional Written Offering Communication to be prepared by or on behalf of, used by, or referred to by the Company and not to use or refer to any proposed Additional Written Offering Communication to which you reasonably object.</w:t>
      </w:r>
    </w:p>
    <w:p>
      <w:pPr>
        <w:spacing w:after="0" w:line="123" w:lineRule="exact"/>
        <w:rPr>
          <w:rFonts w:ascii="Arial" w:cs="Arial" w:eastAsia="Arial" w:hAnsi="Arial"/>
          <w:sz w:val="16"/>
          <w:szCs w:val="16"/>
          <w:color w:val="auto"/>
        </w:rPr>
      </w:pPr>
    </w:p>
    <w:p>
      <w:pPr>
        <w:ind w:left="4" w:right="60" w:firstLine="645"/>
        <w:spacing w:after="0" w:line="271" w:lineRule="auto"/>
        <w:tabs>
          <w:tab w:leader="none" w:pos="130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Time of Sale Memorandum is being used to solicit offers to buy the Securities at a time when the Final Memorandum is not yet available to prospective purchasers and any event shall occur or condition exist as a result of which it is necessary to amend or supplement the Time of Sale Memorandum in order to make the statements therein, in the light of the circumstances, not misleading, or if, in the opinion of counsel for the Initial Purchasers, it is necessary to amend or supplement the Time of Sale Memorandum to comply with applicable law, forthwith to prepare and furnish, at its own expense, to the Initial Purchasers and to any dealer upon request, either amendments or supplements to the Time of Sale Memorandum so that the statements in the Time of Sale Memorandum as so amended or supplemented will not, in the light of the circumstances when delivered to a prospective purchaser, be misleading or so that the Time of Sale Memorandum, as amended or supplemented, will comply with applicable law.</w:t>
      </w:r>
    </w:p>
    <w:p>
      <w:pPr>
        <w:spacing w:after="0" w:line="178" w:lineRule="exact"/>
        <w:rPr>
          <w:rFonts w:ascii="Arial" w:cs="Arial" w:eastAsia="Arial" w:hAnsi="Arial"/>
          <w:sz w:val="17"/>
          <w:szCs w:val="17"/>
          <w:color w:val="auto"/>
        </w:rPr>
      </w:pPr>
    </w:p>
    <w:p>
      <w:pPr>
        <w:ind w:left="4" w:firstLine="645"/>
        <w:spacing w:after="0" w:line="291" w:lineRule="auto"/>
        <w:tabs>
          <w:tab w:leader="none" w:pos="13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during such period after the date hereof and prior to the date on which all of the Securities shall have been sold by the Initial Purchasers, any event shall occur or condition exist as a result of which it is necessary to amend or supplement the Final Memorandum in order to make the statements therein, in the light of the circumstances when the Final Memorandum is delivered to a purchaser, not misleading, or if, in the opinion of counsel for the Initial Purchasers, it is necessary to amend or supplement the Final Memorandum to comply with applicable law, forthwith to prepare and furnish, at its own expense, to the Initial Purchasers, either amendments or supplements to the Final Memorandum so that the statements in the Final Memorandum as so amended or supplemented will not, in the light of the circumstances when the Final Memorandum is delivered to a purchaser, be misleading or so that the Final Memorandum, as amended or supplemented, will comply with applicable law.</w:t>
      </w:r>
    </w:p>
    <w:p>
      <w:pPr>
        <w:spacing w:after="0" w:line="167" w:lineRule="exact"/>
        <w:rPr>
          <w:rFonts w:ascii="Arial" w:cs="Arial" w:eastAsia="Arial" w:hAnsi="Arial"/>
          <w:sz w:val="16"/>
          <w:szCs w:val="16"/>
          <w:color w:val="auto"/>
        </w:rPr>
      </w:pPr>
    </w:p>
    <w:p>
      <w:pPr>
        <w:ind w:left="4" w:firstLine="645"/>
        <w:spacing w:after="0" w:line="277" w:lineRule="auto"/>
        <w:tabs>
          <w:tab w:leader="none" w:pos="13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endeavor to qualify the Securities for offer and sale under the securities or Blue Sky laws of such jurisdictions within the United States and Canada as you shall reasonably request in writing prior</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180"/>
        <w:spacing w:after="0" w:line="264" w:lineRule="auto"/>
        <w:rPr>
          <w:sz w:val="20"/>
          <w:szCs w:val="20"/>
          <w:color w:val="auto"/>
        </w:rPr>
      </w:pPr>
      <w:r>
        <w:rPr>
          <w:rFonts w:ascii="Arial" w:cs="Arial" w:eastAsia="Arial" w:hAnsi="Arial"/>
          <w:sz w:val="18"/>
          <w:szCs w:val="18"/>
          <w:color w:val="auto"/>
        </w:rPr>
        <w:t>to the Closing Date, provided that in connection therewith the Company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81" w:lineRule="exact"/>
        <w:rPr>
          <w:sz w:val="20"/>
          <w:szCs w:val="20"/>
          <w:color w:val="auto"/>
        </w:rPr>
      </w:pPr>
    </w:p>
    <w:p>
      <w:pPr>
        <w:ind w:left="4" w:firstLine="645"/>
        <w:spacing w:after="0" w:line="282" w:lineRule="auto"/>
        <w:tabs>
          <w:tab w:leader="none" w:pos="1321" w:val="left"/>
        </w:tabs>
        <w:numPr>
          <w:ilvl w:val="1"/>
          <w:numId w:val="22"/>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issuance and sale of the Securities and all other fees or expenses in connection with the preparation of the Preliminary Memorandum, the Time of Sale Memorandum, the Final Memorandum, any Additional Written Offering Communication prepared by or on behalf of, used by, or referred to by the Company and any amendments and supplements to any of the foregoing, including all printing costs associated therewith, and the mailing and delivering of copies thereof to the Initial Purchasers, in the quantities herein above specified, (ii) all costs and expenses related to the transfer and delivery of the Securities to the Initial Purchasers, including any transfer or other similar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including filing fees and the reasonable fees and disbursements of counsel for the Initial Purchasers in connection with such qualification and in connection with the Blue Sky or legal investment memorandum, (iv) any fees charged by rating agencies for the rating of the Securities, (v) the fees and expenses, if any, incurred in connection with the admission of the Securities for trading on any appropriate market system, (vi) the costs and charges of the Trustee and any transfer agent, registrar or depositary, (vii) the cost of the preparation, issuance and delivery of the Securities,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w:t>
      </w:r>
    </w:p>
    <w:p>
      <w:pPr>
        <w:spacing w:after="0" w:line="12" w:lineRule="exact"/>
        <w:rPr>
          <w:rFonts w:ascii="Arial" w:cs="Arial" w:eastAsia="Arial" w:hAnsi="Arial"/>
          <w:sz w:val="16"/>
          <w:szCs w:val="16"/>
          <w:color w:val="auto"/>
        </w:rPr>
      </w:pPr>
    </w:p>
    <w:p>
      <w:pPr>
        <w:ind w:left="4" w:right="100" w:hanging="4"/>
        <w:spacing w:after="0" w:line="255" w:lineRule="auto"/>
        <w:tabs>
          <w:tab w:leader="none" w:pos="3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document production charges and expenses associated with printing this Agreement and (x) all other cost and expenses incident to the performance of the obligations of the Company hereunder for which provision is not otherwise made in this Section. It is understood, however, that except as provided in this Section,</w:t>
      </w:r>
    </w:p>
    <w:p>
      <w:pPr>
        <w:spacing w:after="0" w:line="19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300"/>
        <w:spacing w:after="0" w:line="264" w:lineRule="auto"/>
        <w:rPr>
          <w:sz w:val="20"/>
          <w:szCs w:val="20"/>
          <w:color w:val="auto"/>
        </w:rPr>
      </w:pPr>
      <w:r>
        <w:rPr>
          <w:rFonts w:ascii="Arial" w:cs="Arial" w:eastAsia="Arial" w:hAnsi="Arial"/>
          <w:sz w:val="18"/>
          <w:szCs w:val="18"/>
          <w:color w:val="auto"/>
        </w:rPr>
        <w:t>Section 8, and the last paragraph of Section 10, the Initial Purchasers will pay all of their costs and expenses, including fees and disbursements of their counsel, transfer taxes payable on resale of any of the Securities by them and any advertising expenses connected with any offers they may make.</w:t>
      </w:r>
    </w:p>
    <w:p>
      <w:pPr>
        <w:spacing w:after="0" w:line="181" w:lineRule="exact"/>
        <w:rPr>
          <w:sz w:val="20"/>
          <w:szCs w:val="20"/>
          <w:color w:val="auto"/>
        </w:rPr>
      </w:pPr>
    </w:p>
    <w:p>
      <w:pPr>
        <w:ind w:left="4" w:right="380" w:firstLine="645"/>
        <w:spacing w:after="0" w:line="277" w:lineRule="auto"/>
        <w:tabs>
          <w:tab w:leader="none" w:pos="13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Securities pursuant to this Agreement in the manner specified in the Time of Sale Memorandum under the caption “Use of Proceeds.”</w:t>
      </w:r>
    </w:p>
    <w:p>
      <w:pPr>
        <w:spacing w:after="0" w:line="170" w:lineRule="exact"/>
        <w:rPr>
          <w:rFonts w:ascii="Arial" w:cs="Arial" w:eastAsia="Arial" w:hAnsi="Arial"/>
          <w:sz w:val="18"/>
          <w:szCs w:val="18"/>
          <w:color w:val="auto"/>
        </w:rPr>
      </w:pPr>
    </w:p>
    <w:p>
      <w:pPr>
        <w:ind w:left="4" w:right="40" w:firstLine="645"/>
        <w:spacing w:after="0" w:line="264" w:lineRule="auto"/>
        <w:tabs>
          <w:tab w:leader="none" w:pos="13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the Company nor its Affiliates will sell, offer for sale or solicit offers to buy or otherwise negotiate in respect of any security (as defined in the Securities Act) that could be integrated with the sale of the Securities in a manner that would require the registration under the Securities Act of the Securities.</w:t>
      </w:r>
    </w:p>
    <w:p>
      <w:pPr>
        <w:spacing w:after="0" w:line="181" w:lineRule="exact"/>
        <w:rPr>
          <w:rFonts w:ascii="Arial" w:cs="Arial" w:eastAsia="Arial" w:hAnsi="Arial"/>
          <w:sz w:val="18"/>
          <w:szCs w:val="18"/>
          <w:color w:val="auto"/>
        </w:rPr>
      </w:pPr>
    </w:p>
    <w:p>
      <w:pPr>
        <w:ind w:left="4" w:firstLine="645"/>
        <w:spacing w:after="0" w:line="264" w:lineRule="auto"/>
        <w:tabs>
          <w:tab w:leader="none" w:pos="13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to solicit any offer to buy or offer or sell the Securities by means of any form of general solicitation or general advertising (as those terms are used in Regulation D under the Securities Act) or in any manner involving a public offering within the meaning of Section 4(2) of the Securities Act.</w:t>
      </w:r>
    </w:p>
    <w:p>
      <w:pPr>
        <w:spacing w:after="0" w:line="181" w:lineRule="exact"/>
        <w:rPr>
          <w:rFonts w:ascii="Arial" w:cs="Arial" w:eastAsia="Arial" w:hAnsi="Arial"/>
          <w:sz w:val="18"/>
          <w:szCs w:val="18"/>
          <w:color w:val="auto"/>
        </w:rPr>
      </w:pPr>
    </w:p>
    <w:p>
      <w:pPr>
        <w:ind w:left="4" w:right="80" w:firstLine="645"/>
        <w:spacing w:after="0" w:line="342" w:lineRule="auto"/>
        <w:tabs>
          <w:tab w:leader="none" w:pos="13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While any of the Securities remain “restricted securities” within the meaning of the Securities Act, to make available, upon request, to any seller of such Securities the information specified in Rule 144A(d)(4) under the Securities Act, unless the Company is then subject to</w:t>
      </w:r>
    </w:p>
    <w:p>
      <w:pPr>
        <w:sectPr>
          <w:pgSz w:w="11900" w:h="16975" w:orient="portrait"/>
          <w:cols w:equalWidth="0" w:num="1">
            <w:col w:w="10764"/>
          </w:cols>
          <w:pgMar w:left="896" w:top="125" w:right="239" w:bottom="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Section 13 or 15(d) of the Exchange Act.</w:t>
      </w:r>
    </w:p>
    <w:p>
      <w:pPr>
        <w:spacing w:after="0" w:line="225" w:lineRule="exact"/>
        <w:rPr>
          <w:sz w:val="20"/>
          <w:szCs w:val="20"/>
          <w:color w:val="auto"/>
        </w:rPr>
      </w:pPr>
    </w:p>
    <w:p>
      <w:pPr>
        <w:ind w:left="660" w:right="20" w:firstLine="645"/>
        <w:spacing w:after="0" w:line="259" w:lineRule="auto"/>
        <w:tabs>
          <w:tab w:leader="none" w:pos="19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 of the Company, its Affiliates or any person acting on its or their behalf (other than the Initial Purchasers, their Affiliates or any person acting on their behalf) will engage in any directed selling efforts (as that term is defined in Regulation S) with respect to the Securities, and the Company and its Affiliates and each person acting on its or their behalf (other than the Initial Purchasers, their Affiliates or any person acting on their behalf) will comply with the offering restrictions requirement of Regulation S.</w:t>
      </w:r>
    </w:p>
    <w:p>
      <w:pPr>
        <w:spacing w:after="0" w:line="186" w:lineRule="exact"/>
        <w:rPr>
          <w:rFonts w:ascii="Arial" w:cs="Arial" w:eastAsia="Arial" w:hAnsi="Arial"/>
          <w:sz w:val="18"/>
          <w:szCs w:val="18"/>
          <w:color w:val="auto"/>
        </w:rPr>
      </w:pPr>
    </w:p>
    <w:p>
      <w:pPr>
        <w:jc w:val="both"/>
        <w:ind w:left="660" w:right="40" w:firstLine="645"/>
        <w:spacing w:after="0" w:line="264"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period of one year after the Closing Date, the Company will not, and will use its commercially reasonable efforts to not permit any of its affiliates (as defined in Rule 144 under the Securities Act) to resell any of the Securities that constitute “restricted securities” under Rule 144 that have been reacquired by any of them.</w:t>
      </w:r>
    </w:p>
    <w:p>
      <w:pPr>
        <w:spacing w:after="0" w:line="181"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to take any action prohibited by Regulation M under the Exchange Act in connection with the distribution of the Securities contemplated hereby.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also agrees that, without the prior written consent of Morgan Stanley &amp; Co. LLC on behalf of the Initial Purchasers, it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w:t>
      </w:r>
    </w:p>
    <w:p>
      <w:pPr>
        <w:spacing w:after="0" w:line="187" w:lineRule="exact"/>
        <w:rPr>
          <w:sz w:val="20"/>
          <w:szCs w:val="20"/>
          <w:color w:val="auto"/>
        </w:rPr>
      </w:pPr>
    </w:p>
    <w:p>
      <w:pPr>
        <w:ind w:right="120" w:firstLine="656"/>
        <w:spacing w:after="0" w:line="270" w:lineRule="auto"/>
        <w:tabs>
          <w:tab w:leader="none" w:pos="1296"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Offering of Securities; Restrictions on Transfer</w:t>
      </w:r>
      <w:r>
        <w:rPr>
          <w:rFonts w:ascii="Arial" w:cs="Arial" w:eastAsia="Arial" w:hAnsi="Arial"/>
          <w:sz w:val="17"/>
          <w:szCs w:val="17"/>
          <w:color w:val="auto"/>
        </w:rPr>
        <w:t>. (a) Each Initial Purchaser, severally and not jointly, represents and warrants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Purchaser is a qualified institutional buyer as defined in Rule 144A under the Securities Act (a “</w:t>
      </w:r>
      <w:r>
        <w:rPr>
          <w:rFonts w:ascii="Arial" w:cs="Arial" w:eastAsia="Arial" w:hAnsi="Arial"/>
          <w:sz w:val="17"/>
          <w:szCs w:val="17"/>
          <w:b w:val="1"/>
          <w:bCs w:val="1"/>
          <w:color w:val="auto"/>
        </w:rPr>
        <w:t>QIB</w:t>
      </w:r>
      <w:r>
        <w:rPr>
          <w:rFonts w:ascii="Arial" w:cs="Arial" w:eastAsia="Arial" w:hAnsi="Arial"/>
          <w:sz w:val="17"/>
          <w:szCs w:val="17"/>
          <w:color w:val="auto"/>
        </w:rPr>
        <w:t>”). Each Initial Purchaser, severally and not jointly, agrees with the Company that (i) it will not solicit offers for, or offer or sell, such Securities by any form of general solicitation or general advertising (as those terms are used in Regulation D under the Securities Act) or in any manner involving a public offering within the meaning of Section 4(2) of the Securities Act and (ii) it will solicit offers for such Securities only from, and will offer such Securities only to, persons inside the United States that it reasonably believes to be QIBs. In addition, each Initial Purchaser, severally and not jointly, agrees with the Company that, in the case of offers outside the United States, it will solicit offers for such Securities only from, and will offer such Securities only to, persons other than U.S. persons (“</w:t>
      </w:r>
      <w:r>
        <w:rPr>
          <w:rFonts w:ascii="Arial" w:cs="Arial" w:eastAsia="Arial" w:hAnsi="Arial"/>
          <w:sz w:val="17"/>
          <w:szCs w:val="17"/>
          <w:b w:val="1"/>
          <w:bCs w:val="1"/>
          <w:color w:val="auto"/>
        </w:rPr>
        <w:t>foreign</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purchasers</w:t>
      </w:r>
      <w:r>
        <w:rPr>
          <w:rFonts w:ascii="Arial" w:cs="Arial" w:eastAsia="Arial" w:hAnsi="Arial"/>
          <w:sz w:val="17"/>
          <w:szCs w:val="17"/>
          <w:color w:val="auto"/>
        </w:rPr>
        <w:t>,” which term shall include dealers or other professional fiduciaries in the United States acting on a discretionary basis for foreign beneficial</w:t>
      </w:r>
      <w:r>
        <w:rPr>
          <w:rFonts w:ascii="Arial" w:cs="Arial" w:eastAsia="Arial" w:hAnsi="Arial"/>
          <w:sz w:val="17"/>
          <w:szCs w:val="17"/>
          <w:b w:val="1"/>
          <w:bCs w:val="1"/>
          <w:color w:val="auto"/>
        </w:rPr>
        <w:t xml:space="preserve"> </w:t>
      </w:r>
      <w:r>
        <w:rPr>
          <w:rFonts w:ascii="Arial" w:cs="Arial" w:eastAsia="Arial" w:hAnsi="Arial"/>
          <w:sz w:val="17"/>
          <w:szCs w:val="17"/>
          <w:color w:val="auto"/>
        </w:rPr>
        <w:t>owners (other than an estate or trust)) in reliance upon Regulation S under the Securities Act that in purchasing such Securities are deemed to have represented and agreed as provided in the Final Memorandum under the caption “Transfer Restrictions”.</w:t>
      </w:r>
    </w:p>
    <w:p>
      <w:pPr>
        <w:spacing w:after="0" w:line="177" w:lineRule="exact"/>
        <w:rPr>
          <w:rFonts w:ascii="Arial" w:cs="Arial" w:eastAsia="Arial" w:hAnsi="Arial"/>
          <w:sz w:val="17"/>
          <w:szCs w:val="17"/>
          <w:color w:val="auto"/>
        </w:rPr>
      </w:pPr>
    </w:p>
    <w:p>
      <w:pPr>
        <w:ind w:left="660" w:right="180" w:firstLine="645"/>
        <w:spacing w:after="0" w:line="277" w:lineRule="auto"/>
        <w:tabs>
          <w:tab w:leader="none" w:pos="1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Each Initial Purchaser, severally and not jointly, represents, warrants, and agrees (on behalf of itself, its Affiliates and any person acting on its or their behalf) with respect to offers and sales outside the United States that:</w:t>
      </w:r>
    </w:p>
    <w:p>
      <w:pPr>
        <w:spacing w:after="0" w:line="170" w:lineRule="exact"/>
        <w:rPr>
          <w:rFonts w:ascii="Arial" w:cs="Arial" w:eastAsia="Arial" w:hAnsi="Arial"/>
          <w:sz w:val="18"/>
          <w:szCs w:val="18"/>
          <w:color w:val="auto"/>
        </w:rPr>
      </w:pPr>
    </w:p>
    <w:p>
      <w:pPr>
        <w:jc w:val="both"/>
        <w:ind w:left="1460" w:right="60" w:firstLine="655"/>
        <w:spacing w:after="0" w:line="259" w:lineRule="auto"/>
        <w:tabs>
          <w:tab w:leader="none" w:pos="2616" w:val="left"/>
        </w:tabs>
        <w:numPr>
          <w:ilvl w:val="2"/>
          <w:numId w:val="26"/>
        </w:numPr>
        <w:rPr>
          <w:rFonts w:ascii="Arial" w:cs="Arial" w:eastAsia="Arial" w:hAnsi="Arial"/>
          <w:sz w:val="18"/>
          <w:szCs w:val="18"/>
          <w:color w:val="auto"/>
        </w:rPr>
      </w:pPr>
      <w:r>
        <w:rPr>
          <w:rFonts w:ascii="Arial" w:cs="Arial" w:eastAsia="Arial" w:hAnsi="Arial"/>
          <w:sz w:val="18"/>
          <w:szCs w:val="18"/>
          <w:color w:val="auto"/>
        </w:rPr>
        <w:t>such Initial Purchaser understands that no action has been or will be taken in any jurisdiction by the Company that would permit a public offering of the Securities, or possession or distribution of the Preliminary Memorandum, the Time of Sale Memorandum, the Final Memorandum or any other offering or publicity material relating to the Securities, in any country or jurisdiction where action for that purpose is required;</w:t>
      </w:r>
    </w:p>
    <w:p>
      <w:pPr>
        <w:spacing w:after="0" w:line="186" w:lineRule="exact"/>
        <w:rPr>
          <w:rFonts w:ascii="Arial" w:cs="Arial" w:eastAsia="Arial" w:hAnsi="Arial"/>
          <w:sz w:val="18"/>
          <w:szCs w:val="18"/>
          <w:color w:val="auto"/>
        </w:rPr>
      </w:pPr>
    </w:p>
    <w:p>
      <w:pPr>
        <w:ind w:left="1460" w:firstLine="655"/>
        <w:spacing w:after="0" w:line="264" w:lineRule="auto"/>
        <w:tabs>
          <w:tab w:leader="none" w:pos="2625" w:val="left"/>
        </w:tabs>
        <w:numPr>
          <w:ilvl w:val="2"/>
          <w:numId w:val="26"/>
        </w:numPr>
        <w:rPr>
          <w:rFonts w:ascii="Arial" w:cs="Arial" w:eastAsia="Arial" w:hAnsi="Arial"/>
          <w:sz w:val="18"/>
          <w:szCs w:val="18"/>
          <w:color w:val="auto"/>
        </w:rPr>
      </w:pPr>
      <w:r>
        <w:rPr>
          <w:rFonts w:ascii="Arial" w:cs="Arial" w:eastAsia="Arial" w:hAnsi="Arial"/>
          <w:sz w:val="18"/>
          <w:szCs w:val="18"/>
          <w:color w:val="auto"/>
        </w:rPr>
        <w:t>such Initial Purchaser will comply with all applicable laws and regulations in each jurisdiction in which it acquires, offers, sells or delivers Securities or has in its possession or distributes the Preliminary Memorandum, the Time of Sale Memorandum, the Final Memorandum or any such other material, in all cases at its own expense;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460" w:right="160" w:firstLine="655"/>
        <w:spacing w:after="0" w:line="264" w:lineRule="auto"/>
        <w:tabs>
          <w:tab w:leader="none" w:pos="2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Securities have not been registered under the Securities Act and may not be offered or sold within the United States or to, or for the account or benefit of, U.S. persons except in accordance with Rule 144A under the Securities Act or pursuant to another exemption from the registration requirements of the Securities Act;</w:t>
      </w:r>
    </w:p>
    <w:p>
      <w:pPr>
        <w:spacing w:after="0" w:line="181" w:lineRule="exact"/>
        <w:rPr>
          <w:rFonts w:ascii="Arial" w:cs="Arial" w:eastAsia="Arial" w:hAnsi="Arial"/>
          <w:sz w:val="18"/>
          <w:szCs w:val="18"/>
          <w:color w:val="auto"/>
        </w:rPr>
      </w:pPr>
    </w:p>
    <w:p>
      <w:pPr>
        <w:ind w:left="1460" w:right="60" w:firstLine="655"/>
        <w:spacing w:after="0" w:line="255" w:lineRule="auto"/>
        <w:tabs>
          <w:tab w:leader="none" w:pos="26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Initial Purchaser has offered the Securities and will offer and sell the Securities (A) as part of their distribution at any time and (B) otherwise until 40 days after the later of the commencement of the offering and the Closing, only in accordance with Rule 903 of Regulation S or as otherwise permitted in Section 7(a); accordingly, neither such Initial Purchaser, its Affiliates nor any persons acting on its or their behalf have engaged or will engage in any directed selling efforts (within the meaning of Regulation S) with respect to the Securities, and any such Initial Purchaser, its Affiliates and any such persons have complied and will comply with the offering restrictions requirement of Regulation S;</w:t>
      </w:r>
    </w:p>
    <w:p>
      <w:pPr>
        <w:spacing w:after="0" w:line="193" w:lineRule="exact"/>
        <w:rPr>
          <w:rFonts w:ascii="Arial" w:cs="Arial" w:eastAsia="Arial" w:hAnsi="Arial"/>
          <w:sz w:val="18"/>
          <w:szCs w:val="18"/>
          <w:color w:val="auto"/>
        </w:rPr>
      </w:pPr>
    </w:p>
    <w:p>
      <w:pPr>
        <w:ind w:left="1460" w:right="100" w:firstLine="655"/>
        <w:spacing w:after="0" w:line="259" w:lineRule="auto"/>
        <w:tabs>
          <w:tab w:leader="none" w:pos="26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Initial Purchaser, in relation to each Member State of the European Economic Area which has implemented the Prospectus Directive (each, a “</w:t>
      </w:r>
      <w:r>
        <w:rPr>
          <w:rFonts w:ascii="Arial" w:cs="Arial" w:eastAsia="Arial" w:hAnsi="Arial"/>
          <w:sz w:val="18"/>
          <w:szCs w:val="18"/>
          <w:b w:val="1"/>
          <w:bCs w:val="1"/>
          <w:color w:val="auto"/>
        </w:rPr>
        <w:t>Relevant Member State</w:t>
      </w:r>
      <w:r>
        <w:rPr>
          <w:rFonts w:ascii="Arial" w:cs="Arial" w:eastAsia="Arial" w:hAnsi="Arial"/>
          <w:sz w:val="18"/>
          <w:szCs w:val="18"/>
          <w:color w:val="auto"/>
        </w:rPr>
        <w:t>”), has represented and agreed that with effect from and including the date on which the Prospectus Directive is implemented in that Relevant Member State it has not made and will not make an offer of Securities to the public in that Relevant Member State, other than:</w:t>
      </w:r>
    </w:p>
    <w:p>
      <w:pPr>
        <w:spacing w:after="0" w:line="186" w:lineRule="exact"/>
        <w:rPr>
          <w:rFonts w:ascii="Arial" w:cs="Arial" w:eastAsia="Arial" w:hAnsi="Arial"/>
          <w:sz w:val="18"/>
          <w:szCs w:val="18"/>
          <w:color w:val="auto"/>
        </w:rPr>
      </w:pPr>
    </w:p>
    <w:p>
      <w:pPr>
        <w:ind w:left="3260" w:hanging="659"/>
        <w:spacing w:after="0"/>
        <w:tabs>
          <w:tab w:leader="none" w:pos="3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1300" w:right="40" w:firstLine="1301"/>
        <w:spacing w:after="0" w:line="259" w:lineRule="auto"/>
        <w:tabs>
          <w:tab w:leader="none" w:pos="32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Morgan Stanley &amp; Co. LLC on behalf of the Initial Purchasers for any such offer; or</w:t>
      </w:r>
    </w:p>
    <w:p>
      <w:pPr>
        <w:spacing w:after="0" w:line="186" w:lineRule="exact"/>
        <w:rPr>
          <w:rFonts w:ascii="Arial" w:cs="Arial" w:eastAsia="Arial" w:hAnsi="Arial"/>
          <w:sz w:val="18"/>
          <w:szCs w:val="18"/>
          <w:color w:val="auto"/>
        </w:rPr>
      </w:pPr>
    </w:p>
    <w:p>
      <w:pPr>
        <w:ind w:left="1300" w:right="300" w:firstLine="1301"/>
        <w:spacing w:after="0" w:line="342" w:lineRule="auto"/>
        <w:tabs>
          <w:tab w:leader="none" w:pos="3255"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 of the Prospectus Directive, provided that no such offer of Securities shall require the Company or any Initial Purchaser to publish a prospectus pursuant to Article 3 of the Prospectus Directive.</w:t>
      </w:r>
    </w:p>
    <w:p>
      <w:pPr>
        <w:sectPr>
          <w:pgSz w:w="11900" w:h="16838" w:orient="portrait"/>
          <w:cols w:equalWidth="0" w:num="1">
            <w:col w:w="11420"/>
          </w:cols>
          <w:pgMar w:left="240" w:top="125"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For the purposes of the above, the expression an “offer of Securities to the public” in relation to any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that Member State, and the expression “2010 PD Amending Directive” means Directive 2010/73/EU;</w:t>
      </w:r>
    </w:p>
    <w:p>
      <w:pPr>
        <w:spacing w:after="0" w:line="178" w:lineRule="exact"/>
        <w:rPr>
          <w:sz w:val="20"/>
          <w:szCs w:val="20"/>
          <w:color w:val="auto"/>
        </w:rPr>
      </w:pPr>
    </w:p>
    <w:p>
      <w:pPr>
        <w:ind w:left="1460" w:right="60" w:firstLine="655"/>
        <w:spacing w:after="0" w:line="297" w:lineRule="auto"/>
        <w:tabs>
          <w:tab w:leader="none" w:pos="26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such Initial Purchaser has represented and agreed that it has only communicated or caused to be communicated and will only communicate or cause to be communicated an invitation or inducement to engage in investment activity (within the meaning of Section 21 of the Financial Services and Markets Act 2000) received by it in connection with the issue or sale of the Securities in circumstances in which Section 21(1) of such Act does not apply to us and it has complied and will comply with all applicable provisions of such Act with respect to anything done by it in relation to any Securities in, from or otherwise involving the United Kingdom;</w:t>
      </w:r>
    </w:p>
    <w:p>
      <w:pPr>
        <w:spacing w:after="0" w:line="158" w:lineRule="exact"/>
        <w:rPr>
          <w:rFonts w:ascii="Arial" w:cs="Arial" w:eastAsia="Arial" w:hAnsi="Arial"/>
          <w:sz w:val="16"/>
          <w:szCs w:val="16"/>
          <w:color w:val="auto"/>
        </w:rPr>
      </w:pPr>
    </w:p>
    <w:p>
      <w:pPr>
        <w:ind w:left="1460" w:right="20" w:firstLine="655"/>
        <w:spacing w:after="0" w:line="270" w:lineRule="auto"/>
        <w:tabs>
          <w:tab w:leader="none" w:pos="2621"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such Initial Purchaser agrees that the Securities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which are or are intended to be disposed of only to persons outside Hong Kong or only to “professional investors” within the meaning of the Securities and Futures Ordinance (Cap. 571, Laws of Hong Kong) and any rules made thereunder;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right="80" w:firstLine="655"/>
        <w:spacing w:after="0" w:line="284" w:lineRule="auto"/>
        <w:tabs>
          <w:tab w:leader="none" w:pos="263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such Initial Purchaser understands that the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w:t>
      </w:r>
    </w:p>
    <w:p>
      <w:pPr>
        <w:spacing w:after="0" w:line="4" w:lineRule="exact"/>
        <w:rPr>
          <w:rFonts w:ascii="Arial" w:cs="Arial" w:eastAsia="Arial" w:hAnsi="Arial"/>
          <w:sz w:val="16"/>
          <w:szCs w:val="16"/>
          <w:color w:val="auto"/>
        </w:rPr>
      </w:pPr>
    </w:p>
    <w:p>
      <w:pPr>
        <w:ind w:left="1460" w:right="20" w:firstLine="7"/>
        <w:spacing w:after="0" w:line="268" w:lineRule="auto"/>
        <w:tabs>
          <w:tab w:leader="none" w:pos="17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otherwise pursuant to, and in accordance with the conditions of, any other applicable provision of the SFA. Where the Securities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2" w:lineRule="exact"/>
        <w:rPr>
          <w:rFonts w:ascii="Arial" w:cs="Arial" w:eastAsia="Arial" w:hAnsi="Arial"/>
          <w:sz w:val="17"/>
          <w:szCs w:val="17"/>
          <w:color w:val="auto"/>
        </w:rPr>
      </w:pPr>
    </w:p>
    <w:p>
      <w:pPr>
        <w:ind w:left="1460" w:right="120" w:firstLine="655"/>
        <w:spacing w:after="0" w:line="279" w:lineRule="auto"/>
        <w:tabs>
          <w:tab w:leader="none" w:pos="2611" w:val="left"/>
        </w:tabs>
        <w:numPr>
          <w:ilvl w:val="1"/>
          <w:numId w:val="30"/>
        </w:numPr>
        <w:rPr>
          <w:rFonts w:ascii="Arial" w:cs="Arial" w:eastAsia="Arial" w:hAnsi="Arial"/>
          <w:sz w:val="17"/>
          <w:szCs w:val="17"/>
          <w:color w:val="auto"/>
        </w:rPr>
      </w:pPr>
      <w:r>
        <w:rPr>
          <w:rFonts w:ascii="Arial" w:cs="Arial" w:eastAsia="Arial" w:hAnsi="Arial"/>
          <w:sz w:val="17"/>
          <w:szCs w:val="17"/>
          <w:color w:val="auto"/>
        </w:rPr>
        <w:t>such Initial Purchaser understands that the Securities have not been and will not be registered under the Securities and Exchange Law of Japan, and represents that it has not offered or sold, and agrees not to offer or sell, directly or indirectly, any Securities in Japan or for the account of any resident thereof except pursuant to any exemption from the registration requirements of the Securities and Exchange Law of Japan and otherwise in compliance with applicable provisions of Japanese law; and</w:t>
      </w:r>
    </w:p>
    <w:p>
      <w:pPr>
        <w:spacing w:after="0" w:line="171" w:lineRule="exact"/>
        <w:rPr>
          <w:rFonts w:ascii="Arial" w:cs="Arial" w:eastAsia="Arial" w:hAnsi="Arial"/>
          <w:sz w:val="17"/>
          <w:szCs w:val="17"/>
          <w:color w:val="auto"/>
        </w:rPr>
      </w:pPr>
    </w:p>
    <w:p>
      <w:pPr>
        <w:ind w:left="1460" w:right="40" w:firstLine="655"/>
        <w:spacing w:after="0" w:line="308" w:lineRule="auto"/>
        <w:tabs>
          <w:tab w:leader="none" w:pos="2602" w:val="left"/>
        </w:tabs>
        <w:numPr>
          <w:ilvl w:val="1"/>
          <w:numId w:val="30"/>
        </w:numPr>
        <w:rPr>
          <w:rFonts w:ascii="Arial" w:cs="Arial" w:eastAsia="Arial" w:hAnsi="Arial"/>
          <w:sz w:val="17"/>
          <w:szCs w:val="17"/>
          <w:color w:val="auto"/>
        </w:rPr>
      </w:pPr>
      <w:r>
        <w:rPr>
          <w:rFonts w:ascii="Arial" w:cs="Arial" w:eastAsia="Arial" w:hAnsi="Arial"/>
          <w:sz w:val="17"/>
          <w:szCs w:val="17"/>
          <w:color w:val="auto"/>
        </w:rPr>
        <w:t>such Initial Purchaser agrees that, at or prior to confirmation of sales of the Securities, it will have sent to each distributor, dealer or person receiving a selling concession, fee or other remuneration that purchases Securities from it during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restricted period a confirmation or notice to substantially the following effect:</w:t>
      </w:r>
    </w:p>
    <w:p>
      <w:pPr>
        <w:spacing w:after="0" w:line="225" w:lineRule="exact"/>
        <w:rPr>
          <w:sz w:val="20"/>
          <w:szCs w:val="20"/>
          <w:color w:val="auto"/>
        </w:rPr>
      </w:pPr>
    </w:p>
    <w:p>
      <w:pPr>
        <w:ind w:left="1960" w:right="80" w:firstLine="648"/>
        <w:spacing w:after="0" w:line="257" w:lineRule="auto"/>
        <w:rPr>
          <w:sz w:val="20"/>
          <w:szCs w:val="20"/>
          <w:color w:val="auto"/>
        </w:rPr>
      </w:pPr>
      <w:r>
        <w:rPr>
          <w:rFonts w:ascii="Arial" w:cs="Arial" w:eastAsia="Arial" w:hAnsi="Arial"/>
          <w:sz w:val="18"/>
          <w:szCs w:val="18"/>
          <w:color w:val="auto"/>
        </w:rPr>
        <w:t>“The Securities covered hereby have not been registered under the U.S. Securities Act of 1933 (the “Securities Act”) and may not be offered and sold within the United States or to, or for the account or benefit of, U.S. persons (i) as part of their distribution at any time or (ii) otherwise until 40 days after the later of the commencement of the offering and the closing date, except in either case in accordance with Regulation S (or Rule 144A if available) under the Securities Act. Terms used above have the meaning given to them by Regulation 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Terms used in this Section 7(b) have the meanings given to them by Regulation S.</w:t>
      </w:r>
    </w:p>
    <w:p>
      <w:pPr>
        <w:spacing w:after="0" w:line="225" w:lineRule="exact"/>
        <w:rPr>
          <w:sz w:val="20"/>
          <w:szCs w:val="20"/>
          <w:color w:val="auto"/>
        </w:rPr>
      </w:pPr>
    </w:p>
    <w:p>
      <w:pPr>
        <w:ind w:firstLine="656"/>
        <w:spacing w:after="0" w:line="297" w:lineRule="auto"/>
        <w:tabs>
          <w:tab w:leader="none" w:pos="129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Indemnity and Contribution</w:t>
      </w:r>
      <w:r>
        <w:rPr>
          <w:rFonts w:ascii="Arial" w:cs="Arial" w:eastAsia="Arial" w:hAnsi="Arial"/>
          <w:sz w:val="16"/>
          <w:szCs w:val="16"/>
          <w:color w:val="auto"/>
        </w:rPr>
        <w:t>. (a) The Company agrees to indemnify and hold harmless each Initial Purchaser, the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agents of the Initial Purchasers and each person, if any, who controls any Initial Purchaser within the meaning of either Section 15 of the Securities Act or Section 20 of the Exchange Act, and each affiliate of any Initial Purchaser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w:t>
      </w:r>
    </w:p>
    <w:p>
      <w:pPr>
        <w:sectPr>
          <w:pgSz w:w="11900" w:h="16838" w:orient="portrait"/>
          <w:cols w:equalWidth="0" w:num="1">
            <w:col w:w="11420"/>
          </w:cols>
          <w:pgMar w:left="240" w:top="125" w:right="239" w:bottom="0" w:gutter="0" w:footer="0" w:header="0"/>
        </w:sectPr>
      </w:pPr>
    </w:p>
    <w:bookmarkStart w:id="10" w:name="page11"/>
    <w:bookmarkEnd w:id="10"/>
    <w:p>
      <w:pPr>
        <w:ind w:right="140"/>
        <w:spacing w:after="0" w:line="273" w:lineRule="auto"/>
        <w:rPr>
          <w:sz w:val="20"/>
          <w:szCs w:val="20"/>
          <w:color w:val="auto"/>
        </w:rPr>
      </w:pPr>
      <w:r>
        <w:rPr>
          <w:rFonts w:ascii="Arial" w:cs="Arial" w:eastAsia="Arial" w:hAnsi="Arial"/>
          <w:sz w:val="17"/>
          <w:szCs w:val="17"/>
          <w:color w:val="auto"/>
        </w:rPr>
        <w:t>Preliminary Memorandum, the Time of Sale Memorandum or any amendment or supplement thereto, any Additional Written Offering Communication prepared by or on behalf of, used by, or referred to by the Company, any “road show” as defined in Rule 433(h) under the Securities Act (a “road show”) or the Final Memorandum or any amendment or supplement thereto, or caused by any omission or alleged omission to state therein a material fact necessary to make the statements therein in the light of the circumstances under which they were made not misleading, except insofar as such losses, claims, damages or liabilities are caused by any such untrue statement or omission or alleged untrue statement or omission based upon information relating to any Initial Purchaser furnished to the Company in writing by such Initial Purchaser through you expressly for use therein.</w:t>
      </w:r>
    </w:p>
    <w:p>
      <w:pPr>
        <w:spacing w:after="0" w:line="178" w:lineRule="exact"/>
        <w:rPr>
          <w:sz w:val="20"/>
          <w:szCs w:val="20"/>
          <w:color w:val="auto"/>
        </w:rPr>
      </w:pPr>
    </w:p>
    <w:p>
      <w:pPr>
        <w:ind w:left="660" w:firstLine="645"/>
        <w:spacing w:after="0" w:line="259" w:lineRule="auto"/>
        <w:tabs>
          <w:tab w:leader="none" w:pos="19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Initial Purchaser agrees, severally and not jointly, to indemnify and hold harmless the Company, each of its directors, officers, employees and agents and each person, if any, who controls the Company within the meaning of either Section 15 of the Securities Act or Section 20 of the Exchange Act to the same extent as the foregoing indemnity from the Company to such Initial Purchaser, but only with reference to information relating to such Initial Purchaser furnished to the Company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97" w:lineRule="auto"/>
        <w:rPr>
          <w:sz w:val="20"/>
          <w:szCs w:val="20"/>
          <w:color w:val="auto"/>
        </w:rPr>
      </w:pPr>
      <w:r>
        <w:rPr>
          <w:rFonts w:ascii="Arial" w:cs="Arial" w:eastAsia="Arial" w:hAnsi="Arial"/>
          <w:sz w:val="16"/>
          <w:szCs w:val="16"/>
          <w:color w:val="auto"/>
        </w:rPr>
        <w:t>writing by such Initial Purchaser through you expressly for use in the Preliminary Memorandum, the Time of Sale Memorandum, any Additional Written Offering Communication prepared by or on behalf of, used by or referred to by the Company, road show, or the Final Memorandum or any amendment or supplement thereto, it being understood and agreed that the only such information consists of the following paragraphs in the Preliminary Memorandum and the Final Memorandum: the first sentence of the fourth paragraph, the fourth and fifth sentences of the eighth paragraph, the ninth paragraph and the tenth paragraph under “Plan of Distribution” in the Preliminary Memorandum and the Final Memorandum.</w:t>
      </w:r>
    </w:p>
    <w:p>
      <w:pPr>
        <w:spacing w:after="0" w:line="158" w:lineRule="exact"/>
        <w:rPr>
          <w:sz w:val="20"/>
          <w:szCs w:val="20"/>
          <w:color w:val="auto"/>
        </w:rPr>
      </w:pPr>
    </w:p>
    <w:p>
      <w:pPr>
        <w:ind w:left="660" w:right="140" w:firstLine="645"/>
        <w:spacing w:after="0" w:line="283" w:lineRule="auto"/>
        <w:tabs>
          <w:tab w:leader="none" w:pos="1967"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but the omission so to notify the indemnifying party shall not relieve it from any liability that it may have to any indemnified party otherwise than under such subsection,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w:t>
      </w:r>
    </w:p>
    <w:p>
      <w:pPr>
        <w:spacing w:after="0" w:line="5" w:lineRule="exact"/>
        <w:rPr>
          <w:rFonts w:ascii="Arial" w:cs="Arial" w:eastAsia="Arial" w:hAnsi="Arial"/>
          <w:sz w:val="16"/>
          <w:szCs w:val="16"/>
          <w:color w:val="auto"/>
        </w:rPr>
      </w:pPr>
    </w:p>
    <w:p>
      <w:pPr>
        <w:ind w:left="660" w:right="60" w:hanging="4"/>
        <w:spacing w:after="0" w:line="268" w:lineRule="auto"/>
        <w:tabs>
          <w:tab w:leader="none" w:pos="9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indemnifying party shall not have employed counsel reasonably satisfactory to 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Morgan Stanley &amp; Co. LLC,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73" w:lineRule="exact"/>
        <w:rPr>
          <w:sz w:val="20"/>
          <w:szCs w:val="20"/>
          <w:color w:val="auto"/>
        </w:rPr>
      </w:pPr>
    </w:p>
    <w:p>
      <w:pPr>
        <w:ind w:left="660" w:firstLine="645"/>
        <w:spacing w:after="0" w:line="285" w:lineRule="auto"/>
        <w:tabs>
          <w:tab w:leader="none" w:pos="19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Initial Purchasers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Initial Purchasers on the other hand in connection with the statements or omissions that resulted in such losses, claims, damages or liabilities, as well as any other relevant equitable considerations. The relative benefits received by the Company on the one hand and the Initial Purchasers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Initial Purchasers bear to the aggregate offering price of the Securities. The relative fault of the Company on the one hand and of the Initial Purchasers on the other hand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The Initial Purchasers’ respective obligations to contribute pursuant to this Section 8 are several in proportion to the respective principal amount of Securities they have purchased hereunder, and not joint.</w:t>
      </w:r>
    </w:p>
    <w:p>
      <w:pPr>
        <w:spacing w:after="0" w:line="177" w:lineRule="exact"/>
        <w:rPr>
          <w:rFonts w:ascii="Arial" w:cs="Arial" w:eastAsia="Arial" w:hAnsi="Arial"/>
          <w:sz w:val="16"/>
          <w:szCs w:val="16"/>
          <w:color w:val="auto"/>
        </w:rPr>
      </w:pPr>
    </w:p>
    <w:p>
      <w:pPr>
        <w:ind w:left="660" w:right="100" w:firstLine="645"/>
        <w:spacing w:after="0" w:line="277" w:lineRule="auto"/>
        <w:tabs>
          <w:tab w:leader="none" w:pos="19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and the Initial Purchasers agree that it would not be just or equitable if contribution pursuant to this Section 8 were determined by pro rata allocation (even if the Initial Purchasers were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64" w:gutter="0" w:footer="0" w:header="0"/>
        </w:sectPr>
      </w:pPr>
    </w:p>
    <w:bookmarkStart w:id="11" w:name="page12"/>
    <w:bookmarkEnd w:id="11"/>
    <w:p>
      <w:pPr>
        <w:spacing w:after="0" w:line="24"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Initial Purchaser shall be required to contribute any amount in excess of the amount by which the total price at which the Securities resold by it in the initial placement of such Securities were offered to investors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78" w:lineRule="exact"/>
        <w:rPr>
          <w:sz w:val="20"/>
          <w:szCs w:val="20"/>
          <w:color w:val="auto"/>
        </w:rPr>
      </w:pPr>
    </w:p>
    <w:p>
      <w:pPr>
        <w:ind w:left="660" w:right="140" w:firstLine="645"/>
        <w:spacing w:after="0" w:line="291" w:lineRule="auto"/>
        <w:tabs>
          <w:tab w:leader="none" w:pos="1961"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660" w:right="40" w:hanging="4"/>
        <w:spacing w:after="0" w:line="255" w:lineRule="auto"/>
        <w:tabs>
          <w:tab w:leader="none" w:pos="9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investigation made by or on behalf of any Initial Purchaser, any person controlling any Initial Purchaser or any affiliate of any Initial Purchaser or by or on behalf of the Company, its officers or directors or any person controlling the Company and (iii) acceptance of and payment for any of the Securities.</w:t>
      </w:r>
    </w:p>
    <w:p>
      <w:pPr>
        <w:spacing w:after="0" w:line="190" w:lineRule="exact"/>
        <w:rPr>
          <w:sz w:val="20"/>
          <w:szCs w:val="20"/>
          <w:color w:val="auto"/>
        </w:rPr>
      </w:pPr>
    </w:p>
    <w:p>
      <w:pPr>
        <w:ind w:firstLine="656"/>
        <w:spacing w:after="0" w:line="290" w:lineRule="auto"/>
        <w:tabs>
          <w:tab w:leader="none" w:pos="1296"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Initial Purchasers may terminate this Agreement by notice given by you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(iii) a material disruption in securities settlement, payment or clearance services in the United States shall have occurred, (iv) any moratorium on commercial banking activities shall have been declared by Federal or New York State or Idaho State authorities or (v) there shall have occurred any outbreak or escalation of hostilities, or any change in financial markets or any calamity or crisis that, in your judgment, is material and adverse and that, singly or together with any other event specified in this Section 9, makes it, in your judgment, impracticable or inadvisable to proceed with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offer, sale or delivery of the Securities on the terms and in the manner contemplated in the Time of Sale Memorandum or the Final Memorandum.</w:t>
      </w:r>
    </w:p>
    <w:p>
      <w:pPr>
        <w:spacing w:after="0" w:line="237"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Effectiveness; Defaulting Initial Purchasers</w:t>
      </w:r>
      <w:r>
        <w:rPr>
          <w:rFonts w:ascii="Arial" w:cs="Arial" w:eastAsia="Arial" w:hAnsi="Arial"/>
          <w:sz w:val="16"/>
          <w:szCs w:val="16"/>
          <w:color w:val="auto"/>
        </w:rPr>
        <w:t>. This Agreement shall become effective upon the execution and delivery hereof by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on the Closing Date, any one or more of the Initial Purchasers shall fail or refuse to purchase Securities that it or they have agreed to purchase hereunder on such date, and the aggregate principal amount of Securities which such defaulting Initial Purchaser or Initial Purchasers agreed but failed or refused to purchase is not more than one tenth of the aggregate principal amount of Securities to be purchased on such date, the other Initial Purchasers shall be obligated severally in the proportions that the principal amount of Securities set forth opposite their respective names in Schedule I bears to the aggregate principal amount of Securities set forth opposite the names of all such non-defaulting Initial Purchasers, or in such other proportions as you may specify, to purchase the Securities that such defaulting Initial Purchaser or Initial Purchasers agreed but failed or refused to purchase on such date; provided that in no event shall the principal amount of Securities that any Initial Purchaser has agreed to purchase pursuant to this Agreement be increased pursuant to this Section 10 by an amount in excess of one ninth of such principal amount of Securities without the written consent of such Initial Purchaser. If, on the Closing Date any Initial Purchaser or Initial Purchasers shall fail or refuse to purchase Securities which it or they have agreed to purchase hereunder on such date and the aggregate principal amount of Securities with respect to which such default occurs is more than one tenth of the aggregate principal amount of Securities to be purchased on such date, and arrangements satisfactory to you and the Company for the purchase of such Securities are not made within 36 hours after such default, this Agreement shall terminate without liability on the part of any non-defaulting Initial Purchaser or of the Company. In any such case either you or the Company shall have the right to postpone the Closing Date, but in no event for longer than seven days, in order that the required changes, if any, in the Time of Sale Memorandum, the Final Memorandum or in any other documents or arrangements may be effected. Any action taken under this paragraph shall not relieve any defaulting Initial Purchaser from liability in respect of any default of such Initial Purchaser under this Agreement.</w:t>
      </w:r>
    </w:p>
    <w:p>
      <w:pPr>
        <w:spacing w:after="0" w:line="16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this Agreement shall be terminated by the Initial Purchasers,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Initial Purchasers or such Initial Purchasers as have so terminated this Agreement with respect to themselves, severally, for all out of pocket expenses (including the fees and disbursements of their counsel) reasonably incurred by such Initial Purchasers in connection with this Agreement or the offering contemplated hereunder.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firstLine="656"/>
        <w:spacing w:after="0" w:line="259" w:lineRule="auto"/>
        <w:tabs>
          <w:tab w:leader="none" w:pos="128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Initial Purchasers with respect to the preparation of the Preliminary Memorandum, the Time of Sale Memorandum, the Final Memorandum, the conduct of the offering, and the purchase and sale of the Securities.</w:t>
      </w:r>
    </w:p>
    <w:p>
      <w:pPr>
        <w:spacing w:after="0" w:line="186" w:lineRule="exact"/>
        <w:rPr>
          <w:rFonts w:ascii="Arial" w:cs="Arial" w:eastAsia="Arial" w:hAnsi="Arial"/>
          <w:sz w:val="18"/>
          <w:szCs w:val="18"/>
          <w:color w:val="auto"/>
        </w:rPr>
      </w:pPr>
    </w:p>
    <w:p>
      <w:pPr>
        <w:ind w:left="660" w:right="40" w:firstLine="645"/>
        <w:spacing w:after="0" w:line="297" w:lineRule="auto"/>
        <w:tabs>
          <w:tab w:leader="none" w:pos="1964"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Securities: (i) the Initial Purchasers have acted at arm’s length, are not agents of, and owe no fiduciary duties to, the Company or any other person, (ii) the Initial Purchasers owe the Company only those duties and obligations set forth in this Agreement and prior written agreements (to the extent not superseded by this Agreement) if any, and (iii) the Initial Purchasers may have interests that differ from those of the Company. The Company waives to the full extent permitted by applicable law any claims it may have against the Initial Purchasers arising from an alleged breach of fiduciary duty in connection with the offering of the Securities.</w:t>
      </w:r>
    </w:p>
    <w:p>
      <w:pPr>
        <w:spacing w:after="0" w:line="158" w:lineRule="exact"/>
        <w:rPr>
          <w:rFonts w:ascii="Arial" w:cs="Arial" w:eastAsia="Arial" w:hAnsi="Arial"/>
          <w:sz w:val="16"/>
          <w:szCs w:val="16"/>
          <w:color w:val="auto"/>
        </w:rPr>
      </w:pPr>
    </w:p>
    <w:p>
      <w:pPr>
        <w:ind w:right="40" w:firstLine="656"/>
        <w:spacing w:after="0" w:line="277" w:lineRule="auto"/>
        <w:tabs>
          <w:tab w:leader="none" w:pos="129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ectPr>
          <w:pgSz w:w="11900" w:h="16862" w:orient="portrait"/>
          <w:cols w:equalWidth="0" w:num="1">
            <w:col w:w="11400"/>
          </w:cols>
          <w:pgMar w:left="240" w:top="125" w:right="259" w:bottom="0" w:gutter="0" w:footer="0" w:header="0"/>
        </w:sectPr>
      </w:pPr>
    </w:p>
    <w:bookmarkStart w:id="12" w:name="page13"/>
    <w:bookmarkEnd w:id="12"/>
    <w:p>
      <w:pPr>
        <w:ind w:right="140" w:firstLine="656"/>
        <w:spacing w:after="0" w:line="27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20" w:firstLine="656"/>
        <w:spacing w:after="0" w:line="291" w:lineRule="auto"/>
        <w:tabs>
          <w:tab w:leader="none" w:pos="1292"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 if to the Initial Purchasers shall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sent to you at: Morgan Stanley &amp; Co. LLC, 1585 Broadway, New York, New York 10036, Attention: High Yield Syndicate Desk, with a copy to the Legal Department; Goldman, Sachs &amp; Co., 200 West Street, New York, New York 10282, Attention: Registration Department; and Credit Suisse Securities (USA) LLC, Eleven Madison Avenue, New York, NY 10010, Attention: LCD-IBD Legal; with a copy to Simpson Thacher &amp; Bartlett LLP, 2475 Hanover Street, Palo Alto, California 94304, Attention: William H. Hinman, Jr., Fax: (650) 251 5002; and (b) if to the Company shall be delivered, mailed or sent to Micron Technology, Inc., 8000 South Federal Way, Boise, Idaho 83716, Attention: General Counsel, Fax: (208) 368 4540, with a copy to Wilson Sonsini Goodrich &amp; Rosati, Professional Corporation, 650 Page Mill Road, Palo Alto, California 94304, Attention: John A. Fore, Fax: (650) 493 6811.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accordance with the requirements of the USA PATRIOT Act, the Initial Purchasers are required to obtain, verify and record information that identifies their respective clients, including the Company, which information may include the name and address of their respective clients, as well as other information that will allow the Initial Purchasers to properly identify their respective clients.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 Foster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Vice President of Finance and 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the several Initial Purchasers named 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 I hereto.</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Earls</w:t>
            </w:r>
          </w:p>
        </w:tc>
      </w:tr>
      <w:tr>
        <w:trPr>
          <w:trHeight w:val="195"/>
        </w:trPr>
        <w:tc>
          <w:tcPr>
            <w:tcW w:w="6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40"/>
              <w:spacing w:after="0" w:line="195" w:lineRule="exact"/>
              <w:rPr>
                <w:sz w:val="20"/>
                <w:szCs w:val="20"/>
                <w:color w:val="auto"/>
              </w:rPr>
            </w:pPr>
            <w:r>
              <w:rPr>
                <w:rFonts w:ascii="Arial" w:cs="Arial" w:eastAsia="Arial" w:hAnsi="Arial"/>
                <w:sz w:val="18"/>
                <w:szCs w:val="18"/>
                <w:color w:val="auto"/>
              </w:rPr>
              <w:t>Andrew Earls</w:t>
            </w: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GOLDMAN, SACHS &amp; CO.</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Hickey</w:t>
            </w:r>
          </w:p>
        </w:tc>
      </w:tr>
      <w:tr>
        <w:trPr>
          <w:trHeight w:val="195"/>
        </w:trPr>
        <w:tc>
          <w:tcPr>
            <w:tcW w:w="6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40"/>
              <w:spacing w:after="0" w:line="195" w:lineRule="exact"/>
              <w:rPr>
                <w:sz w:val="20"/>
                <w:szCs w:val="20"/>
                <w:color w:val="auto"/>
              </w:rPr>
            </w:pPr>
            <w:r>
              <w:rPr>
                <w:rFonts w:ascii="Arial" w:cs="Arial" w:eastAsia="Arial" w:hAnsi="Arial"/>
                <w:sz w:val="18"/>
                <w:szCs w:val="18"/>
                <w:color w:val="auto"/>
              </w:rPr>
              <w:t>Michael Hickey</w:t>
            </w: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Jeb Slowik</w:t>
            </w:r>
          </w:p>
        </w:tc>
      </w:tr>
      <w:tr>
        <w:trPr>
          <w:trHeight w:val="195"/>
        </w:trPr>
        <w:tc>
          <w:tcPr>
            <w:tcW w:w="6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40"/>
              <w:spacing w:after="0" w:line="195" w:lineRule="exact"/>
              <w:rPr>
                <w:sz w:val="20"/>
                <w:szCs w:val="20"/>
                <w:color w:val="auto"/>
              </w:rPr>
            </w:pPr>
            <w:r>
              <w:rPr>
                <w:rFonts w:ascii="Arial" w:cs="Arial" w:eastAsia="Arial" w:hAnsi="Arial"/>
                <w:sz w:val="18"/>
                <w:szCs w:val="18"/>
                <w:color w:val="auto"/>
              </w:rPr>
              <w:t>Jeb Slowik</w:t>
            </w: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1420"/>
          </w:cols>
          <w:pgMar w:left="240" w:top="341" w:right="23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gridSpan w:val="3"/>
          </w:tcPr>
          <w:p>
            <w:pPr>
              <w:ind w:left="98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92"/>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2022 Notes</w:t>
            </w:r>
          </w:p>
        </w:tc>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Principal Amount of</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Initial Purchaser</w:t>
            </w:r>
          </w:p>
        </w:tc>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52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90,000,000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60,000,000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DBS Bank Ltd.</w:t>
            </w: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24,000,000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4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12,000,000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4920" w:type="dxa"/>
            <w:vAlign w:val="bottom"/>
            <w:gridSpan w:val="2"/>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220" w:type="dxa"/>
            <w:vAlign w:val="bottom"/>
            <w:gridSpan w:val="3"/>
          </w:tcPr>
          <w:p>
            <w:pPr>
              <w:jc w:val="right"/>
              <w:ind w:right="3430"/>
              <w:spacing w:after="0"/>
              <w:rPr>
                <w:sz w:val="20"/>
                <w:szCs w:val="20"/>
                <w:color w:val="auto"/>
              </w:rPr>
            </w:pPr>
            <w:r>
              <w:rPr>
                <w:rFonts w:ascii="Arial" w:cs="Arial" w:eastAsia="Arial" w:hAnsi="Arial"/>
                <w:sz w:val="18"/>
                <w:szCs w:val="18"/>
                <w:color w:val="auto"/>
              </w:rPr>
              <w:t>I-1</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280" w:type="dxa"/>
            <w:vAlign w:val="bottom"/>
            <w:tcBorders>
              <w:bottom w:val="single" w:sz="8" w:color="010101"/>
            </w:tcBorders>
          </w:tcPr>
          <w:p>
            <w:pPr>
              <w:spacing w:after="0"/>
              <w:rPr>
                <w:sz w:val="11"/>
                <w:szCs w:val="11"/>
                <w:color w:val="auto"/>
              </w:rPr>
            </w:pPr>
          </w:p>
        </w:tc>
        <w:tc>
          <w:tcPr>
            <w:tcW w:w="46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Time of Sale Memorandum</w:t>
      </w:r>
    </w:p>
    <w:p>
      <w:pPr>
        <w:spacing w:after="0" w:line="22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Preliminary Memorandum issued February 3, 2014</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Pricing Term Sheet issued February 5, 2014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Jurisdictions of Qualification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FORM OF OPINION OF WILSON SONSINI GOODRICH &amp; ROSATI, PROFESSIONAL CORPORATION, OUTSIDE COUNSEL TO THE COMPANY</w:t>
      </w:r>
    </w:p>
    <w:p>
      <w:pPr>
        <w:spacing w:after="0" w:line="166" w:lineRule="exact"/>
        <w:rPr>
          <w:sz w:val="20"/>
          <w:szCs w:val="20"/>
          <w:color w:val="auto"/>
        </w:rPr>
      </w:pPr>
    </w:p>
    <w:p>
      <w:pPr>
        <w:jc w:val="both"/>
        <w:ind w:right="180" w:firstLine="8"/>
        <w:spacing w:after="0" w:line="342" w:lineRule="auto"/>
        <w:tabs>
          <w:tab w:leader="none" w:pos="64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State of Delaware and has the corporate power and authority to own its properties and to conduct its business as described in the Disclosure Package and the Final Offering Memorandum.</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Purchase Agreement has been duly authorized, executed and delivered by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Registration Rights Agreement has been duly authorized, executed and delivered by the Company.</w:t>
      </w:r>
    </w:p>
    <w:p>
      <w:pPr>
        <w:spacing w:after="0" w:line="225" w:lineRule="exact"/>
        <w:rPr>
          <w:rFonts w:ascii="Arial" w:cs="Arial" w:eastAsia="Arial" w:hAnsi="Arial"/>
          <w:sz w:val="18"/>
          <w:szCs w:val="18"/>
          <w:color w:val="auto"/>
        </w:rPr>
      </w:pPr>
    </w:p>
    <w:p>
      <w:pPr>
        <w:ind w:right="200" w:firstLine="8"/>
        <w:spacing w:after="0" w:line="257"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Securities are in the form contemplated by the Indenture, have been duly authorized by the Company and, when executed by the Company and authenticated by the Trustee in accordance with the terms of the Indenture and delivered against the purchase price therefor specified in the Purchase Agreement in accordance with the terms of the Purchase Agreement (which facts we have not determined by inspection of the Securities), will constitute valid and legally binding obligations of the Company and enforceable against the Company in accordance with their terms; and the Securities are entitled to the benefits of the applicable Indenture.</w:t>
      </w:r>
    </w:p>
    <w:p>
      <w:pPr>
        <w:sectPr>
          <w:pgSz w:w="11900" w:h="16838" w:orient="portrait"/>
          <w:cols w:equalWidth="0" w:num="1">
            <w:col w:w="11460"/>
          </w:cols>
          <w:pgMar w:left="240" w:top="729" w:right="199" w:bottom="0" w:gutter="0" w:footer="0" w:header="0"/>
        </w:sectPr>
      </w:pPr>
    </w:p>
    <w:bookmarkStart w:id="14" w:name="page15"/>
    <w:bookmarkEnd w:id="14"/>
    <w:p>
      <w:pPr>
        <w:ind w:right="100" w:firstLine="8"/>
        <w:spacing w:after="0" w:line="277"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constitutes a valid and legally binding instrument, enforceable against the Company in accordance with its terms.</w:t>
      </w:r>
    </w:p>
    <w:p>
      <w:pPr>
        <w:spacing w:after="0" w:line="170" w:lineRule="exact"/>
        <w:rPr>
          <w:rFonts w:ascii="Arial" w:cs="Arial" w:eastAsia="Arial" w:hAnsi="Arial"/>
          <w:sz w:val="18"/>
          <w:szCs w:val="18"/>
          <w:color w:val="auto"/>
        </w:rPr>
      </w:pPr>
    </w:p>
    <w:p>
      <w:pPr>
        <w:ind w:right="20" w:firstLine="8"/>
        <w:spacing w:after="0" w:line="273" w:lineRule="auto"/>
        <w:tabs>
          <w:tab w:leader="none" w:pos="6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None of the execution, delivery and performance of the Purchase Agreement, the Registration Rights Agreement, the Indenture, the issuance and sale of the Securities or the consummation of any other of the transactions contemplated thereby will conflict with, result in a breach or violation of any of the terms or provisions of, or constitute a default under (A) the charter or by-laws of the Company or (B) any statute, decree, regulation or order known to us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 under the Operative Documents or to consummate the transactions contemplated thereby.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8"/>
        <w:spacing w:after="0" w:line="302" w:lineRule="auto"/>
        <w:tabs>
          <w:tab w:leader="none" w:pos="6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 consent, approval, authorization, order, registration or qualification of or with any such court or governmental agency or body is required for the issue and sale of the Securities or the consummation by the Company of the transactions contemplated by the Purchase Agreement, the Registration Rights Agreement or the Indenture, except as contemplated by the Operative Documents and such consents, approvals, authorizations, registrations or qualifications as may be required under state securities or Blue Sky laws in connection with the purchase and distribution of the Securities by the Initial Purchasers.</w:t>
      </w:r>
    </w:p>
    <w:p>
      <w:pPr>
        <w:spacing w:after="0" w:line="154" w:lineRule="exact"/>
        <w:rPr>
          <w:rFonts w:ascii="Arial" w:cs="Arial" w:eastAsia="Arial" w:hAnsi="Arial"/>
          <w:sz w:val="16"/>
          <w:szCs w:val="16"/>
          <w:color w:val="auto"/>
        </w:rPr>
      </w:pPr>
    </w:p>
    <w:p>
      <w:pPr>
        <w:ind w:right="80" w:firstLine="8"/>
        <w:spacing w:after="0" w:line="277"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will not be required to register as an “investment company,” as such term is defined in the Investment Company Act.</w:t>
      </w:r>
    </w:p>
    <w:p>
      <w:pPr>
        <w:spacing w:after="0" w:line="170" w:lineRule="exact"/>
        <w:rPr>
          <w:rFonts w:ascii="Arial" w:cs="Arial" w:eastAsia="Arial" w:hAnsi="Arial"/>
          <w:sz w:val="18"/>
          <w:szCs w:val="18"/>
          <w:color w:val="auto"/>
        </w:rPr>
      </w:pPr>
    </w:p>
    <w:p>
      <w:pPr>
        <w:ind w:right="280" w:firstLine="8"/>
        <w:spacing w:after="0" w:line="308" w:lineRule="auto"/>
        <w:tabs>
          <w:tab w:leader="none" w:pos="64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statements set forth in the Disclosure Package and the Final Offering Memorandum under the caption “Description of Notes,” insofar as they purport to constitute a summary of the terms of the Securities, fairly summarize such terms and documents in all material respects.</w:t>
      </w:r>
    </w:p>
    <w:p>
      <w:pPr>
        <w:spacing w:after="0" w:line="146" w:lineRule="exact"/>
        <w:rPr>
          <w:rFonts w:ascii="Arial" w:cs="Arial" w:eastAsia="Arial" w:hAnsi="Arial"/>
          <w:sz w:val="17"/>
          <w:szCs w:val="17"/>
          <w:color w:val="auto"/>
        </w:rPr>
      </w:pPr>
    </w:p>
    <w:p>
      <w:pPr>
        <w:ind w:right="260" w:firstLine="8"/>
        <w:spacing w:after="0" w:line="264" w:lineRule="auto"/>
        <w:tabs>
          <w:tab w:leader="none" w:pos="6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statements set forth in the Disclosure Package and the Final Offering Memorandum under the caption “Certain U.S. Federal Income Tax Considerations,” insofar as they purport to summarize provisions of the United States federal tax laws referred to therein, fairly summarize such laws in all material respects.</w:t>
      </w:r>
    </w:p>
    <w:p>
      <w:pPr>
        <w:spacing w:after="0" w:line="181" w:lineRule="exact"/>
        <w:rPr>
          <w:rFonts w:ascii="Arial" w:cs="Arial" w:eastAsia="Arial" w:hAnsi="Arial"/>
          <w:sz w:val="18"/>
          <w:szCs w:val="18"/>
          <w:color w:val="auto"/>
        </w:rPr>
      </w:pPr>
    </w:p>
    <w:p>
      <w:pPr>
        <w:ind w:right="60" w:firstLine="8"/>
        <w:spacing w:after="0" w:line="279" w:lineRule="auto"/>
        <w:tabs>
          <w:tab w:leader="none" w:pos="637"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 registration of the Securities under the Act is required for the sale of the Securities by the Company to the Initial Purchasers pursuant to the Purchase Agreement or for the initial resale of the Securities by the Initial Purchasers in the manner contemplated by the Purchase Agreement, the Disclosure Package and the Final Offering Memorandum, and it is not necessary to qualify the Indenture under the Trust Indenture Act (it being understood that, in each case, no opinion is expressed as to any subsequent resale of the Securities or the consequences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186690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have participated in conferences with certain officers and other representatives of the Company, the Initial Purchasers, counsel for the Initial Purchasers and the independent certified public accountants of the Company, at which conferences the contents of the Disclosure Package, the Final Offering Memorandum and related matters were reviewed and discussed and, although we do not assume any responsibility for the accuracy, completeness or fairness of the information contained in the Disclosure Package or the Final Offering Memorandum (other than as set forth in paragraphs 9 and 10 above), no facts have come to our attention, in the course of such review and discussion, that have caused us to believe that: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59" w:lineRule="auto"/>
        <w:tabs>
          <w:tab w:leader="none" w:pos="13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Disclosure Package, as of 12:45 p.m. Pacific Time on February 5, 2014, and on the date hereof, contained an untrue statement of a material fact or omitted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 or</w:t>
      </w:r>
    </w:p>
    <w:p>
      <w:pPr>
        <w:spacing w:after="0" w:line="186" w:lineRule="exact"/>
        <w:rPr>
          <w:rFonts w:ascii="Arial" w:cs="Arial" w:eastAsia="Arial" w:hAnsi="Arial"/>
          <w:sz w:val="18"/>
          <w:szCs w:val="18"/>
          <w:color w:val="auto"/>
        </w:rPr>
      </w:pPr>
    </w:p>
    <w:p>
      <w:pPr>
        <w:jc w:val="both"/>
        <w:ind w:right="140" w:firstLine="656"/>
        <w:spacing w:after="0" w:line="259" w:lineRule="auto"/>
        <w:tabs>
          <w:tab w:leader="none" w:pos="13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Final Offering Memorandum, as of its date or as of the date hereof, contained or contains an untrue statement of a material fact or omitted or omits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JOEL L. POPPEN, GENERAL COUNSEL OF THE COMPANY</w:t>
      </w:r>
    </w:p>
    <w:p>
      <w:pPr>
        <w:spacing w:after="0" w:line="229" w:lineRule="exact"/>
        <w:rPr>
          <w:sz w:val="20"/>
          <w:szCs w:val="20"/>
          <w:color w:val="auto"/>
        </w:rPr>
      </w:pPr>
    </w:p>
    <w:p>
      <w:pPr>
        <w:jc w:val="both"/>
        <w:ind w:right="80" w:firstLine="656"/>
        <w:spacing w:after="0" w:line="259" w:lineRule="auto"/>
        <w:tabs>
          <w:tab w:leader="none" w:pos="12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best of such counsel’s knowledge, but without inquiring into the dockets of any court, commissions, regulatory body, administrative agency or other government body, and other than as set forth in the Disclosure Package and Final Offering Memorandum, there are no legal or governmental proceedings pending to which the Company is a party or of which any property or assets of the Company is the subject, which I believe individually or in the aggregate would be reasonably expected to have a Material Adverse Effect.</w:t>
      </w:r>
    </w:p>
    <w:p>
      <w:pPr>
        <w:spacing w:after="0" w:line="186" w:lineRule="exact"/>
        <w:rPr>
          <w:rFonts w:ascii="Arial" w:cs="Arial" w:eastAsia="Arial" w:hAnsi="Arial"/>
          <w:sz w:val="18"/>
          <w:szCs w:val="18"/>
          <w:color w:val="auto"/>
        </w:rPr>
      </w:pPr>
    </w:p>
    <w:p>
      <w:pPr>
        <w:ind w:right="20" w:firstLine="656"/>
        <w:spacing w:after="0" w:line="297" w:lineRule="auto"/>
        <w:tabs>
          <w:tab w:leader="none" w:pos="1296"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None of the execution, delivery and performance of the Purchase Agreement, the Registration Rights Agreement or the Indenture, the issuance and sale of the Securities or the consummation of any other of the transactions contemplated thereby will conflict with, result in a breach or violation of any of the terms or provisions of, or constitute a default under (A) any material indenture or other material agreement or instrument to which the Company or its subsidiaries is a party or bound, or (B) any statute, decree, regulation or order applicable to the Company of any U.S. Federal or Idaho court, governmental authority or agency having jurisdiction over the Company or any of its properties or assets, except such conflicts, breaches, violations or</w:t>
      </w:r>
    </w:p>
    <w:p>
      <w:pPr>
        <w:sectPr>
          <w:pgSz w:w="11900" w:h="16838" w:orient="portrait"/>
          <w:cols w:equalWidth="0" w:num="1">
            <w:col w:w="11420"/>
          </w:cols>
          <w:pgMar w:left="240" w:top="341" w:right="239" w:bottom="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defaults as would not have a Material Adverse Effect on the Company’s ability to perform its obligations under the Operative Documents or to consummate the transactions contemplated thereby.</w:t>
      </w:r>
    </w:p>
    <w:p>
      <w:pPr>
        <w:spacing w:after="0" w:line="170" w:lineRule="exact"/>
        <w:rPr>
          <w:sz w:val="20"/>
          <w:szCs w:val="20"/>
          <w:color w:val="auto"/>
        </w:rPr>
      </w:pPr>
    </w:p>
    <w:p>
      <w:pPr>
        <w:ind w:firstLine="656"/>
        <w:spacing w:after="0" w:line="302" w:lineRule="auto"/>
        <w:tabs>
          <w:tab w:leader="none" w:pos="1296"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as may be required by the Securities Act, and the rules and regulations promulgated thereunder or “blue sky” laws of any state of the United States, in connection with the sale of the Securities, no consent, approval, authorization or order of, or filing or registration with, any U.S. Federal or Idaho court or governmental agency or body is required for the execution, delivery and performance of the Purchase Agreement, Registration Rights Agreement and the Indenture by the Company and the issuance of the Securities and the consummation of the transactions contemplated thereby.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22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Contacts:</w:t>
            </w:r>
          </w:p>
        </w:tc>
        <w:tc>
          <w:tcPr>
            <w:tcW w:w="2380" w:type="dxa"/>
            <w:vAlign w:val="bottom"/>
          </w:tcPr>
          <w:p>
            <w:pPr>
              <w:ind w:left="320"/>
              <w:spacing w:after="0"/>
              <w:rPr>
                <w:sz w:val="20"/>
                <w:szCs w:val="20"/>
                <w:color w:val="auto"/>
              </w:rPr>
            </w:pPr>
            <w:r>
              <w:rPr>
                <w:rFonts w:ascii="Arial" w:cs="Arial" w:eastAsia="Arial" w:hAnsi="Arial"/>
                <w:sz w:val="18"/>
                <w:szCs w:val="18"/>
                <w:color w:val="auto"/>
              </w:rPr>
              <w:t>Kipp A. Bedard</w:t>
            </w:r>
          </w:p>
        </w:tc>
        <w:tc>
          <w:tcPr>
            <w:tcW w:w="2220" w:type="dxa"/>
            <w:vAlign w:val="bottom"/>
          </w:tcPr>
          <w:p>
            <w:pPr>
              <w:ind w:left="440"/>
              <w:spacing w:after="0"/>
              <w:rPr>
                <w:sz w:val="20"/>
                <w:szCs w:val="20"/>
                <w:color w:val="auto"/>
              </w:rPr>
            </w:pPr>
            <w:r>
              <w:rPr>
                <w:rFonts w:ascii="Arial" w:cs="Arial" w:eastAsia="Arial" w:hAnsi="Arial"/>
                <w:sz w:val="18"/>
                <w:szCs w:val="18"/>
                <w:color w:val="auto"/>
              </w:rPr>
              <w:t>Daniel Francisco</w:t>
            </w:r>
          </w:p>
        </w:tc>
      </w:tr>
      <w:tr>
        <w:trPr>
          <w:trHeight w:val="216"/>
        </w:trPr>
        <w:tc>
          <w:tcPr>
            <w:tcW w:w="100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Investor Relations</w:t>
            </w:r>
          </w:p>
        </w:tc>
        <w:tc>
          <w:tcPr>
            <w:tcW w:w="2220" w:type="dxa"/>
            <w:vAlign w:val="bottom"/>
          </w:tcPr>
          <w:p>
            <w:pPr>
              <w:ind w:left="440"/>
              <w:spacing w:after="0"/>
              <w:rPr>
                <w:sz w:val="20"/>
                <w:szCs w:val="20"/>
                <w:color w:val="auto"/>
              </w:rPr>
            </w:pPr>
            <w:r>
              <w:rPr>
                <w:rFonts w:ascii="Arial" w:cs="Arial" w:eastAsia="Arial" w:hAnsi="Arial"/>
                <w:sz w:val="18"/>
                <w:szCs w:val="18"/>
                <w:color w:val="auto"/>
              </w:rPr>
              <w:t>Media Relations</w:t>
            </w:r>
          </w:p>
        </w:tc>
      </w:tr>
      <w:tr>
        <w:trPr>
          <w:trHeight w:val="216"/>
        </w:trPr>
        <w:tc>
          <w:tcPr>
            <w:tcW w:w="100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kbedard@micron.com</w:t>
            </w:r>
          </w:p>
        </w:tc>
        <w:tc>
          <w:tcPr>
            <w:tcW w:w="2220" w:type="dxa"/>
            <w:vAlign w:val="bottom"/>
          </w:tcPr>
          <w:p>
            <w:pPr>
              <w:ind w:left="44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000" w:type="dxa"/>
            <w:vAlign w:val="bottom"/>
          </w:tcPr>
          <w:p>
            <w:pPr>
              <w:spacing w:after="0"/>
              <w:rPr>
                <w:sz w:val="20"/>
                <w:szCs w:val="20"/>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(208) 368-4465</w:t>
            </w:r>
          </w:p>
        </w:tc>
        <w:tc>
          <w:tcPr>
            <w:tcW w:w="2220" w:type="dxa"/>
            <w:vAlign w:val="bottom"/>
          </w:tcPr>
          <w:p>
            <w:pPr>
              <w:ind w:left="440"/>
              <w:spacing w:after="0"/>
              <w:rPr>
                <w:sz w:val="20"/>
                <w:szCs w:val="20"/>
                <w:color w:val="auto"/>
              </w:rPr>
            </w:pPr>
            <w:r>
              <w:rPr>
                <w:rFonts w:ascii="Arial" w:cs="Arial" w:eastAsia="Arial" w:hAnsi="Arial"/>
                <w:sz w:val="18"/>
                <w:szCs w:val="18"/>
                <w:color w:val="auto"/>
              </w:rPr>
              <w:t>(208) 368-5584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PRICES $600 MILLION OFFERING OF 5.875% SENIOR NOTES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BOISE, Idaho, </w:t>
      </w:r>
      <w:r>
        <w:rPr>
          <w:rFonts w:ascii="Arial" w:cs="Arial" w:eastAsia="Arial" w:hAnsi="Arial"/>
          <w:sz w:val="17"/>
          <w:szCs w:val="17"/>
          <w:color w:val="auto"/>
        </w:rPr>
        <w:t>February 5, 2014 — Micron Technology, Inc., (NASDAQ: MU) today announced the pricing of an offering of $600 million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amount of its 5.875% senior notes due 2022 (the “Notes”). The Notes are being offered to qualified institutional buyers pursuant to Rule 144A under the Securities Act of 1933, as amended (the “Securities Act”), and outside the United States to non-U.S. persons pursuant to Regulation S under the Securities Act. The sale of the Notes is expected to close on February 10, 2014, subject to the satisfaction of customary closing conditions. Interest on the Notes will accrue at a rate of 5.875% per year, and will be payable in cash semi-annually in arrears, beginning on August 15, 2014.</w:t>
      </w:r>
    </w:p>
    <w:p>
      <w:pPr>
        <w:spacing w:after="0" w:line="17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Notes will mature on February 15, 2022, unless earlier repurchased or redeemed. Holders may require Micron to repurchase their Notes upon the occurrence of certain change of control events at a repurchase price equal to 101% of the principal amount thereof plus accrued and unpaid interest, if any.</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Prior to February 15, 2017, Micron may redeem the Notes, in whole or in part, at a price equal to 100% of the principal amount thereof plus a “make-whole” premium and accrued and unpaid interest, if any, and Micron may use the net cash proceeds of one or more equity offerings to redeem up to 35% of the aggregate principal amount of the Notes at a price equal to 105.875% of the principal amount thereof plus accrued and unpaid interest, if any. On or after February 15, 2017, Micron may redeem the Notes, in whole or in part, at specified prices that decline over time, plus accrued and unpaid interest, if any.</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Micron intends to use the net proceeds from this offering to pay a portion of the costs of extinguishing its obligations with respect to its outstanding 1.875% convertible senior notes due 2014 (the “2014 Notes”), which may include payments in settlement of conversions of, or to repurchase or redeem, the 2014 Notes. On January 31, 2014, Micron gave notice to holders of the 2014 Notes that their notes will be redeemed on March 3, 2014, except to the extent such notes are converted or repurchased by Micron prior to such date.</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announcement is neither an offer to sell nor a solicitation to buy any of the foregoing securities, nor shall there be any sale of the securities, in any jurisdiction in which such offer, solicitation or sale would be unlawful prior to registration or qualification under the securities laws of any such jurisdiction.</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Notes will not be registered under the Securities Act, or any state securities laws, and may not be offered or sold in the United States except pursuant to an exemption from the registration requirements of the Securities Act and applicable state securities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lvl w:ilvl="1">
      <w:lvlJc w:val="left"/>
      <w:lvlText w:val="(%2)"/>
      <w:numFmt w:val="lowerLetter"/>
      <w:start w:val="1"/>
    </w:lvl>
  </w:abstractNum>
  <w:abstractNum w:abstractNumId="1">
    <w:nsid w:val="79838CB2"/>
    <w:multiLevelType w:val="hybridMultilevel"/>
    <w:lvl w:ilvl="0">
      <w:lvlJc w:val="left"/>
      <w:lvlText w:val="(%1)"/>
      <w:numFmt w:val="lowerLetter"/>
      <w:start w:val="3"/>
    </w:lvl>
  </w:abstractNum>
  <w:abstractNum w:abstractNumId="2">
    <w:nsid w:val="4353D0CD"/>
    <w:multiLevelType w:val="hybridMultilevel"/>
    <w:lvl w:ilvl="0">
      <w:lvlJc w:val="left"/>
      <w:lvlText w:val="(%1)"/>
      <w:numFmt w:val="lowerLetter"/>
      <w:start w:val="4"/>
    </w:lvl>
  </w:abstractNum>
  <w:abstractNum w:abstractNumId="3">
    <w:nsid w:val="B03E0C6"/>
    <w:multiLevelType w:val="hybridMultilevel"/>
    <w:lvl w:ilvl="0">
      <w:lvlJc w:val="left"/>
      <w:lvlText w:val="(%1)"/>
      <w:numFmt w:val="lowerLetter"/>
      <w:start w:val="9"/>
    </w:lvl>
  </w:abstractNum>
  <w:abstractNum w:abstractNumId="4">
    <w:nsid w:val="189A769B"/>
    <w:multiLevelType w:val="hybridMultilevel"/>
    <w:lvl w:ilvl="0">
      <w:lvlJc w:val="left"/>
      <w:lvlText w:val="(%1)"/>
      <w:numFmt w:val="lowerLetter"/>
      <w:start w:val="12"/>
    </w:lvl>
  </w:abstractNum>
  <w:abstractNum w:abstractNumId="5">
    <w:nsid w:val="54E49EB4"/>
    <w:multiLevelType w:val="hybridMultilevel"/>
    <w:lvl w:ilvl="0">
      <w:lvlJc w:val="left"/>
      <w:lvlText w:val="(%1)"/>
      <w:numFmt w:val="lowerLetter"/>
      <w:start w:val="13"/>
    </w:lvl>
  </w:abstractNum>
  <w:abstractNum w:abstractNumId="6">
    <w:nsid w:val="71F32454"/>
    <w:multiLevelType w:val="hybridMultilevel"/>
    <w:lvl w:ilvl="0">
      <w:lvlJc w:val="left"/>
      <w:lvlText w:val="(%1)"/>
      <w:numFmt w:val="lowerLetter"/>
      <w:start w:val="17"/>
    </w:lvl>
  </w:abstractNum>
  <w:abstractNum w:abstractNumId="7">
    <w:nsid w:val="2CA88611"/>
    <w:multiLevelType w:val="hybridMultilevel"/>
    <w:lvl w:ilvl="0">
      <w:lvlJc w:val="left"/>
      <w:lvlText w:val="(%1)"/>
      <w:numFmt w:val="lowerLetter"/>
      <w:start w:val="22"/>
    </w:lvl>
  </w:abstractNum>
  <w:abstractNum w:abstractNumId="8">
    <w:nsid w:val="836C40E"/>
    <w:multiLevelType w:val="hybridMultilevel"/>
    <w:lvl w:ilvl="0">
      <w:lvlJc w:val="left"/>
      <w:lvlText w:val="(%1)"/>
      <w:numFmt w:val="lowerLetter"/>
      <w:start w:val="25"/>
    </w:lvl>
  </w:abstractNum>
  <w:abstractNum w:abstractNumId="9">
    <w:nsid w:val="2901D82"/>
    <w:multiLevelType w:val="hybridMultilevel"/>
    <w:lvl w:ilvl="0">
      <w:lvlJc w:val="left"/>
      <w:lvlText w:val="(%1)"/>
      <w:numFmt w:val="lowerLetter"/>
      <w:start w:val="26"/>
    </w:lvl>
    <w:lvl w:ilvl="1">
      <w:lvlJc w:val="left"/>
      <w:lvlText w:val="(%2)"/>
      <w:numFmt w:val="lowerRoman"/>
      <w:start w:val="1"/>
    </w:lvl>
    <w:lvl w:ilvl="2">
      <w:lvlJc w:val="left"/>
      <w:lvlText w:val="(%3)"/>
      <w:numFmt w:val="upperLetter"/>
      <w:start w:val="1"/>
    </w:lvl>
  </w:abstractNum>
  <w:abstractNum w:abstractNumId="10">
    <w:nsid w:val="3A95F874"/>
    <w:multiLevelType w:val="hybridMultilevel"/>
    <w:lvl w:ilvl="0">
      <w:lvlJc w:val="left"/>
      <w:lvlText w:val="%1"/>
      <w:numFmt w:val="decimal"/>
      <w:start w:val="1"/>
    </w:lvl>
    <w:lvl w:ilvl="1">
      <w:lvlJc w:val="left"/>
      <w:lvlText w:val="(%2)"/>
      <w:numFmt w:val="lowerLetter"/>
      <w:start w:val="27"/>
    </w:lvl>
  </w:abstractNum>
  <w:abstractNum w:abstractNumId="11">
    <w:nsid w:val="8138641"/>
    <w:multiLevelType w:val="hybridMultilevel"/>
    <w:lvl w:ilvl="0">
      <w:lvlJc w:val="left"/>
      <w:lvlText w:val="%1."/>
      <w:numFmt w:val="decimal"/>
      <w:start w:val="2"/>
    </w:lvl>
    <w:lvl w:ilvl="1">
      <w:lvlJc w:val="left"/>
      <w:lvlText w:val="%2"/>
      <w:numFmt w:val="lowerLetter"/>
      <w:start w:val="1"/>
    </w:lvl>
  </w:abstractNum>
  <w:abstractNum w:abstractNumId="12">
    <w:nsid w:val="1E7FF521"/>
    <w:multiLevelType w:val="hybridMultilevel"/>
    <w:lvl w:ilvl="0">
      <w:lvlJc w:val="left"/>
      <w:lvlText w:val="%1."/>
      <w:numFmt w:val="decimal"/>
      <w:start w:val="3"/>
    </w:lvl>
  </w:abstractNum>
  <w:abstractNum w:abstractNumId="13">
    <w:nsid w:val="7C3DBD3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4">
    <w:nsid w:val="737B8DDC"/>
    <w:multiLevelType w:val="hybridMultilevel"/>
    <w:lvl w:ilvl="0">
      <w:lvlJc w:val="left"/>
      <w:lvlText w:val="(%1)"/>
      <w:numFmt w:val="lowerRoman"/>
      <w:start w:val="2"/>
    </w:lvl>
  </w:abstractNum>
  <w:abstractNum w:abstractNumId="15">
    <w:nsid w:val="6CEAF087"/>
    <w:multiLevelType w:val="hybridMultilevel"/>
    <w:lvl w:ilvl="0">
      <w:lvlJc w:val="left"/>
      <w:lvlText w:val="(%1)"/>
      <w:numFmt w:val="lowerLetter"/>
      <w:start w:val="2"/>
    </w:lvl>
  </w:abstractNum>
  <w:abstractNum w:abstractNumId="16">
    <w:nsid w:val="22221A70"/>
    <w:multiLevelType w:val="hybridMultilevel"/>
    <w:lvl w:ilvl="0">
      <w:lvlJc w:val="left"/>
      <w:lvlText w:val="(%1)"/>
      <w:numFmt w:val="lowerLetter"/>
      <w:start w:val="3"/>
    </w:lvl>
  </w:abstractNum>
  <w:abstractNum w:abstractNumId="17">
    <w:nsid w:val="4516DDE9"/>
    <w:multiLevelType w:val="hybridMultilevel"/>
    <w:lvl w:ilvl="0">
      <w:lvlJc w:val="left"/>
      <w:lvlText w:val="%1"/>
      <w:numFmt w:val="decimal"/>
      <w:start w:val="1"/>
    </w:lvl>
    <w:lvl w:ilvl="1">
      <w:lvlJc w:val="left"/>
      <w:lvlText w:val="(%2)"/>
      <w:numFmt w:val="lowerLetter"/>
      <w:start w:val="7"/>
    </w:lvl>
  </w:abstractNum>
  <w:abstractNum w:abstractNumId="18">
    <w:nsid w:val="3006C83E"/>
    <w:multiLevelType w:val="hybridMultilevel"/>
    <w:lvl w:ilvl="0">
      <w:lvlJc w:val="left"/>
      <w:lvlText w:val="%1."/>
      <w:numFmt w:val="decimal"/>
      <w:start w:val="6"/>
    </w:lvl>
    <w:lvl w:ilvl="1">
      <w:lvlJc w:val="left"/>
      <w:lvlText w:val="(%2)"/>
      <w:numFmt w:val="lowerLetter"/>
      <w:start w:val="1"/>
    </w:lvl>
  </w:abstractNum>
  <w:abstractNum w:abstractNumId="19">
    <w:nsid w:val="614FD4A1"/>
    <w:multiLevelType w:val="hybridMultilevel"/>
    <w:lvl w:ilvl="0">
      <w:lvlJc w:val="left"/>
      <w:lvlText w:val="(%1)"/>
      <w:numFmt w:val="lowerLetter"/>
      <w:start w:val="2"/>
    </w:lvl>
  </w:abstractNum>
  <w:abstractNum w:abstractNumId="20">
    <w:nsid w:val="419AC241"/>
    <w:multiLevelType w:val="hybridMultilevel"/>
    <w:lvl w:ilvl="0">
      <w:lvlJc w:val="left"/>
      <w:lvlText w:val="(%1)"/>
      <w:numFmt w:val="lowerLetter"/>
      <w:start w:val="3"/>
    </w:lvl>
  </w:abstractNum>
  <w:abstractNum w:abstractNumId="21">
    <w:nsid w:val="5577F8E1"/>
    <w:multiLevelType w:val="hybridMultilevel"/>
    <w:lvl w:ilvl="0">
      <w:lvlJc w:val="left"/>
      <w:lvlText w:val="%1"/>
      <w:numFmt w:val="lowerRoman"/>
      <w:start w:val="1"/>
    </w:lvl>
    <w:lvl w:ilvl="1">
      <w:lvlJc w:val="left"/>
      <w:lvlText w:val="(%2)"/>
      <w:numFmt w:val="lowerLetter"/>
      <w:start w:val="7"/>
    </w:lvl>
  </w:abstractNum>
  <w:abstractNum w:abstractNumId="22">
    <w:nsid w:val="440BADFC"/>
    <w:multiLevelType w:val="hybridMultilevel"/>
    <w:lvl w:ilvl="0">
      <w:lvlJc w:val="left"/>
      <w:lvlText w:val="(%1)"/>
      <w:numFmt w:val="lowerRoman"/>
      <w:start w:val="9"/>
    </w:lvl>
    <w:lvl w:ilvl="1">
      <w:lvlJc w:val="left"/>
      <w:lvlText w:val="%2"/>
      <w:numFmt w:val="lowerLetter"/>
      <w:start w:val="1"/>
    </w:lvl>
  </w:abstractNum>
  <w:abstractNum w:abstractNumId="23">
    <w:nsid w:val="5072367"/>
    <w:multiLevelType w:val="hybridMultilevel"/>
    <w:lvl w:ilvl="0">
      <w:lvlJc w:val="left"/>
      <w:lvlText w:val="(%1)"/>
      <w:numFmt w:val="lowerLetter"/>
      <w:start w:val="8"/>
    </w:lvl>
  </w:abstractNum>
  <w:abstractNum w:abstractNumId="24">
    <w:nsid w:val="3804823E"/>
    <w:multiLevelType w:val="hybridMultilevel"/>
    <w:lvl w:ilvl="0">
      <w:lvlJc w:val="left"/>
      <w:lvlText w:val="(%1)"/>
      <w:numFmt w:val="lowerLetter"/>
      <w:start w:val="12"/>
    </w:lvl>
  </w:abstractNum>
  <w:abstractNum w:abstractNumId="25">
    <w:nsid w:val="77465F01"/>
    <w:multiLevelType w:val="hybridMultilevel"/>
    <w:lvl w:ilvl="0">
      <w:lvlJc w:val="left"/>
      <w:lvlText w:val="%1."/>
      <w:numFmt w:val="decimal"/>
      <w:start w:val="7"/>
    </w:lvl>
    <w:lvl w:ilvl="1">
      <w:lvlJc w:val="left"/>
      <w:lvlText w:val="(%2)"/>
      <w:numFmt w:val="lowerLetter"/>
      <w:start w:val="2"/>
    </w:lvl>
    <w:lvl w:ilvl="2">
      <w:lvlJc w:val="left"/>
      <w:lvlText w:val="(%3)"/>
      <w:numFmt w:val="lowerRoman"/>
      <w:start w:val="1"/>
    </w:lvl>
  </w:abstractNum>
  <w:abstractNum w:abstractNumId="26">
    <w:nsid w:val="7724C67E"/>
    <w:multiLevelType w:val="hybridMultilevel"/>
    <w:lvl w:ilvl="0">
      <w:lvlJc w:val="left"/>
      <w:lvlText w:val="(%1)"/>
      <w:numFmt w:val="lowerRoman"/>
      <w:start w:val="3"/>
    </w:lvl>
    <w:lvl w:ilvl="1">
      <w:lvlJc w:val="left"/>
      <w:lvlText w:val="(%2)"/>
      <w:numFmt w:val="upperLetter"/>
      <w:start w:val="1"/>
    </w:lvl>
  </w:abstractNum>
  <w:abstractNum w:abstractNumId="27">
    <w:nsid w:val="5C482A97"/>
    <w:multiLevelType w:val="hybridMultilevel"/>
    <w:lvl w:ilvl="0">
      <w:lvlJc w:val="left"/>
      <w:lvlText w:val="(%1)"/>
      <w:numFmt w:val="lowerRoman"/>
      <w:start w:val="6"/>
    </w:lvl>
  </w:abstractNum>
  <w:abstractNum w:abstractNumId="28">
    <w:nsid w:val="2463B9EA"/>
    <w:multiLevelType w:val="hybridMultilevel"/>
    <w:lvl w:ilvl="0">
      <w:lvlJc w:val="left"/>
      <w:lvlText w:val="%1"/>
      <w:numFmt w:val="lowerRoman"/>
      <w:start w:val="1"/>
    </w:lvl>
    <w:lvl w:ilvl="1">
      <w:lvlJc w:val="left"/>
      <w:lvlText w:val="(%2)"/>
      <w:numFmt w:val="lowerRoman"/>
      <w:start w:val="8"/>
    </w:lvl>
  </w:abstractNum>
  <w:abstractNum w:abstractNumId="29">
    <w:nsid w:val="5E884ADC"/>
    <w:multiLevelType w:val="hybridMultilevel"/>
    <w:lvl w:ilvl="0">
      <w:lvlJc w:val="left"/>
      <w:lvlText w:val="(%1)"/>
      <w:numFmt w:val="lowerRoman"/>
      <w:start w:val="3"/>
    </w:lvl>
    <w:lvl w:ilvl="1">
      <w:lvlJc w:val="left"/>
      <w:lvlText w:val="(%2)"/>
      <w:numFmt w:val="lowerRoman"/>
      <w:start w:val="9"/>
    </w:lvl>
  </w:abstractNum>
  <w:abstractNum w:abstractNumId="30">
    <w:nsid w:val="51EAD36B"/>
    <w:multiLevelType w:val="hybridMultilevel"/>
    <w:lvl w:ilvl="0">
      <w:lvlJc w:val="left"/>
      <w:lvlText w:val="%1."/>
      <w:numFmt w:val="decimal"/>
      <w:start w:val="8"/>
    </w:lvl>
  </w:abstractNum>
  <w:abstractNum w:abstractNumId="31">
    <w:nsid w:val="2D517796"/>
    <w:multiLevelType w:val="hybridMultilevel"/>
    <w:lvl w:ilvl="0">
      <w:lvlJc w:val="left"/>
      <w:lvlText w:val="(%1)"/>
      <w:numFmt w:val="lowerLetter"/>
      <w:start w:val="2"/>
    </w:lvl>
  </w:abstractNum>
  <w:abstractNum w:abstractNumId="32">
    <w:nsid w:val="580BD78F"/>
    <w:multiLevelType w:val="hybridMultilevel"/>
    <w:lvl w:ilvl="0">
      <w:lvlJc w:val="left"/>
      <w:lvlText w:val="%1"/>
      <w:numFmt w:val="lowerLetter"/>
      <w:start w:val="1"/>
    </w:lvl>
    <w:lvl w:ilvl="1">
      <w:lvlJc w:val="left"/>
      <w:lvlText w:val="(%2)"/>
      <w:numFmt w:val="lowerLetter"/>
      <w:start w:val="3"/>
    </w:lvl>
  </w:abstractNum>
  <w:abstractNum w:abstractNumId="33">
    <w:nsid w:val="153EA438"/>
    <w:multiLevelType w:val="hybridMultilevel"/>
    <w:lvl w:ilvl="0">
      <w:lvlJc w:val="left"/>
      <w:lvlText w:val="(%1)"/>
      <w:numFmt w:val="lowerLetter"/>
      <w:start w:val="61"/>
    </w:lvl>
    <w:lvl w:ilvl="1">
      <w:lvlJc w:val="left"/>
      <w:lvlText w:val="%2"/>
      <w:numFmt w:val="lowerLetter"/>
      <w:start w:val="1"/>
    </w:lvl>
  </w:abstractNum>
  <w:abstractNum w:abstractNumId="34">
    <w:nsid w:val="3855585C"/>
    <w:multiLevelType w:val="hybridMultilevel"/>
    <w:lvl w:ilvl="0">
      <w:lvlJc w:val="left"/>
      <w:lvlText w:val="(%1)"/>
      <w:numFmt w:val="lowerLetter"/>
      <w:start w:val="4"/>
    </w:lvl>
  </w:abstractNum>
  <w:abstractNum w:abstractNumId="35">
    <w:nsid w:val="70A64E2A"/>
    <w:multiLevelType w:val="hybridMultilevel"/>
    <w:lvl w:ilvl="0">
      <w:lvlJc w:val="left"/>
      <w:lvlText w:val="%1"/>
      <w:numFmt w:val="lowerLetter"/>
      <w:start w:val="1"/>
    </w:lvl>
    <w:lvl w:ilvl="1">
      <w:lvlJc w:val="left"/>
      <w:lvlText w:val="(%2)"/>
      <w:numFmt w:val="lowerLetter"/>
      <w:start w:val="6"/>
    </w:lvl>
  </w:abstractNum>
  <w:abstractNum w:abstractNumId="36">
    <w:nsid w:val="6A2342EC"/>
    <w:multiLevelType w:val="hybridMultilevel"/>
    <w:lvl w:ilvl="0">
      <w:lvlJc w:val="left"/>
      <w:lvlText w:val="(%1)"/>
      <w:numFmt w:val="lowerLetter"/>
      <w:start w:val="35"/>
    </w:lvl>
    <w:lvl w:ilvl="1">
      <w:lvlJc w:val="left"/>
      <w:lvlText w:val="%2"/>
      <w:numFmt w:val="lowerLetter"/>
      <w:start w:val="1"/>
    </w:lvl>
  </w:abstractNum>
  <w:abstractNum w:abstractNumId="37">
    <w:nsid w:val="2A487CB0"/>
    <w:multiLevelType w:val="hybridMultilevel"/>
    <w:lvl w:ilvl="0">
      <w:lvlJc w:val="left"/>
      <w:lvlText w:val="%1."/>
      <w:numFmt w:val="decimal"/>
      <w:start w:val="9"/>
    </w:lvl>
  </w:abstractNum>
  <w:abstractNum w:abstractNumId="38">
    <w:nsid w:val="1D4ED43B"/>
    <w:multiLevelType w:val="hybridMultilevel"/>
    <w:lvl w:ilvl="0">
      <w:lvlJc w:val="left"/>
      <w:lvlText w:val="%1."/>
      <w:numFmt w:val="decimal"/>
      <w:start w:val="10"/>
    </w:lvl>
  </w:abstractNum>
  <w:abstractNum w:abstractNumId="39">
    <w:nsid w:val="725A06FB"/>
    <w:multiLevelType w:val="hybridMultilevel"/>
    <w:lvl w:ilvl="0">
      <w:lvlJc w:val="left"/>
      <w:lvlText w:val="%1."/>
      <w:numFmt w:val="decimal"/>
      <w:start w:val="11"/>
    </w:lvl>
    <w:lvl w:ilvl="1">
      <w:lvlJc w:val="left"/>
      <w:lvlText w:val="(%2)"/>
      <w:numFmt w:val="lowerLetter"/>
      <w:start w:val="2"/>
    </w:lvl>
  </w:abstractNum>
  <w:abstractNum w:abstractNumId="40">
    <w:nsid w:val="2CD89A32"/>
    <w:multiLevelType w:val="hybridMultilevel"/>
    <w:lvl w:ilvl="0">
      <w:lvlJc w:val="left"/>
      <w:lvlText w:val="%1."/>
      <w:numFmt w:val="decimal"/>
      <w:start w:val="14"/>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5"/>
    </w:lvl>
  </w:abstractNum>
  <w:abstractNum w:abstractNumId="44">
    <w:nsid w:val="542289EC"/>
    <w:multiLevelType w:val="hybridMultilevel"/>
    <w:lvl w:ilvl="0">
      <w:lvlJc w:val="left"/>
      <w:lvlText w:val="%1."/>
      <w:numFmt w:val="decimal"/>
      <w:start w:val="7"/>
    </w:lvl>
  </w:abstractNum>
  <w:abstractNum w:abstractNumId="45">
    <w:nsid w:val="6DE91B18"/>
    <w:multiLevelType w:val="hybridMultilevel"/>
    <w:lvl w:ilvl="0">
      <w:lvlJc w:val="left"/>
      <w:lvlText w:val="(%1)"/>
      <w:numFmt w:val="lowerRoman"/>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2019-12-05T19:57:07Z</dcterms:created>
  <dcterms:modified xsi:type="dcterms:W3CDTF">2019-12-05T19:57:07Z</dcterms:modified>
</cp:coreProperties>
</file>