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20,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3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8"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150495</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167640</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00" w:lineRule="exact"/>
        <w:rPr>
          <w:sz w:val="20"/>
          <w:szCs w:val="20"/>
          <w:color w:val="auto"/>
        </w:rPr>
      </w:pPr>
    </w:p>
    <w:p>
      <w:pPr>
        <w:spacing w:after="0" w:line="29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On September 20, 2018, we announced the financial results for our fourth quarter and full year of fiscal 2018 ended August 30, 2018. The full text of the press release issued in connection with the announcement is attached as Exhibit 99.1 to this Current Report on Form 8-K.</w:t>
      </w:r>
    </w:p>
    <w:p>
      <w:pPr>
        <w:spacing w:after="0" w:line="251" w:lineRule="exact"/>
        <w:rPr>
          <w:sz w:val="20"/>
          <w:szCs w:val="20"/>
          <w:color w:val="auto"/>
        </w:rPr>
      </w:pPr>
    </w:p>
    <w:p>
      <w:pPr>
        <w:jc w:val="both"/>
        <w:ind w:right="160" w:firstLine="324"/>
        <w:spacing w:after="0" w:line="279" w:lineRule="auto"/>
        <w:rPr>
          <w:sz w:val="20"/>
          <w:szCs w:val="20"/>
          <w:color w:val="auto"/>
        </w:rPr>
      </w:pPr>
      <w:r>
        <w:rPr>
          <w:rFonts w:ascii="Arial" w:cs="Arial" w:eastAsia="Arial" w:hAnsi="Arial"/>
          <w:sz w:val="17"/>
          <w:szCs w:val="17"/>
          <w:color w:val="auto"/>
        </w:rPr>
        <w:t>The information in Item 2.02 of this Current Report on Form 8-K shall not be deemed "filed" for the purposes of Section 18 of the Securities Exchange Act of 1934, as amended (the "Exchange Act"), or otherwise subject to the liabilities of that section. The information in Item 2.02 of this Current Report on Form 8-K shall not be incorporated by reference into any filing or other document pursuant to the Securities Act of 1933, as amended (the "Securities Act"), or the Exchange Act, except as shall be expressly set forth by specific reference in such filing or document.</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Item 9.01.</w:t>
            </w:r>
          </w:p>
        </w:tc>
        <w:tc>
          <w:tcPr>
            <w:tcW w:w="10400" w:type="dxa"/>
            <w:vAlign w:val="bottom"/>
            <w:gridSpan w:val="5"/>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67"/>
        </w:trPr>
        <w:tc>
          <w:tcPr>
            <w:tcW w:w="1020" w:type="dxa"/>
            <w:vAlign w:val="bottom"/>
          </w:tcPr>
          <w:p>
            <w:pPr>
              <w:spacing w:after="0"/>
              <w:rPr>
                <w:sz w:val="24"/>
                <w:szCs w:val="24"/>
                <w:color w:val="auto"/>
              </w:rPr>
            </w:pPr>
          </w:p>
        </w:tc>
        <w:tc>
          <w:tcPr>
            <w:tcW w:w="10400" w:type="dxa"/>
            <w:vAlign w:val="bottom"/>
            <w:gridSpan w:val="5"/>
          </w:tcPr>
          <w:p>
            <w:pPr>
              <w:ind w:left="120"/>
              <w:spacing w:after="0"/>
              <w:rPr>
                <w:sz w:val="20"/>
                <w:szCs w:val="20"/>
                <w:color w:val="auto"/>
              </w:rPr>
            </w:pPr>
            <w:r>
              <w:rPr>
                <w:rFonts w:ascii="Arial" w:cs="Arial" w:eastAsia="Arial" w:hAnsi="Arial"/>
                <w:sz w:val="18"/>
                <w:szCs w:val="18"/>
                <w:color w:val="auto"/>
              </w:rPr>
              <w:t>(d) Exhibits.</w:t>
            </w:r>
          </w:p>
        </w:tc>
      </w:tr>
      <w:tr>
        <w:trPr>
          <w:trHeight w:val="837"/>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6580" w:type="dxa"/>
            <w:vAlign w:val="bottom"/>
            <w:tcBorders>
              <w:bottom w:val="single" w:sz="8" w:color="auto"/>
            </w:tcBorders>
          </w:tcPr>
          <w:p>
            <w:pPr>
              <w:spacing w:after="0"/>
              <w:rPr>
                <w:sz w:val="2"/>
                <w:szCs w:val="2"/>
                <w:color w:val="auto"/>
              </w:rPr>
            </w:pPr>
          </w:p>
        </w:tc>
      </w:tr>
      <w:tr>
        <w:trPr>
          <w:trHeight w:val="196"/>
        </w:trPr>
        <w:tc>
          <w:tcPr>
            <w:tcW w:w="1020" w:type="dxa"/>
            <w:vAlign w:val="bottom"/>
          </w:tcPr>
          <w:p>
            <w:pPr>
              <w:jc w:val="right"/>
              <w:ind w:right="70"/>
              <w:spacing w:after="0" w:line="196" w:lineRule="exact"/>
              <w:rPr>
                <w:sz w:val="20"/>
                <w:szCs w:val="20"/>
                <w:color w:val="auto"/>
              </w:rPr>
            </w:pPr>
            <w:r>
              <w:rPr>
                <w:rFonts w:ascii="Arial" w:cs="Arial" w:eastAsia="Arial" w:hAnsi="Arial"/>
                <w:sz w:val="18"/>
                <w:szCs w:val="18"/>
                <w:color w:val="auto"/>
              </w:rPr>
              <w:t>99.1</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0" w:type="dxa"/>
            <w:vAlign w:val="bottom"/>
            <w:tcBorders>
              <w:bottom w:val="single" w:sz="8" w:color="0000FF"/>
            </w:tcBorders>
          </w:tcPr>
          <w:p>
            <w:pPr>
              <w:spacing w:after="0" w:line="196" w:lineRule="exact"/>
              <w:rPr>
                <w:rFonts w:ascii="Arial" w:cs="Arial" w:eastAsia="Arial" w:hAnsi="Arial"/>
                <w:sz w:val="18"/>
                <w:szCs w:val="18"/>
                <w:color w:val="0000FF"/>
                <w:w w:val="86"/>
              </w:rPr>
            </w:pPr>
            <w:hyperlink w:anchor="page4">
              <w:r>
                <w:rPr>
                  <w:rFonts w:ascii="Arial" w:cs="Arial" w:eastAsia="Arial" w:hAnsi="Arial"/>
                  <w:sz w:val="18"/>
                  <w:szCs w:val="18"/>
                  <w:color w:val="0000FF"/>
                  <w:w w:val="86"/>
                </w:rPr>
                <w:t>Press Release issued on September 20, 2018</w:t>
              </w:r>
            </w:hyperlink>
          </w:p>
        </w:tc>
        <w:tc>
          <w:tcPr>
            <w:tcW w:w="6580" w:type="dxa"/>
            <w:vAlign w:val="bottom"/>
          </w:tcPr>
          <w:p>
            <w:pPr>
              <w:spacing w:after="0"/>
              <w:rPr>
                <w:sz w:val="17"/>
                <w:szCs w:val="17"/>
                <w:color w:val="auto"/>
              </w:rPr>
            </w:pP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6940" w:type="dxa"/>
            <w:vAlign w:val="bottom"/>
            <w:gridSpan w:val="2"/>
          </w:tcPr>
          <w:p>
            <w:pPr>
              <w:ind w:left="166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300" w:type="dxa"/>
            <w:vAlign w:val="bottom"/>
          </w:tcPr>
          <w:p>
            <w:pPr>
              <w:ind w:left="180"/>
              <w:spacing w:after="0"/>
              <w:rPr>
                <w:sz w:val="20"/>
                <w:szCs w:val="20"/>
                <w:color w:val="auto"/>
              </w:rPr>
            </w:pPr>
            <w:r>
              <w:rPr>
                <w:rFonts w:ascii="Arial" w:cs="Arial" w:eastAsia="Arial" w:hAnsi="Arial"/>
                <w:sz w:val="18"/>
                <w:szCs w:val="18"/>
                <w:color w:val="auto"/>
              </w:rPr>
              <w:t>September 20, 2018</w:t>
            </w:r>
          </w:p>
        </w:tc>
        <w:tc>
          <w:tcPr>
            <w:tcW w:w="2600" w:type="dxa"/>
            <w:vAlign w:val="bottom"/>
          </w:tcPr>
          <w:p>
            <w:pPr>
              <w:ind w:left="166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David A. Zinsner</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600" w:type="dxa"/>
            <w:vAlign w:val="bottom"/>
            <w:vMerge w:val="restart"/>
          </w:tcPr>
          <w:p>
            <w:pPr>
              <w:ind w:left="166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60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2600" w:type="dxa"/>
            <w:vAlign w:val="bottom"/>
          </w:tcPr>
          <w:p>
            <w:pPr>
              <w:ind w:left="166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bl>
    <w:p>
      <w:pPr>
        <w:sectPr>
          <w:pgSz w:w="11900" w:h="16838" w:orient="portrait"/>
          <w:cols w:equalWidth="0" w:num="1">
            <w:col w:w="10860"/>
          </w:cols>
          <w:pgMar w:left="240" w:top="796" w:right="7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700" w:type="dxa"/>
            <w:vAlign w:val="bottom"/>
            <w:gridSpan w:val="3"/>
          </w:tcPr>
          <w:p>
            <w:pPr>
              <w:spacing w:after="0"/>
              <w:rPr>
                <w:sz w:val="20"/>
                <w:szCs w:val="20"/>
                <w:color w:val="auto"/>
              </w:rPr>
            </w:pPr>
            <w:r>
              <w:rPr>
                <w:rFonts w:ascii="Arial" w:cs="Arial" w:eastAsia="Arial" w:hAnsi="Arial"/>
                <w:sz w:val="22"/>
                <w:szCs w:val="22"/>
                <w:b w:val="1"/>
                <w:bCs w:val="1"/>
                <w:color w:val="auto"/>
              </w:rPr>
              <w:t>FOR IMMEDIATE RELEASE</w:t>
            </w: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638"/>
        </w:trPr>
        <w:tc>
          <w:tcPr>
            <w:tcW w:w="3700" w:type="dxa"/>
            <w:vAlign w:val="bottom"/>
            <w:gridSpan w:val="3"/>
          </w:tcPr>
          <w:p>
            <w:pPr>
              <w:ind w:left="40"/>
              <w:spacing w:after="0"/>
              <w:rPr>
                <w:sz w:val="20"/>
                <w:szCs w:val="20"/>
                <w:color w:val="auto"/>
              </w:rPr>
            </w:pPr>
            <w:r>
              <w:rPr>
                <w:rFonts w:ascii="Arial" w:cs="Arial" w:eastAsia="Arial" w:hAnsi="Arial"/>
                <w:sz w:val="22"/>
                <w:szCs w:val="22"/>
                <w:color w:val="auto"/>
                <w:w w:val="87"/>
              </w:rPr>
              <w:t>Contacts:Farhan Ahmad</w:t>
            </w:r>
          </w:p>
        </w:tc>
        <w:tc>
          <w:tcPr>
            <w:tcW w:w="2100" w:type="dxa"/>
            <w:vAlign w:val="bottom"/>
            <w:gridSpan w:val="2"/>
          </w:tcPr>
          <w:p>
            <w:pPr>
              <w:ind w:left="100"/>
              <w:spacing w:after="0"/>
              <w:rPr>
                <w:sz w:val="20"/>
                <w:szCs w:val="20"/>
                <w:color w:val="auto"/>
              </w:rPr>
            </w:pPr>
            <w:r>
              <w:rPr>
                <w:rFonts w:ascii="Arial" w:cs="Arial" w:eastAsia="Arial" w:hAnsi="Arial"/>
                <w:sz w:val="22"/>
                <w:szCs w:val="22"/>
                <w:color w:val="auto"/>
              </w:rPr>
              <w:t>David Oro</w:t>
            </w:r>
          </w:p>
        </w:tc>
      </w:tr>
      <w:tr>
        <w:trPr>
          <w:trHeight w:val="297"/>
        </w:trPr>
        <w:tc>
          <w:tcPr>
            <w:tcW w:w="126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22"/>
                <w:szCs w:val="22"/>
                <w:color w:val="auto"/>
              </w:rPr>
              <w:t>Investor Relations</w:t>
            </w:r>
          </w:p>
        </w:tc>
        <w:tc>
          <w:tcPr>
            <w:tcW w:w="2100" w:type="dxa"/>
            <w:vAlign w:val="bottom"/>
            <w:gridSpan w:val="2"/>
          </w:tcPr>
          <w:p>
            <w:pPr>
              <w:ind w:left="100"/>
              <w:spacing w:after="0"/>
              <w:rPr>
                <w:sz w:val="20"/>
                <w:szCs w:val="20"/>
                <w:color w:val="auto"/>
              </w:rPr>
            </w:pPr>
            <w:r>
              <w:rPr>
                <w:rFonts w:ascii="Arial" w:cs="Arial" w:eastAsia="Arial" w:hAnsi="Arial"/>
                <w:sz w:val="22"/>
                <w:szCs w:val="22"/>
                <w:color w:val="auto"/>
              </w:rPr>
              <w:t>Media Relations</w:t>
            </w:r>
          </w:p>
        </w:tc>
      </w:tr>
      <w:tr>
        <w:trPr>
          <w:trHeight w:val="247"/>
        </w:trPr>
        <w:tc>
          <w:tcPr>
            <w:tcW w:w="1260" w:type="dxa"/>
            <w:vAlign w:val="bottom"/>
          </w:tcPr>
          <w:p>
            <w:pPr>
              <w:spacing w:after="0"/>
              <w:rPr>
                <w:sz w:val="21"/>
                <w:szCs w:val="21"/>
                <w:color w:val="auto"/>
              </w:rPr>
            </w:pPr>
          </w:p>
        </w:tc>
        <w:tc>
          <w:tcPr>
            <w:tcW w:w="2360" w:type="dxa"/>
            <w:vAlign w:val="bottom"/>
            <w:tcBorders>
              <w:bottom w:val="single" w:sz="8" w:color="0000FF"/>
            </w:tcBorders>
          </w:tcPr>
          <w:p>
            <w:pPr>
              <w:spacing w:after="0" w:line="246" w:lineRule="exact"/>
              <w:rPr>
                <w:sz w:val="20"/>
                <w:szCs w:val="20"/>
                <w:color w:val="auto"/>
              </w:rPr>
            </w:pPr>
            <w:r>
              <w:rPr>
                <w:rFonts w:ascii="Arial" w:cs="Arial" w:eastAsia="Arial" w:hAnsi="Arial"/>
                <w:sz w:val="22"/>
                <w:szCs w:val="22"/>
                <w:color w:val="0000FF"/>
                <w:w w:val="88"/>
              </w:rPr>
              <w:t>farhanahmad@micron.com</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Borders>
              <w:bottom w:val="single" w:sz="8" w:color="0000FF"/>
            </w:tcBorders>
          </w:tcPr>
          <w:p>
            <w:pPr>
              <w:spacing w:after="0" w:line="246" w:lineRule="exact"/>
              <w:rPr>
                <w:sz w:val="20"/>
                <w:szCs w:val="20"/>
                <w:color w:val="auto"/>
              </w:rPr>
            </w:pPr>
            <w:r>
              <w:rPr>
                <w:rFonts w:ascii="Arial" w:cs="Arial" w:eastAsia="Arial" w:hAnsi="Arial"/>
                <w:sz w:val="22"/>
                <w:szCs w:val="22"/>
                <w:color w:val="0000FF"/>
                <w:w w:val="89"/>
              </w:rPr>
              <w:t>davidoro@micron.com</w:t>
            </w:r>
          </w:p>
        </w:tc>
      </w:tr>
      <w:tr>
        <w:trPr>
          <w:trHeight w:val="328"/>
        </w:trPr>
        <w:tc>
          <w:tcPr>
            <w:tcW w:w="3620" w:type="dxa"/>
            <w:vAlign w:val="bottom"/>
            <w:gridSpan w:val="2"/>
          </w:tcPr>
          <w:p>
            <w:pPr>
              <w:ind w:left="1260"/>
              <w:spacing w:after="0"/>
              <w:rPr>
                <w:sz w:val="20"/>
                <w:szCs w:val="20"/>
                <w:color w:val="auto"/>
              </w:rPr>
            </w:pPr>
            <w:r>
              <w:rPr>
                <w:rFonts w:ascii="Arial" w:cs="Arial" w:eastAsia="Arial" w:hAnsi="Arial"/>
                <w:sz w:val="22"/>
                <w:szCs w:val="22"/>
                <w:color w:val="auto"/>
              </w:rPr>
              <w:t>(408) 834-1927</w:t>
            </w:r>
          </w:p>
        </w:tc>
        <w:tc>
          <w:tcPr>
            <w:tcW w:w="80" w:type="dxa"/>
            <w:vAlign w:val="bottom"/>
          </w:tcPr>
          <w:p>
            <w:pPr>
              <w:spacing w:after="0"/>
              <w:rPr>
                <w:sz w:val="24"/>
                <w:szCs w:val="24"/>
                <w:color w:val="auto"/>
              </w:rPr>
            </w:pPr>
          </w:p>
        </w:tc>
        <w:tc>
          <w:tcPr>
            <w:tcW w:w="2100" w:type="dxa"/>
            <w:vAlign w:val="bottom"/>
            <w:gridSpan w:val="2"/>
          </w:tcPr>
          <w:p>
            <w:pPr>
              <w:ind w:left="100"/>
              <w:spacing w:after="0"/>
              <w:rPr>
                <w:sz w:val="20"/>
                <w:szCs w:val="20"/>
                <w:color w:val="auto"/>
              </w:rPr>
            </w:pPr>
            <w:r>
              <w:rPr>
                <w:rFonts w:ascii="Arial" w:cs="Arial" w:eastAsia="Arial" w:hAnsi="Arial"/>
                <w:sz w:val="22"/>
                <w:szCs w:val="22"/>
                <w:color w:val="auto"/>
              </w:rPr>
              <w:t>(707) 558-8585</w:t>
            </w:r>
          </w:p>
        </w:tc>
      </w:tr>
    </w:tbl>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MICRON TECHNOLOGY, INC., REPORTS RESULTS FOR THE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FOURTH QUARTER AND FULL YEAR OF FISCAL 2018</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Record FY18 revenue over $30 billion driven by strong execution and diverse demand growth</w:t>
      </w:r>
    </w:p>
    <w:p>
      <w:pPr>
        <w:spacing w:after="0" w:line="254" w:lineRule="exact"/>
        <w:rPr>
          <w:sz w:val="20"/>
          <w:szCs w:val="20"/>
          <w:color w:val="auto"/>
        </w:rPr>
      </w:pPr>
    </w:p>
    <w:p>
      <w:pPr>
        <w:ind w:right="80" w:firstLine="324"/>
        <w:spacing w:after="0" w:line="269" w:lineRule="auto"/>
        <w:rPr>
          <w:sz w:val="20"/>
          <w:szCs w:val="20"/>
          <w:color w:val="auto"/>
        </w:rPr>
      </w:pPr>
      <w:r>
        <w:rPr>
          <w:rFonts w:ascii="Arial" w:cs="Arial" w:eastAsia="Arial" w:hAnsi="Arial"/>
          <w:sz w:val="22"/>
          <w:szCs w:val="22"/>
          <w:b w:val="1"/>
          <w:bCs w:val="1"/>
          <w:color w:val="auto"/>
        </w:rPr>
        <w:t xml:space="preserve">BOISE, Idaho, </w:t>
      </w:r>
      <w:r>
        <w:rPr>
          <w:rFonts w:ascii="Arial" w:cs="Arial" w:eastAsia="Arial" w:hAnsi="Arial"/>
          <w:sz w:val="22"/>
          <w:szCs w:val="22"/>
          <w:color w:val="auto"/>
        </w:rPr>
        <w:t>September 20, 2018 – Micron Technology, Inc., (NASDAQ: MU) today announced results of operations for its</w:t>
      </w:r>
      <w:r>
        <w:rPr>
          <w:rFonts w:ascii="Arial" w:cs="Arial" w:eastAsia="Arial" w:hAnsi="Arial"/>
          <w:sz w:val="22"/>
          <w:szCs w:val="22"/>
          <w:b w:val="1"/>
          <w:bCs w:val="1"/>
          <w:color w:val="auto"/>
        </w:rPr>
        <w:t xml:space="preserve"> </w:t>
      </w:r>
      <w:r>
        <w:rPr>
          <w:rFonts w:ascii="Arial" w:cs="Arial" w:eastAsia="Arial" w:hAnsi="Arial"/>
          <w:sz w:val="22"/>
          <w:szCs w:val="22"/>
          <w:color w:val="auto"/>
        </w:rPr>
        <w:t>fourth quarter and full year of fiscal 2018, which ended August 30, 2018.</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Fiscal Q4 2018 highlights</w:t>
      </w:r>
    </w:p>
    <w:p>
      <w:pPr>
        <w:spacing w:after="0" w:line="28" w:lineRule="exact"/>
        <w:rPr>
          <w:sz w:val="20"/>
          <w:szCs w:val="20"/>
          <w:color w:val="auto"/>
        </w:rPr>
      </w:pPr>
    </w:p>
    <w:p>
      <w:pPr>
        <w:ind w:left="1380" w:hanging="400"/>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Revenues of $8.44 billion, up 38 percent compared with the same period last year</w:t>
      </w:r>
    </w:p>
    <w:p>
      <w:pPr>
        <w:spacing w:after="0" w:line="3" w:lineRule="exact"/>
        <w:rPr>
          <w:rFonts w:ascii="Arial" w:cs="Arial" w:eastAsia="Arial" w:hAnsi="Arial"/>
          <w:sz w:val="22"/>
          <w:szCs w:val="22"/>
          <w:color w:val="auto"/>
        </w:rPr>
      </w:pPr>
    </w:p>
    <w:p>
      <w:pPr>
        <w:ind w:left="1380" w:hanging="400"/>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color w:val="auto"/>
        </w:rPr>
        <w:t>GAAP net income of $4.33 billion, or $3.56 per diluted share</w:t>
      </w:r>
    </w:p>
    <w:p>
      <w:pPr>
        <w:spacing w:after="0" w:line="3" w:lineRule="exact"/>
        <w:rPr>
          <w:rFonts w:ascii="Arial" w:cs="Arial" w:eastAsia="Arial" w:hAnsi="Arial"/>
          <w:sz w:val="22"/>
          <w:szCs w:val="22"/>
          <w:color w:val="auto"/>
        </w:rPr>
      </w:pPr>
    </w:p>
    <w:p>
      <w:pPr>
        <w:ind w:left="1380" w:hanging="400"/>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color w:val="auto"/>
        </w:rPr>
        <w:t>Non-GAAP net income of $4.31 billion, or $3.53 per diluted share</w:t>
      </w:r>
    </w:p>
    <w:p>
      <w:pPr>
        <w:spacing w:after="0" w:line="3" w:lineRule="exact"/>
        <w:rPr>
          <w:rFonts w:ascii="Arial" w:cs="Arial" w:eastAsia="Arial" w:hAnsi="Arial"/>
          <w:sz w:val="22"/>
          <w:szCs w:val="22"/>
          <w:color w:val="auto"/>
        </w:rPr>
      </w:pPr>
    </w:p>
    <w:p>
      <w:pPr>
        <w:ind w:left="1300" w:hanging="320"/>
        <w:spacing w:after="0"/>
        <w:tabs>
          <w:tab w:leader="none" w:pos="1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Operating cash flow of $5.16 billion, compared with $3.20 billion for the same period last year</w:t>
      </w:r>
    </w:p>
    <w:p>
      <w:pPr>
        <w:spacing w:after="0" w:line="3" w:lineRule="exact"/>
        <w:rPr>
          <w:rFonts w:ascii="Arial" w:cs="Arial" w:eastAsia="Arial" w:hAnsi="Arial"/>
          <w:sz w:val="22"/>
          <w:szCs w:val="22"/>
          <w:color w:val="auto"/>
        </w:rPr>
      </w:pPr>
    </w:p>
    <w:p>
      <w:pPr>
        <w:ind w:left="340"/>
        <w:spacing w:after="0"/>
        <w:rPr>
          <w:rFonts w:ascii="Arial" w:cs="Arial" w:eastAsia="Arial" w:hAnsi="Arial"/>
          <w:sz w:val="22"/>
          <w:szCs w:val="22"/>
          <w:color w:val="auto"/>
        </w:rPr>
      </w:pPr>
      <w:r>
        <w:rPr>
          <w:rFonts w:ascii="Arial" w:cs="Arial" w:eastAsia="Arial" w:hAnsi="Arial"/>
          <w:sz w:val="22"/>
          <w:szCs w:val="22"/>
          <w:b w:val="1"/>
          <w:bCs w:val="1"/>
          <w:color w:val="auto"/>
        </w:rPr>
        <w:t>Fiscal 2018 highlights</w:t>
      </w:r>
    </w:p>
    <w:p>
      <w:pPr>
        <w:spacing w:after="0" w:line="3" w:lineRule="exact"/>
        <w:rPr>
          <w:rFonts w:ascii="Arial" w:cs="Arial" w:eastAsia="Arial" w:hAnsi="Arial"/>
          <w:sz w:val="22"/>
          <w:szCs w:val="22"/>
          <w:color w:val="auto"/>
        </w:rPr>
      </w:pPr>
    </w:p>
    <w:p>
      <w:pPr>
        <w:ind w:left="1380" w:hanging="400"/>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Revenues of $30.39 billion, up 50 percent compared with the prior fiscal year</w:t>
      </w:r>
    </w:p>
    <w:p>
      <w:pPr>
        <w:spacing w:after="0" w:line="3" w:lineRule="exact"/>
        <w:rPr>
          <w:rFonts w:ascii="Arial" w:cs="Arial" w:eastAsia="Arial" w:hAnsi="Arial"/>
          <w:sz w:val="22"/>
          <w:szCs w:val="22"/>
          <w:color w:val="auto"/>
        </w:rPr>
      </w:pPr>
    </w:p>
    <w:p>
      <w:pPr>
        <w:ind w:left="1380" w:hanging="400"/>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color w:val="auto"/>
        </w:rPr>
        <w:t>GAAP net income of $14.14 billion, or $11.51 per diluted share</w:t>
      </w:r>
    </w:p>
    <w:p>
      <w:pPr>
        <w:spacing w:after="0" w:line="3" w:lineRule="exact"/>
        <w:rPr>
          <w:rFonts w:ascii="Arial" w:cs="Arial" w:eastAsia="Arial" w:hAnsi="Arial"/>
          <w:sz w:val="22"/>
          <w:szCs w:val="22"/>
          <w:color w:val="auto"/>
        </w:rPr>
      </w:pPr>
    </w:p>
    <w:p>
      <w:pPr>
        <w:ind w:left="1380" w:hanging="400"/>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color w:val="auto"/>
        </w:rPr>
        <w:t>Non-GAAP net income of $14.70 billion, or $11.95 per diluted share</w:t>
      </w:r>
    </w:p>
    <w:p>
      <w:pPr>
        <w:spacing w:after="0" w:line="3" w:lineRule="exact"/>
        <w:rPr>
          <w:rFonts w:ascii="Arial" w:cs="Arial" w:eastAsia="Arial" w:hAnsi="Arial"/>
          <w:sz w:val="22"/>
          <w:szCs w:val="22"/>
          <w:color w:val="auto"/>
        </w:rPr>
      </w:pPr>
    </w:p>
    <w:p>
      <w:pPr>
        <w:ind w:left="1380" w:hanging="400"/>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color w:val="auto"/>
        </w:rPr>
        <w:t>Operating cash flow of $17.40 billion, compared with $8.15 billion for the prior fiscal year</w:t>
      </w:r>
    </w:p>
    <w:p>
      <w:pPr>
        <w:spacing w:after="0" w:line="242" w:lineRule="exact"/>
        <w:rPr>
          <w:sz w:val="20"/>
          <w:szCs w:val="20"/>
          <w:color w:val="auto"/>
        </w:rPr>
      </w:pPr>
    </w:p>
    <w:p>
      <w:pPr>
        <w:ind w:right="40" w:firstLine="324"/>
        <w:spacing w:after="0" w:line="297" w:lineRule="auto"/>
        <w:rPr>
          <w:sz w:val="20"/>
          <w:szCs w:val="20"/>
          <w:color w:val="auto"/>
        </w:rPr>
      </w:pPr>
      <w:r>
        <w:rPr>
          <w:rFonts w:ascii="Arial" w:cs="Arial" w:eastAsia="Arial" w:hAnsi="Arial"/>
          <w:sz w:val="19"/>
          <w:szCs w:val="19"/>
          <w:color w:val="auto"/>
        </w:rPr>
        <w:t>"Micron delivered an exceptional fourth quarter and capped record fiscal year results by becoming the second largest semiconductor company in the U.S.," said Sanjay Mehrotra, President and CEO of Micron Technology. "In the fourth quarter, we set revenue records across all our major markets, from automotive and industrial to mobile and cloud datacenters. The secular and diversified growth drivers in our industry combined with accelerating pace of transformation of the new Micron form a tremendous catalyst for us to create enduring value for our customers and investors in 2019 and the years ahead."</w:t>
      </w:r>
    </w:p>
    <w:p>
      <w:pPr>
        <w:spacing w:after="0" w:line="330" w:lineRule="exact"/>
        <w:rPr>
          <w:sz w:val="20"/>
          <w:szCs w:val="20"/>
          <w:color w:val="auto"/>
        </w:rPr>
      </w:pPr>
    </w:p>
    <w:p>
      <w:pPr>
        <w:ind w:left="1360"/>
        <w:spacing w:after="0"/>
        <w:rPr>
          <w:sz w:val="20"/>
          <w:szCs w:val="20"/>
          <w:color w:val="auto"/>
        </w:rPr>
      </w:pPr>
      <w:r>
        <w:rPr>
          <w:rFonts w:ascii="Arial" w:cs="Arial" w:eastAsia="Arial" w:hAnsi="Arial"/>
          <w:sz w:val="22"/>
          <w:szCs w:val="22"/>
          <w:b w:val="1"/>
          <w:bCs w:val="1"/>
          <w:color w:val="auto"/>
        </w:rPr>
        <w:t>Quarterly Financial Results</w:t>
      </w:r>
    </w:p>
    <w:p>
      <w:pPr>
        <w:spacing w:after="0" w:line="28" w:lineRule="exact"/>
        <w:rPr>
          <w:sz w:val="20"/>
          <w:szCs w:val="20"/>
          <w:color w:val="auto"/>
        </w:rPr>
      </w:pPr>
    </w:p>
    <w:tbl>
      <w:tblPr>
        <w:tblLayout w:type="fixed"/>
        <w:tblInd w:w="1350" w:type="dxa"/>
        <w:tblCellMar>
          <w:top w:w="0" w:type="dxa"/>
          <w:left w:w="0" w:type="dxa"/>
          <w:bottom w:w="0" w:type="dxa"/>
          <w:right w:w="0" w:type="dxa"/>
        </w:tblCellMar>
      </w:tblPr>
      <w:tr>
        <w:trPr>
          <w:trHeight w:val="281"/>
        </w:trPr>
        <w:tc>
          <w:tcPr>
            <w:tcW w:w="3040" w:type="dxa"/>
            <w:vAlign w:val="bottom"/>
            <w:tcBorders>
              <w:top w:val="single" w:sz="8" w:color="auto"/>
              <w:left w:val="single" w:sz="8" w:color="auto"/>
              <w:right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center"/>
              <w:ind w:right="30"/>
              <w:spacing w:after="0" w:line="281" w:lineRule="exact"/>
              <w:rPr>
                <w:sz w:val="20"/>
                <w:szCs w:val="20"/>
                <w:color w:val="auto"/>
              </w:rPr>
            </w:pPr>
            <w:r>
              <w:rPr>
                <w:rFonts w:ascii="Arial" w:cs="Arial" w:eastAsia="Arial" w:hAnsi="Arial"/>
                <w:sz w:val="18"/>
                <w:szCs w:val="18"/>
                <w:b w:val="1"/>
                <w:bCs w:val="1"/>
                <w:color w:val="auto"/>
                <w:w w:val="90"/>
              </w:rPr>
              <w:t xml:space="preserve">GAAP </w:t>
            </w:r>
            <w:r>
              <w:rPr>
                <w:rFonts w:ascii="Arial" w:cs="Arial" w:eastAsia="Arial" w:hAnsi="Arial"/>
                <w:sz w:val="25"/>
                <w:szCs w:val="25"/>
                <w:b w:val="1"/>
                <w:bCs w:val="1"/>
                <w:color w:val="auto"/>
                <w:w w:val="90"/>
                <w:vertAlign w:val="superscript"/>
              </w:rPr>
              <w:t>(1)</w:t>
            </w:r>
          </w:p>
        </w:tc>
        <w:tc>
          <w:tcPr>
            <w:tcW w:w="1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right w:val="single" w:sz="8" w:color="auto"/>
            </w:tcBorders>
          </w:tcPr>
          <w:p>
            <w:pPr>
              <w:spacing w:after="0"/>
              <w:rPr>
                <w:sz w:val="24"/>
                <w:szCs w:val="24"/>
                <w:color w:val="auto"/>
              </w:rPr>
            </w:pPr>
          </w:p>
        </w:tc>
        <w:tc>
          <w:tcPr>
            <w:tcW w:w="120" w:type="dxa"/>
            <w:vAlign w:val="bottom"/>
            <w:tcBorders>
              <w:top w:val="single" w:sz="8" w:color="auto"/>
              <w:bottom w:val="single" w:sz="8" w:color="auto"/>
              <w:right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gridSpan w:val="4"/>
          </w:tcPr>
          <w:p>
            <w:pPr>
              <w:jc w:val="center"/>
              <w:spacing w:after="0" w:line="281" w:lineRule="exact"/>
              <w:rPr>
                <w:sz w:val="20"/>
                <w:szCs w:val="20"/>
                <w:color w:val="auto"/>
              </w:rPr>
            </w:pPr>
            <w:r>
              <w:rPr>
                <w:rFonts w:ascii="Arial" w:cs="Arial" w:eastAsia="Arial" w:hAnsi="Arial"/>
                <w:sz w:val="18"/>
                <w:szCs w:val="18"/>
                <w:b w:val="1"/>
                <w:bCs w:val="1"/>
                <w:color w:val="auto"/>
                <w:w w:val="91"/>
              </w:rPr>
              <w:t xml:space="preserve">Non-GAAP </w:t>
            </w:r>
            <w:r>
              <w:rPr>
                <w:rFonts w:ascii="Arial" w:cs="Arial" w:eastAsia="Arial" w:hAnsi="Arial"/>
                <w:sz w:val="25"/>
                <w:szCs w:val="25"/>
                <w:b w:val="1"/>
                <w:bCs w:val="1"/>
                <w:color w:val="auto"/>
                <w:w w:val="91"/>
                <w:vertAlign w:val="superscript"/>
              </w:rPr>
              <w:t>(2)</w:t>
            </w:r>
          </w:p>
        </w:tc>
        <w:tc>
          <w:tcPr>
            <w:tcW w:w="800" w:type="dxa"/>
            <w:vAlign w:val="bottom"/>
            <w:tcBorders>
              <w:top w:val="single" w:sz="8" w:color="auto"/>
              <w:bottom w:val="single" w:sz="8" w:color="auto"/>
              <w:right w:val="single" w:sz="8" w:color="auto"/>
            </w:tcBorders>
          </w:tcPr>
          <w:p>
            <w:pPr>
              <w:spacing w:after="0"/>
              <w:rPr>
                <w:sz w:val="24"/>
                <w:szCs w:val="24"/>
                <w:color w:val="auto"/>
              </w:rPr>
            </w:pPr>
          </w:p>
        </w:tc>
      </w:tr>
      <w:tr>
        <w:trPr>
          <w:trHeight w:val="237"/>
        </w:trPr>
        <w:tc>
          <w:tcPr>
            <w:tcW w:w="3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auto"/>
                <w:w w:val="96"/>
              </w:rPr>
              <w:t>(in millions, except per share amounts)</w:t>
            </w:r>
          </w:p>
        </w:tc>
        <w:tc>
          <w:tcPr>
            <w:tcW w:w="140" w:type="dxa"/>
            <w:vAlign w:val="bottom"/>
          </w:tcPr>
          <w:p>
            <w:pPr>
              <w:spacing w:after="0"/>
              <w:rPr>
                <w:sz w:val="20"/>
                <w:szCs w:val="20"/>
                <w:color w:val="auto"/>
              </w:rPr>
            </w:pPr>
          </w:p>
        </w:tc>
        <w:tc>
          <w:tcPr>
            <w:tcW w:w="78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FQ4-18</w:t>
            </w:r>
          </w:p>
        </w:tc>
        <w:tc>
          <w:tcPr>
            <w:tcW w:w="120" w:type="dxa"/>
            <w:vAlign w:val="bottom"/>
          </w:tcPr>
          <w:p>
            <w:pPr>
              <w:spacing w:after="0"/>
              <w:rPr>
                <w:sz w:val="20"/>
                <w:szCs w:val="20"/>
                <w:color w:val="auto"/>
              </w:rPr>
            </w:pPr>
          </w:p>
        </w:tc>
        <w:tc>
          <w:tcPr>
            <w:tcW w:w="82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FQ3-18</w:t>
            </w:r>
          </w:p>
        </w:tc>
        <w:tc>
          <w:tcPr>
            <w:tcW w:w="140" w:type="dxa"/>
            <w:vAlign w:val="bottom"/>
          </w:tcPr>
          <w:p>
            <w:pPr>
              <w:spacing w:after="0"/>
              <w:rPr>
                <w:sz w:val="20"/>
                <w:szCs w:val="20"/>
                <w:color w:val="auto"/>
              </w:rPr>
            </w:pPr>
          </w:p>
        </w:tc>
        <w:tc>
          <w:tcPr>
            <w:tcW w:w="80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FQ4-17</w:t>
            </w:r>
          </w:p>
        </w:tc>
        <w:tc>
          <w:tcPr>
            <w:tcW w:w="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8"/>
              </w:rPr>
              <w:t>FQ4-18</w:t>
            </w:r>
          </w:p>
        </w:tc>
        <w:tc>
          <w:tcPr>
            <w:tcW w:w="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FQ3-18</w:t>
            </w:r>
          </w:p>
        </w:tc>
        <w:tc>
          <w:tcPr>
            <w:tcW w:w="140" w:type="dxa"/>
            <w:vAlign w:val="bottom"/>
          </w:tcPr>
          <w:p>
            <w:pPr>
              <w:spacing w:after="0"/>
              <w:rPr>
                <w:sz w:val="20"/>
                <w:szCs w:val="20"/>
                <w:color w:val="auto"/>
              </w:rPr>
            </w:pP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8"/>
              </w:rPr>
              <w:t>FQ4-17</w:t>
            </w:r>
          </w:p>
        </w:tc>
      </w:tr>
      <w:tr>
        <w:trPr>
          <w:trHeight w:val="27"/>
        </w:trPr>
        <w:tc>
          <w:tcPr>
            <w:tcW w:w="30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69"/>
        </w:trPr>
        <w:tc>
          <w:tcPr>
            <w:tcW w:w="304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8,440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7,797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6,138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8,440</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7,797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6,138</w:t>
            </w:r>
          </w:p>
        </w:tc>
      </w:tr>
      <w:tr>
        <w:trPr>
          <w:trHeight w:val="237"/>
        </w:trPr>
        <w:tc>
          <w:tcPr>
            <w:tcW w:w="30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Gross margin</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5,151</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4,723</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3,112</w:t>
            </w:r>
          </w:p>
        </w:tc>
        <w:tc>
          <w:tcPr>
            <w:tcW w:w="1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5,179</w:t>
            </w:r>
          </w:p>
        </w:tc>
        <w:tc>
          <w:tcPr>
            <w:tcW w:w="1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4,750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3,147</w:t>
            </w:r>
          </w:p>
        </w:tc>
      </w:tr>
      <w:tr>
        <w:trPr>
          <w:trHeight w:val="270"/>
        </w:trPr>
        <w:tc>
          <w:tcPr>
            <w:tcW w:w="3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auto"/>
              </w:rPr>
              <w:t>percent of revenue</w:t>
            </w:r>
          </w:p>
        </w:tc>
        <w:tc>
          <w:tcPr>
            <w:tcW w:w="140" w:type="dxa"/>
            <w:vAlign w:val="bottom"/>
          </w:tcPr>
          <w:p>
            <w:pPr>
              <w:spacing w:after="0"/>
              <w:rPr>
                <w:sz w:val="23"/>
                <w:szCs w:val="23"/>
                <w:color w:val="auto"/>
              </w:rPr>
            </w:pPr>
          </w:p>
        </w:tc>
        <w:tc>
          <w:tcPr>
            <w:tcW w:w="78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61.0%</w:t>
            </w:r>
          </w:p>
        </w:tc>
        <w:tc>
          <w:tcPr>
            <w:tcW w:w="120" w:type="dxa"/>
            <w:vAlign w:val="bottom"/>
          </w:tcPr>
          <w:p>
            <w:pPr>
              <w:spacing w:after="0"/>
              <w:rPr>
                <w:sz w:val="23"/>
                <w:szCs w:val="23"/>
                <w:color w:val="auto"/>
              </w:rPr>
            </w:pPr>
          </w:p>
        </w:tc>
        <w:tc>
          <w:tcPr>
            <w:tcW w:w="8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i w:val="1"/>
                <w:iCs w:val="1"/>
                <w:color w:val="auto"/>
                <w:w w:val="93"/>
              </w:rPr>
              <w:t>60.6%</w:t>
            </w:r>
          </w:p>
        </w:tc>
        <w:tc>
          <w:tcPr>
            <w:tcW w:w="140" w:type="dxa"/>
            <w:vAlign w:val="bottom"/>
          </w:tcPr>
          <w:p>
            <w:pPr>
              <w:spacing w:after="0"/>
              <w:rPr>
                <w:sz w:val="23"/>
                <w:szCs w:val="23"/>
                <w:color w:val="auto"/>
              </w:rPr>
            </w:pPr>
          </w:p>
        </w:tc>
        <w:tc>
          <w:tcPr>
            <w:tcW w:w="8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i w:val="1"/>
                <w:iCs w:val="1"/>
                <w:color w:val="auto"/>
              </w:rPr>
              <w:t>50.7%</w:t>
            </w:r>
          </w:p>
        </w:tc>
        <w:tc>
          <w:tcPr>
            <w:tcW w:w="12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i w:val="1"/>
                <w:iCs w:val="1"/>
                <w:color w:val="auto"/>
              </w:rPr>
              <w:t>61.4%</w:t>
            </w:r>
          </w:p>
        </w:tc>
        <w:tc>
          <w:tcPr>
            <w:tcW w:w="12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i w:val="1"/>
                <w:iCs w:val="1"/>
                <w:color w:val="auto"/>
                <w:w w:val="90"/>
              </w:rPr>
              <w:t>60.9%</w:t>
            </w:r>
          </w:p>
        </w:tc>
        <w:tc>
          <w:tcPr>
            <w:tcW w:w="140" w:type="dxa"/>
            <w:vAlign w:val="bottom"/>
          </w:tcPr>
          <w:p>
            <w:pPr>
              <w:spacing w:after="0"/>
              <w:rPr>
                <w:sz w:val="23"/>
                <w:szCs w:val="23"/>
                <w:color w:val="auto"/>
              </w:rPr>
            </w:pPr>
          </w:p>
        </w:tc>
        <w:tc>
          <w:tcPr>
            <w:tcW w:w="80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51.3%</w:t>
            </w:r>
          </w:p>
        </w:tc>
      </w:tr>
      <w:tr>
        <w:trPr>
          <w:trHeight w:val="27"/>
        </w:trPr>
        <w:tc>
          <w:tcPr>
            <w:tcW w:w="30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4,377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3,953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2,502</w:t>
            </w:r>
          </w:p>
        </w:tc>
        <w:tc>
          <w:tcPr>
            <w:tcW w:w="12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12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4,017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2,546</w:t>
            </w:r>
          </w:p>
        </w:tc>
      </w:tr>
      <w:tr>
        <w:trPr>
          <w:trHeight w:val="302"/>
        </w:trPr>
        <w:tc>
          <w:tcPr>
            <w:tcW w:w="304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percent of revenue</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51.9%</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right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i w:val="1"/>
                <w:iCs w:val="1"/>
                <w:color w:val="auto"/>
                <w:w w:val="93"/>
              </w:rPr>
              <w:t>50.7%</w:t>
            </w:r>
          </w:p>
        </w:tc>
        <w:tc>
          <w:tcPr>
            <w:tcW w:w="1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i w:val="1"/>
                <w:iCs w:val="1"/>
                <w:color w:val="auto"/>
              </w:rPr>
              <w:t>40.8%</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52.6%</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right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i w:val="1"/>
                <w:iCs w:val="1"/>
                <w:color w:val="auto"/>
                <w:w w:val="90"/>
              </w:rPr>
              <w:t>51.5%</w:t>
            </w:r>
          </w:p>
        </w:tc>
        <w:tc>
          <w:tcPr>
            <w:tcW w:w="1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41.5%</w:t>
            </w:r>
          </w:p>
        </w:tc>
      </w:tr>
      <w:tr>
        <w:trPr>
          <w:trHeight w:val="237"/>
        </w:trPr>
        <w:tc>
          <w:tcPr>
            <w:tcW w:w="30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Net income attributable to Micron</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4,325</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3,823</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2,368</w:t>
            </w:r>
          </w:p>
        </w:tc>
        <w:tc>
          <w:tcPr>
            <w:tcW w:w="1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4,313</w:t>
            </w:r>
          </w:p>
        </w:tc>
        <w:tc>
          <w:tcPr>
            <w:tcW w:w="1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3,898</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2,386</w:t>
            </w:r>
          </w:p>
        </w:tc>
      </w:tr>
      <w:tr>
        <w:trPr>
          <w:trHeight w:val="270"/>
        </w:trPr>
        <w:tc>
          <w:tcPr>
            <w:tcW w:w="3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3.56</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3.10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1.99</w:t>
            </w:r>
          </w:p>
        </w:tc>
        <w:tc>
          <w:tcPr>
            <w:tcW w:w="120" w:type="dxa"/>
            <w:vAlign w:val="bottom"/>
            <w:tcBorders>
              <w:right w:val="single" w:sz="8" w:color="auto"/>
            </w:tcBorders>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Borders>
              <w:right w:val="single" w:sz="8" w:color="auto"/>
            </w:tcBorders>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3.15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2.02</w:t>
            </w:r>
          </w:p>
        </w:tc>
      </w:tr>
      <w:tr>
        <w:trPr>
          <w:trHeight w:val="27"/>
        </w:trPr>
        <w:tc>
          <w:tcPr>
            <w:tcW w:w="30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20"/>
          </w:cols>
          <w:pgMar w:left="240" w:top="625" w:right="239" w:bottom="1440" w:gutter="0" w:footer="0" w:header="0"/>
        </w:sectPr>
      </w:pPr>
    </w:p>
    <w:bookmarkStart w:id="4" w:name="page5"/>
    <w:bookmarkEnd w:id="4"/>
    <w:p>
      <w:pPr>
        <w:ind w:left="1340"/>
        <w:spacing w:after="0"/>
        <w:rPr>
          <w:sz w:val="20"/>
          <w:szCs w:val="20"/>
          <w:color w:val="auto"/>
        </w:rPr>
      </w:pPr>
      <w:r>
        <w:rPr>
          <w:rFonts w:ascii="Arial" w:cs="Arial" w:eastAsia="Arial" w:hAnsi="Arial"/>
          <w:sz w:val="22"/>
          <w:szCs w:val="22"/>
          <w:b w:val="1"/>
          <w:bCs w:val="1"/>
          <w:color w:val="auto"/>
        </w:rPr>
        <w:t>Annual Financial Results</w:t>
      </w:r>
    </w:p>
    <w:p>
      <w:pPr>
        <w:spacing w:after="0" w:line="28" w:lineRule="exact"/>
        <w:rPr>
          <w:sz w:val="20"/>
          <w:szCs w:val="20"/>
          <w:color w:val="auto"/>
        </w:rPr>
      </w:pPr>
    </w:p>
    <w:tbl>
      <w:tblPr>
        <w:tblLayout w:type="fixed"/>
        <w:tblInd w:w="1330" w:type="dxa"/>
        <w:tblCellMar>
          <w:top w:w="0" w:type="dxa"/>
          <w:left w:w="0" w:type="dxa"/>
          <w:bottom w:w="0" w:type="dxa"/>
          <w:right w:w="0" w:type="dxa"/>
        </w:tblCellMar>
      </w:tblPr>
      <w:tr>
        <w:trPr>
          <w:trHeight w:val="281"/>
        </w:trPr>
        <w:tc>
          <w:tcPr>
            <w:tcW w:w="4020" w:type="dxa"/>
            <w:vAlign w:val="bottom"/>
            <w:tcBorders>
              <w:top w:val="single" w:sz="8" w:color="auto"/>
              <w:left w:val="single" w:sz="8" w:color="auto"/>
              <w:right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760" w:type="dxa"/>
            <w:vAlign w:val="bottom"/>
            <w:tcBorders>
              <w:top w:val="single" w:sz="8" w:color="auto"/>
              <w:bottom w:val="single" w:sz="8" w:color="auto"/>
              <w:right w:val="single" w:sz="8" w:color="auto"/>
            </w:tcBorders>
            <w:gridSpan w:val="3"/>
          </w:tcPr>
          <w:p>
            <w:pPr>
              <w:jc w:val="right"/>
              <w:ind w:right="530"/>
              <w:spacing w:after="0" w:line="281" w:lineRule="exact"/>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25"/>
                <w:szCs w:val="25"/>
                <w:b w:val="1"/>
                <w:bCs w:val="1"/>
                <w:color w:val="auto"/>
                <w:vertAlign w:val="superscript"/>
              </w:rPr>
              <w:t>(1)</w:t>
            </w:r>
          </w:p>
        </w:tc>
        <w:tc>
          <w:tcPr>
            <w:tcW w:w="120" w:type="dxa"/>
            <w:vAlign w:val="bottom"/>
            <w:tcBorders>
              <w:top w:val="single" w:sz="8" w:color="auto"/>
              <w:bottom w:val="single" w:sz="8" w:color="auto"/>
              <w:right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760" w:type="dxa"/>
            <w:vAlign w:val="bottom"/>
            <w:tcBorders>
              <w:top w:val="single" w:sz="8" w:color="auto"/>
              <w:bottom w:val="single" w:sz="8" w:color="auto"/>
              <w:right w:val="single" w:sz="8" w:color="auto"/>
            </w:tcBorders>
            <w:gridSpan w:val="3"/>
          </w:tcPr>
          <w:p>
            <w:pPr>
              <w:jc w:val="right"/>
              <w:ind w:right="350"/>
              <w:spacing w:after="0" w:line="281" w:lineRule="exact"/>
              <w:rPr>
                <w:sz w:val="20"/>
                <w:szCs w:val="20"/>
                <w:color w:val="auto"/>
              </w:rPr>
            </w:pPr>
            <w:r>
              <w:rPr>
                <w:rFonts w:ascii="Arial" w:cs="Arial" w:eastAsia="Arial" w:hAnsi="Arial"/>
                <w:sz w:val="18"/>
                <w:szCs w:val="18"/>
                <w:b w:val="1"/>
                <w:bCs w:val="1"/>
                <w:color w:val="auto"/>
              </w:rPr>
              <w:t xml:space="preserve">Non-GAAP </w:t>
            </w:r>
            <w:r>
              <w:rPr>
                <w:rFonts w:ascii="Arial" w:cs="Arial" w:eastAsia="Arial" w:hAnsi="Arial"/>
                <w:sz w:val="25"/>
                <w:szCs w:val="25"/>
                <w:b w:val="1"/>
                <w:bCs w:val="1"/>
                <w:color w:val="auto"/>
                <w:vertAlign w:val="superscript"/>
              </w:rPr>
              <w:t>(2)</w:t>
            </w:r>
          </w:p>
        </w:tc>
      </w:tr>
      <w:tr>
        <w:trPr>
          <w:trHeight w:val="237"/>
        </w:trPr>
        <w:tc>
          <w:tcPr>
            <w:tcW w:w="4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(in millions, except per share amounts)</w:t>
            </w:r>
          </w:p>
        </w:tc>
        <w:tc>
          <w:tcPr>
            <w:tcW w:w="160" w:type="dxa"/>
            <w:vAlign w:val="bottom"/>
          </w:tcPr>
          <w:p>
            <w:pPr>
              <w:spacing w:after="0"/>
              <w:rPr>
                <w:sz w:val="20"/>
                <w:szCs w:val="20"/>
                <w:color w:val="auto"/>
              </w:rPr>
            </w:pPr>
          </w:p>
        </w:tc>
        <w:tc>
          <w:tcPr>
            <w:tcW w:w="80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FY 18</w:t>
            </w:r>
          </w:p>
        </w:tc>
        <w:tc>
          <w:tcPr>
            <w:tcW w:w="160" w:type="dxa"/>
            <w:vAlign w:val="bottom"/>
          </w:tcPr>
          <w:p>
            <w:pPr>
              <w:spacing w:after="0"/>
              <w:rPr>
                <w:sz w:val="20"/>
                <w:szCs w:val="20"/>
                <w:color w:val="auto"/>
              </w:rPr>
            </w:pPr>
          </w:p>
        </w:tc>
        <w:tc>
          <w:tcPr>
            <w:tcW w:w="80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FY 17</w:t>
            </w:r>
          </w:p>
        </w:tc>
        <w:tc>
          <w:tcPr>
            <w:tcW w:w="1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FY 18</w:t>
            </w:r>
          </w:p>
        </w:tc>
        <w:tc>
          <w:tcPr>
            <w:tcW w:w="160" w:type="dxa"/>
            <w:vAlign w:val="bottom"/>
          </w:tcPr>
          <w:p>
            <w:pPr>
              <w:spacing w:after="0"/>
              <w:rPr>
                <w:sz w:val="20"/>
                <w:szCs w:val="20"/>
                <w:color w:val="auto"/>
              </w:rPr>
            </w:pPr>
          </w:p>
        </w:tc>
        <w:tc>
          <w:tcPr>
            <w:tcW w:w="80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FY 17</w:t>
            </w:r>
          </w:p>
        </w:tc>
      </w:tr>
      <w:tr>
        <w:trPr>
          <w:trHeight w:val="27"/>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69"/>
        </w:trPr>
        <w:tc>
          <w:tcPr>
            <w:tcW w:w="40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30,391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20,322</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30,391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20,322</w:t>
            </w:r>
          </w:p>
        </w:tc>
      </w:tr>
      <w:tr>
        <w:trPr>
          <w:trHeight w:val="237"/>
        </w:trPr>
        <w:tc>
          <w:tcPr>
            <w:tcW w:w="40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Gross margin</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17,891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8,436</w:t>
            </w:r>
          </w:p>
        </w:tc>
        <w:tc>
          <w:tcPr>
            <w:tcW w:w="120" w:type="dxa"/>
            <w:vAlign w:val="bottom"/>
            <w:tcBorders>
              <w:top w:val="single" w:sz="8" w:color="auto"/>
              <w:right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17,994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8,639</w:t>
            </w:r>
          </w:p>
        </w:tc>
      </w:tr>
      <w:tr>
        <w:trPr>
          <w:trHeight w:val="270"/>
        </w:trPr>
        <w:tc>
          <w:tcPr>
            <w:tcW w:w="4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percent of revenue</w:t>
            </w:r>
          </w:p>
        </w:tc>
        <w:tc>
          <w:tcPr>
            <w:tcW w:w="160" w:type="dxa"/>
            <w:vAlign w:val="bottom"/>
          </w:tcPr>
          <w:p>
            <w:pPr>
              <w:spacing w:after="0"/>
              <w:rPr>
                <w:sz w:val="23"/>
                <w:szCs w:val="23"/>
                <w:color w:val="auto"/>
              </w:rPr>
            </w:pPr>
          </w:p>
        </w:tc>
        <w:tc>
          <w:tcPr>
            <w:tcW w:w="8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i w:val="1"/>
                <w:iCs w:val="1"/>
                <w:color w:val="auto"/>
              </w:rPr>
              <w:t>58.9%</w:t>
            </w:r>
          </w:p>
        </w:tc>
        <w:tc>
          <w:tcPr>
            <w:tcW w:w="160" w:type="dxa"/>
            <w:vAlign w:val="bottom"/>
          </w:tcPr>
          <w:p>
            <w:pPr>
              <w:spacing w:after="0"/>
              <w:rPr>
                <w:sz w:val="23"/>
                <w:szCs w:val="23"/>
                <w:color w:val="auto"/>
              </w:rPr>
            </w:pPr>
          </w:p>
        </w:tc>
        <w:tc>
          <w:tcPr>
            <w:tcW w:w="8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i w:val="1"/>
                <w:iCs w:val="1"/>
                <w:color w:val="auto"/>
              </w:rPr>
              <w:t>41.5%</w:t>
            </w:r>
          </w:p>
        </w:tc>
        <w:tc>
          <w:tcPr>
            <w:tcW w:w="12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i w:val="1"/>
                <w:iCs w:val="1"/>
                <w:color w:val="auto"/>
              </w:rPr>
              <w:t>59.2%</w:t>
            </w:r>
          </w:p>
        </w:tc>
        <w:tc>
          <w:tcPr>
            <w:tcW w:w="160" w:type="dxa"/>
            <w:vAlign w:val="bottom"/>
          </w:tcPr>
          <w:p>
            <w:pPr>
              <w:spacing w:after="0"/>
              <w:rPr>
                <w:sz w:val="23"/>
                <w:szCs w:val="23"/>
                <w:color w:val="auto"/>
              </w:rPr>
            </w:pPr>
          </w:p>
        </w:tc>
        <w:tc>
          <w:tcPr>
            <w:tcW w:w="8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i w:val="1"/>
                <w:iCs w:val="1"/>
                <w:color w:val="auto"/>
              </w:rPr>
              <w:t>42.5%</w:t>
            </w:r>
          </w:p>
        </w:tc>
      </w:tr>
      <w:tr>
        <w:trPr>
          <w:trHeight w:val="27"/>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40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14,994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5,868</w:t>
            </w:r>
          </w:p>
        </w:tc>
        <w:tc>
          <w:tcPr>
            <w:tcW w:w="120" w:type="dxa"/>
            <w:vAlign w:val="bottom"/>
            <w:tcBorders>
              <w:right w:val="single" w:sz="8" w:color="auto"/>
            </w:tcBorders>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15,243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6,232</w:t>
            </w:r>
          </w:p>
        </w:tc>
      </w:tr>
      <w:tr>
        <w:trPr>
          <w:trHeight w:val="302"/>
        </w:trPr>
        <w:tc>
          <w:tcPr>
            <w:tcW w:w="40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percent of revenue</w:t>
            </w:r>
          </w:p>
        </w:tc>
        <w:tc>
          <w:tcPr>
            <w:tcW w:w="1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i w:val="1"/>
                <w:iCs w:val="1"/>
                <w:color w:val="auto"/>
              </w:rPr>
              <w:t>49.3%</w:t>
            </w:r>
          </w:p>
        </w:tc>
        <w:tc>
          <w:tcPr>
            <w:tcW w:w="1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i w:val="1"/>
                <w:iCs w:val="1"/>
                <w:color w:val="auto"/>
              </w:rPr>
              <w:t>28.9%</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i w:val="1"/>
                <w:iCs w:val="1"/>
                <w:color w:val="auto"/>
              </w:rPr>
              <w:t>50.2%</w:t>
            </w:r>
          </w:p>
        </w:tc>
        <w:tc>
          <w:tcPr>
            <w:tcW w:w="1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i w:val="1"/>
                <w:iCs w:val="1"/>
                <w:color w:val="auto"/>
              </w:rPr>
              <w:t>30.7%</w:t>
            </w:r>
          </w:p>
        </w:tc>
      </w:tr>
      <w:tr>
        <w:trPr>
          <w:trHeight w:val="237"/>
        </w:trPr>
        <w:tc>
          <w:tcPr>
            <w:tcW w:w="40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Net income attributable to Micron</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14,135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5,089</w:t>
            </w:r>
          </w:p>
        </w:tc>
        <w:tc>
          <w:tcPr>
            <w:tcW w:w="120" w:type="dxa"/>
            <w:vAlign w:val="bottom"/>
            <w:tcBorders>
              <w:top w:val="single" w:sz="8" w:color="auto"/>
              <w:right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14,700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5,648</w:t>
            </w:r>
          </w:p>
        </w:tc>
      </w:tr>
      <w:tr>
        <w:trPr>
          <w:trHeight w:val="270"/>
        </w:trPr>
        <w:tc>
          <w:tcPr>
            <w:tcW w:w="4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Diluted earnings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11.51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4.41</w:t>
            </w:r>
          </w:p>
        </w:tc>
        <w:tc>
          <w:tcPr>
            <w:tcW w:w="120" w:type="dxa"/>
            <w:vAlign w:val="bottom"/>
            <w:tcBorders>
              <w:right w:val="single" w:sz="8" w:color="auto"/>
            </w:tcBorders>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11.95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4.96</w:t>
            </w:r>
          </w:p>
        </w:tc>
      </w:tr>
      <w:tr>
        <w:trPr>
          <w:trHeight w:val="27"/>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bl>
    <w:p>
      <w:pPr>
        <w:spacing w:after="0" w:line="208" w:lineRule="exact"/>
        <w:rPr>
          <w:sz w:val="20"/>
          <w:szCs w:val="20"/>
          <w:color w:val="auto"/>
        </w:rPr>
      </w:pPr>
    </w:p>
    <w:p>
      <w:pPr>
        <w:ind w:right="380" w:firstLine="324"/>
        <w:spacing w:after="0" w:line="312" w:lineRule="auto"/>
        <w:rPr>
          <w:sz w:val="20"/>
          <w:szCs w:val="20"/>
          <w:color w:val="auto"/>
        </w:rPr>
      </w:pPr>
      <w:r>
        <w:rPr>
          <w:rFonts w:ascii="Arial" w:cs="Arial" w:eastAsia="Arial" w:hAnsi="Arial"/>
          <w:sz w:val="19"/>
          <w:szCs w:val="19"/>
          <w:color w:val="auto"/>
        </w:rPr>
        <w:t>Revenues for the fourth quarter of 2018 were 8 percent higher compared to the third quarter of 2018, reflecting increased demand broadly across our products and end markets. Our overall gross margin was 61.0 percent for the fourth quarter of 2018 compared to 60.6 percent in the third quarter benefiting from strong execution across our product portfolio.</w:t>
      </w:r>
    </w:p>
    <w:p>
      <w:pPr>
        <w:spacing w:after="0" w:line="174" w:lineRule="exact"/>
        <w:rPr>
          <w:sz w:val="20"/>
          <w:szCs w:val="20"/>
          <w:color w:val="auto"/>
        </w:rPr>
      </w:pPr>
    </w:p>
    <w:p>
      <w:pPr>
        <w:ind w:right="80" w:firstLine="324"/>
        <w:spacing w:after="0" w:line="235" w:lineRule="auto"/>
        <w:rPr>
          <w:sz w:val="20"/>
          <w:szCs w:val="20"/>
          <w:color w:val="auto"/>
        </w:rPr>
      </w:pPr>
      <w:r>
        <w:rPr>
          <w:rFonts w:ascii="Arial" w:cs="Arial" w:eastAsia="Arial" w:hAnsi="Arial"/>
          <w:sz w:val="22"/>
          <w:szCs w:val="22"/>
          <w:color w:val="auto"/>
        </w:rPr>
        <w:t>Investments in capital expenditures, net of amounts funded by partners, were $2.06 billion for the fourth quarter of 2018 and $8.20 billion for the full year of 2018, which resulted in adjusted free cash flows</w:t>
      </w:r>
      <w:r>
        <w:rPr>
          <w:rFonts w:ascii="Arial" w:cs="Arial" w:eastAsia="Arial" w:hAnsi="Arial"/>
          <w:sz w:val="28"/>
          <w:szCs w:val="28"/>
          <w:color w:val="auto"/>
          <w:vertAlign w:val="superscript"/>
        </w:rPr>
        <w:t>(3)</w:t>
      </w:r>
      <w:r>
        <w:rPr>
          <w:rFonts w:ascii="Arial" w:cs="Arial" w:eastAsia="Arial" w:hAnsi="Arial"/>
          <w:sz w:val="22"/>
          <w:szCs w:val="22"/>
          <w:color w:val="auto"/>
        </w:rPr>
        <w:t xml:space="preserve"> of $3.09 billion for the fourth quarter of 2018 and $9.20 billion for the full year of 2018. We repurchased or converted $2.23 billion principal amount of our debt during the quarter and $6.96 billion for the full year of 2018, lowering our total carrying value of debt to $4.64 billion exiting the fiscal year. We ended the fourth quarter in a record net cash position of $2.72 billion with cash, marketable investments, and restricted cash of $7.36 billion.</w:t>
      </w:r>
    </w:p>
    <w:p>
      <w:pPr>
        <w:spacing w:after="0" w:line="242" w:lineRule="exact"/>
        <w:rPr>
          <w:sz w:val="20"/>
          <w:szCs w:val="20"/>
          <w:color w:val="auto"/>
        </w:rPr>
      </w:pPr>
    </w:p>
    <w:p>
      <w:pPr>
        <w:ind w:right="460" w:firstLine="324"/>
        <w:spacing w:after="0" w:line="247" w:lineRule="auto"/>
        <w:rPr>
          <w:sz w:val="20"/>
          <w:szCs w:val="20"/>
          <w:color w:val="auto"/>
        </w:rPr>
      </w:pPr>
      <w:r>
        <w:rPr>
          <w:rFonts w:ascii="Arial" w:cs="Arial" w:eastAsia="Arial" w:hAnsi="Arial"/>
          <w:sz w:val="22"/>
          <w:szCs w:val="22"/>
          <w:color w:val="auto"/>
        </w:rPr>
        <w:t xml:space="preserve">We will host a conference call on Thursday, September 20, 2018 at 2:30 p.m. MT to discuss our financial results. The call, audio, and slides will be available online at </w:t>
      </w:r>
      <w:r>
        <w:rPr>
          <w:rFonts w:ascii="Arial" w:cs="Arial" w:eastAsia="Arial" w:hAnsi="Arial"/>
          <w:sz w:val="22"/>
          <w:szCs w:val="22"/>
          <w:u w:val="single" w:color="auto"/>
          <w:color w:val="006EBF"/>
        </w:rPr>
        <w:t>investors.micron.com</w:t>
      </w:r>
      <w:r>
        <w:rPr>
          <w:rFonts w:ascii="Arial" w:cs="Arial" w:eastAsia="Arial" w:hAnsi="Arial"/>
          <w:sz w:val="22"/>
          <w:szCs w:val="22"/>
          <w:color w:val="auto"/>
        </w:rPr>
        <w:t xml:space="preserve">. A webcast replay will be available on our website until September 20, 2019. A taped audio replay of the conference call will also be available at 1-404-537-3406 or 1-855-859-2056 (conference number: 5685754) beginning at 5:30 p.m. MT, Thursday, September 20, 2018 and continuing through Thursday, September 27, 2018. For Investor Relations and other company updates, follow @MicronTech on Twitter at </w:t>
      </w:r>
      <w:r>
        <w:rPr>
          <w:rFonts w:ascii="Arial" w:cs="Arial" w:eastAsia="Arial" w:hAnsi="Arial"/>
          <w:sz w:val="22"/>
          <w:szCs w:val="22"/>
          <w:u w:val="single" w:color="auto"/>
          <w:color w:val="006EBF"/>
        </w:rPr>
        <w:t>twitter.com/MicronTech</w:t>
      </w:r>
      <w:r>
        <w:rPr>
          <w:rFonts w:ascii="Arial" w:cs="Arial" w:eastAsia="Arial" w:hAnsi="Arial"/>
          <w:sz w:val="22"/>
          <w:szCs w:val="22"/>
          <w:color w:val="000000"/>
        </w:rPr>
        <w:t>.</w:t>
      </w:r>
    </w:p>
    <w:p>
      <w:pPr>
        <w:spacing w:after="0" w:line="234" w:lineRule="exact"/>
        <w:rPr>
          <w:sz w:val="20"/>
          <w:szCs w:val="20"/>
          <w:color w:val="auto"/>
        </w:rPr>
      </w:pPr>
    </w:p>
    <w:p>
      <w:pPr>
        <w:ind w:firstLine="324"/>
        <w:spacing w:after="0" w:line="266" w:lineRule="auto"/>
        <w:rPr>
          <w:sz w:val="20"/>
          <w:szCs w:val="20"/>
          <w:color w:val="auto"/>
        </w:rPr>
      </w:pPr>
      <w:r>
        <w:rPr>
          <w:rFonts w:ascii="Arial" w:cs="Arial" w:eastAsia="Arial" w:hAnsi="Arial"/>
          <w:sz w:val="21"/>
          <w:szCs w:val="21"/>
          <w:color w:val="auto"/>
        </w:rPr>
        <w:t xml:space="preserve">We are an industry leader in innovative memory and storage solutions. Through our global brands </w:t>
      </w:r>
      <w:r>
        <w:rPr>
          <w:rFonts w:ascii="Arial" w:cs="Arial" w:eastAsia="Arial" w:hAnsi="Arial"/>
          <w:sz w:val="17"/>
          <w:szCs w:val="17"/>
          <w:color w:val="auto"/>
        </w:rPr>
        <w:t>–</w:t>
      </w:r>
      <w:r>
        <w:rPr>
          <w:rFonts w:ascii="Arial" w:cs="Arial" w:eastAsia="Arial" w:hAnsi="Arial"/>
          <w:sz w:val="21"/>
          <w:szCs w:val="21"/>
          <w:color w:val="auto"/>
        </w:rPr>
        <w:t xml:space="preserve"> Micron®, Crucial® and Ballistix® </w:t>
      </w:r>
      <w:r>
        <w:rPr>
          <w:rFonts w:ascii="Arial" w:cs="Arial" w:eastAsia="Arial" w:hAnsi="Arial"/>
          <w:sz w:val="17"/>
          <w:szCs w:val="17"/>
          <w:color w:val="auto"/>
        </w:rPr>
        <w:t>–</w:t>
      </w:r>
      <w:r>
        <w:rPr>
          <w:rFonts w:ascii="Arial" w:cs="Arial" w:eastAsia="Arial" w:hAnsi="Arial"/>
          <w:sz w:val="21"/>
          <w:szCs w:val="21"/>
          <w:color w:val="auto"/>
        </w:rPr>
        <w:t xml:space="preserve"> our broad portfolio of high-performance memory and storage technologies, including DRAM, NAND, NOR Flash and 3D XPoint™ memory, is transforming how the world uses information to enrich life. Backed by 40 years of technology leadership, our memory and storage solutions enable disruptive trends, including artificial intelligence, machine learning, and autonomous vehicles, in key market segments like cloud, data center, networking and mobile. Our common stock is traded on the NASDAQ under the MU symbol. To learn more about Micron Technology, Inc., visit </w:t>
      </w:r>
      <w:r>
        <w:rPr>
          <w:rFonts w:ascii="Arial" w:cs="Arial" w:eastAsia="Arial" w:hAnsi="Arial"/>
          <w:sz w:val="21"/>
          <w:szCs w:val="21"/>
          <w:u w:val="single" w:color="auto"/>
          <w:color w:val="006EBF"/>
        </w:rPr>
        <w:t>micron.com</w:t>
      </w:r>
      <w:r>
        <w:rPr>
          <w:rFonts w:ascii="Arial" w:cs="Arial" w:eastAsia="Arial" w:hAnsi="Arial"/>
          <w:sz w:val="21"/>
          <w:szCs w:val="21"/>
          <w:color w:val="auto"/>
        </w:rPr>
        <w:t>.</w:t>
      </w:r>
    </w:p>
    <w:p>
      <w:pPr>
        <w:spacing w:after="0" w:line="217" w:lineRule="exact"/>
        <w:rPr>
          <w:sz w:val="20"/>
          <w:szCs w:val="20"/>
          <w:color w:val="auto"/>
        </w:rPr>
      </w:pPr>
    </w:p>
    <w:p>
      <w:pPr>
        <w:ind w:right="140" w:firstLine="324"/>
        <w:spacing w:after="0" w:line="263" w:lineRule="auto"/>
        <w:rPr>
          <w:sz w:val="20"/>
          <w:szCs w:val="20"/>
          <w:color w:val="auto"/>
        </w:rPr>
      </w:pPr>
      <w:r>
        <w:rPr>
          <w:rFonts w:ascii="Arial" w:cs="Arial" w:eastAsia="Arial" w:hAnsi="Arial"/>
          <w:sz w:val="22"/>
          <w:szCs w:val="22"/>
          <w:i w:val="1"/>
          <w:iCs w:val="1"/>
          <w:color w:val="auto"/>
        </w:rPr>
        <w:t>The Micron logo and Micron symbol are trademarks of Micron Technology, Inc. All other trademarks are the property of their respective owners.</w:t>
      </w:r>
    </w:p>
    <w:p>
      <w:pPr>
        <w:spacing w:after="0" w:line="215" w:lineRule="exact"/>
        <w:rPr>
          <w:sz w:val="20"/>
          <w:szCs w:val="20"/>
          <w:color w:val="auto"/>
        </w:rPr>
      </w:pPr>
    </w:p>
    <w:p>
      <w:pPr>
        <w:ind w:right="100" w:firstLine="324"/>
        <w:spacing w:after="0" w:line="250" w:lineRule="auto"/>
        <w:rPr>
          <w:sz w:val="20"/>
          <w:szCs w:val="20"/>
          <w:color w:val="auto"/>
        </w:rPr>
      </w:pPr>
      <w:r>
        <w:rPr>
          <w:rFonts w:ascii="Arial" w:cs="Arial" w:eastAsia="Arial" w:hAnsi="Arial"/>
          <w:sz w:val="22"/>
          <w:szCs w:val="22"/>
          <w:i w:val="1"/>
          <w:iCs w:val="1"/>
          <w:color w:val="auto"/>
        </w:rPr>
        <w:t>This press release contains forward-looking statements regarding the industry and our strategic position and financial results. These forward-looking statements are subject to a number of risks and uncertainties that could cause actual results to differ materially. Please refer to the documents we file with the Securities and Exchange Commission, specifically our most recent Form 10-K and Form 10-Q. These</w:t>
      </w:r>
    </w:p>
    <w:p>
      <w:pPr>
        <w:sectPr>
          <w:pgSz w:w="11900" w:h="16838" w:orient="portrait"/>
          <w:cols w:equalWidth="0" w:num="1">
            <w:col w:w="11360"/>
          </w:cols>
          <w:pgMar w:left="240" w:top="774" w:right="299" w:bottom="1440" w:gutter="0" w:footer="0" w:header="0"/>
        </w:sectPr>
      </w:pPr>
    </w:p>
    <w:bookmarkStart w:id="5" w:name="page6"/>
    <w:bookmarkEnd w:id="5"/>
    <w:p>
      <w:pPr>
        <w:ind w:right="40"/>
        <w:spacing w:after="0" w:line="263" w:lineRule="auto"/>
        <w:rPr>
          <w:sz w:val="20"/>
          <w:szCs w:val="20"/>
          <w:color w:val="auto"/>
        </w:rPr>
      </w:pPr>
      <w:r>
        <w:rPr>
          <w:rFonts w:ascii="Arial" w:cs="Arial" w:eastAsia="Arial" w:hAnsi="Arial"/>
          <w:sz w:val="21"/>
          <w:szCs w:val="21"/>
          <w:i w:val="1"/>
          <w:iCs w:val="1"/>
          <w:color w:val="auto"/>
        </w:rPr>
        <w:t xml:space="preserve">documents contain and identify important factors that could cause our actual results to differ materially from those contained in these forward-looking statements. These certain factors can be found at </w:t>
      </w:r>
      <w:r>
        <w:rPr>
          <w:rFonts w:ascii="Arial" w:cs="Arial" w:eastAsia="Arial" w:hAnsi="Arial"/>
          <w:sz w:val="21"/>
          <w:szCs w:val="21"/>
          <w:i w:val="1"/>
          <w:iCs w:val="1"/>
          <w:u w:val="single" w:color="auto"/>
          <w:color w:val="006EBF"/>
        </w:rPr>
        <w:t>www.micron.com/certainfactors</w:t>
      </w:r>
      <w:r>
        <w:rPr>
          <w:rFonts w:ascii="Arial" w:cs="Arial" w:eastAsia="Arial" w:hAnsi="Arial"/>
          <w:sz w:val="21"/>
          <w:szCs w:val="21"/>
          <w:i w:val="1"/>
          <w:iCs w:val="1"/>
          <w:color w:val="auto"/>
        </w:rPr>
        <w:t>. Although we believe that the expectations reflected in the forward-looking statements are reasonable, we cannot guarantee future results, levels of activity, performance, or achievements. We are under no duty to update any of the forward-looking statements after the date of this release to conform these statements to actual results.</w:t>
      </w:r>
    </w:p>
    <w:p>
      <w:pPr>
        <w:spacing w:after="0" w:line="181" w:lineRule="exact"/>
        <w:rPr>
          <w:sz w:val="20"/>
          <w:szCs w:val="20"/>
          <w:color w:val="auto"/>
        </w:rPr>
      </w:pPr>
    </w:p>
    <w:p>
      <w:pPr>
        <w:ind w:left="560" w:hanging="228"/>
        <w:spacing w:after="0"/>
        <w:tabs>
          <w:tab w:leader="none" w:pos="560" w:val="left"/>
        </w:tabs>
        <w:numPr>
          <w:ilvl w:val="0"/>
          <w:numId w:val="3"/>
        </w:numPr>
        <w:rPr>
          <w:rFonts w:ascii="Arial" w:cs="Arial" w:eastAsia="Arial" w:hAnsi="Arial"/>
          <w:sz w:val="27"/>
          <w:szCs w:val="27"/>
          <w:i w:val="1"/>
          <w:iCs w:val="1"/>
          <w:color w:val="auto"/>
          <w:vertAlign w:val="superscript"/>
        </w:rPr>
      </w:pPr>
      <w:r>
        <w:rPr>
          <w:rFonts w:ascii="Arial" w:cs="Arial" w:eastAsia="Arial" w:hAnsi="Arial"/>
          <w:sz w:val="20"/>
          <w:szCs w:val="20"/>
          <w:i w:val="1"/>
          <w:iCs w:val="1"/>
          <w:color w:val="auto"/>
        </w:rPr>
        <w:t>GAAP represents U.S. Generally Accepted Accounting Principles.</w:t>
      </w:r>
    </w:p>
    <w:p>
      <w:pPr>
        <w:ind w:firstLine="332"/>
        <w:spacing w:after="0" w:line="258" w:lineRule="auto"/>
        <w:tabs>
          <w:tab w:leader="none" w:pos="546" w:val="left"/>
        </w:tabs>
        <w:numPr>
          <w:ilvl w:val="0"/>
          <w:numId w:val="3"/>
        </w:numPr>
        <w:rPr>
          <w:rFonts w:ascii="Arial" w:cs="Arial" w:eastAsia="Arial" w:hAnsi="Arial"/>
          <w:sz w:val="26"/>
          <w:szCs w:val="26"/>
          <w:i w:val="1"/>
          <w:iCs w:val="1"/>
          <w:color w:val="auto"/>
          <w:vertAlign w:val="superscript"/>
        </w:rPr>
      </w:pPr>
      <w:r>
        <w:rPr>
          <w:rFonts w:ascii="Arial" w:cs="Arial" w:eastAsia="Arial" w:hAnsi="Arial"/>
          <w:sz w:val="19"/>
          <w:szCs w:val="19"/>
          <w:i w:val="1"/>
          <w:iCs w:val="1"/>
          <w:color w:val="auto"/>
        </w:rPr>
        <w:t>Non-GAAP represents GAAP excluding the impact of certain activities which our management excludes in analyzing our operating results and understanding trends in our earnings. Non-GAAP also includes the impact on shares used in per share calculations of our outstanding capped call transactions and from the exclusion of stock-based compensation. For a reconciliation of GAAP to non-GAAP results, see the accompanying financial tables and footnotes.</w:t>
      </w:r>
    </w:p>
    <w:p>
      <w:pPr>
        <w:ind w:right="160" w:firstLine="332"/>
        <w:spacing w:after="0" w:line="255" w:lineRule="auto"/>
        <w:tabs>
          <w:tab w:leader="none" w:pos="546" w:val="left"/>
        </w:tabs>
        <w:numPr>
          <w:ilvl w:val="0"/>
          <w:numId w:val="3"/>
        </w:numPr>
        <w:rPr>
          <w:rFonts w:ascii="Arial" w:cs="Arial" w:eastAsia="Arial" w:hAnsi="Arial"/>
          <w:sz w:val="26"/>
          <w:szCs w:val="26"/>
          <w:i w:val="1"/>
          <w:iCs w:val="1"/>
          <w:color w:val="auto"/>
          <w:vertAlign w:val="superscript"/>
        </w:rPr>
      </w:pPr>
      <w:r>
        <w:rPr>
          <w:rFonts w:ascii="Arial" w:cs="Arial" w:eastAsia="Arial" w:hAnsi="Arial"/>
          <w:sz w:val="19"/>
          <w:szCs w:val="19"/>
          <w:i w:val="1"/>
          <w:iCs w:val="1"/>
          <w:color w:val="auto"/>
        </w:rPr>
        <w:t>Adjusted free cash flow consists of cash provided by operating activities of $5.16 billion for the fourth quarter of 2018 and $17.40 billion for the full year of 2018 less investments in capital expenditures, net of amounts funded by partners, for the respective periods.</w:t>
      </w:r>
    </w:p>
    <w:p>
      <w:pPr>
        <w:sectPr>
          <w:pgSz w:w="11900" w:h="16838" w:orient="portrait"/>
          <w:cols w:equalWidth="0" w:num="1">
            <w:col w:w="11320"/>
          </w:cols>
          <w:pgMar w:left="240" w:top="631" w:right="339" w:bottom="1440" w:gutter="0" w:footer="0" w:header="0"/>
        </w:sectPr>
      </w:pPr>
    </w:p>
    <w:bookmarkStart w:id="6" w:name="page7"/>
    <w:bookmarkEnd w:id="6"/>
    <w:p>
      <w:pPr>
        <w:jc w:val="center"/>
        <w:ind w:left="340"/>
        <w:spacing w:after="0"/>
        <w:rPr>
          <w:sz w:val="20"/>
          <w:szCs w:val="20"/>
          <w:color w:val="auto"/>
        </w:rPr>
      </w:pPr>
      <w:r>
        <w:rPr>
          <w:rFonts w:ascii="Arial" w:cs="Arial" w:eastAsia="Arial" w:hAnsi="Arial"/>
          <w:sz w:val="22"/>
          <w:szCs w:val="22"/>
          <w:b w:val="1"/>
          <w:bCs w:val="1"/>
          <w:color w:val="auto"/>
        </w:rPr>
        <w:t>MICRON TECHNOLOGY, INC.</w:t>
      </w:r>
    </w:p>
    <w:p>
      <w:pPr>
        <w:spacing w:after="0" w:line="28"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CONSOLIDATED FINANCIAL SUMMARY</w:t>
      </w:r>
    </w:p>
    <w:p>
      <w:pPr>
        <w:spacing w:after="0" w:line="4"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(in millions except per share amounts)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25"/>
                <w:szCs w:val="25"/>
                <w:b w:val="1"/>
                <w:bCs w:val="1"/>
                <w:color w:val="auto"/>
                <w:vertAlign w:val="superscript"/>
              </w:rPr>
              <w:t>th</w:t>
            </w:r>
            <w:r>
              <w:rPr>
                <w:rFonts w:ascii="Arial" w:cs="Arial" w:eastAsia="Arial" w:hAnsi="Arial"/>
                <w:sz w:val="18"/>
                <w:szCs w:val="18"/>
                <w:b w:val="1"/>
                <w:bCs w:val="1"/>
                <w:color w:val="auto"/>
              </w:rPr>
              <w:t xml:space="preserve"> Qtr.</w:t>
            </w:r>
          </w:p>
        </w:tc>
        <w:tc>
          <w:tcPr>
            <w:tcW w:w="22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3</w:t>
            </w:r>
            <w:r>
              <w:rPr>
                <w:rFonts w:ascii="Arial" w:cs="Arial" w:eastAsia="Arial" w:hAnsi="Arial"/>
                <w:sz w:val="25"/>
                <w:szCs w:val="25"/>
                <w:b w:val="1"/>
                <w:bCs w:val="1"/>
                <w:color w:val="auto"/>
                <w:w w:val="87"/>
                <w:vertAlign w:val="superscript"/>
              </w:rPr>
              <w:t>rd</w:t>
            </w:r>
            <w:r>
              <w:rPr>
                <w:rFonts w:ascii="Arial" w:cs="Arial" w:eastAsia="Arial" w:hAnsi="Arial"/>
                <w:sz w:val="18"/>
                <w:szCs w:val="18"/>
                <w:b w:val="1"/>
                <w:bCs w:val="1"/>
                <w:color w:val="auto"/>
                <w:w w:val="87"/>
              </w:rPr>
              <w:t xml:space="preserve"> Qtr.</w:t>
            </w:r>
          </w:p>
        </w:tc>
        <w:tc>
          <w:tcPr>
            <w:tcW w:w="18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25"/>
                <w:szCs w:val="25"/>
                <w:b w:val="1"/>
                <w:bCs w:val="1"/>
                <w:color w:val="auto"/>
                <w:vertAlign w:val="superscript"/>
              </w:rPr>
              <w:t>th</w:t>
            </w:r>
            <w:r>
              <w:rPr>
                <w:rFonts w:ascii="Arial" w:cs="Arial" w:eastAsia="Arial" w:hAnsi="Arial"/>
                <w:sz w:val="18"/>
                <w:szCs w:val="18"/>
                <w:b w:val="1"/>
                <w:bCs w:val="1"/>
                <w:color w:val="auto"/>
              </w:rPr>
              <w:t xml:space="preserve"> Qtr.</w:t>
            </w:r>
          </w:p>
        </w:tc>
        <w:tc>
          <w:tcPr>
            <w:tcW w:w="180" w:type="dxa"/>
            <w:vAlign w:val="bottom"/>
          </w:tcPr>
          <w:p>
            <w:pPr>
              <w:spacing w:after="0"/>
              <w:rPr>
                <w:sz w:val="24"/>
                <w:szCs w:val="24"/>
                <w:color w:val="auto"/>
              </w:rPr>
            </w:pPr>
          </w:p>
        </w:tc>
        <w:tc>
          <w:tcPr>
            <w:tcW w:w="266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Year Ended</w:t>
            </w:r>
          </w:p>
        </w:tc>
      </w:tr>
      <w:tr>
        <w:trPr>
          <w:trHeight w:val="216"/>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30,</w:t>
            </w:r>
          </w:p>
        </w:tc>
        <w:tc>
          <w:tcPr>
            <w:tcW w:w="22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May 31,</w:t>
            </w:r>
          </w:p>
        </w:tc>
        <w:tc>
          <w:tcPr>
            <w:tcW w:w="18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August 31,</w:t>
            </w: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30,</w:t>
            </w:r>
          </w:p>
        </w:tc>
        <w:tc>
          <w:tcPr>
            <w:tcW w:w="18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August 31,</w:t>
            </w:r>
          </w:p>
        </w:tc>
      </w:tr>
      <w:tr>
        <w:trPr>
          <w:trHeight w:val="234"/>
        </w:trPr>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20,322</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3,026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11,886</w:t>
            </w: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8,436</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743</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1,824</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 operating (income) expense, net</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5,868</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(560)</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non-operating income (expense), net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70"/>
        </w:trPr>
        <w:tc>
          <w:tcPr>
            <w:tcW w:w="42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Income tax (provision) benefit </w:t>
            </w:r>
            <w:r>
              <w:rPr>
                <w:rFonts w:ascii="Arial" w:cs="Arial" w:eastAsia="Arial" w:hAnsi="Arial"/>
                <w:sz w:val="25"/>
                <w:szCs w:val="25"/>
                <w:color w:val="auto"/>
                <w:vertAlign w:val="superscript"/>
              </w:rPr>
              <w:t>(2)</w:t>
            </w: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Equity in net income (loss) of equity method investees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Micron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5,089</w:t>
            </w: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84"/>
        </w:trPr>
        <w:tc>
          <w:tcPr>
            <w:tcW w:w="4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4.67</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r>
      <w:tr>
        <w:trPr>
          <w:trHeight w:val="297"/>
        </w:trPr>
        <w:tc>
          <w:tcPr>
            <w:tcW w:w="4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shares used in per share calculations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1,089</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4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1,154</w:t>
            </w:r>
          </w:p>
        </w:tc>
      </w:tr>
      <w:tr>
        <w:trPr>
          <w:trHeight w:val="27"/>
        </w:trPr>
        <w:tc>
          <w:tcPr>
            <w:tcW w:w="4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625"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CONSOLIDATED FINANCIAL SUMMARY, Continued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30,</w:t>
            </w: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31,</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31,</w:t>
            </w:r>
          </w:p>
        </w:tc>
      </w:tr>
      <w:tr>
        <w:trPr>
          <w:trHeight w:val="234"/>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22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short-term investments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5,428</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Receivables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5,478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3,759</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3,123</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16,039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15,499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12,457</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marketable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23,672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22,705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19,431</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43,376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41,845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35,336</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6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4,611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3,664</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7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Current debt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1,262</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5,754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5,883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5,334</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7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3,777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5,890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9,872</w:t>
            </w:r>
          </w:p>
        </w:tc>
      </w:tr>
      <w:tr>
        <w:trPr>
          <w:trHeight w:val="297"/>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67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Total Micron shareholders' equity </w:t>
            </w:r>
            <w:r>
              <w:rPr>
                <w:rFonts w:ascii="Arial" w:cs="Arial" w:eastAsia="Arial" w:hAnsi="Arial"/>
                <w:sz w:val="25"/>
                <w:szCs w:val="25"/>
                <w:color w:val="auto"/>
                <w:vertAlign w:val="superscript"/>
              </w:rPr>
              <w:t>(3)</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32,294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28,649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18,621</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Noncontrolling interests in subsidiaries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849</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33,164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29,518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19,470</w:t>
            </w:r>
          </w:p>
        </w:tc>
      </w:tr>
      <w:tr>
        <w:trPr>
          <w:trHeight w:val="27"/>
        </w:trPr>
        <w:tc>
          <w:tcPr>
            <w:tcW w:w="6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4"/>
          </w:tcPr>
          <w:p>
            <w:pPr>
              <w:jc w:val="right"/>
              <w:ind w:right="970"/>
              <w:spacing w:after="0"/>
              <w:rPr>
                <w:sz w:val="20"/>
                <w:szCs w:val="20"/>
                <w:color w:val="auto"/>
              </w:rPr>
            </w:pPr>
            <w:r>
              <w:rPr>
                <w:rFonts w:ascii="Arial" w:cs="Arial" w:eastAsia="Arial" w:hAnsi="Arial"/>
                <w:sz w:val="18"/>
                <w:szCs w:val="18"/>
                <w:b w:val="1"/>
                <w:bCs w:val="1"/>
                <w:color w:val="auto"/>
              </w:rPr>
              <w:t>Year Ended</w:t>
            </w:r>
          </w:p>
        </w:tc>
      </w:tr>
      <w:tr>
        <w:trPr>
          <w:trHeight w:val="252"/>
        </w:trPr>
        <w:tc>
          <w:tcPr>
            <w:tcW w:w="8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30,</w:t>
            </w:r>
          </w:p>
        </w:tc>
        <w:tc>
          <w:tcPr>
            <w:tcW w:w="220" w:type="dxa"/>
            <w:vAlign w:val="bottom"/>
          </w:tcPr>
          <w:p>
            <w:pPr>
              <w:spacing w:after="0"/>
              <w:rPr>
                <w:sz w:val="21"/>
                <w:szCs w:val="21"/>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31,</w:t>
            </w:r>
          </w:p>
        </w:tc>
      </w:tr>
      <w:tr>
        <w:trPr>
          <w:trHeight w:val="234"/>
        </w:trPr>
        <w:tc>
          <w:tcPr>
            <w:tcW w:w="8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cash provided by (used for) investing activities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(7,537)</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for)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r>
      <w:tr>
        <w:trPr>
          <w:trHeight w:val="297"/>
        </w:trPr>
        <w:tc>
          <w:tcPr>
            <w:tcW w:w="8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Investments in capital expenditures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(5,253)</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Inotera</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Repayments of debt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(2,558)</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Proceeds from issuance of stock </w:t>
            </w:r>
            <w:r>
              <w:rPr>
                <w:rFonts w:ascii="Arial" w:cs="Arial" w:eastAsia="Arial" w:hAnsi="Arial"/>
                <w:sz w:val="25"/>
                <w:szCs w:val="25"/>
                <w:color w:val="auto"/>
                <w:vertAlign w:val="superscript"/>
              </w:rPr>
              <w:t>(3)</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Proceeds from issuance of debt</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3,311</w:t>
            </w:r>
          </w:p>
        </w:tc>
      </w:tr>
    </w:tbl>
    <w:p>
      <w:pPr>
        <w:sectPr>
          <w:pgSz w:w="11900" w:h="16838" w:orient="portrait"/>
          <w:cols w:equalWidth="0" w:num="1">
            <w:col w:w="11420"/>
          </w:cols>
          <w:pgMar w:left="240" w:top="625" w:right="239" w:bottom="1440" w:gutter="0" w:footer="0" w:header="0"/>
        </w:sectPr>
      </w:pPr>
    </w:p>
    <w:bookmarkStart w:id="8" w:name="page9"/>
    <w:bookmarkEnd w:id="8"/>
    <w:p>
      <w:pPr>
        <w:ind w:left="340" w:right="60" w:hanging="332"/>
        <w:spacing w:after="0" w:line="276"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the fourth quarter of 2018, we prepaid or repurchased debt with an aggregate principal amount of $2.00 billion and recognized non-operating losses of $9 million. In addition, we settled convertible notes with an aggregate principal amount of $228 million for cash of $1.27 billion and recognized non-operating gains of $25 million. As of August 30, 2018, $35 million of aggregate principal amount of our convertible notes had converted but will not settle until the first quarter of 2019. As a result of the unsettled conversions, the carrying value of debt increased by $132 million as of August 30, 2018 and we recognized non-operating losses of $15 million in the fourth quarter of 2018.</w:t>
      </w:r>
    </w:p>
    <w:p>
      <w:pPr>
        <w:spacing w:after="0" w:line="172" w:lineRule="exact"/>
        <w:rPr>
          <w:rFonts w:ascii="Arial" w:cs="Arial" w:eastAsia="Arial" w:hAnsi="Arial"/>
          <w:sz w:val="17"/>
          <w:szCs w:val="17"/>
          <w:color w:val="auto"/>
        </w:rPr>
      </w:pPr>
    </w:p>
    <w:p>
      <w:pPr>
        <w:ind w:left="340" w:right="20"/>
        <w:spacing w:after="0" w:line="257" w:lineRule="auto"/>
        <w:rPr>
          <w:rFonts w:ascii="Arial" w:cs="Arial" w:eastAsia="Arial" w:hAnsi="Arial"/>
          <w:sz w:val="17"/>
          <w:szCs w:val="17"/>
          <w:color w:val="auto"/>
        </w:rPr>
      </w:pPr>
      <w:r>
        <w:rPr>
          <w:rFonts w:ascii="Arial" w:cs="Arial" w:eastAsia="Arial" w:hAnsi="Arial"/>
          <w:sz w:val="18"/>
          <w:szCs w:val="18"/>
          <w:color w:val="auto"/>
        </w:rPr>
        <w:t>In the third quarter of 2018, we prepaid debt with an aggregate principal amount of $2.08 billion and recognized non-operating losses of $42 million. In addition, we repurchased or settled convertible notes with an aggregate principal amount of $228 million for cash of $1.11 billion and recognized non-operating losses of $32 million. In the second quarter of 2018, we settled convertible notes with an aggregate principal amount of $65 million for cash of $295 million. In the first quarter of 2018, we redeemed notes with an aggregate principal amount of $2.25 billion for cash of $2.42 billion and recognized non-operating losses of $190 million.</w:t>
      </w:r>
    </w:p>
    <w:p>
      <w:pPr>
        <w:spacing w:after="0" w:line="188" w:lineRule="exact"/>
        <w:rPr>
          <w:rFonts w:ascii="Arial" w:cs="Arial" w:eastAsia="Arial" w:hAnsi="Arial"/>
          <w:sz w:val="17"/>
          <w:szCs w:val="17"/>
          <w:color w:val="auto"/>
        </w:rPr>
      </w:pPr>
    </w:p>
    <w:p>
      <w:pPr>
        <w:ind w:left="340" w:right="520"/>
        <w:spacing w:after="0" w:line="277" w:lineRule="auto"/>
        <w:rPr>
          <w:rFonts w:ascii="Arial" w:cs="Arial" w:eastAsia="Arial" w:hAnsi="Arial"/>
          <w:sz w:val="17"/>
          <w:szCs w:val="17"/>
          <w:color w:val="auto"/>
        </w:rPr>
      </w:pPr>
      <w:r>
        <w:rPr>
          <w:rFonts w:ascii="Arial" w:cs="Arial" w:eastAsia="Arial" w:hAnsi="Arial"/>
          <w:sz w:val="18"/>
          <w:szCs w:val="18"/>
          <w:color w:val="auto"/>
        </w:rPr>
        <w:t>During 2018, Intel Corporation provided non-interest bearing convertible debt financing of $1.01 billion to IM Flash Technologies, LLC ("IMFT") pursuant to the terms of the IMFT joint venture agreement.</w:t>
      </w:r>
    </w:p>
    <w:p>
      <w:pPr>
        <w:spacing w:after="0" w:line="170" w:lineRule="exact"/>
        <w:rPr>
          <w:rFonts w:ascii="Arial" w:cs="Arial" w:eastAsia="Arial" w:hAnsi="Arial"/>
          <w:sz w:val="17"/>
          <w:szCs w:val="17"/>
          <w:color w:val="auto"/>
        </w:rPr>
      </w:pPr>
    </w:p>
    <w:p>
      <w:pPr>
        <w:ind w:left="340" w:hanging="332"/>
        <w:spacing w:after="0" w:line="286"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December 22, 2017, the United States enacted comprehensive tax legislation commonly referred to as the Tax Cuts and Jobs Act (the "Tax Act") which lowers the U.S. corporate income tax rate from 35% to 21% and significantly affects how income from foreign operations is taxed in the United States. As a result of our fiscal year-end, our U.S. statutory federal rate was 25.7% for 2018 (based on the 35% corporate rate through December 31, 2017 and 21% from that date through the end of fiscal year 2018) and will be 21% for subsequent years. The Tax Act imposed a one-time transition tax in</w:t>
      </w:r>
    </w:p>
    <w:p>
      <w:pPr>
        <w:spacing w:after="0" w:line="1" w:lineRule="exact"/>
        <w:rPr>
          <w:rFonts w:ascii="Arial" w:cs="Arial" w:eastAsia="Arial" w:hAnsi="Arial"/>
          <w:sz w:val="16"/>
          <w:szCs w:val="16"/>
          <w:color w:val="auto"/>
        </w:rPr>
      </w:pPr>
    </w:p>
    <w:p>
      <w:pPr>
        <w:ind w:left="340" w:right="40"/>
        <w:spacing w:after="0" w:line="254" w:lineRule="auto"/>
        <w:rPr>
          <w:rFonts w:ascii="Arial" w:cs="Arial" w:eastAsia="Arial" w:hAnsi="Arial"/>
          <w:sz w:val="16"/>
          <w:szCs w:val="16"/>
          <w:color w:val="auto"/>
        </w:rPr>
      </w:pPr>
      <w:r>
        <w:rPr>
          <w:rFonts w:ascii="Arial" w:cs="Arial" w:eastAsia="Arial" w:hAnsi="Arial"/>
          <w:sz w:val="18"/>
          <w:szCs w:val="18"/>
          <w:color w:val="auto"/>
        </w:rPr>
        <w:t>2018 on the higher of accumulated foreign income, as determined as of November 2, 2017 or December 31, 2017 (the "Repatriation Tax"); provided a U.S. federal tax exemption on foreign earnings distributed to the United States; and, beginning in 2019, creates a new minimum tax on certain foreign earnings in excess of a deemed return on tangible assets (the "Foreign Minimum Tax"). The Tax Act allows us to elect to pay any Repatriation Tax due in eight annual interest-free payments in increasing amounts beginning in December 2018.</w:t>
      </w:r>
    </w:p>
    <w:p>
      <w:pPr>
        <w:spacing w:after="0" w:line="189" w:lineRule="exact"/>
        <w:rPr>
          <w:rFonts w:ascii="Arial" w:cs="Arial" w:eastAsia="Arial" w:hAnsi="Arial"/>
          <w:sz w:val="16"/>
          <w:szCs w:val="16"/>
          <w:color w:val="auto"/>
        </w:rPr>
      </w:pPr>
    </w:p>
    <w:p>
      <w:pPr>
        <w:ind w:left="340"/>
        <w:spacing w:after="0" w:line="259" w:lineRule="auto"/>
        <w:rPr>
          <w:rFonts w:ascii="Arial" w:cs="Arial" w:eastAsia="Arial" w:hAnsi="Arial"/>
          <w:sz w:val="16"/>
          <w:szCs w:val="16"/>
          <w:color w:val="auto"/>
        </w:rPr>
      </w:pPr>
      <w:r>
        <w:rPr>
          <w:rFonts w:ascii="Arial" w:cs="Arial" w:eastAsia="Arial" w:hAnsi="Arial"/>
          <w:sz w:val="18"/>
          <w:szCs w:val="18"/>
          <w:color w:val="auto"/>
        </w:rPr>
        <w:t>The Securities and Exchange Commission Staff Accounting Bulletin No. 118 allows the use of provisional amounts (reasonable estimates) if our analyses of the impacts of the Tax Act has not been completed when our financial statements are issued. The provisional amounts below were revised during 2018 and represent reasonable estimates of the effects of the Tax Act for which the analysis is not yet complete. Our income tax (provision) benefit consisted of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25"/>
                <w:szCs w:val="25"/>
                <w:b w:val="1"/>
                <w:bCs w:val="1"/>
                <w:color w:val="auto"/>
                <w:vertAlign w:val="superscript"/>
              </w:rPr>
              <w:t>th</w:t>
            </w:r>
            <w:r>
              <w:rPr>
                <w:rFonts w:ascii="Arial" w:cs="Arial" w:eastAsia="Arial" w:hAnsi="Arial"/>
                <w:sz w:val="18"/>
                <w:szCs w:val="18"/>
                <w:b w:val="1"/>
                <w:bCs w:val="1"/>
                <w:color w:val="auto"/>
              </w:rPr>
              <w:t xml:space="preserve"> Qtr.</w:t>
            </w:r>
          </w:p>
        </w:tc>
        <w:tc>
          <w:tcPr>
            <w:tcW w:w="24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3</w:t>
            </w:r>
            <w:r>
              <w:rPr>
                <w:rFonts w:ascii="Arial" w:cs="Arial" w:eastAsia="Arial" w:hAnsi="Arial"/>
                <w:sz w:val="25"/>
                <w:szCs w:val="25"/>
                <w:b w:val="1"/>
                <w:bCs w:val="1"/>
                <w:color w:val="auto"/>
                <w:w w:val="87"/>
                <w:vertAlign w:val="superscript"/>
              </w:rPr>
              <w:t>rd</w:t>
            </w:r>
            <w:r>
              <w:rPr>
                <w:rFonts w:ascii="Arial" w:cs="Arial" w:eastAsia="Arial" w:hAnsi="Arial"/>
                <w:sz w:val="18"/>
                <w:szCs w:val="18"/>
                <w:b w:val="1"/>
                <w:bCs w:val="1"/>
                <w:color w:val="auto"/>
                <w:w w:val="87"/>
              </w:rPr>
              <w:t xml:space="preserve"> Qtr.</w:t>
            </w:r>
          </w:p>
        </w:tc>
        <w:tc>
          <w:tcPr>
            <w:tcW w:w="18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25"/>
                <w:szCs w:val="25"/>
                <w:b w:val="1"/>
                <w:bCs w:val="1"/>
                <w:color w:val="auto"/>
                <w:vertAlign w:val="superscript"/>
              </w:rPr>
              <w:t>th</w:t>
            </w:r>
            <w:r>
              <w:rPr>
                <w:rFonts w:ascii="Arial" w:cs="Arial" w:eastAsia="Arial" w:hAnsi="Arial"/>
                <w:sz w:val="18"/>
                <w:szCs w:val="18"/>
                <w:b w:val="1"/>
                <w:bCs w:val="1"/>
                <w:color w:val="auto"/>
              </w:rPr>
              <w:t xml:space="preserve"> Qtr.</w:t>
            </w:r>
          </w:p>
        </w:tc>
        <w:tc>
          <w:tcPr>
            <w:tcW w:w="460" w:type="dxa"/>
            <w:vAlign w:val="bottom"/>
          </w:tcPr>
          <w:p>
            <w:pPr>
              <w:spacing w:after="0"/>
              <w:rPr>
                <w:sz w:val="24"/>
                <w:szCs w:val="24"/>
                <w:color w:val="auto"/>
              </w:rPr>
            </w:pPr>
          </w:p>
        </w:tc>
        <w:tc>
          <w:tcPr>
            <w:tcW w:w="168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Year Ended</w:t>
            </w:r>
          </w:p>
        </w:tc>
        <w:tc>
          <w:tcPr>
            <w:tcW w:w="700" w:type="dxa"/>
            <w:vAlign w:val="bottom"/>
          </w:tcPr>
          <w:p>
            <w:pPr>
              <w:spacing w:after="0"/>
              <w:rPr>
                <w:sz w:val="24"/>
                <w:szCs w:val="24"/>
                <w:color w:val="auto"/>
              </w:rPr>
            </w:pPr>
          </w:p>
        </w:tc>
      </w:tr>
      <w:tr>
        <w:trPr>
          <w:trHeight w:val="216"/>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30,</w:t>
            </w:r>
          </w:p>
        </w:tc>
        <w:tc>
          <w:tcPr>
            <w:tcW w:w="24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May 31,</w:t>
            </w:r>
          </w:p>
        </w:tc>
        <w:tc>
          <w:tcPr>
            <w:tcW w:w="18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August 31,</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480" w:type="dxa"/>
            <w:vAlign w:val="bottom"/>
            <w:gridSpan w:val="3"/>
          </w:tcPr>
          <w:p>
            <w:pPr>
              <w:ind w:left="80"/>
              <w:spacing w:after="0"/>
              <w:rPr>
                <w:sz w:val="20"/>
                <w:szCs w:val="20"/>
                <w:color w:val="auto"/>
              </w:rPr>
            </w:pPr>
            <w:r>
              <w:rPr>
                <w:rFonts w:ascii="Arial" w:cs="Arial" w:eastAsia="Arial" w:hAnsi="Arial"/>
                <w:sz w:val="18"/>
                <w:szCs w:val="18"/>
                <w:b w:val="1"/>
                <w:bCs w:val="1"/>
                <w:color w:val="auto"/>
              </w:rPr>
              <w:t>August 30, 2018</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August 31, 2017</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Provisional estimate for the Repatriation Tax, net of</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7"/>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adjustments related to uncertain tax positions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w w:val="96"/>
              </w:rPr>
              <w:t>Remeasurement of deferred tax assets and liabilities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4120" w:type="dxa"/>
            <w:vAlign w:val="bottom"/>
          </w:tcPr>
          <w:p>
            <w:pPr>
              <w:ind w:left="200"/>
              <w:spacing w:after="0"/>
              <w:rPr>
                <w:sz w:val="20"/>
                <w:szCs w:val="20"/>
                <w:color w:val="auto"/>
              </w:rPr>
            </w:pPr>
            <w:r>
              <w:rPr>
                <w:rFonts w:ascii="Arial" w:cs="Arial" w:eastAsia="Arial" w:hAnsi="Arial"/>
                <w:sz w:val="18"/>
                <w:szCs w:val="18"/>
                <w:color w:val="auto"/>
              </w:rPr>
              <w:t>reflecting the lower U.S. corporate tax rates</w:t>
            </w:r>
          </w:p>
        </w:tc>
        <w:tc>
          <w:tcPr>
            <w:tcW w:w="2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Provisional estimate for the release of the valuation</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allowance on the net deferred tax assets of our U.S.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7"/>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1,337</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Utilization of and other changes in net deferred tax</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4120" w:type="dxa"/>
            <w:vAlign w:val="bottom"/>
          </w:tcPr>
          <w:p>
            <w:pPr>
              <w:ind w:left="200"/>
              <w:spacing w:after="0"/>
              <w:rPr>
                <w:sz w:val="20"/>
                <w:szCs w:val="20"/>
                <w:color w:val="auto"/>
              </w:rPr>
            </w:pPr>
            <w:r>
              <w:rPr>
                <w:rFonts w:ascii="Arial" w:cs="Arial" w:eastAsia="Arial" w:hAnsi="Arial"/>
                <w:sz w:val="18"/>
                <w:szCs w:val="18"/>
                <w:color w:val="auto"/>
              </w:rPr>
              <w:t>assets of MMJ, MMT, and MTTW</w:t>
            </w:r>
          </w:p>
        </w:tc>
        <w:tc>
          <w:tcPr>
            <w:tcW w:w="2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tax (provision) benefit</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37"/>
        </w:trPr>
        <w:tc>
          <w:tcPr>
            <w:tcW w:w="4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72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October 2017, we issued 34 million shares of our common stock in a public offering for $41.00 per share for proceeds of $1.36 billion, net of underwriting fees and other offering costs.</w:t>
      </w:r>
    </w:p>
    <w:p>
      <w:pPr>
        <w:sectPr>
          <w:pgSz w:w="11900" w:h="16838" w:orient="portrait"/>
          <w:cols w:equalWidth="0" w:num="1">
            <w:col w:w="11420"/>
          </w:cols>
          <w:pgMar w:left="240" w:top="625" w:right="239" w:bottom="1440" w:gutter="0" w:footer="0" w:header="0"/>
        </w:sectPr>
      </w:pPr>
    </w:p>
    <w:bookmarkStart w:id="9" w:name="page10"/>
    <w:bookmarkEnd w:id="9"/>
    <w:p>
      <w:pPr>
        <w:jc w:val="center"/>
        <w:ind w:right="-339"/>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RECONCILIATION OF GAAP TO NON-GAAP RESULTS</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4</w:t>
            </w:r>
            <w:r>
              <w:rPr>
                <w:rFonts w:ascii="Arial" w:cs="Arial" w:eastAsia="Arial" w:hAnsi="Arial"/>
                <w:sz w:val="21"/>
                <w:szCs w:val="21"/>
                <w:b w:val="1"/>
                <w:bCs w:val="1"/>
                <w:color w:val="auto"/>
                <w:w w:val="90"/>
                <w:vertAlign w:val="superscript"/>
              </w:rPr>
              <w:t>th</w:t>
            </w:r>
            <w:r>
              <w:rPr>
                <w:rFonts w:ascii="Arial" w:cs="Arial" w:eastAsia="Arial" w:hAnsi="Arial"/>
                <w:sz w:val="16"/>
                <w:szCs w:val="16"/>
                <w:b w:val="1"/>
                <w:bCs w:val="1"/>
                <w:color w:val="auto"/>
                <w:w w:val="90"/>
              </w:rPr>
              <w:t xml:space="preserve"> Qtr.</w:t>
            </w: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3</w:t>
            </w:r>
            <w:r>
              <w:rPr>
                <w:rFonts w:ascii="Arial" w:cs="Arial" w:eastAsia="Arial" w:hAnsi="Arial"/>
                <w:sz w:val="21"/>
                <w:szCs w:val="21"/>
                <w:b w:val="1"/>
                <w:bCs w:val="1"/>
                <w:color w:val="auto"/>
                <w:w w:val="89"/>
                <w:vertAlign w:val="superscript"/>
              </w:rPr>
              <w:t>rd</w:t>
            </w:r>
            <w:r>
              <w:rPr>
                <w:rFonts w:ascii="Arial" w:cs="Arial" w:eastAsia="Arial" w:hAnsi="Arial"/>
                <w:sz w:val="16"/>
                <w:szCs w:val="16"/>
                <w:b w:val="1"/>
                <w:bCs w:val="1"/>
                <w:color w:val="auto"/>
                <w:w w:val="89"/>
              </w:rPr>
              <w:t xml:space="preserve"> Qtr.</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4</w:t>
            </w:r>
            <w:r>
              <w:rPr>
                <w:rFonts w:ascii="Arial" w:cs="Arial" w:eastAsia="Arial" w:hAnsi="Arial"/>
                <w:sz w:val="21"/>
                <w:szCs w:val="21"/>
                <w:b w:val="1"/>
                <w:bCs w:val="1"/>
                <w:color w:val="auto"/>
                <w:w w:val="90"/>
                <w:vertAlign w:val="superscript"/>
              </w:rPr>
              <w:t>th</w:t>
            </w:r>
            <w:r>
              <w:rPr>
                <w:rFonts w:ascii="Arial" w:cs="Arial" w:eastAsia="Arial" w:hAnsi="Arial"/>
                <w:sz w:val="16"/>
                <w:szCs w:val="16"/>
                <w:b w:val="1"/>
                <w:bCs w:val="1"/>
                <w:color w:val="auto"/>
                <w:w w:val="90"/>
              </w:rPr>
              <w:t xml:space="preserve"> Qtr.</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4"/>
          </w:tcPr>
          <w:p>
            <w:pPr>
              <w:jc w:val="center"/>
              <w:ind w:left="399"/>
              <w:spacing w:after="0"/>
              <w:rPr>
                <w:sz w:val="20"/>
                <w:szCs w:val="20"/>
                <w:color w:val="auto"/>
              </w:rPr>
            </w:pPr>
            <w:r>
              <w:rPr>
                <w:rFonts w:ascii="Arial" w:cs="Arial" w:eastAsia="Arial" w:hAnsi="Arial"/>
                <w:sz w:val="16"/>
                <w:szCs w:val="16"/>
                <w:b w:val="1"/>
                <w:bCs w:val="1"/>
                <w:color w:val="auto"/>
                <w:w w:val="90"/>
              </w:rPr>
              <w:t>August 30, 2018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gridSpan w:val="6"/>
          </w:tcPr>
          <w:p>
            <w:pPr>
              <w:jc w:val="center"/>
              <w:ind w:right="260"/>
              <w:spacing w:after="0"/>
              <w:rPr>
                <w:sz w:val="20"/>
                <w:szCs w:val="20"/>
                <w:color w:val="auto"/>
              </w:rPr>
            </w:pPr>
            <w:r>
              <w:rPr>
                <w:rFonts w:ascii="Arial" w:cs="Arial" w:eastAsia="Arial" w:hAnsi="Arial"/>
                <w:sz w:val="16"/>
                <w:szCs w:val="16"/>
                <w:b w:val="1"/>
                <w:bCs w:val="1"/>
                <w:color w:val="auto"/>
                <w:w w:val="93"/>
              </w:rPr>
              <w:t>May 31, 2018</w:t>
            </w:r>
          </w:p>
        </w:tc>
        <w:tc>
          <w:tcPr>
            <w:tcW w:w="160" w:type="dxa"/>
            <w:vAlign w:val="bottom"/>
          </w:tcPr>
          <w:p>
            <w:pPr>
              <w:spacing w:after="0"/>
              <w:rPr>
                <w:sz w:val="18"/>
                <w:szCs w:val="18"/>
                <w:color w:val="auto"/>
              </w:rPr>
            </w:pPr>
          </w:p>
        </w:tc>
        <w:tc>
          <w:tcPr>
            <w:tcW w:w="2140" w:type="dxa"/>
            <w:vAlign w:val="bottom"/>
            <w:gridSpan w:val="5"/>
          </w:tcPr>
          <w:p>
            <w:pPr>
              <w:jc w:val="center"/>
              <w:ind w:right="39"/>
              <w:spacing w:after="0"/>
              <w:rPr>
                <w:sz w:val="20"/>
                <w:szCs w:val="20"/>
                <w:color w:val="auto"/>
              </w:rPr>
            </w:pPr>
            <w:r>
              <w:rPr>
                <w:rFonts w:ascii="Arial" w:cs="Arial" w:eastAsia="Arial" w:hAnsi="Arial"/>
                <w:sz w:val="16"/>
                <w:szCs w:val="16"/>
                <w:b w:val="1"/>
                <w:bCs w:val="1"/>
                <w:color w:val="auto"/>
                <w:w w:val="90"/>
              </w:rPr>
              <w:t>August 31, 2017</w:t>
            </w:r>
          </w:p>
        </w:tc>
        <w:tc>
          <w:tcPr>
            <w:tcW w:w="0" w:type="dxa"/>
            <w:vAlign w:val="bottom"/>
          </w:tcPr>
          <w:p>
            <w:pPr>
              <w:spacing w:after="0"/>
              <w:rPr>
                <w:sz w:val="1"/>
                <w:szCs w:val="1"/>
                <w:color w:val="auto"/>
              </w:rPr>
            </w:pPr>
          </w:p>
        </w:tc>
      </w:tr>
      <w:tr>
        <w:trPr>
          <w:trHeight w:val="33"/>
        </w:trPr>
        <w:tc>
          <w:tcPr>
            <w:tcW w:w="2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Non-</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b w:val="1"/>
                <w:bCs w:val="1"/>
                <w:color w:val="auto"/>
              </w:rPr>
              <w:t>GAAP</w:t>
            </w:r>
          </w:p>
        </w:tc>
        <w:tc>
          <w:tcPr>
            <w:tcW w:w="140" w:type="dxa"/>
            <w:vAlign w:val="bottom"/>
          </w:tcPr>
          <w:p>
            <w:pPr>
              <w:spacing w:after="0"/>
              <w:rPr>
                <w:sz w:val="18"/>
                <w:szCs w:val="18"/>
                <w:color w:val="auto"/>
              </w:rPr>
            </w:pPr>
          </w:p>
        </w:tc>
        <w:tc>
          <w:tcPr>
            <w:tcW w:w="480" w:type="dxa"/>
            <w:vAlign w:val="bottom"/>
          </w:tcPr>
          <w:p>
            <w:pPr>
              <w:jc w:val="center"/>
              <w:ind w:right="19"/>
              <w:spacing w:after="0"/>
              <w:rPr>
                <w:sz w:val="20"/>
                <w:szCs w:val="20"/>
                <w:color w:val="auto"/>
              </w:rPr>
            </w:pPr>
            <w:r>
              <w:rPr>
                <w:rFonts w:ascii="Arial" w:cs="Arial" w:eastAsia="Arial" w:hAnsi="Arial"/>
                <w:sz w:val="16"/>
                <w:szCs w:val="16"/>
                <w:b w:val="1"/>
                <w:bCs w:val="1"/>
                <w:color w:val="auto"/>
              </w:rPr>
              <w:t>Adj</w:t>
            </w:r>
          </w:p>
        </w:tc>
        <w:tc>
          <w:tcPr>
            <w:tcW w:w="980" w:type="dxa"/>
            <w:vAlign w:val="bottom"/>
            <w:gridSpan w:val="3"/>
          </w:tcPr>
          <w:p>
            <w:pPr>
              <w:ind w:left="60"/>
              <w:spacing w:after="0"/>
              <w:rPr>
                <w:sz w:val="20"/>
                <w:szCs w:val="20"/>
                <w:color w:val="auto"/>
              </w:rPr>
            </w:pPr>
            <w:r>
              <w:rPr>
                <w:rFonts w:ascii="Arial" w:cs="Arial" w:eastAsia="Arial" w:hAnsi="Arial"/>
                <w:sz w:val="16"/>
                <w:szCs w:val="16"/>
                <w:b w:val="1"/>
                <w:bCs w:val="1"/>
                <w:color w:val="auto"/>
              </w:rPr>
              <w:t>Non-GAAP</w:t>
            </w:r>
          </w:p>
        </w:tc>
        <w:tc>
          <w:tcPr>
            <w:tcW w:w="160" w:type="dxa"/>
            <w:vAlign w:val="bottom"/>
          </w:tcPr>
          <w:p>
            <w:pPr>
              <w:spacing w:after="0"/>
              <w:rPr>
                <w:sz w:val="18"/>
                <w:szCs w:val="18"/>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b w:val="1"/>
                <w:bCs w:val="1"/>
                <w:color w:val="auto"/>
              </w:rPr>
              <w:t>GAAP</w:t>
            </w:r>
          </w:p>
        </w:tc>
        <w:tc>
          <w:tcPr>
            <w:tcW w:w="180" w:type="dxa"/>
            <w:vAlign w:val="bottom"/>
          </w:tcPr>
          <w:p>
            <w:pPr>
              <w:spacing w:after="0"/>
              <w:rPr>
                <w:sz w:val="18"/>
                <w:szCs w:val="18"/>
                <w:color w:val="auto"/>
              </w:rPr>
            </w:pPr>
          </w:p>
        </w:tc>
        <w:tc>
          <w:tcPr>
            <w:tcW w:w="460" w:type="dxa"/>
            <w:vAlign w:val="bottom"/>
          </w:tcPr>
          <w:p>
            <w:pPr>
              <w:jc w:val="center"/>
              <w:ind w:right="79"/>
              <w:spacing w:after="0"/>
              <w:rPr>
                <w:sz w:val="20"/>
                <w:szCs w:val="20"/>
                <w:color w:val="auto"/>
              </w:rPr>
            </w:pPr>
            <w:r>
              <w:rPr>
                <w:rFonts w:ascii="Arial" w:cs="Arial" w:eastAsia="Arial" w:hAnsi="Arial"/>
                <w:sz w:val="16"/>
                <w:szCs w:val="16"/>
                <w:b w:val="1"/>
                <w:bCs w:val="1"/>
                <w:color w:val="auto"/>
              </w:rPr>
              <w:t>Adj</w:t>
            </w:r>
          </w:p>
        </w:tc>
        <w:tc>
          <w:tcPr>
            <w:tcW w:w="120" w:type="dxa"/>
            <w:vAlign w:val="bottom"/>
          </w:tcPr>
          <w:p>
            <w:pPr>
              <w:spacing w:after="0"/>
              <w:rPr>
                <w:sz w:val="18"/>
                <w:szCs w:val="18"/>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GAAP</w:t>
            </w:r>
          </w:p>
        </w:tc>
        <w:tc>
          <w:tcPr>
            <w:tcW w:w="160" w:type="dxa"/>
            <w:vAlign w:val="bottom"/>
          </w:tcPr>
          <w:p>
            <w:pPr>
              <w:spacing w:after="0"/>
              <w:rPr>
                <w:sz w:val="18"/>
                <w:szCs w:val="18"/>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b w:val="1"/>
                <w:bCs w:val="1"/>
                <w:color w:val="auto"/>
              </w:rPr>
              <w:t>GAAP</w:t>
            </w:r>
          </w:p>
        </w:tc>
        <w:tc>
          <w:tcPr>
            <w:tcW w:w="160" w:type="dxa"/>
            <w:vAlign w:val="bottom"/>
          </w:tcPr>
          <w:p>
            <w:pPr>
              <w:spacing w:after="0"/>
              <w:rPr>
                <w:sz w:val="18"/>
                <w:szCs w:val="18"/>
                <w:color w:val="auto"/>
              </w:rPr>
            </w:pPr>
          </w:p>
        </w:tc>
        <w:tc>
          <w:tcPr>
            <w:tcW w:w="460" w:type="dxa"/>
            <w:vAlign w:val="bottom"/>
          </w:tcPr>
          <w:p>
            <w:pPr>
              <w:jc w:val="center"/>
              <w:ind w:right="39"/>
              <w:spacing w:after="0"/>
              <w:rPr>
                <w:sz w:val="20"/>
                <w:szCs w:val="20"/>
                <w:color w:val="auto"/>
              </w:rPr>
            </w:pPr>
            <w:r>
              <w:rPr>
                <w:rFonts w:ascii="Arial" w:cs="Arial" w:eastAsia="Arial" w:hAnsi="Arial"/>
                <w:sz w:val="16"/>
                <w:szCs w:val="16"/>
                <w:b w:val="1"/>
                <w:bCs w:val="1"/>
                <w:color w:val="auto"/>
              </w:rPr>
              <w:t>Adj</w:t>
            </w:r>
          </w:p>
        </w:tc>
        <w:tc>
          <w:tcPr>
            <w:tcW w:w="860" w:type="dxa"/>
            <w:vAlign w:val="bottom"/>
            <w:gridSpan w:val="2"/>
          </w:tcPr>
          <w:p>
            <w:pPr>
              <w:ind w:left="60"/>
              <w:spacing w:after="0"/>
              <w:rPr>
                <w:sz w:val="20"/>
                <w:szCs w:val="20"/>
                <w:color w:val="auto"/>
              </w:rPr>
            </w:pPr>
            <w:r>
              <w:rPr>
                <w:rFonts w:ascii="Arial" w:cs="Arial" w:eastAsia="Arial" w:hAnsi="Arial"/>
                <w:sz w:val="16"/>
                <w:szCs w:val="16"/>
                <w:b w:val="1"/>
                <w:bCs w:val="1"/>
                <w:color w:val="auto"/>
                <w:w w:val="94"/>
              </w:rPr>
              <w:t>Non-GAAP</w:t>
            </w:r>
          </w:p>
        </w:tc>
        <w:tc>
          <w:tcPr>
            <w:tcW w:w="0" w:type="dxa"/>
            <w:vAlign w:val="bottom"/>
          </w:tcPr>
          <w:p>
            <w:pPr>
              <w:spacing w:after="0"/>
              <w:rPr>
                <w:sz w:val="1"/>
                <w:szCs w:val="1"/>
                <w:color w:val="auto"/>
              </w:rPr>
            </w:pPr>
          </w:p>
        </w:tc>
      </w:tr>
      <w:tr>
        <w:trPr>
          <w:trHeight w:val="33"/>
        </w:trPr>
        <w:tc>
          <w:tcPr>
            <w:tcW w:w="2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8,440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8,440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7,797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7,797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6,138</w:t>
            </w:r>
          </w:p>
        </w:tc>
        <w:tc>
          <w:tcPr>
            <w:tcW w:w="0" w:type="dxa"/>
            <w:vAlign w:val="bottom"/>
          </w:tcPr>
          <w:p>
            <w:pPr>
              <w:spacing w:after="0"/>
              <w:rPr>
                <w:sz w:val="1"/>
                <w:szCs w:val="1"/>
                <w:color w:val="auto"/>
              </w:rPr>
            </w:pPr>
          </w:p>
        </w:tc>
      </w:tr>
      <w:tr>
        <w:trPr>
          <w:trHeight w:val="237"/>
        </w:trPr>
        <w:tc>
          <w:tcPr>
            <w:tcW w:w="214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1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3,289</w:t>
            </w: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(28)</w:t>
            </w:r>
          </w:p>
        </w:tc>
        <w:tc>
          <w:tcPr>
            <w:tcW w:w="28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3,261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3,074</w:t>
            </w:r>
          </w:p>
        </w:tc>
        <w:tc>
          <w:tcPr>
            <w:tcW w:w="1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3,047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3,026</w:t>
            </w: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(35)</w:t>
            </w:r>
          </w:p>
        </w:tc>
        <w:tc>
          <w:tcPr>
            <w:tcW w:w="20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2,991</w:t>
            </w:r>
          </w:p>
        </w:tc>
        <w:tc>
          <w:tcPr>
            <w:tcW w:w="0" w:type="dxa"/>
            <w:vAlign w:val="bottom"/>
          </w:tcPr>
          <w:p>
            <w:pPr>
              <w:spacing w:after="0"/>
              <w:rPr>
                <w:sz w:val="1"/>
                <w:szCs w:val="1"/>
                <w:color w:val="auto"/>
              </w:rPr>
            </w:pPr>
          </w:p>
        </w:tc>
      </w:tr>
      <w:tr>
        <w:trPr>
          <w:trHeight w:val="33"/>
        </w:trPr>
        <w:tc>
          <w:tcPr>
            <w:tcW w:w="2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Gross margin</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5,151</w:t>
            </w:r>
          </w:p>
        </w:tc>
        <w:tc>
          <w:tcPr>
            <w:tcW w:w="1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2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5,179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4,723</w:t>
            </w: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4,750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3,112</w:t>
            </w:r>
          </w:p>
        </w:tc>
        <w:tc>
          <w:tcPr>
            <w:tcW w:w="1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3,147</w:t>
            </w:r>
          </w:p>
        </w:tc>
        <w:tc>
          <w:tcPr>
            <w:tcW w:w="0" w:type="dxa"/>
            <w:vAlign w:val="bottom"/>
          </w:tcPr>
          <w:p>
            <w:pPr>
              <w:spacing w:after="0"/>
              <w:rPr>
                <w:sz w:val="1"/>
                <w:szCs w:val="1"/>
                <w:color w:val="auto"/>
              </w:rPr>
            </w:pPr>
          </w:p>
        </w:tc>
      </w:tr>
      <w:tr>
        <w:trPr>
          <w:trHeight w:val="237"/>
        </w:trPr>
        <w:tc>
          <w:tcPr>
            <w:tcW w:w="2140" w:type="dxa"/>
            <w:vAlign w:val="bottom"/>
          </w:tcPr>
          <w:p>
            <w:pPr>
              <w:ind w:left="160"/>
              <w:spacing w:after="0"/>
              <w:rPr>
                <w:sz w:val="20"/>
                <w:szCs w:val="20"/>
                <w:color w:val="auto"/>
              </w:rPr>
            </w:pPr>
            <w:r>
              <w:rPr>
                <w:rFonts w:ascii="Arial" w:cs="Arial" w:eastAsia="Arial" w:hAnsi="Arial"/>
                <w:sz w:val="16"/>
                <w:szCs w:val="16"/>
                <w:i w:val="1"/>
                <w:iCs w:val="1"/>
                <w:color w:val="auto"/>
              </w:rPr>
              <w:t>percent of revenue</w:t>
            </w:r>
          </w:p>
        </w:tc>
        <w:tc>
          <w:tcPr>
            <w:tcW w:w="16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i w:val="1"/>
                <w:iCs w:val="1"/>
                <w:color w:val="auto"/>
              </w:rPr>
              <w:t>61.0%</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ind w:right="99"/>
              <w:spacing w:after="0"/>
              <w:rPr>
                <w:sz w:val="20"/>
                <w:szCs w:val="20"/>
                <w:color w:val="auto"/>
              </w:rPr>
            </w:pPr>
            <w:r>
              <w:rPr>
                <w:rFonts w:ascii="Arial" w:cs="Arial" w:eastAsia="Arial" w:hAnsi="Arial"/>
                <w:sz w:val="16"/>
                <w:szCs w:val="16"/>
                <w:i w:val="1"/>
                <w:iCs w:val="1"/>
                <w:color w:val="auto"/>
                <w:w w:val="88"/>
              </w:rPr>
              <w:t>61.4%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i w:val="1"/>
                <w:iCs w:val="1"/>
                <w:color w:val="auto"/>
              </w:rPr>
              <w:t>60.6%</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i w:val="1"/>
                <w:iCs w:val="1"/>
                <w:color w:val="auto"/>
              </w:rPr>
              <w:t>60.9%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i w:val="1"/>
                <w:iCs w:val="1"/>
                <w:color w:val="auto"/>
              </w:rPr>
              <w:t>50.7%</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i w:val="1"/>
                <w:iCs w:val="1"/>
                <w:color w:val="auto"/>
              </w:rPr>
              <w:t>51.3%</w:t>
            </w:r>
          </w:p>
        </w:tc>
        <w:tc>
          <w:tcPr>
            <w:tcW w:w="0" w:type="dxa"/>
            <w:vAlign w:val="bottom"/>
          </w:tcPr>
          <w:p>
            <w:pPr>
              <w:spacing w:after="0"/>
              <w:rPr>
                <w:sz w:val="1"/>
                <w:szCs w:val="1"/>
                <w:color w:val="auto"/>
              </w:rPr>
            </w:pPr>
          </w:p>
        </w:tc>
      </w:tr>
      <w:tr>
        <w:trPr>
          <w:trHeight w:val="33"/>
        </w:trPr>
        <w:tc>
          <w:tcPr>
            <w:tcW w:w="2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140" w:type="dxa"/>
            <w:vAlign w:val="bottom"/>
          </w:tcPr>
          <w:p>
            <w:pPr>
              <w:ind w:left="20"/>
              <w:spacing w:after="0"/>
              <w:rPr>
                <w:sz w:val="20"/>
                <w:szCs w:val="20"/>
                <w:color w:val="auto"/>
              </w:rPr>
            </w:pPr>
            <w:r>
              <w:rPr>
                <w:rFonts w:ascii="Arial" w:cs="Arial" w:eastAsia="Arial" w:hAnsi="Arial"/>
                <w:sz w:val="16"/>
                <w:szCs w:val="16"/>
                <w:color w:val="auto"/>
              </w:rPr>
              <w:t>Selling, general, and</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40" w:type="dxa"/>
            <w:vAlign w:val="bottom"/>
          </w:tcPr>
          <w:p>
            <w:pPr>
              <w:ind w:left="200"/>
              <w:spacing w:after="0"/>
              <w:rPr>
                <w:sz w:val="20"/>
                <w:szCs w:val="20"/>
                <w:color w:val="auto"/>
              </w:rPr>
            </w:pPr>
            <w:r>
              <w:rPr>
                <w:rFonts w:ascii="Arial" w:cs="Arial" w:eastAsia="Arial" w:hAnsi="Arial"/>
                <w:sz w:val="16"/>
                <w:szCs w:val="16"/>
                <w:color w:val="auto"/>
              </w:rPr>
              <w:t>administrative</w:t>
            </w:r>
          </w:p>
        </w:tc>
        <w:tc>
          <w:tcPr>
            <w:tcW w:w="16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215</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(13)</w:t>
            </w:r>
          </w:p>
        </w:tc>
        <w:tc>
          <w:tcPr>
            <w:tcW w:w="280" w:type="dxa"/>
            <w:vAlign w:val="bottom"/>
          </w:tcPr>
          <w:p>
            <w:pPr>
              <w:spacing w:after="0"/>
              <w:rPr>
                <w:sz w:val="17"/>
                <w:szCs w:val="17"/>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211</w:t>
            </w:r>
          </w:p>
        </w:tc>
        <w:tc>
          <w:tcPr>
            <w:tcW w:w="1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193</w:t>
            </w: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33"/>
        </w:trPr>
        <w:tc>
          <w:tcPr>
            <w:tcW w:w="2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567</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603</w:t>
            </w: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447</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r>
        <w:trPr>
          <w:trHeight w:val="220"/>
        </w:trPr>
        <w:tc>
          <w:tcPr>
            <w:tcW w:w="2140" w:type="dxa"/>
            <w:vAlign w:val="bottom"/>
          </w:tcPr>
          <w:p>
            <w:pPr>
              <w:ind w:left="20"/>
              <w:spacing w:after="0"/>
              <w:rPr>
                <w:sz w:val="20"/>
                <w:szCs w:val="20"/>
                <w:color w:val="auto"/>
              </w:rPr>
            </w:pPr>
            <w:r>
              <w:rPr>
                <w:rFonts w:ascii="Arial" w:cs="Arial" w:eastAsia="Arial" w:hAnsi="Arial"/>
                <w:sz w:val="16"/>
                <w:szCs w:val="16"/>
                <w:color w:val="auto"/>
              </w:rPr>
              <w:t>Other operating (income)</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40" w:type="dxa"/>
            <w:vAlign w:val="bottom"/>
          </w:tcPr>
          <w:p>
            <w:pPr>
              <w:ind w:left="200"/>
              <w:spacing w:after="0"/>
              <w:rPr>
                <w:sz w:val="20"/>
                <w:szCs w:val="20"/>
                <w:color w:val="auto"/>
              </w:rPr>
            </w:pPr>
            <w:r>
              <w:rPr>
                <w:rFonts w:ascii="Arial" w:cs="Arial" w:eastAsia="Arial" w:hAnsi="Arial"/>
                <w:sz w:val="16"/>
                <w:szCs w:val="16"/>
                <w:color w:val="auto"/>
              </w:rPr>
              <w:t>expense, net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w:t>
            </w:r>
          </w:p>
        </w:tc>
        <w:tc>
          <w:tcPr>
            <w:tcW w:w="1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w:t>
            </w:r>
          </w:p>
        </w:tc>
        <w:tc>
          <w:tcPr>
            <w:tcW w:w="160" w:type="dxa"/>
            <w:vAlign w:val="bottom"/>
          </w:tcPr>
          <w:p>
            <w:pPr>
              <w:spacing w:after="0"/>
              <w:rPr>
                <w:sz w:val="17"/>
                <w:szCs w:val="17"/>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2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774</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770</w:t>
            </w: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610</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17"/>
        </w:trPr>
        <w:tc>
          <w:tcPr>
            <w:tcW w:w="2140" w:type="dxa"/>
            <w:vAlign w:val="bottom"/>
          </w:tcPr>
          <w:p>
            <w:pPr>
              <w:ind w:left="16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4,377</w:t>
            </w: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w:t>
            </w:r>
          </w:p>
        </w:tc>
        <w:tc>
          <w:tcPr>
            <w:tcW w:w="2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4,439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3,953</w:t>
            </w:r>
          </w:p>
        </w:tc>
        <w:tc>
          <w:tcPr>
            <w:tcW w:w="1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64</w:t>
            </w: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4,017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2,502</w:t>
            </w: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w:t>
            </w: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2,546</w:t>
            </w:r>
          </w:p>
        </w:tc>
        <w:tc>
          <w:tcPr>
            <w:tcW w:w="0" w:type="dxa"/>
            <w:vAlign w:val="bottom"/>
          </w:tcPr>
          <w:p>
            <w:pPr>
              <w:spacing w:after="0"/>
              <w:rPr>
                <w:sz w:val="1"/>
                <w:szCs w:val="1"/>
                <w:color w:val="auto"/>
              </w:rPr>
            </w:pPr>
          </w:p>
        </w:tc>
      </w:tr>
      <w:tr>
        <w:trPr>
          <w:trHeight w:val="33"/>
        </w:trPr>
        <w:tc>
          <w:tcPr>
            <w:tcW w:w="2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i w:val="1"/>
                <w:iCs w:val="1"/>
                <w:color w:val="auto"/>
              </w:rPr>
              <w:t>percent of revenue</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i w:val="1"/>
                <w:iCs w:val="1"/>
                <w:color w:val="auto"/>
              </w:rPr>
              <w:t>51.9%</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i w:val="1"/>
                <w:iCs w:val="1"/>
                <w:color w:val="auto"/>
                <w:w w:val="88"/>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i w:val="1"/>
                <w:iCs w:val="1"/>
                <w:color w:val="auto"/>
              </w:rPr>
              <w:t>50.7%</w:t>
            </w: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i w:val="1"/>
                <w:iCs w:val="1"/>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i w:val="1"/>
                <w:iCs w:val="1"/>
                <w:color w:val="auto"/>
              </w:rPr>
              <w:t>40.8%</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i w:val="1"/>
                <w:iCs w:val="1"/>
                <w:color w:val="auto"/>
              </w:rPr>
              <w:t>41.5%</w:t>
            </w:r>
          </w:p>
        </w:tc>
        <w:tc>
          <w:tcPr>
            <w:tcW w:w="0" w:type="dxa"/>
            <w:vAlign w:val="bottom"/>
          </w:tcPr>
          <w:p>
            <w:pPr>
              <w:spacing w:after="0"/>
              <w:rPr>
                <w:sz w:val="1"/>
                <w:szCs w:val="1"/>
                <w:color w:val="auto"/>
              </w:rPr>
            </w:pPr>
          </w:p>
        </w:tc>
      </w:tr>
      <w:tr>
        <w:trPr>
          <w:trHeight w:val="297"/>
        </w:trPr>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Interest income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20"/>
        </w:trPr>
        <w:tc>
          <w:tcPr>
            <w:tcW w:w="2140" w:type="dxa"/>
            <w:vAlign w:val="bottom"/>
          </w:tcPr>
          <w:p>
            <w:pPr>
              <w:ind w:left="20"/>
              <w:spacing w:after="0"/>
              <w:rPr>
                <w:sz w:val="20"/>
                <w:szCs w:val="20"/>
                <w:color w:val="auto"/>
              </w:rPr>
            </w:pPr>
            <w:r>
              <w:rPr>
                <w:rFonts w:ascii="Arial" w:cs="Arial" w:eastAsia="Arial" w:hAnsi="Arial"/>
                <w:sz w:val="16"/>
                <w:szCs w:val="16"/>
                <w:color w:val="auto"/>
              </w:rPr>
              <w:t>Other non-operating income</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40" w:type="dxa"/>
            <w:vAlign w:val="bottom"/>
          </w:tcPr>
          <w:p>
            <w:pPr>
              <w:ind w:left="200"/>
              <w:spacing w:after="0"/>
              <w:rPr>
                <w:sz w:val="20"/>
                <w:szCs w:val="20"/>
                <w:color w:val="auto"/>
              </w:rPr>
            </w:pPr>
            <w:r>
              <w:rPr>
                <w:rFonts w:ascii="Arial" w:cs="Arial" w:eastAsia="Arial" w:hAnsi="Arial"/>
                <w:sz w:val="16"/>
                <w:szCs w:val="16"/>
                <w:color w:val="auto"/>
              </w:rPr>
              <w:t>(expense), net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7"/>
                <w:szCs w:val="17"/>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(193)</w:t>
            </w:r>
          </w:p>
        </w:tc>
        <w:tc>
          <w:tcPr>
            <w:tcW w:w="180" w:type="dxa"/>
            <w:vAlign w:val="bottom"/>
          </w:tcPr>
          <w:p>
            <w:pPr>
              <w:spacing w:after="0"/>
              <w:rPr>
                <w:sz w:val="17"/>
                <w:szCs w:val="17"/>
                <w:color w:val="auto"/>
              </w:rPr>
            </w:pP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w:t>
            </w:r>
          </w:p>
        </w:tc>
        <w:tc>
          <w:tcPr>
            <w:tcW w:w="160" w:type="dxa"/>
            <w:vAlign w:val="bottom"/>
          </w:tcPr>
          <w:p>
            <w:pPr>
              <w:spacing w:after="0"/>
              <w:rPr>
                <w:sz w:val="17"/>
                <w:szCs w:val="17"/>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2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4,346</w:t>
            </w:r>
          </w:p>
        </w:tc>
        <w:tc>
          <w:tcPr>
            <w:tcW w:w="1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w:t>
            </w:r>
          </w:p>
        </w:tc>
        <w:tc>
          <w:tcPr>
            <w:tcW w:w="2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3,716</w:t>
            </w: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281</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3,997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2,321</w:t>
            </w:r>
          </w:p>
        </w:tc>
        <w:tc>
          <w:tcPr>
            <w:tcW w:w="1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2,446</w:t>
            </w:r>
          </w:p>
        </w:tc>
        <w:tc>
          <w:tcPr>
            <w:tcW w:w="0" w:type="dxa"/>
            <w:vAlign w:val="bottom"/>
          </w:tcPr>
          <w:p>
            <w:pPr>
              <w:spacing w:after="0"/>
              <w:rPr>
                <w:sz w:val="1"/>
                <w:szCs w:val="1"/>
                <w:color w:val="auto"/>
              </w:rPr>
            </w:pPr>
          </w:p>
        </w:tc>
      </w:tr>
      <w:tr>
        <w:trPr>
          <w:trHeight w:val="297"/>
        </w:trPr>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20"/>
        </w:trPr>
        <w:tc>
          <w:tcPr>
            <w:tcW w:w="2140" w:type="dxa"/>
            <w:vAlign w:val="bottom"/>
          </w:tcPr>
          <w:p>
            <w:pPr>
              <w:ind w:left="20"/>
              <w:spacing w:after="0"/>
              <w:rPr>
                <w:sz w:val="20"/>
                <w:szCs w:val="20"/>
                <w:color w:val="auto"/>
              </w:rPr>
            </w:pPr>
            <w:r>
              <w:rPr>
                <w:rFonts w:ascii="Arial" w:cs="Arial" w:eastAsia="Arial" w:hAnsi="Arial"/>
                <w:sz w:val="16"/>
                <w:szCs w:val="16"/>
                <w:color w:val="auto"/>
              </w:rPr>
              <w:t>Equity in net income (loss) of</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40" w:type="dxa"/>
            <w:vAlign w:val="bottom"/>
          </w:tcPr>
          <w:p>
            <w:pPr>
              <w:ind w:left="200"/>
              <w:spacing w:after="0"/>
              <w:rPr>
                <w:sz w:val="20"/>
                <w:szCs w:val="20"/>
                <w:color w:val="auto"/>
              </w:rPr>
            </w:pPr>
            <w:r>
              <w:rPr>
                <w:rFonts w:ascii="Arial" w:cs="Arial" w:eastAsia="Arial" w:hAnsi="Arial"/>
                <w:sz w:val="16"/>
                <w:szCs w:val="16"/>
                <w:color w:val="auto"/>
              </w:rPr>
              <w:t>equity method investees</w:t>
            </w:r>
          </w:p>
        </w:tc>
        <w:tc>
          <w:tcPr>
            <w:tcW w:w="16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7"/>
                <w:szCs w:val="17"/>
                <w:color w:val="auto"/>
              </w:rPr>
            </w:pP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7"/>
                <w:szCs w:val="17"/>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2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4,326</w:t>
            </w:r>
          </w:p>
        </w:tc>
        <w:tc>
          <w:tcPr>
            <w:tcW w:w="1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3,823</w:t>
            </w: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3,898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2,369</w:t>
            </w:r>
          </w:p>
        </w:tc>
        <w:tc>
          <w:tcPr>
            <w:tcW w:w="1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2,387</w:t>
            </w:r>
          </w:p>
        </w:tc>
        <w:tc>
          <w:tcPr>
            <w:tcW w:w="0" w:type="dxa"/>
            <w:vAlign w:val="bottom"/>
          </w:tcPr>
          <w:p>
            <w:pPr>
              <w:spacing w:after="0"/>
              <w:rPr>
                <w:sz w:val="1"/>
                <w:szCs w:val="1"/>
                <w:color w:val="auto"/>
              </w:rPr>
            </w:pPr>
          </w:p>
        </w:tc>
      </w:tr>
      <w:tr>
        <w:trPr>
          <w:trHeight w:val="297"/>
        </w:trPr>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 noncontrolling interests</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0"/>
        </w:trPr>
        <w:tc>
          <w:tcPr>
            <w:tcW w:w="2140" w:type="dxa"/>
            <w:vAlign w:val="bottom"/>
          </w:tcPr>
          <w:p>
            <w:pPr>
              <w:ind w:left="160"/>
              <w:spacing w:after="0"/>
              <w:rPr>
                <w:sz w:val="20"/>
                <w:szCs w:val="20"/>
                <w:color w:val="auto"/>
              </w:rPr>
            </w:pPr>
            <w:r>
              <w:rPr>
                <w:rFonts w:ascii="Arial" w:cs="Arial" w:eastAsia="Arial" w:hAnsi="Arial"/>
                <w:sz w:val="16"/>
                <w:szCs w:val="16"/>
                <w:color w:val="auto"/>
                <w:w w:val="94"/>
              </w:rPr>
              <w:t>Net income (loss) attributable</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4,325</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(12)</w:t>
            </w:r>
          </w:p>
        </w:tc>
        <w:tc>
          <w:tcPr>
            <w:tcW w:w="28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4,313</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3,823</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75</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3,898</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2,368</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18</w:t>
            </w:r>
          </w:p>
        </w:tc>
        <w:tc>
          <w:tcPr>
            <w:tcW w:w="20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2,386</w:t>
            </w:r>
          </w:p>
        </w:tc>
        <w:tc>
          <w:tcPr>
            <w:tcW w:w="0" w:type="dxa"/>
            <w:vAlign w:val="bottom"/>
          </w:tcPr>
          <w:p>
            <w:pPr>
              <w:spacing w:after="0"/>
              <w:rPr>
                <w:sz w:val="1"/>
                <w:szCs w:val="1"/>
                <w:color w:val="auto"/>
              </w:rPr>
            </w:pPr>
          </w:p>
        </w:tc>
      </w:tr>
      <w:tr>
        <w:trPr>
          <w:trHeight w:val="259"/>
        </w:trPr>
        <w:tc>
          <w:tcPr>
            <w:tcW w:w="21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 Micron</w:t>
            </w:r>
          </w:p>
        </w:tc>
        <w:tc>
          <w:tcPr>
            <w:tcW w:w="160" w:type="dxa"/>
            <w:vAlign w:val="bottom"/>
            <w:tcBorders>
              <w:bottom w:val="single" w:sz="8" w:color="auto"/>
            </w:tcBorders>
            <w:vMerge w:val="continue"/>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48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auto"/>
            </w:tcBorders>
            <w:vMerge w:val="continue"/>
          </w:tcPr>
          <w:p>
            <w:pPr>
              <w:spacing w:after="0"/>
              <w:rPr>
                <w:sz w:val="22"/>
                <w:szCs w:val="22"/>
                <w:color w:val="auto"/>
              </w:rPr>
            </w:pPr>
          </w:p>
        </w:tc>
        <w:tc>
          <w:tcPr>
            <w:tcW w:w="6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66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46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auto"/>
            </w:tcBorders>
            <w:vMerge w:val="continue"/>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66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46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auto"/>
            </w:tcBorders>
            <w:vMerge w:val="continue"/>
          </w:tcPr>
          <w:p>
            <w:pPr>
              <w:spacing w:after="0"/>
              <w:rPr>
                <w:sz w:val="22"/>
                <w:szCs w:val="22"/>
                <w:color w:val="auto"/>
              </w:rPr>
            </w:pPr>
          </w:p>
        </w:tc>
        <w:tc>
          <w:tcPr>
            <w:tcW w:w="6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2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140" w:type="dxa"/>
            <w:vAlign w:val="bottom"/>
          </w:tcPr>
          <w:p>
            <w:pPr>
              <w:ind w:left="20"/>
              <w:spacing w:after="0"/>
              <w:rPr>
                <w:sz w:val="20"/>
                <w:szCs w:val="20"/>
                <w:color w:val="auto"/>
              </w:rPr>
            </w:pPr>
            <w:r>
              <w:rPr>
                <w:rFonts w:ascii="Arial" w:cs="Arial" w:eastAsia="Arial" w:hAnsi="Arial"/>
                <w:sz w:val="16"/>
                <w:szCs w:val="16"/>
                <w:color w:val="auto"/>
              </w:rPr>
              <w:t>Shares used in calculations</w:t>
            </w:r>
          </w:p>
        </w:tc>
        <w:tc>
          <w:tcPr>
            <w:tcW w:w="1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1,216</w:t>
            </w:r>
          </w:p>
        </w:tc>
        <w:tc>
          <w:tcPr>
            <w:tcW w:w="14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1,220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1,235</w:t>
            </w:r>
          </w:p>
        </w:tc>
        <w:tc>
          <w:tcPr>
            <w:tcW w:w="180" w:type="dxa"/>
            <w:vAlign w:val="bottom"/>
          </w:tcPr>
          <w:p>
            <w:pPr>
              <w:spacing w:after="0"/>
              <w:rPr>
                <w:sz w:val="20"/>
                <w:szCs w:val="20"/>
                <w:color w:val="auto"/>
              </w:rPr>
            </w:pP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1,238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1,187</w:t>
            </w: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1,181</w:t>
            </w:r>
          </w:p>
        </w:tc>
        <w:tc>
          <w:tcPr>
            <w:tcW w:w="0" w:type="dxa"/>
            <w:vAlign w:val="bottom"/>
          </w:tcPr>
          <w:p>
            <w:pPr>
              <w:spacing w:after="0"/>
              <w:rPr>
                <w:sz w:val="1"/>
                <w:szCs w:val="1"/>
                <w:color w:val="auto"/>
              </w:rPr>
            </w:pPr>
          </w:p>
        </w:tc>
      </w:tr>
      <w:tr>
        <w:trPr>
          <w:trHeight w:val="33"/>
        </w:trPr>
        <w:tc>
          <w:tcPr>
            <w:tcW w:w="2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(loss) per</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(0.03)</w:t>
            </w: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6"/>
              </w:rPr>
              <w:t>0.05</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0.03</w:t>
            </w:r>
          </w:p>
        </w:tc>
        <w:tc>
          <w:tcPr>
            <w:tcW w:w="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33"/>
        </w:trPr>
        <w:tc>
          <w:tcPr>
            <w:tcW w:w="2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300"/>
          </w:cols>
          <w:pgMar w:left="1300" w:top="621" w:right="129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4"/>
          </w:tcPr>
          <w:p>
            <w:pPr>
              <w:jc w:val="center"/>
              <w:ind w:left="459"/>
              <w:spacing w:after="0"/>
              <w:rPr>
                <w:sz w:val="20"/>
                <w:szCs w:val="20"/>
                <w:color w:val="auto"/>
              </w:rPr>
            </w:pPr>
            <w:r>
              <w:rPr>
                <w:rFonts w:ascii="Arial" w:cs="Arial" w:eastAsia="Arial" w:hAnsi="Arial"/>
                <w:sz w:val="16"/>
                <w:szCs w:val="16"/>
                <w:b w:val="1"/>
                <w:bCs w:val="1"/>
                <w:color w:val="auto"/>
                <w:w w:val="93"/>
              </w:rPr>
              <w:t>Year Ended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4"/>
          </w:tcPr>
          <w:p>
            <w:pPr>
              <w:jc w:val="center"/>
              <w:ind w:left="459"/>
              <w:spacing w:after="0"/>
              <w:rPr>
                <w:sz w:val="20"/>
                <w:szCs w:val="20"/>
                <w:color w:val="auto"/>
              </w:rPr>
            </w:pPr>
            <w:r>
              <w:rPr>
                <w:rFonts w:ascii="Arial" w:cs="Arial" w:eastAsia="Arial" w:hAnsi="Arial"/>
                <w:sz w:val="16"/>
                <w:szCs w:val="16"/>
                <w:b w:val="1"/>
                <w:bCs w:val="1"/>
                <w:color w:val="auto"/>
                <w:w w:val="93"/>
              </w:rPr>
              <w:t>Year Ended</w:t>
            </w:r>
          </w:p>
        </w:tc>
        <w:tc>
          <w:tcPr>
            <w:tcW w:w="680" w:type="dxa"/>
            <w:vAlign w:val="bottom"/>
          </w:tcPr>
          <w:p>
            <w:pPr>
              <w:spacing w:after="0"/>
              <w:rPr>
                <w:sz w:val="18"/>
                <w:szCs w:val="18"/>
                <w:color w:val="auto"/>
              </w:rPr>
            </w:pPr>
          </w:p>
        </w:tc>
      </w:tr>
      <w:tr>
        <w:trPr>
          <w:trHeight w:val="270"/>
        </w:trPr>
        <w:tc>
          <w:tcPr>
            <w:tcW w:w="4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60" w:type="dxa"/>
            <w:vAlign w:val="bottom"/>
            <w:gridSpan w:val="6"/>
          </w:tcPr>
          <w:p>
            <w:pPr>
              <w:jc w:val="center"/>
              <w:ind w:right="240"/>
              <w:spacing w:after="0"/>
              <w:rPr>
                <w:sz w:val="20"/>
                <w:szCs w:val="20"/>
                <w:color w:val="auto"/>
              </w:rPr>
            </w:pPr>
            <w:r>
              <w:rPr>
                <w:rFonts w:ascii="Arial" w:cs="Arial" w:eastAsia="Arial" w:hAnsi="Arial"/>
                <w:sz w:val="16"/>
                <w:szCs w:val="16"/>
                <w:b w:val="1"/>
                <w:bCs w:val="1"/>
                <w:color w:val="auto"/>
                <w:w w:val="90"/>
              </w:rPr>
              <w:t>August 30, 2018</w:t>
            </w:r>
          </w:p>
        </w:tc>
        <w:tc>
          <w:tcPr>
            <w:tcW w:w="160" w:type="dxa"/>
            <w:vAlign w:val="bottom"/>
          </w:tcPr>
          <w:p>
            <w:pPr>
              <w:spacing w:after="0"/>
              <w:rPr>
                <w:sz w:val="23"/>
                <w:szCs w:val="23"/>
                <w:color w:val="auto"/>
              </w:rPr>
            </w:pPr>
          </w:p>
        </w:tc>
        <w:tc>
          <w:tcPr>
            <w:tcW w:w="2160" w:type="dxa"/>
            <w:vAlign w:val="bottom"/>
            <w:gridSpan w:val="5"/>
          </w:tcPr>
          <w:p>
            <w:pPr>
              <w:jc w:val="center"/>
              <w:ind w:right="59"/>
              <w:spacing w:after="0"/>
              <w:rPr>
                <w:sz w:val="20"/>
                <w:szCs w:val="20"/>
                <w:color w:val="auto"/>
              </w:rPr>
            </w:pPr>
            <w:r>
              <w:rPr>
                <w:rFonts w:ascii="Arial" w:cs="Arial" w:eastAsia="Arial" w:hAnsi="Arial"/>
                <w:sz w:val="16"/>
                <w:szCs w:val="16"/>
                <w:b w:val="1"/>
                <w:bCs w:val="1"/>
                <w:color w:val="auto"/>
                <w:w w:val="90"/>
              </w:rPr>
              <w:t>August 31, 2017</w:t>
            </w:r>
          </w:p>
        </w:tc>
      </w:tr>
      <w:tr>
        <w:trPr>
          <w:trHeight w:val="33"/>
        </w:trPr>
        <w:tc>
          <w:tcPr>
            <w:tcW w:w="4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r>
      <w:tr>
        <w:trPr>
          <w:trHeight w:val="217"/>
        </w:trPr>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b w:val="1"/>
                <w:bCs w:val="1"/>
                <w:color w:val="auto"/>
              </w:rPr>
              <w:t>GAAP</w:t>
            </w:r>
          </w:p>
        </w:tc>
        <w:tc>
          <w:tcPr>
            <w:tcW w:w="180" w:type="dxa"/>
            <w:vAlign w:val="bottom"/>
          </w:tcPr>
          <w:p>
            <w:pPr>
              <w:spacing w:after="0"/>
              <w:rPr>
                <w:sz w:val="18"/>
                <w:szCs w:val="18"/>
                <w:color w:val="auto"/>
              </w:rPr>
            </w:pPr>
          </w:p>
        </w:tc>
        <w:tc>
          <w:tcPr>
            <w:tcW w:w="440" w:type="dxa"/>
            <w:vAlign w:val="bottom"/>
          </w:tcPr>
          <w:p>
            <w:pPr>
              <w:jc w:val="center"/>
              <w:ind w:right="59"/>
              <w:spacing w:after="0"/>
              <w:rPr>
                <w:sz w:val="20"/>
                <w:szCs w:val="20"/>
                <w:color w:val="auto"/>
              </w:rPr>
            </w:pPr>
            <w:r>
              <w:rPr>
                <w:rFonts w:ascii="Arial" w:cs="Arial" w:eastAsia="Arial" w:hAnsi="Arial"/>
                <w:sz w:val="16"/>
                <w:szCs w:val="16"/>
                <w:b w:val="1"/>
                <w:bCs w:val="1"/>
                <w:color w:val="auto"/>
              </w:rPr>
              <w:t>Adj</w:t>
            </w:r>
          </w:p>
        </w:tc>
        <w:tc>
          <w:tcPr>
            <w:tcW w:w="980" w:type="dxa"/>
            <w:vAlign w:val="bottom"/>
            <w:gridSpan w:val="3"/>
          </w:tcPr>
          <w:p>
            <w:pPr>
              <w:ind w:left="60"/>
              <w:spacing w:after="0"/>
              <w:rPr>
                <w:sz w:val="20"/>
                <w:szCs w:val="20"/>
                <w:color w:val="auto"/>
              </w:rPr>
            </w:pPr>
            <w:r>
              <w:rPr>
                <w:rFonts w:ascii="Arial" w:cs="Arial" w:eastAsia="Arial" w:hAnsi="Arial"/>
                <w:sz w:val="16"/>
                <w:szCs w:val="16"/>
                <w:b w:val="1"/>
                <w:bCs w:val="1"/>
                <w:color w:val="auto"/>
              </w:rPr>
              <w:t>Non-GAAP</w:t>
            </w:r>
          </w:p>
        </w:tc>
        <w:tc>
          <w:tcPr>
            <w:tcW w:w="160" w:type="dxa"/>
            <w:vAlign w:val="bottom"/>
          </w:tcPr>
          <w:p>
            <w:pPr>
              <w:spacing w:after="0"/>
              <w:rPr>
                <w:sz w:val="18"/>
                <w:szCs w:val="18"/>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b w:val="1"/>
                <w:bCs w:val="1"/>
                <w:color w:val="auto"/>
              </w:rPr>
              <w:t>GAAP</w:t>
            </w:r>
          </w:p>
        </w:tc>
        <w:tc>
          <w:tcPr>
            <w:tcW w:w="160" w:type="dxa"/>
            <w:vAlign w:val="bottom"/>
          </w:tcPr>
          <w:p>
            <w:pPr>
              <w:spacing w:after="0"/>
              <w:rPr>
                <w:sz w:val="18"/>
                <w:szCs w:val="18"/>
                <w:color w:val="auto"/>
              </w:rPr>
            </w:pPr>
          </w:p>
        </w:tc>
        <w:tc>
          <w:tcPr>
            <w:tcW w:w="440" w:type="dxa"/>
            <w:vAlign w:val="bottom"/>
          </w:tcPr>
          <w:p>
            <w:pPr>
              <w:jc w:val="center"/>
              <w:ind w:right="19"/>
              <w:spacing w:after="0"/>
              <w:rPr>
                <w:sz w:val="20"/>
                <w:szCs w:val="20"/>
                <w:color w:val="auto"/>
              </w:rPr>
            </w:pPr>
            <w:r>
              <w:rPr>
                <w:rFonts w:ascii="Arial" w:cs="Arial" w:eastAsia="Arial" w:hAnsi="Arial"/>
                <w:sz w:val="16"/>
                <w:szCs w:val="16"/>
                <w:b w:val="1"/>
                <w:bCs w:val="1"/>
                <w:color w:val="auto"/>
              </w:rPr>
              <w:t>Adj</w:t>
            </w:r>
          </w:p>
        </w:tc>
        <w:tc>
          <w:tcPr>
            <w:tcW w:w="900" w:type="dxa"/>
            <w:vAlign w:val="bottom"/>
            <w:gridSpan w:val="2"/>
          </w:tcPr>
          <w:p>
            <w:pPr>
              <w:ind w:left="80"/>
              <w:spacing w:after="0"/>
              <w:rPr>
                <w:sz w:val="20"/>
                <w:szCs w:val="20"/>
                <w:color w:val="auto"/>
              </w:rPr>
            </w:pPr>
            <w:r>
              <w:rPr>
                <w:rFonts w:ascii="Arial" w:cs="Arial" w:eastAsia="Arial" w:hAnsi="Arial"/>
                <w:sz w:val="16"/>
                <w:szCs w:val="16"/>
                <w:b w:val="1"/>
                <w:bCs w:val="1"/>
                <w:color w:val="auto"/>
                <w:w w:val="96"/>
              </w:rPr>
              <w:t>Non-GAAP</w:t>
            </w:r>
          </w:p>
        </w:tc>
      </w:tr>
      <w:tr>
        <w:trPr>
          <w:trHeight w:val="33"/>
        </w:trPr>
        <w:tc>
          <w:tcPr>
            <w:tcW w:w="4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30,391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30,391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20,322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20,322</w:t>
            </w:r>
          </w:p>
        </w:tc>
      </w:tr>
      <w:tr>
        <w:trPr>
          <w:trHeight w:val="237"/>
        </w:trPr>
        <w:tc>
          <w:tcPr>
            <w:tcW w:w="454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16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12,500</w:t>
            </w:r>
          </w:p>
        </w:tc>
        <w:tc>
          <w:tcPr>
            <w:tcW w:w="1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6"/>
              </w:rPr>
              <w:t>(103)</w:t>
            </w:r>
          </w:p>
        </w:tc>
        <w:tc>
          <w:tcPr>
            <w:tcW w:w="20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12,397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11,886</w:t>
            </w:r>
          </w:p>
        </w:tc>
        <w:tc>
          <w:tcPr>
            <w:tcW w:w="1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(203)</w:t>
            </w:r>
          </w:p>
        </w:tc>
        <w:tc>
          <w:tcPr>
            <w:tcW w:w="22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11,683</w:t>
            </w:r>
          </w:p>
        </w:tc>
      </w:tr>
      <w:tr>
        <w:trPr>
          <w:trHeight w:val="33"/>
        </w:trPr>
        <w:tc>
          <w:tcPr>
            <w:tcW w:w="4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0"/>
        </w:trPr>
        <w:tc>
          <w:tcPr>
            <w:tcW w:w="4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Gross margin</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17,891</w:t>
            </w:r>
          </w:p>
        </w:tc>
        <w:tc>
          <w:tcPr>
            <w:tcW w:w="1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17,994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8,436</w:t>
            </w:r>
          </w:p>
        </w:tc>
        <w:tc>
          <w:tcPr>
            <w:tcW w:w="1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8,639</w:t>
            </w:r>
          </w:p>
        </w:tc>
      </w:tr>
      <w:tr>
        <w:trPr>
          <w:trHeight w:val="237"/>
        </w:trPr>
        <w:tc>
          <w:tcPr>
            <w:tcW w:w="4540" w:type="dxa"/>
            <w:vAlign w:val="bottom"/>
          </w:tcPr>
          <w:p>
            <w:pPr>
              <w:ind w:left="160"/>
              <w:spacing w:after="0"/>
              <w:rPr>
                <w:sz w:val="20"/>
                <w:szCs w:val="20"/>
                <w:color w:val="auto"/>
              </w:rPr>
            </w:pPr>
            <w:r>
              <w:rPr>
                <w:rFonts w:ascii="Arial" w:cs="Arial" w:eastAsia="Arial" w:hAnsi="Arial"/>
                <w:sz w:val="16"/>
                <w:szCs w:val="16"/>
                <w:i w:val="1"/>
                <w:iCs w:val="1"/>
                <w:color w:val="auto"/>
              </w:rPr>
              <w:t>percent of revenue</w:t>
            </w:r>
          </w:p>
        </w:tc>
        <w:tc>
          <w:tcPr>
            <w:tcW w:w="16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i w:val="1"/>
                <w:iCs w:val="1"/>
                <w:color w:val="auto"/>
              </w:rPr>
              <w:t>58.9%</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i w:val="1"/>
                <w:iCs w:val="1"/>
                <w:color w:val="auto"/>
              </w:rPr>
              <w:t>59.2%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i w:val="1"/>
                <w:iCs w:val="1"/>
                <w:color w:val="auto"/>
              </w:rPr>
              <w:t>41.5%</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i w:val="1"/>
                <w:iCs w:val="1"/>
                <w:color w:val="auto"/>
              </w:rPr>
              <w:t>42.5%</w:t>
            </w:r>
          </w:p>
        </w:tc>
      </w:tr>
      <w:tr>
        <w:trPr>
          <w:trHeight w:val="33"/>
        </w:trPr>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97"/>
        </w:trPr>
        <w:tc>
          <w:tcPr>
            <w:tcW w:w="4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813</w:t>
            </w:r>
          </w:p>
        </w:tc>
        <w:tc>
          <w:tcPr>
            <w:tcW w:w="1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(61)</w:t>
            </w:r>
          </w:p>
        </w:tc>
        <w:tc>
          <w:tcPr>
            <w:tcW w:w="20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752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743</w:t>
            </w:r>
          </w:p>
        </w:tc>
        <w:tc>
          <w:tcPr>
            <w:tcW w:w="1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(88)</w:t>
            </w:r>
          </w:p>
        </w:tc>
        <w:tc>
          <w:tcPr>
            <w:tcW w:w="22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655</w:t>
            </w:r>
          </w:p>
        </w:tc>
      </w:tr>
      <w:tr>
        <w:trPr>
          <w:trHeight w:val="33"/>
        </w:trPr>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2,141</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1,824</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1,769</w:t>
            </w:r>
          </w:p>
        </w:tc>
      </w:tr>
      <w:tr>
        <w:trPr>
          <w:trHeight w:val="237"/>
        </w:trPr>
        <w:tc>
          <w:tcPr>
            <w:tcW w:w="4540" w:type="dxa"/>
            <w:vAlign w:val="bottom"/>
          </w:tcPr>
          <w:p>
            <w:pPr>
              <w:ind w:left="20"/>
              <w:spacing w:after="0"/>
              <w:rPr>
                <w:sz w:val="20"/>
                <w:szCs w:val="20"/>
                <w:color w:val="auto"/>
              </w:rPr>
            </w:pPr>
            <w:r>
              <w:rPr>
                <w:rFonts w:ascii="Arial" w:cs="Arial" w:eastAsia="Arial" w:hAnsi="Arial"/>
                <w:sz w:val="16"/>
                <w:szCs w:val="16"/>
                <w:color w:val="auto"/>
              </w:rPr>
              <w:t>Other operating (income) expense, net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(57)</w:t>
            </w:r>
          </w:p>
        </w:tc>
        <w:tc>
          <w:tcPr>
            <w:tcW w:w="1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(28)</w:t>
            </w: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33"/>
        </w:trPr>
        <w:tc>
          <w:tcPr>
            <w:tcW w:w="4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2,897</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(146)</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2,568</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2,407</w:t>
            </w:r>
          </w:p>
        </w:tc>
      </w:tr>
      <w:tr>
        <w:trPr>
          <w:trHeight w:val="217"/>
        </w:trPr>
        <w:tc>
          <w:tcPr>
            <w:tcW w:w="4540" w:type="dxa"/>
            <w:vAlign w:val="bottom"/>
          </w:tcPr>
          <w:p>
            <w:pPr>
              <w:ind w:left="16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14,994</w:t>
            </w:r>
          </w:p>
        </w:tc>
        <w:tc>
          <w:tcPr>
            <w:tcW w:w="1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249</w:t>
            </w: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15,243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5,868</w:t>
            </w: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364</w:t>
            </w: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6,232</w:t>
            </w:r>
          </w:p>
        </w:tc>
      </w:tr>
      <w:tr>
        <w:trPr>
          <w:trHeight w:val="33"/>
        </w:trPr>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i w:val="1"/>
                <w:iCs w:val="1"/>
                <w:color w:val="auto"/>
              </w:rPr>
              <w:t>percent of revenue</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i w:val="1"/>
                <w:iCs w:val="1"/>
                <w:color w:val="auto"/>
              </w:rPr>
              <w:t>49.3%</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i w:val="1"/>
                <w:iCs w:val="1"/>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i w:val="1"/>
                <w:iCs w:val="1"/>
                <w:color w:val="auto"/>
              </w:rPr>
              <w:t>28.9%</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i w:val="1"/>
                <w:iCs w:val="1"/>
                <w:color w:val="auto"/>
              </w:rPr>
              <w:t>30.7%</w:t>
            </w:r>
          </w:p>
        </w:tc>
      </w:tr>
      <w:tr>
        <w:trPr>
          <w:trHeight w:val="297"/>
        </w:trPr>
        <w:tc>
          <w:tcPr>
            <w:tcW w:w="4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w:t>
            </w:r>
          </w:p>
        </w:tc>
      </w:tr>
      <w:tr>
        <w:trPr>
          <w:trHeight w:val="237"/>
        </w:trPr>
        <w:tc>
          <w:tcPr>
            <w:tcW w:w="4540" w:type="dxa"/>
            <w:vAlign w:val="bottom"/>
          </w:tcPr>
          <w:p>
            <w:pPr>
              <w:ind w:left="20"/>
              <w:spacing w:after="0"/>
              <w:rPr>
                <w:sz w:val="20"/>
                <w:szCs w:val="20"/>
                <w:color w:val="auto"/>
              </w:rPr>
            </w:pPr>
            <w:r>
              <w:rPr>
                <w:rFonts w:ascii="Arial" w:cs="Arial" w:eastAsia="Arial" w:hAnsi="Arial"/>
                <w:sz w:val="16"/>
                <w:szCs w:val="16"/>
                <w:color w:val="auto"/>
              </w:rPr>
              <w:t>Other non-operating income (expense), net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(465)</w:t>
            </w:r>
          </w:p>
        </w:tc>
        <w:tc>
          <w:tcPr>
            <w:tcW w:w="180" w:type="dxa"/>
            <w:vAlign w:val="bottom"/>
          </w:tcPr>
          <w:p>
            <w:pPr>
              <w:spacing w:after="0"/>
              <w:rPr>
                <w:sz w:val="20"/>
                <w:szCs w:val="20"/>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465</w:t>
            </w:r>
          </w:p>
        </w:tc>
        <w:tc>
          <w:tcPr>
            <w:tcW w:w="20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(112)</w:t>
            </w:r>
          </w:p>
        </w:tc>
        <w:tc>
          <w:tcPr>
            <w:tcW w:w="16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112</w:t>
            </w:r>
          </w:p>
        </w:tc>
        <w:tc>
          <w:tcPr>
            <w:tcW w:w="22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4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0"/>
        </w:trPr>
        <w:tc>
          <w:tcPr>
            <w:tcW w:w="45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14,307</w:t>
            </w:r>
          </w:p>
        </w:tc>
        <w:tc>
          <w:tcPr>
            <w:tcW w:w="1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815</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15,122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5,196</w:t>
            </w:r>
          </w:p>
        </w:tc>
        <w:tc>
          <w:tcPr>
            <w:tcW w:w="1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601</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5,797</w:t>
            </w:r>
          </w:p>
        </w:tc>
      </w:tr>
      <w:tr>
        <w:trPr>
          <w:trHeight w:val="297"/>
        </w:trPr>
        <w:tc>
          <w:tcPr>
            <w:tcW w:w="4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(250)</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r>
      <w:tr>
        <w:trPr>
          <w:trHeight w:val="237"/>
        </w:trPr>
        <w:tc>
          <w:tcPr>
            <w:tcW w:w="4540" w:type="dxa"/>
            <w:vAlign w:val="bottom"/>
          </w:tcPr>
          <w:p>
            <w:pPr>
              <w:ind w:left="20"/>
              <w:spacing w:after="0"/>
              <w:rPr>
                <w:sz w:val="20"/>
                <w:szCs w:val="20"/>
                <w:color w:val="auto"/>
              </w:rPr>
            </w:pPr>
            <w:r>
              <w:rPr>
                <w:rFonts w:ascii="Arial" w:cs="Arial" w:eastAsia="Arial" w:hAnsi="Arial"/>
                <w:sz w:val="16"/>
                <w:szCs w:val="16"/>
                <w:color w:val="auto"/>
              </w:rPr>
              <w:t>Equity in net income (loss) of equity method investees</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20"/>
                <w:szCs w:val="20"/>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25</w:t>
            </w:r>
          </w:p>
        </w:tc>
      </w:tr>
      <w:tr>
        <w:trPr>
          <w:trHeight w:val="33"/>
        </w:trPr>
        <w:tc>
          <w:tcPr>
            <w:tcW w:w="4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0"/>
        </w:trPr>
        <w:tc>
          <w:tcPr>
            <w:tcW w:w="4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14,138</w:t>
            </w:r>
          </w:p>
        </w:tc>
        <w:tc>
          <w:tcPr>
            <w:tcW w:w="1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565</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14,703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5,090</w:t>
            </w:r>
          </w:p>
        </w:tc>
        <w:tc>
          <w:tcPr>
            <w:tcW w:w="1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559</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5,649</w:t>
            </w:r>
          </w:p>
        </w:tc>
      </w:tr>
      <w:tr>
        <w:trPr>
          <w:trHeight w:val="297"/>
        </w:trPr>
        <w:tc>
          <w:tcPr>
            <w:tcW w:w="4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84"/>
        </w:trPr>
        <w:tc>
          <w:tcPr>
            <w:tcW w:w="454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Net income (loss) attributable to Micron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14,135</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565</w:t>
            </w: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14,700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5,089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559</w:t>
            </w:r>
          </w:p>
        </w:tc>
        <w:tc>
          <w:tcPr>
            <w:tcW w:w="2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5,648</w:t>
            </w:r>
          </w:p>
        </w:tc>
      </w:tr>
      <w:tr>
        <w:trPr>
          <w:trHeight w:val="284"/>
        </w:trPr>
        <w:tc>
          <w:tcPr>
            <w:tcW w:w="4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6"/>
                <w:szCs w:val="16"/>
                <w:color w:val="auto"/>
              </w:rPr>
              <w:t>Shares used in calculations</w:t>
            </w:r>
          </w:p>
        </w:tc>
        <w:tc>
          <w:tcPr>
            <w:tcW w:w="16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1,229</w:t>
            </w:r>
          </w:p>
        </w:tc>
        <w:tc>
          <w:tcPr>
            <w:tcW w:w="180" w:type="dxa"/>
            <w:vAlign w:val="bottom"/>
          </w:tcPr>
          <w:p>
            <w:pPr>
              <w:spacing w:after="0"/>
              <w:rPr>
                <w:sz w:val="20"/>
                <w:szCs w:val="20"/>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1,230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1,154</w:t>
            </w:r>
          </w:p>
        </w:tc>
        <w:tc>
          <w:tcPr>
            <w:tcW w:w="1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1,140</w:t>
            </w:r>
          </w:p>
        </w:tc>
      </w:tr>
      <w:tr>
        <w:trPr>
          <w:trHeight w:val="33"/>
        </w:trPr>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(loss)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6"/>
              </w:rPr>
              <w:t>0.44</w:t>
            </w:r>
          </w:p>
        </w:tc>
        <w:tc>
          <w:tcPr>
            <w:tcW w:w="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11.95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0.55</w:t>
            </w:r>
          </w:p>
        </w:tc>
        <w:tc>
          <w:tcPr>
            <w:tcW w:w="220" w:type="dxa"/>
            <w:vAlign w:val="bottom"/>
            <w:shd w:val="clear" w:color="auto" w:fill="CCEEFF"/>
          </w:tcPr>
          <w:p>
            <w:pPr>
              <w:ind w:left="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4.96</w:t>
            </w:r>
          </w:p>
        </w:tc>
      </w:tr>
      <w:tr>
        <w:trPr>
          <w:trHeight w:val="33"/>
        </w:trPr>
        <w:tc>
          <w:tcPr>
            <w:tcW w:w="45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ectPr>
          <w:pgSz w:w="11900" w:h="16838" w:orient="portrait"/>
          <w:cols w:equalWidth="0" w:num="1">
            <w:col w:w="9280"/>
          </w:cols>
          <w:pgMar w:left="1320" w:top="801" w:right="129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ADJUSTMENTS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4</w:t>
            </w:r>
            <w:r>
              <w:rPr>
                <w:rFonts w:ascii="Arial" w:cs="Arial" w:eastAsia="Arial" w:hAnsi="Arial"/>
                <w:sz w:val="25"/>
                <w:szCs w:val="25"/>
                <w:b w:val="1"/>
                <w:bCs w:val="1"/>
                <w:color w:val="auto"/>
                <w:w w:val="85"/>
                <w:vertAlign w:val="superscript"/>
              </w:rPr>
              <w:t>th</w:t>
            </w:r>
            <w:r>
              <w:rPr>
                <w:rFonts w:ascii="Arial" w:cs="Arial" w:eastAsia="Arial" w:hAnsi="Arial"/>
                <w:sz w:val="18"/>
                <w:szCs w:val="18"/>
                <w:b w:val="1"/>
                <w:bCs w:val="1"/>
                <w:color w:val="auto"/>
                <w:w w:val="85"/>
              </w:rPr>
              <w:t xml:space="preserve"> Qtr.</w:t>
            </w:r>
          </w:p>
        </w:tc>
        <w:tc>
          <w:tcPr>
            <w:tcW w:w="10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3</w:t>
            </w:r>
            <w:r>
              <w:rPr>
                <w:rFonts w:ascii="Arial" w:cs="Arial" w:eastAsia="Arial" w:hAnsi="Arial"/>
                <w:sz w:val="25"/>
                <w:szCs w:val="25"/>
                <w:b w:val="1"/>
                <w:bCs w:val="1"/>
                <w:color w:val="auto"/>
                <w:w w:val="87"/>
                <w:vertAlign w:val="superscript"/>
              </w:rPr>
              <w:t>rd</w:t>
            </w:r>
            <w:r>
              <w:rPr>
                <w:rFonts w:ascii="Arial" w:cs="Arial" w:eastAsia="Arial" w:hAnsi="Arial"/>
                <w:sz w:val="18"/>
                <w:szCs w:val="18"/>
                <w:b w:val="1"/>
                <w:bCs w:val="1"/>
                <w:color w:val="auto"/>
                <w:w w:val="87"/>
              </w:rPr>
              <w:t xml:space="preserve"> Qtr.</w:t>
            </w:r>
          </w:p>
        </w:tc>
        <w:tc>
          <w:tcPr>
            <w:tcW w:w="16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4</w:t>
            </w:r>
            <w:r>
              <w:rPr>
                <w:rFonts w:ascii="Arial" w:cs="Arial" w:eastAsia="Arial" w:hAnsi="Arial"/>
                <w:sz w:val="25"/>
                <w:szCs w:val="25"/>
                <w:b w:val="1"/>
                <w:bCs w:val="1"/>
                <w:color w:val="auto"/>
                <w:w w:val="89"/>
                <w:vertAlign w:val="superscript"/>
              </w:rPr>
              <w:t>th</w:t>
            </w:r>
            <w:r>
              <w:rPr>
                <w:rFonts w:ascii="Arial" w:cs="Arial" w:eastAsia="Arial" w:hAnsi="Arial"/>
                <w:sz w:val="18"/>
                <w:szCs w:val="18"/>
                <w:b w:val="1"/>
                <w:bCs w:val="1"/>
                <w:color w:val="auto"/>
                <w:w w:val="89"/>
              </w:rPr>
              <w:t xml:space="preserve"> Qtr.</w:t>
            </w:r>
          </w:p>
        </w:tc>
        <w:tc>
          <w:tcPr>
            <w:tcW w:w="160" w:type="dxa"/>
            <w:vAlign w:val="bottom"/>
          </w:tcPr>
          <w:p>
            <w:pPr>
              <w:spacing w:after="0"/>
              <w:rPr>
                <w:sz w:val="24"/>
                <w:szCs w:val="24"/>
                <w:color w:val="auto"/>
              </w:rPr>
            </w:pPr>
          </w:p>
        </w:tc>
        <w:tc>
          <w:tcPr>
            <w:tcW w:w="246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August 30,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August 31,</w:t>
            </w: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August 30,</w:t>
            </w:r>
          </w:p>
        </w:tc>
        <w:tc>
          <w:tcPr>
            <w:tcW w:w="18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August 31,</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May 31, 2018</w:t>
            </w:r>
          </w:p>
        </w:tc>
        <w:tc>
          <w:tcPr>
            <w:tcW w:w="160" w:type="dxa"/>
            <w:vAlign w:val="bottom"/>
          </w:tcPr>
          <w:p>
            <w:pPr>
              <w:spacing w:after="0"/>
              <w:rPr>
                <w:sz w:val="20"/>
                <w:szCs w:val="20"/>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Non-GAAP adjustments</w:t>
            </w: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4700" w:type="dxa"/>
            <w:vAlign w:val="bottom"/>
          </w:tcPr>
          <w:p>
            <w:pPr>
              <w:ind w:left="360"/>
              <w:spacing w:after="0"/>
              <w:rPr>
                <w:sz w:val="20"/>
                <w:szCs w:val="20"/>
                <w:color w:val="auto"/>
              </w:rPr>
            </w:pPr>
            <w:r>
              <w:rPr>
                <w:rFonts w:ascii="Arial" w:cs="Arial" w:eastAsia="Arial" w:hAnsi="Arial"/>
                <w:sz w:val="18"/>
                <w:szCs w:val="18"/>
                <w:color w:val="auto"/>
              </w:rPr>
              <w:t>Flow-through of Inotera inventory step up</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4700" w:type="dxa"/>
            <w:vAlign w:val="bottom"/>
          </w:tcPr>
          <w:p>
            <w:pPr>
              <w:ind w:left="360"/>
              <w:spacing w:after="0"/>
              <w:rPr>
                <w:sz w:val="20"/>
                <w:szCs w:val="20"/>
                <w:color w:val="auto"/>
              </w:rPr>
            </w:pPr>
            <w:r>
              <w:rPr>
                <w:rFonts w:ascii="Arial" w:cs="Arial" w:eastAsia="Arial" w:hAnsi="Arial"/>
                <w:sz w:val="18"/>
                <w:szCs w:val="18"/>
                <w:color w:val="auto"/>
              </w:rPr>
              <w:t>Inotera acquisition costs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91"/>
        </w:trPr>
        <w:tc>
          <w:tcPr>
            <w:tcW w:w="47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Other operating (income) expense, net</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Restructure and asset impairments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income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60"/>
              <w:spacing w:after="0"/>
              <w:rPr>
                <w:sz w:val="20"/>
                <w:szCs w:val="20"/>
                <w:color w:val="auto"/>
              </w:rPr>
            </w:pPr>
            <w:r>
              <w:rPr>
                <w:rFonts w:ascii="Arial" w:cs="Arial" w:eastAsia="Arial" w:hAnsi="Arial"/>
                <w:sz w:val="18"/>
                <w:szCs w:val="18"/>
                <w:color w:val="auto"/>
              </w:rPr>
              <w:t>Amortization of debt discount and other costs</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Other non-operating income (expense)</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(Gain) loss on debt repurchases and conversions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4700" w:type="dxa"/>
            <w:vAlign w:val="bottom"/>
          </w:tcPr>
          <w:p>
            <w:pPr>
              <w:ind w:left="360"/>
              <w:spacing w:after="0"/>
              <w:rPr>
                <w:sz w:val="20"/>
                <w:szCs w:val="20"/>
                <w:color w:val="auto"/>
              </w:rPr>
            </w:pPr>
            <w:r>
              <w:rPr>
                <w:rFonts w:ascii="Arial" w:cs="Arial" w:eastAsia="Arial" w:hAnsi="Arial"/>
                <w:sz w:val="18"/>
                <w:szCs w:val="18"/>
                <w:color w:val="auto"/>
              </w:rPr>
              <w:t>(Gain) loss from changes in currency exchange rates</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(Gain) loss from business acquisition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4700" w:type="dxa"/>
            <w:vAlign w:val="bottom"/>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91"/>
        </w:trPr>
        <w:tc>
          <w:tcPr>
            <w:tcW w:w="47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60"/>
              <w:spacing w:after="0"/>
              <w:rPr>
                <w:sz w:val="20"/>
                <w:szCs w:val="20"/>
                <w:color w:val="auto"/>
              </w:rPr>
            </w:pPr>
            <w:r>
              <w:rPr>
                <w:rFonts w:ascii="Arial" w:cs="Arial" w:eastAsia="Arial" w:hAnsi="Arial"/>
                <w:sz w:val="18"/>
                <w:szCs w:val="18"/>
                <w:color w:val="auto"/>
              </w:rPr>
              <w:t>Impact of U.S. income tax reform</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Estimated tax effects of above, including tax benefits from</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1"/>
              </w:rPr>
              <w:t>stock-based compensation, and non-cash changes in net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w w:val="99"/>
              </w:rPr>
              <w:t>Equity in net income (loss) of equity method investments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Impairment of equity method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700" w:type="dxa"/>
            <w:vAlign w:val="bottom"/>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621" w:right="239" w:bottom="1440" w:gutter="0" w:footer="0" w:header="0"/>
        </w:sectPr>
      </w:pPr>
    </w:p>
    <w:bookmarkStart w:id="12" w:name="page13"/>
    <w:bookmarkEnd w:id="12"/>
    <w:p>
      <w:pPr>
        <w:ind w:firstLine="324"/>
        <w:spacing w:after="0" w:line="271" w:lineRule="auto"/>
        <w:rPr>
          <w:sz w:val="20"/>
          <w:szCs w:val="20"/>
          <w:color w:val="auto"/>
        </w:rPr>
      </w:pPr>
      <w:r>
        <w:rPr>
          <w:rFonts w:ascii="Arial" w:cs="Arial" w:eastAsia="Arial" w:hAnsi="Arial"/>
          <w:sz w:val="17"/>
          <w:szCs w:val="17"/>
          <w:color w:val="auto"/>
        </w:rPr>
        <w:t>The tables above reconcile GAAP to non-GAAP results, diluted shares, and diluted earnings per share. The non-GAAP adjustments above may or may not be infrequent or nonrecurring in nature but are a result of periodic or non-core operating activities. We believe this non-GAAP information is helpful to understanding trends and in analyzing our operating results and earnings. We are providing this information to investors to assist in performing analysis of our operating results. When evaluating performance and making decisions on how to allocate our resources, management uses this non-GAAP information and believes investors should have access to similar data when making their investment decisions. We believe these non-GAAP financial measures increase transparency by providing investors with useful supplemental information about the financial performance of our business, enabling enhanced comparison of our operating results between periods and with peer companies. The presentation of these adjusted amounts vary from numbers presented in accordance with U.S. GAAP and therefore may not be comparable to amounts reported by other companies.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management excludes the following items in analyzing our operating results and understanding trends in our earnings:</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Flow-through of business acquisition-related inventory adjustments;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Restructure and asset impairments;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Amortization of debt discount and other costs, including the accretion of non-cash interest expense associated with our convertible debt and MMJ creditor debt;</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Gains and losses from debt repurchases and conversions;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Gains and losses from changes in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Gains and losses loss from business acquisition activities;</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Impact of the U.S. income tax reform for provisional estimate of Repatriation Tax, release of U.S. valuation allowance, and remeasurement of net deferred taxes reflecting the lower U.S. corporate tax rates:</w:t>
      </w: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estimated tax effects of above, including tax benefits from stock-based compensation, and non-cash changes in net deferred taxes;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Impairments of equity method investments.</w:t>
      </w:r>
    </w:p>
    <w:p>
      <w:pPr>
        <w:spacing w:after="0" w:line="21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outstanding capped call transactions are anti-dilutive in GAAP earnings per share but are expected to mitigate the dilutive effect of our convertible notes. In periods with non-GAAP income attributable to Micron, non-GAAP diluted shares include the impact of the capped calls, based on the average share price for the period the capped calls are outstanding. Non-GAAP diluted shares are also adjusted for the impact of additional shares resulting from the exclusion of stock-based compensation from non-GAAP income.</w:t>
      </w:r>
    </w:p>
    <w:sectPr>
      <w:pgSz w:w="11900" w:h="16838" w:orient="portrait"/>
      <w:cols w:equalWidth="0" w:num="1">
        <w:col w:w="11420"/>
      </w:cols>
      <w:pgMar w:left="240" w:top="6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3"/>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2019-12-28T19:28:46Z</dcterms:created>
  <dcterms:modified xsi:type="dcterms:W3CDTF">2019-12-28T19:28:46Z</dcterms:modified>
</cp:coreProperties>
</file>