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Dugle Lynn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vest at 100% on one-year anniversary date of award. Pursuant to a deferral election, vested shares will be delivered to the Reporting Person fifteen days after the Reporting Person's separation from service or earlier in the event the Company is subject to a change in control event.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10/15/2024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336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2024-10-15T18:39:39Z</dcterms:created>
  <dcterms:modified xsi:type="dcterms:W3CDTF">2024-10-15T18:39:39Z</dcterms:modified>
</cp:coreProperties>
</file>