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154940</wp:posOffset>
            </wp:positionH>
            <wp:positionV relativeFrom="page">
              <wp:posOffset>154940</wp:posOffset>
            </wp:positionV>
            <wp:extent cx="725170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700" cy="33020"/>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220980</wp:posOffset>
            </wp:positionV>
            <wp:extent cx="7251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700" cy="8255"/>
                    </a:xfrm>
                    <a:prstGeom prst="rect">
                      <a:avLst/>
                    </a:prstGeom>
                    <a:noFill/>
                  </pic:spPr>
                </pic:pic>
              </a:graphicData>
            </a:graphic>
          </wp:anchor>
        </w:drawing>
        <w:t>UNITED STATES SECURITIES AND EXCHANGE</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July 23, 2014</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MICRON TECHNOLOGY,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20"/>
          </w:cols>
          <w:pgMar w:left="240" w:top="528" w:right="239" w:bottom="0" w:gutter="0" w:footer="0" w:header="0"/>
        </w:sectPr>
      </w:pPr>
    </w:p>
    <w:p>
      <w:pPr>
        <w:spacing w:after="0" w:line="201" w:lineRule="exact"/>
        <w:rPr>
          <w:sz w:val="24"/>
          <w:szCs w:val="24"/>
          <w:color w:val="auto"/>
        </w:rPr>
      </w:pPr>
    </w:p>
    <w:p>
      <w:pPr>
        <w:jc w:val="center"/>
        <w:ind w:right="380"/>
        <w:spacing w:after="0"/>
        <w:rPr>
          <w:sz w:val="20"/>
          <w:szCs w:val="20"/>
          <w:color w:val="auto"/>
        </w:rPr>
      </w:pPr>
      <w:r>
        <w:rPr>
          <w:rFonts w:ascii="Arial" w:cs="Arial" w:eastAsia="Arial" w:hAnsi="Arial"/>
          <w:sz w:val="17"/>
          <w:szCs w:val="17"/>
          <w:b w:val="1"/>
          <w:bCs w:val="1"/>
          <w:color w:val="auto"/>
        </w:rPr>
        <w:t>Delaware</w:t>
      </w:r>
    </w:p>
    <w:p>
      <w:pPr>
        <w:spacing w:after="0" w:line="31"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40"/>
        <w:spacing w:after="0"/>
        <w:rPr>
          <w:sz w:val="20"/>
          <w:szCs w:val="20"/>
          <w:color w:val="auto"/>
        </w:rPr>
      </w:pPr>
      <w:r>
        <w:rPr>
          <w:rFonts w:ascii="Arial" w:cs="Arial" w:eastAsia="Arial" w:hAnsi="Arial"/>
          <w:sz w:val="17"/>
          <w:szCs w:val="17"/>
          <w:b w:val="1"/>
          <w:bCs w:val="1"/>
          <w:color w:val="auto"/>
        </w:rPr>
        <w:t>1-10658</w:t>
      </w:r>
    </w:p>
    <w:p>
      <w:pPr>
        <w:spacing w:after="0" w:line="31"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Arial" w:cs="Arial" w:eastAsia="Arial" w:hAnsi="Arial"/>
          <w:sz w:val="17"/>
          <w:szCs w:val="17"/>
          <w:b w:val="1"/>
          <w:bCs w:val="1"/>
          <w:color w:val="auto"/>
        </w:rPr>
        <w:t>75-1618004</w:t>
      </w:r>
    </w:p>
    <w:p>
      <w:pPr>
        <w:spacing w:after="0" w:line="31"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(I.R.S. Employer Identification No.)</w:t>
      </w:r>
    </w:p>
    <w:p>
      <w:pPr>
        <w:spacing w:after="0" w:line="24" w:lineRule="exact"/>
        <w:rPr>
          <w:sz w:val="24"/>
          <w:szCs w:val="24"/>
          <w:color w:val="auto"/>
        </w:rPr>
      </w:pPr>
    </w:p>
    <w:p>
      <w:pPr>
        <w:sectPr>
          <w:pgSz w:w="11900" w:h="16838" w:orient="portrait"/>
          <w:cols w:equalWidth="0" w:num="3">
            <w:col w:w="4040" w:space="720"/>
            <w:col w:w="2860" w:space="720"/>
            <w:col w:w="3080"/>
          </w:cols>
          <w:pgMar w:left="240" w:top="528" w:right="239" w:bottom="0" w:gutter="0" w:footer="0" w:header="0"/>
          <w:type w:val="continuous"/>
        </w:sectPr>
      </w:pPr>
    </w:p>
    <w:p>
      <w:pPr>
        <w:ind w:left="1340"/>
        <w:spacing w:after="0"/>
        <w:rPr>
          <w:sz w:val="20"/>
          <w:szCs w:val="20"/>
          <w:color w:val="auto"/>
        </w:rPr>
      </w:pPr>
      <w:r>
        <w:rPr>
          <w:rFonts w:ascii="Arial" w:cs="Arial" w:eastAsia="Arial" w:hAnsi="Arial"/>
          <w:sz w:val="17"/>
          <w:szCs w:val="17"/>
          <w:color w:val="auto"/>
        </w:rPr>
        <w:t>incorporation)</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8000 South Federal Way</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Boise, Idaho 83716-9632</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(208) 368-4000</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(Registrant’s telephone number, including area code)</w:t>
      </w:r>
    </w:p>
    <w:p>
      <w:pPr>
        <w:sectPr>
          <w:pgSz w:w="11900" w:h="16838" w:orient="portrait"/>
          <w:cols w:equalWidth="0" w:num="1">
            <w:col w:w="11420"/>
          </w:cols>
          <w:pgMar w:left="240" w:top="528" w:right="239" w:bottom="0" w:gutter="0" w:footer="0" w:header="0"/>
          <w:type w:val="continuous"/>
        </w:sectPr>
      </w:pPr>
    </w:p>
    <w:p>
      <w:pPr>
        <w:spacing w:after="0" w:line="232" w:lineRule="exact"/>
        <w:rPr>
          <w:sz w:val="24"/>
          <w:szCs w:val="24"/>
          <w:color w:val="auto"/>
        </w:rPr>
      </w:pPr>
    </w:p>
    <w:p>
      <w:pPr>
        <w:ind w:right="520"/>
        <w:spacing w:after="0" w:line="286"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5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189865</wp:posOffset>
            </wp:positionV>
            <wp:extent cx="7251700"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70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419100</wp:posOffset>
            </wp:positionV>
            <wp:extent cx="7272655" cy="29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Item 7.01. Regulation FD Disclosure.</w:t>
      </w:r>
    </w:p>
    <w:p>
      <w:pPr>
        <w:spacing w:after="0" w:line="227" w:lineRule="exact"/>
        <w:rPr>
          <w:sz w:val="24"/>
          <w:szCs w:val="24"/>
          <w:color w:val="auto"/>
        </w:rPr>
      </w:pPr>
    </w:p>
    <w:p>
      <w:pPr>
        <w:ind w:right="160"/>
        <w:spacing w:after="0" w:line="287" w:lineRule="auto"/>
        <w:rPr>
          <w:sz w:val="20"/>
          <w:szCs w:val="20"/>
          <w:color w:val="auto"/>
        </w:rPr>
      </w:pPr>
      <w:r>
        <w:rPr>
          <w:rFonts w:ascii="Arial" w:cs="Arial" w:eastAsia="Arial" w:hAnsi="Arial"/>
          <w:sz w:val="16"/>
          <w:szCs w:val="16"/>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162" w:lineRule="exact"/>
        <w:rPr>
          <w:sz w:val="24"/>
          <w:szCs w:val="24"/>
          <w:color w:val="auto"/>
        </w:rPr>
      </w:pPr>
    </w:p>
    <w:p>
      <w:pPr>
        <w:spacing w:after="0"/>
        <w:rPr>
          <w:sz w:val="20"/>
          <w:szCs w:val="20"/>
          <w:color w:val="auto"/>
        </w:rPr>
      </w:pPr>
      <w:r>
        <w:rPr>
          <w:rFonts w:ascii="Arial" w:cs="Arial" w:eastAsia="Arial" w:hAnsi="Arial"/>
          <w:sz w:val="15"/>
          <w:szCs w:val="15"/>
          <w:color w:val="auto"/>
        </w:rPr>
        <w:t>Micron Technology, Inc. is furnishing certain financial information regarding its business, including the following events that occurred subsequent to May 29, 2014:</w:t>
      </w:r>
    </w:p>
    <w:p>
      <w:pPr>
        <w:spacing w:after="0" w:line="244" w:lineRule="exact"/>
        <w:rPr>
          <w:sz w:val="24"/>
          <w:szCs w:val="24"/>
          <w:color w:val="auto"/>
        </w:rPr>
      </w:pPr>
    </w:p>
    <w:p>
      <w:pPr>
        <w:ind w:left="660" w:right="100" w:hanging="304"/>
        <w:spacing w:after="0" w:line="286" w:lineRule="auto"/>
        <w:tabs>
          <w:tab w:leader="none" w:pos="625"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prepaid a capital lease obligation of approximately $50 million that was due in quarterly installments through 2016. The prepayment of this financing resulted in a reduction of (i) cash of $50 million, (ii) current debt of $23 million and (iii) long-term debt of $27 million.</w:t>
      </w:r>
    </w:p>
    <w:p>
      <w:pPr>
        <w:spacing w:after="0" w:line="159" w:lineRule="exact"/>
        <w:rPr>
          <w:rFonts w:ascii="Arial" w:cs="Arial" w:eastAsia="Arial" w:hAnsi="Arial"/>
          <w:sz w:val="17"/>
          <w:szCs w:val="17"/>
          <w:color w:val="auto"/>
        </w:rPr>
      </w:pPr>
    </w:p>
    <w:p>
      <w:pPr>
        <w:ind w:left="660" w:right="200" w:hanging="304"/>
        <w:spacing w:after="0" w:line="266" w:lineRule="auto"/>
        <w:tabs>
          <w:tab w:leader="none" w:pos="625"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repurchased approximately $28 million and $30 million in aggregate principal amount of our 2.375% convertible senior notes due 2032 and 3.125% convertible senior notes due 2032, respectively, for an aggregate price of approximately $197 million. The repurchase of these notes resulted in reductions in (i) cash aggregating $197 million, (ii) long-term debt aggregating $49 million and (iii) total Micron shareholders’ equity aggregating $148 million.</w:t>
      </w:r>
    </w:p>
    <w:p>
      <w:pPr>
        <w:spacing w:after="0" w:line="175" w:lineRule="exact"/>
        <w:rPr>
          <w:rFonts w:ascii="Arial" w:cs="Arial" w:eastAsia="Arial" w:hAnsi="Arial"/>
          <w:sz w:val="17"/>
          <w:szCs w:val="17"/>
          <w:color w:val="auto"/>
        </w:rPr>
      </w:pPr>
    </w:p>
    <w:p>
      <w:pPr>
        <w:ind w:left="660" w:right="140" w:hanging="304"/>
        <w:spacing w:after="0" w:line="286" w:lineRule="auto"/>
        <w:tabs>
          <w:tab w:leader="none" w:pos="625"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entered into a capital lease obligation for approximately $79 million, resulting in increases in (i) current debt of $15 million and (ii) long-term debt of $64 million.</w:t>
      </w:r>
    </w:p>
    <w:p>
      <w:pPr>
        <w:spacing w:after="0" w:line="159" w:lineRule="exact"/>
        <w:rPr>
          <w:rFonts w:ascii="Arial" w:cs="Arial" w:eastAsia="Arial" w:hAnsi="Arial"/>
          <w:sz w:val="17"/>
          <w:szCs w:val="17"/>
          <w:color w:val="auto"/>
        </w:rPr>
      </w:pPr>
    </w:p>
    <w:p>
      <w:pPr>
        <w:ind w:left="660" w:right="100" w:hanging="304"/>
        <w:spacing w:after="0" w:line="286" w:lineRule="auto"/>
        <w:tabs>
          <w:tab w:leader="none" w:pos="625"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delivered an irrevocable notice to prepay $32 million aggregate principal amount in respect of a term loan, which payment is scheduled to be made on July 31, 2014. The loan is due in semi-annual installments through 2018.</w:t>
      </w:r>
    </w:p>
    <w:p>
      <w:pPr>
        <w:spacing w:after="0" w:line="159" w:lineRule="exact"/>
        <w:rPr>
          <w:sz w:val="24"/>
          <w:szCs w:val="24"/>
          <w:color w:val="auto"/>
        </w:rPr>
      </w:pPr>
    </w:p>
    <w:p>
      <w:pPr>
        <w:ind w:right="80"/>
        <w:spacing w:after="0" w:line="301" w:lineRule="auto"/>
        <w:rPr>
          <w:sz w:val="20"/>
          <w:szCs w:val="20"/>
          <w:color w:val="auto"/>
        </w:rPr>
      </w:pPr>
      <w:r>
        <w:rPr>
          <w:rFonts w:ascii="Arial" w:cs="Arial" w:eastAsia="Arial" w:hAnsi="Arial"/>
          <w:sz w:val="15"/>
          <w:szCs w:val="15"/>
          <w:color w:val="auto"/>
        </w:rPr>
        <w:t>On July 23, 2014, we gave notice to holders of our outstanding 1.875% Convertible Senior Notes due 2031 (the “2031B Notes”) that their notes will be redeemed on August 22, 2014, except to the extent such notes are converted or repurchased by us prior to such date. Based on the current conversion rate of 105.2632 shares per $1,000 principal amount of the 2031B Notes and assuming for purposes of calculating the settlement value under the indenture for the 2031B Notes that the volume weighted average price of our common stock is $33.15 per share (the closing sales price of the our common stock on July 18, 2014) for each trading day of the applicable measurement period, if all of the 2031B Notes were converted prior to the redemption date for such notes, the aggregate amount the we would be required to pay with respect to such conversions if we elected to pay solely cash upon conversion, which is our current intent, would be approximately $402 million. Based on such assumptions, we expect to incur a non-operating loss of $28 million on the conversion and settlement of the 2031B Notes.</w:t>
      </w:r>
    </w:p>
    <w:p>
      <w:pPr>
        <w:spacing w:after="0" w:line="152" w:lineRule="exact"/>
        <w:rPr>
          <w:sz w:val="24"/>
          <w:szCs w:val="24"/>
          <w:color w:val="auto"/>
        </w:rPr>
      </w:pPr>
    </w:p>
    <w:p>
      <w:pPr>
        <w:spacing w:after="0"/>
        <w:rPr>
          <w:sz w:val="20"/>
          <w:szCs w:val="20"/>
          <w:color w:val="auto"/>
        </w:rPr>
      </w:pPr>
      <w:r>
        <w:rPr>
          <w:rFonts w:ascii="Arial" w:cs="Arial" w:eastAsia="Arial" w:hAnsi="Arial"/>
          <w:sz w:val="17"/>
          <w:szCs w:val="17"/>
          <w:color w:val="auto"/>
        </w:rPr>
        <w:t>As used herein, “we,” “our,” “us” and similar terms included herein refer to Micron Technology, Inc. and its subsidiaries.</w:t>
      </w:r>
    </w:p>
    <w:p>
      <w:pPr>
        <w:sectPr>
          <w:pgSz w:w="11900" w:h="16838" w:orient="portrait"/>
          <w:cols w:equalWidth="0" w:num="1">
            <w:col w:w="11420"/>
          </w:cols>
          <w:pgMar w:left="240" w:top="528"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color w:val="auto"/>
        </w:rPr>
        <w:t>We are furnishing certain information regarding our business on Exhibit 99.1 to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8.01. Other Events.</w:t>
      </w:r>
    </w:p>
    <w:p>
      <w:pPr>
        <w:spacing w:after="0" w:line="227" w:lineRule="exact"/>
        <w:rPr>
          <w:sz w:val="20"/>
          <w:szCs w:val="20"/>
          <w:color w:val="auto"/>
        </w:rPr>
      </w:pPr>
    </w:p>
    <w:p>
      <w:pPr>
        <w:ind w:right="320"/>
        <w:spacing w:after="0" w:line="312" w:lineRule="auto"/>
        <w:rPr>
          <w:sz w:val="20"/>
          <w:szCs w:val="20"/>
          <w:color w:val="auto"/>
        </w:rPr>
      </w:pPr>
      <w:r>
        <w:rPr>
          <w:rFonts w:ascii="Arial" w:cs="Arial" w:eastAsia="Arial" w:hAnsi="Arial"/>
          <w:sz w:val="15"/>
          <w:szCs w:val="15"/>
          <w:color w:val="auto"/>
        </w:rPr>
        <w:t>On July 23, 2014, we issued a press release announcing that we propose to offer $750.0 million aggregate principal amount of Senior Notes due 2025 (the “Notes”). We intend to use a portion of the net proceeds from the offering to extinguish our obligations with respect to our 2031B Notes, which may include payments in settlement of conversions of, or to repurchase or redeem, the 2031B Notes. We expect to use the balance of the net proceeds for retirement of other convertible notes and debt and other general corporate purposes. A copy of the press release is attached as Exhibit 99.2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60" w:type="dxa"/>
            <w:vAlign w:val="bottom"/>
          </w:tcPr>
          <w:p>
            <w:pPr>
              <w:spacing w:after="0"/>
              <w:rPr>
                <w:sz w:val="19"/>
                <w:szCs w:val="19"/>
                <w:color w:val="auto"/>
              </w:rPr>
            </w:pPr>
          </w:p>
        </w:tc>
        <w:tc>
          <w:tcPr>
            <w:tcW w:w="10260" w:type="dxa"/>
            <w:vAlign w:val="bottom"/>
            <w:gridSpan w:val="2"/>
          </w:tcPr>
          <w:p>
            <w:pPr>
              <w:ind w:left="100"/>
              <w:spacing w:after="0"/>
              <w:rPr>
                <w:sz w:val="20"/>
                <w:szCs w:val="20"/>
                <w:color w:val="auto"/>
              </w:rPr>
            </w:pPr>
            <w:r>
              <w:rPr>
                <w:rFonts w:ascii="Arial" w:cs="Arial" w:eastAsia="Arial" w:hAnsi="Arial"/>
                <w:sz w:val="17"/>
                <w:szCs w:val="17"/>
                <w:color w:val="auto"/>
              </w:rPr>
              <w:t>(d) Exhibits.</w:t>
            </w:r>
          </w:p>
        </w:tc>
        <w:tc>
          <w:tcPr>
            <w:tcW w:w="40" w:type="dxa"/>
            <w:vAlign w:val="bottom"/>
          </w:tcPr>
          <w:p>
            <w:pPr>
              <w:spacing w:after="0"/>
              <w:rPr>
                <w:sz w:val="19"/>
                <w:szCs w:val="19"/>
                <w:color w:val="auto"/>
              </w:rPr>
            </w:pPr>
          </w:p>
        </w:tc>
      </w:tr>
      <w:tr>
        <w:trPr>
          <w:trHeight w:val="417"/>
        </w:trPr>
        <w:tc>
          <w:tcPr>
            <w:tcW w:w="1160" w:type="dxa"/>
            <w:vAlign w:val="bottom"/>
          </w:tcPr>
          <w:p>
            <w:pPr>
              <w:spacing w:after="0"/>
              <w:rPr>
                <w:sz w:val="24"/>
                <w:szCs w:val="24"/>
                <w:color w:val="auto"/>
              </w:rPr>
            </w:pPr>
          </w:p>
        </w:tc>
        <w:tc>
          <w:tcPr>
            <w:tcW w:w="10260" w:type="dxa"/>
            <w:vAlign w:val="bottom"/>
            <w:gridSpan w:val="2"/>
          </w:tcPr>
          <w:p>
            <w:pPr>
              <w:ind w:left="100"/>
              <w:spacing w:after="0"/>
              <w:rPr>
                <w:sz w:val="20"/>
                <w:szCs w:val="20"/>
                <w:color w:val="auto"/>
              </w:rPr>
            </w:pPr>
            <w:r>
              <w:rPr>
                <w:rFonts w:ascii="Arial" w:cs="Arial" w:eastAsia="Arial" w:hAnsi="Arial"/>
                <w:sz w:val="17"/>
                <w:szCs w:val="17"/>
                <w:color w:val="auto"/>
              </w:rPr>
              <w:t>The following exhibits are filed herewith:</w:t>
            </w:r>
          </w:p>
        </w:tc>
        <w:tc>
          <w:tcPr>
            <w:tcW w:w="40" w:type="dxa"/>
            <w:vAlign w:val="bottom"/>
          </w:tcPr>
          <w:p>
            <w:pPr>
              <w:spacing w:after="0"/>
              <w:rPr>
                <w:sz w:val="24"/>
                <w:szCs w:val="24"/>
                <w:color w:val="auto"/>
              </w:rPr>
            </w:pPr>
          </w:p>
        </w:tc>
      </w:tr>
      <w:tr>
        <w:trPr>
          <w:trHeight w:val="352"/>
        </w:trPr>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0"/>
              </w:rPr>
              <w:t>Exhibit No.</w:t>
            </w:r>
          </w:p>
        </w:tc>
        <w:tc>
          <w:tcPr>
            <w:tcW w:w="260" w:type="dxa"/>
            <w:vAlign w:val="bottom"/>
          </w:tcPr>
          <w:p>
            <w:pPr>
              <w:spacing w:after="0"/>
              <w:rPr>
                <w:sz w:val="24"/>
                <w:szCs w:val="24"/>
                <w:color w:val="auto"/>
              </w:rPr>
            </w:pPr>
          </w:p>
        </w:tc>
        <w:tc>
          <w:tcPr>
            <w:tcW w:w="1000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89"/>
        </w:trPr>
        <w:tc>
          <w:tcPr>
            <w:tcW w:w="1160" w:type="dxa"/>
            <w:vAlign w:val="bottom"/>
          </w:tcPr>
          <w:p>
            <w:pPr>
              <w:jc w:val="right"/>
              <w:ind w:right="339"/>
              <w:spacing w:after="0" w:line="189" w:lineRule="exact"/>
              <w:rPr>
                <w:sz w:val="20"/>
                <w:szCs w:val="20"/>
                <w:color w:val="auto"/>
              </w:rPr>
            </w:pPr>
            <w:r>
              <w:rPr>
                <w:rFonts w:ascii="Arial" w:cs="Arial" w:eastAsia="Arial" w:hAnsi="Arial"/>
                <w:sz w:val="17"/>
                <w:szCs w:val="17"/>
                <w:color w:val="auto"/>
              </w:rPr>
              <w:t>99.1</w:t>
            </w:r>
          </w:p>
        </w:tc>
        <w:tc>
          <w:tcPr>
            <w:tcW w:w="260" w:type="dxa"/>
            <w:vAlign w:val="bottom"/>
          </w:tcPr>
          <w:p>
            <w:pPr>
              <w:spacing w:after="0"/>
              <w:rPr>
                <w:sz w:val="16"/>
                <w:szCs w:val="16"/>
                <w:color w:val="auto"/>
              </w:rPr>
            </w:pPr>
          </w:p>
        </w:tc>
        <w:tc>
          <w:tcPr>
            <w:tcW w:w="10000" w:type="dxa"/>
            <w:vAlign w:val="bottom"/>
          </w:tcPr>
          <w:p>
            <w:pPr>
              <w:spacing w:after="0" w:line="189" w:lineRule="exact"/>
              <w:rPr>
                <w:sz w:val="20"/>
                <w:szCs w:val="20"/>
                <w:color w:val="auto"/>
              </w:rPr>
            </w:pPr>
            <w:r>
              <w:rPr>
                <w:rFonts w:ascii="Arial" w:cs="Arial" w:eastAsia="Arial" w:hAnsi="Arial"/>
                <w:sz w:val="17"/>
                <w:szCs w:val="17"/>
                <w:color w:val="auto"/>
              </w:rPr>
              <w:t>Disclosure regarding Micron Technology, Inc.’s Business.</w:t>
            </w:r>
          </w:p>
        </w:tc>
        <w:tc>
          <w:tcPr>
            <w:tcW w:w="40" w:type="dxa"/>
            <w:vAlign w:val="bottom"/>
          </w:tcPr>
          <w:p>
            <w:pPr>
              <w:spacing w:after="0"/>
              <w:rPr>
                <w:sz w:val="16"/>
                <w:szCs w:val="16"/>
                <w:color w:val="auto"/>
              </w:rPr>
            </w:pPr>
          </w:p>
        </w:tc>
      </w:tr>
      <w:tr>
        <w:trPr>
          <w:trHeight w:val="221"/>
        </w:trPr>
        <w:tc>
          <w:tcPr>
            <w:tcW w:w="1160" w:type="dxa"/>
            <w:vAlign w:val="bottom"/>
          </w:tcPr>
          <w:p>
            <w:pPr>
              <w:jc w:val="right"/>
              <w:ind w:right="339"/>
              <w:spacing w:after="0"/>
              <w:rPr>
                <w:sz w:val="20"/>
                <w:szCs w:val="20"/>
                <w:color w:val="auto"/>
              </w:rPr>
            </w:pPr>
            <w:r>
              <w:rPr>
                <w:rFonts w:ascii="Arial" w:cs="Arial" w:eastAsia="Arial" w:hAnsi="Arial"/>
                <w:sz w:val="17"/>
                <w:szCs w:val="17"/>
                <w:color w:val="auto"/>
              </w:rPr>
              <w:t>99.2</w:t>
            </w:r>
          </w:p>
        </w:tc>
        <w:tc>
          <w:tcPr>
            <w:tcW w:w="10260" w:type="dxa"/>
            <w:vAlign w:val="bottom"/>
            <w:gridSpan w:val="2"/>
          </w:tcPr>
          <w:p>
            <w:pPr>
              <w:ind w:left="260"/>
              <w:spacing w:after="0"/>
              <w:rPr>
                <w:sz w:val="20"/>
                <w:szCs w:val="20"/>
                <w:color w:val="auto"/>
              </w:rPr>
            </w:pPr>
            <w:r>
              <w:rPr>
                <w:rFonts w:ascii="Arial" w:cs="Arial" w:eastAsia="Arial" w:hAnsi="Arial"/>
                <w:sz w:val="17"/>
                <w:szCs w:val="17"/>
                <w:color w:val="auto"/>
              </w:rPr>
              <w:t>Press Release of Micron Technology, Inc., dated July 23, 2014, announcing that we propose to offer senior notes.</w:t>
            </w:r>
          </w:p>
        </w:tc>
        <w:tc>
          <w:tcPr>
            <w:tcW w:w="40" w:type="dxa"/>
            <w:vAlign w:val="bottom"/>
          </w:tcPr>
          <w:p>
            <w:pPr>
              <w:spacing w:after="0"/>
              <w:rPr>
                <w:sz w:val="19"/>
                <w:szCs w:val="19"/>
                <w:color w:val="auto"/>
              </w:rPr>
            </w:pPr>
          </w:p>
        </w:tc>
      </w:tr>
      <w:tr>
        <w:trPr>
          <w:trHeight w:val="417"/>
        </w:trPr>
        <w:tc>
          <w:tcPr>
            <w:tcW w:w="1160" w:type="dxa"/>
            <w:vAlign w:val="bottom"/>
          </w:tcPr>
          <w:p>
            <w:pPr>
              <w:spacing w:after="0"/>
              <w:rPr>
                <w:sz w:val="24"/>
                <w:szCs w:val="24"/>
                <w:color w:val="auto"/>
              </w:rPr>
            </w:pPr>
          </w:p>
        </w:tc>
        <w:tc>
          <w:tcPr>
            <w:tcW w:w="10260" w:type="dxa"/>
            <w:vAlign w:val="bottom"/>
            <w:gridSpan w:val="2"/>
          </w:tcPr>
          <w:p>
            <w:pPr>
              <w:jc w:val="right"/>
              <w:ind w:right="5582"/>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24"/>
                <w:szCs w:val="24"/>
                <w:color w:val="auto"/>
              </w:rPr>
            </w:pPr>
          </w:p>
        </w:tc>
      </w:tr>
      <w:tr>
        <w:trPr>
          <w:trHeight w:val="127"/>
        </w:trPr>
        <w:tc>
          <w:tcPr>
            <w:tcW w:w="1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w:t>
      </w:r>
    </w:p>
    <w:p>
      <w:pPr>
        <w:spacing w:after="0" w:line="227" w:lineRule="exact"/>
        <w:rPr>
          <w:sz w:val="20"/>
          <w:szCs w:val="20"/>
          <w:color w:val="auto"/>
        </w:rPr>
      </w:pPr>
    </w:p>
    <w:p>
      <w:pPr>
        <w:ind w:right="860" w:firstLine="625"/>
        <w:spacing w:after="0" w:line="28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20" w:type="dxa"/>
            <w:vAlign w:val="bottom"/>
          </w:tcPr>
          <w:p>
            <w:pPr>
              <w:spacing w:after="0"/>
              <w:rPr>
                <w:sz w:val="19"/>
                <w:szCs w:val="19"/>
                <w:color w:val="auto"/>
              </w:rPr>
            </w:pPr>
          </w:p>
        </w:tc>
        <w:tc>
          <w:tcPr>
            <w:tcW w:w="7900" w:type="dxa"/>
            <w:vAlign w:val="bottom"/>
            <w:gridSpan w:val="2"/>
          </w:tcPr>
          <w:p>
            <w:pPr>
              <w:ind w:left="2200"/>
              <w:spacing w:after="0"/>
              <w:rPr>
                <w:sz w:val="20"/>
                <w:szCs w:val="20"/>
                <w:color w:val="auto"/>
              </w:rPr>
            </w:pPr>
            <w:r>
              <w:rPr>
                <w:rFonts w:ascii="Arial" w:cs="Arial" w:eastAsia="Arial" w:hAnsi="Arial"/>
                <w:sz w:val="17"/>
                <w:szCs w:val="17"/>
                <w:b w:val="1"/>
                <w:bCs w:val="1"/>
                <w:color w:val="auto"/>
              </w:rPr>
              <w:t>MICRON TECHNOLOGY, INC.</w:t>
            </w:r>
          </w:p>
        </w:tc>
        <w:tc>
          <w:tcPr>
            <w:tcW w:w="40" w:type="dxa"/>
            <w:vAlign w:val="bottom"/>
          </w:tcPr>
          <w:p>
            <w:pPr>
              <w:spacing w:after="0"/>
              <w:rPr>
                <w:sz w:val="19"/>
                <w:szCs w:val="19"/>
                <w:color w:val="auto"/>
              </w:rPr>
            </w:pPr>
          </w:p>
        </w:tc>
      </w:tr>
      <w:tr>
        <w:trPr>
          <w:trHeight w:val="625"/>
        </w:trPr>
        <w:tc>
          <w:tcPr>
            <w:tcW w:w="3520" w:type="dxa"/>
            <w:vAlign w:val="bottom"/>
          </w:tcPr>
          <w:p>
            <w:pPr>
              <w:spacing w:after="0"/>
              <w:rPr>
                <w:sz w:val="20"/>
                <w:szCs w:val="20"/>
                <w:color w:val="auto"/>
              </w:rPr>
            </w:pPr>
            <w:r>
              <w:rPr>
                <w:rFonts w:ascii="Arial" w:cs="Arial" w:eastAsia="Arial" w:hAnsi="Arial"/>
                <w:sz w:val="17"/>
                <w:szCs w:val="17"/>
                <w:color w:val="auto"/>
              </w:rPr>
              <w:t>Date: July 23, 2014</w:t>
            </w:r>
          </w:p>
        </w:tc>
        <w:tc>
          <w:tcPr>
            <w:tcW w:w="2960" w:type="dxa"/>
            <w:vAlign w:val="bottom"/>
          </w:tcPr>
          <w:p>
            <w:pPr>
              <w:ind w:left="220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Ronald C. Foster</w:t>
            </w:r>
          </w:p>
        </w:tc>
        <w:tc>
          <w:tcPr>
            <w:tcW w:w="40" w:type="dxa"/>
            <w:vAlign w:val="bottom"/>
          </w:tcPr>
          <w:p>
            <w:pPr>
              <w:spacing w:after="0"/>
              <w:rPr>
                <w:sz w:val="24"/>
                <w:szCs w:val="24"/>
                <w:color w:val="auto"/>
              </w:rPr>
            </w:pPr>
          </w:p>
        </w:tc>
      </w:tr>
      <w:tr>
        <w:trPr>
          <w:trHeight w:val="189"/>
        </w:trPr>
        <w:tc>
          <w:tcPr>
            <w:tcW w:w="3520" w:type="dxa"/>
            <w:vAlign w:val="bottom"/>
          </w:tcPr>
          <w:p>
            <w:pPr>
              <w:spacing w:after="0"/>
              <w:rPr>
                <w:sz w:val="16"/>
                <w:szCs w:val="16"/>
                <w:color w:val="auto"/>
              </w:rPr>
            </w:pPr>
          </w:p>
        </w:tc>
        <w:tc>
          <w:tcPr>
            <w:tcW w:w="2960" w:type="dxa"/>
            <w:vAlign w:val="bottom"/>
          </w:tcPr>
          <w:p>
            <w:pPr>
              <w:ind w:left="2200"/>
              <w:spacing w:after="0" w:line="189" w:lineRule="exact"/>
              <w:rPr>
                <w:sz w:val="20"/>
                <w:szCs w:val="20"/>
                <w:color w:val="auto"/>
              </w:rPr>
            </w:pPr>
            <w:r>
              <w:rPr>
                <w:rFonts w:ascii="Arial" w:cs="Arial" w:eastAsia="Arial" w:hAnsi="Arial"/>
                <w:sz w:val="17"/>
                <w:szCs w:val="17"/>
                <w:color w:val="auto"/>
              </w:rPr>
              <w:t>Name:</w:t>
            </w:r>
          </w:p>
        </w:tc>
        <w:tc>
          <w:tcPr>
            <w:tcW w:w="4940" w:type="dxa"/>
            <w:vAlign w:val="bottom"/>
          </w:tcPr>
          <w:p>
            <w:pPr>
              <w:spacing w:after="0" w:line="189" w:lineRule="exact"/>
              <w:rPr>
                <w:sz w:val="20"/>
                <w:szCs w:val="20"/>
                <w:color w:val="auto"/>
              </w:rPr>
            </w:pPr>
            <w:r>
              <w:rPr>
                <w:rFonts w:ascii="Arial" w:cs="Arial" w:eastAsia="Arial" w:hAnsi="Arial"/>
                <w:sz w:val="17"/>
                <w:szCs w:val="17"/>
                <w:color w:val="auto"/>
              </w:rPr>
              <w:t>Ronald C. Foster</w:t>
            </w:r>
          </w:p>
        </w:tc>
        <w:tc>
          <w:tcPr>
            <w:tcW w:w="40" w:type="dxa"/>
            <w:vAlign w:val="bottom"/>
          </w:tcPr>
          <w:p>
            <w:pPr>
              <w:spacing w:after="0"/>
              <w:rPr>
                <w:sz w:val="16"/>
                <w:szCs w:val="16"/>
                <w:color w:val="auto"/>
              </w:rPr>
            </w:pPr>
          </w:p>
        </w:tc>
      </w:tr>
      <w:tr>
        <w:trPr>
          <w:trHeight w:val="208"/>
        </w:trPr>
        <w:tc>
          <w:tcPr>
            <w:tcW w:w="3520" w:type="dxa"/>
            <w:vAlign w:val="bottom"/>
          </w:tcPr>
          <w:p>
            <w:pPr>
              <w:spacing w:after="0"/>
              <w:rPr>
                <w:sz w:val="18"/>
                <w:szCs w:val="18"/>
                <w:color w:val="auto"/>
              </w:rPr>
            </w:pPr>
          </w:p>
        </w:tc>
        <w:tc>
          <w:tcPr>
            <w:tcW w:w="2960" w:type="dxa"/>
            <w:vAlign w:val="bottom"/>
          </w:tcPr>
          <w:p>
            <w:pPr>
              <w:ind w:left="2200"/>
              <w:spacing w:after="0"/>
              <w:rPr>
                <w:sz w:val="20"/>
                <w:szCs w:val="20"/>
                <w:color w:val="auto"/>
              </w:rPr>
            </w:pPr>
            <w:r>
              <w:rPr>
                <w:rFonts w:ascii="Arial" w:cs="Arial" w:eastAsia="Arial" w:hAnsi="Arial"/>
                <w:sz w:val="17"/>
                <w:szCs w:val="17"/>
                <w:color w:val="auto"/>
              </w:rPr>
              <w:t>Title:</w:t>
            </w:r>
          </w:p>
        </w:tc>
        <w:tc>
          <w:tcPr>
            <w:tcW w:w="4940" w:type="dxa"/>
            <w:vAlign w:val="bottom"/>
          </w:tcPr>
          <w:p>
            <w:pPr>
              <w:spacing w:after="0"/>
              <w:rPr>
                <w:sz w:val="20"/>
                <w:szCs w:val="20"/>
                <w:color w:val="auto"/>
              </w:rPr>
            </w:pPr>
            <w:r>
              <w:rPr>
                <w:rFonts w:ascii="Arial" w:cs="Arial" w:eastAsia="Arial" w:hAnsi="Arial"/>
                <w:sz w:val="17"/>
                <w:szCs w:val="17"/>
                <w:color w:val="auto"/>
              </w:rPr>
              <w:t>Chief Financial Officer and</w:t>
            </w:r>
          </w:p>
        </w:tc>
        <w:tc>
          <w:tcPr>
            <w:tcW w:w="40" w:type="dxa"/>
            <w:vAlign w:val="bottom"/>
          </w:tcPr>
          <w:p>
            <w:pPr>
              <w:spacing w:after="0"/>
              <w:rPr>
                <w:sz w:val="18"/>
                <w:szCs w:val="18"/>
                <w:color w:val="auto"/>
              </w:rPr>
            </w:pPr>
          </w:p>
        </w:tc>
      </w:tr>
      <w:tr>
        <w:trPr>
          <w:trHeight w:val="221"/>
        </w:trPr>
        <w:tc>
          <w:tcPr>
            <w:tcW w:w="3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Vice President of Finance</w:t>
            </w:r>
          </w:p>
        </w:tc>
        <w:tc>
          <w:tcPr>
            <w:tcW w:w="40" w:type="dxa"/>
            <w:vAlign w:val="bottom"/>
          </w:tcPr>
          <w:p>
            <w:pPr>
              <w:spacing w:after="0"/>
              <w:rPr>
                <w:sz w:val="19"/>
                <w:szCs w:val="19"/>
                <w:color w:val="auto"/>
              </w:rPr>
            </w:pPr>
          </w:p>
        </w:tc>
      </w:tr>
      <w:tr>
        <w:trPr>
          <w:trHeight w:val="417"/>
        </w:trPr>
        <w:tc>
          <w:tcPr>
            <w:tcW w:w="3520" w:type="dxa"/>
            <w:vAlign w:val="bottom"/>
          </w:tcPr>
          <w:p>
            <w:pPr>
              <w:spacing w:after="0"/>
              <w:rPr>
                <w:sz w:val="24"/>
                <w:szCs w:val="24"/>
                <w:color w:val="auto"/>
              </w:rPr>
            </w:pPr>
          </w:p>
        </w:tc>
        <w:tc>
          <w:tcPr>
            <w:tcW w:w="2960" w:type="dxa"/>
            <w:vAlign w:val="bottom"/>
          </w:tcPr>
          <w:p>
            <w:pPr>
              <w:ind w:left="2160"/>
              <w:spacing w:after="0"/>
              <w:rPr>
                <w:sz w:val="20"/>
                <w:szCs w:val="20"/>
                <w:color w:val="auto"/>
              </w:rPr>
            </w:pPr>
            <w:r>
              <w:rPr>
                <w:rFonts w:ascii="Arial" w:cs="Arial" w:eastAsia="Arial" w:hAnsi="Arial"/>
                <w:sz w:val="17"/>
                <w:szCs w:val="17"/>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7"/>
        </w:trPr>
        <w:tc>
          <w:tcPr>
            <w:tcW w:w="352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0" w:type="dxa"/>
            <w:vAlign w:val="bottom"/>
          </w:tcPr>
          <w:p>
            <w:pPr>
              <w:jc w:val="center"/>
              <w:ind w:right="1318"/>
              <w:spacing w:after="0"/>
              <w:rPr>
                <w:sz w:val="20"/>
                <w:szCs w:val="20"/>
                <w:color w:val="auto"/>
              </w:rPr>
            </w:pPr>
            <w:r>
              <w:rPr>
                <w:rFonts w:ascii="Arial" w:cs="Arial" w:eastAsia="Arial" w:hAnsi="Arial"/>
                <w:sz w:val="17"/>
                <w:szCs w:val="17"/>
                <w:b w:val="1"/>
                <w:bCs w:val="1"/>
                <w:color w:val="auto"/>
              </w:rPr>
              <w:t>INDEX TO EXHIBITS FILED WITH</w:t>
            </w:r>
          </w:p>
        </w:tc>
        <w:tc>
          <w:tcPr>
            <w:tcW w:w="40" w:type="dxa"/>
            <w:vAlign w:val="bottom"/>
          </w:tcPr>
          <w:p>
            <w:pPr>
              <w:spacing w:after="0"/>
              <w:rPr>
                <w:sz w:val="18"/>
                <w:szCs w:val="18"/>
                <w:color w:val="auto"/>
              </w:rPr>
            </w:pPr>
          </w:p>
        </w:tc>
      </w:tr>
      <w:tr>
        <w:trPr>
          <w:trHeight w:val="227"/>
        </w:trPr>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0" w:type="dxa"/>
            <w:vAlign w:val="bottom"/>
          </w:tcPr>
          <w:p>
            <w:pPr>
              <w:jc w:val="center"/>
              <w:ind w:right="1338"/>
              <w:spacing w:after="0"/>
              <w:rPr>
                <w:sz w:val="20"/>
                <w:szCs w:val="20"/>
                <w:color w:val="auto"/>
              </w:rPr>
            </w:pPr>
            <w:r>
              <w:rPr>
                <w:rFonts w:ascii="Arial" w:cs="Arial" w:eastAsia="Arial" w:hAnsi="Arial"/>
                <w:sz w:val="17"/>
                <w:szCs w:val="17"/>
                <w:b w:val="1"/>
                <w:bCs w:val="1"/>
                <w:color w:val="auto"/>
              </w:rPr>
              <w:t>THE CURRENT REPORT ON FORM 8-K</w:t>
            </w:r>
          </w:p>
        </w:tc>
        <w:tc>
          <w:tcPr>
            <w:tcW w:w="40" w:type="dxa"/>
            <w:vAlign w:val="bottom"/>
          </w:tcPr>
          <w:p>
            <w:pPr>
              <w:spacing w:after="0"/>
              <w:rPr>
                <w:sz w:val="19"/>
                <w:szCs w:val="19"/>
                <w:color w:val="auto"/>
              </w:rPr>
            </w:pPr>
          </w:p>
        </w:tc>
      </w:tr>
      <w:tr>
        <w:trPr>
          <w:trHeight w:val="352"/>
        </w:trPr>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0"/>
              </w:rPr>
              <w:t>Exhibit No.</w:t>
            </w:r>
          </w:p>
        </w:tc>
        <w:tc>
          <w:tcPr>
            <w:tcW w:w="260" w:type="dxa"/>
            <w:vAlign w:val="bottom"/>
          </w:tcPr>
          <w:p>
            <w:pPr>
              <w:spacing w:after="0"/>
              <w:rPr>
                <w:sz w:val="24"/>
                <w:szCs w:val="24"/>
                <w:color w:val="auto"/>
              </w:rPr>
            </w:pPr>
          </w:p>
        </w:tc>
        <w:tc>
          <w:tcPr>
            <w:tcW w:w="1000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89"/>
        </w:trPr>
        <w:tc>
          <w:tcPr>
            <w:tcW w:w="1160" w:type="dxa"/>
            <w:vAlign w:val="bottom"/>
          </w:tcPr>
          <w:p>
            <w:pPr>
              <w:jc w:val="right"/>
              <w:ind w:right="339"/>
              <w:spacing w:after="0" w:line="189" w:lineRule="exact"/>
              <w:rPr>
                <w:sz w:val="20"/>
                <w:szCs w:val="20"/>
                <w:color w:val="auto"/>
              </w:rPr>
            </w:pPr>
            <w:r>
              <w:rPr>
                <w:rFonts w:ascii="Arial" w:cs="Arial" w:eastAsia="Arial" w:hAnsi="Arial"/>
                <w:sz w:val="17"/>
                <w:szCs w:val="17"/>
                <w:color w:val="auto"/>
              </w:rPr>
              <w:t>99.1</w:t>
            </w:r>
          </w:p>
        </w:tc>
        <w:tc>
          <w:tcPr>
            <w:tcW w:w="260" w:type="dxa"/>
            <w:vAlign w:val="bottom"/>
          </w:tcPr>
          <w:p>
            <w:pPr>
              <w:spacing w:after="0"/>
              <w:rPr>
                <w:sz w:val="16"/>
                <w:szCs w:val="16"/>
                <w:color w:val="auto"/>
              </w:rPr>
            </w:pPr>
          </w:p>
        </w:tc>
        <w:tc>
          <w:tcPr>
            <w:tcW w:w="10000" w:type="dxa"/>
            <w:vAlign w:val="bottom"/>
          </w:tcPr>
          <w:p>
            <w:pPr>
              <w:spacing w:after="0" w:line="189" w:lineRule="exact"/>
              <w:rPr>
                <w:sz w:val="20"/>
                <w:szCs w:val="20"/>
                <w:color w:val="auto"/>
              </w:rPr>
            </w:pPr>
            <w:r>
              <w:rPr>
                <w:rFonts w:ascii="Arial" w:cs="Arial" w:eastAsia="Arial" w:hAnsi="Arial"/>
                <w:sz w:val="17"/>
                <w:szCs w:val="17"/>
                <w:color w:val="auto"/>
              </w:rPr>
              <w:t>Disclosure regarding Micron Technology, Inc.’s Business.</w:t>
            </w:r>
          </w:p>
        </w:tc>
        <w:tc>
          <w:tcPr>
            <w:tcW w:w="40" w:type="dxa"/>
            <w:vAlign w:val="bottom"/>
          </w:tcPr>
          <w:p>
            <w:pPr>
              <w:spacing w:after="0"/>
              <w:rPr>
                <w:sz w:val="16"/>
                <w:szCs w:val="16"/>
                <w:color w:val="auto"/>
              </w:rPr>
            </w:pPr>
          </w:p>
        </w:tc>
      </w:tr>
      <w:tr>
        <w:trPr>
          <w:trHeight w:val="221"/>
        </w:trPr>
        <w:tc>
          <w:tcPr>
            <w:tcW w:w="1160" w:type="dxa"/>
            <w:vAlign w:val="bottom"/>
          </w:tcPr>
          <w:p>
            <w:pPr>
              <w:jc w:val="right"/>
              <w:ind w:right="339"/>
              <w:spacing w:after="0"/>
              <w:rPr>
                <w:sz w:val="20"/>
                <w:szCs w:val="20"/>
                <w:color w:val="auto"/>
              </w:rPr>
            </w:pPr>
            <w:r>
              <w:rPr>
                <w:rFonts w:ascii="Arial" w:cs="Arial" w:eastAsia="Arial" w:hAnsi="Arial"/>
                <w:sz w:val="17"/>
                <w:szCs w:val="17"/>
                <w:color w:val="auto"/>
              </w:rPr>
              <w:t>99.2</w:t>
            </w:r>
          </w:p>
        </w:tc>
        <w:tc>
          <w:tcPr>
            <w:tcW w:w="10260" w:type="dxa"/>
            <w:vAlign w:val="bottom"/>
            <w:gridSpan w:val="2"/>
          </w:tcPr>
          <w:p>
            <w:pPr>
              <w:ind w:left="260"/>
              <w:spacing w:after="0"/>
              <w:rPr>
                <w:sz w:val="20"/>
                <w:szCs w:val="20"/>
                <w:color w:val="auto"/>
              </w:rPr>
            </w:pPr>
            <w:r>
              <w:rPr>
                <w:rFonts w:ascii="Arial" w:cs="Arial" w:eastAsia="Arial" w:hAnsi="Arial"/>
                <w:sz w:val="17"/>
                <w:szCs w:val="17"/>
                <w:color w:val="auto"/>
              </w:rPr>
              <w:t>Press Release of Micron Technology, Inc., dated July 23, 2014, announcing that we propose to offer senior notes.</w:t>
            </w:r>
          </w:p>
        </w:tc>
        <w:tc>
          <w:tcPr>
            <w:tcW w:w="40" w:type="dxa"/>
            <w:vAlign w:val="bottom"/>
          </w:tcPr>
          <w:p>
            <w:pPr>
              <w:spacing w:after="0"/>
              <w:rPr>
                <w:sz w:val="19"/>
                <w:szCs w:val="19"/>
                <w:color w:val="auto"/>
              </w:rPr>
            </w:pPr>
          </w:p>
        </w:tc>
      </w:tr>
      <w:tr>
        <w:trPr>
          <w:trHeight w:val="417"/>
        </w:trPr>
        <w:tc>
          <w:tcPr>
            <w:tcW w:w="1160" w:type="dxa"/>
            <w:vAlign w:val="bottom"/>
          </w:tcPr>
          <w:p>
            <w:pPr>
              <w:spacing w:after="0"/>
              <w:rPr>
                <w:sz w:val="24"/>
                <w:szCs w:val="24"/>
                <w:color w:val="auto"/>
              </w:rPr>
            </w:pPr>
          </w:p>
        </w:tc>
        <w:tc>
          <w:tcPr>
            <w:tcW w:w="10260" w:type="dxa"/>
            <w:vAlign w:val="bottom"/>
            <w:gridSpan w:val="2"/>
          </w:tcPr>
          <w:p>
            <w:pPr>
              <w:jc w:val="center"/>
              <w:ind w:right="1058"/>
              <w:spacing w:after="0"/>
              <w:rPr>
                <w:sz w:val="20"/>
                <w:szCs w:val="20"/>
                <w:color w:val="auto"/>
              </w:rPr>
            </w:pPr>
            <w:r>
              <w:rPr>
                <w:rFonts w:ascii="Arial" w:cs="Arial" w:eastAsia="Arial" w:hAnsi="Arial"/>
                <w:sz w:val="17"/>
                <w:szCs w:val="17"/>
                <w:color w:val="auto"/>
                <w:w w:val="84"/>
              </w:rPr>
              <w:t>4</w:t>
            </w:r>
          </w:p>
        </w:tc>
        <w:tc>
          <w:tcPr>
            <w:tcW w:w="40" w:type="dxa"/>
            <w:vAlign w:val="bottom"/>
          </w:tcPr>
          <w:p>
            <w:pPr>
              <w:spacing w:after="0"/>
              <w:rPr>
                <w:sz w:val="24"/>
                <w:szCs w:val="24"/>
                <w:color w:val="auto"/>
              </w:rPr>
            </w:pPr>
          </w:p>
        </w:tc>
      </w:tr>
      <w:tr>
        <w:trPr>
          <w:trHeight w:val="127"/>
        </w:trPr>
        <w:tc>
          <w:tcPr>
            <w:tcW w:w="1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35" w:right="199" w:bottom="1440" w:gutter="0" w:footer="0" w:header="0"/>
        </w:sectPr>
      </w:pPr>
    </w:p>
    <w:bookmarkStart w:id="2" w:name="page3"/>
    <w:bookmarkEnd w:id="2"/>
    <w:p>
      <w:pPr>
        <w:ind w:left="9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27305</wp:posOffset>
            </wp:positionV>
            <wp:extent cx="7003415" cy="5250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3415" cy="525081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220980</wp:posOffset>
            </wp:positionH>
            <wp:positionV relativeFrom="page">
              <wp:posOffset>88900</wp:posOffset>
            </wp:positionV>
            <wp:extent cx="7003415" cy="5250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03415" cy="525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2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2260" w:type="dxa"/>
            <w:vAlign w:val="bottom"/>
          </w:tcPr>
          <w:p>
            <w:pPr>
              <w:spacing w:after="0"/>
              <w:rPr>
                <w:sz w:val="19"/>
                <w:szCs w:val="19"/>
                <w:color w:val="auto"/>
              </w:rPr>
            </w:pPr>
          </w:p>
        </w:tc>
      </w:tr>
      <w:tr>
        <w:trPr>
          <w:trHeight w:val="404"/>
        </w:trPr>
        <w:tc>
          <w:tcPr>
            <w:tcW w:w="1200" w:type="dxa"/>
            <w:vAlign w:val="bottom"/>
          </w:tcPr>
          <w:p>
            <w:pPr>
              <w:spacing w:after="0"/>
              <w:rPr>
                <w:sz w:val="20"/>
                <w:szCs w:val="20"/>
                <w:color w:val="auto"/>
              </w:rPr>
            </w:pPr>
            <w:r>
              <w:rPr>
                <w:rFonts w:ascii="Arial" w:cs="Arial" w:eastAsia="Arial" w:hAnsi="Arial"/>
                <w:sz w:val="17"/>
                <w:szCs w:val="17"/>
                <w:color w:val="auto"/>
              </w:rPr>
              <w:t>Contacts:</w:t>
            </w:r>
          </w:p>
        </w:tc>
        <w:tc>
          <w:tcPr>
            <w:tcW w:w="2620" w:type="dxa"/>
            <w:vAlign w:val="bottom"/>
          </w:tcPr>
          <w:p>
            <w:pPr>
              <w:ind w:left="520"/>
              <w:spacing w:after="0"/>
              <w:rPr>
                <w:sz w:val="20"/>
                <w:szCs w:val="20"/>
                <w:color w:val="auto"/>
              </w:rPr>
            </w:pPr>
            <w:r>
              <w:rPr>
                <w:rFonts w:ascii="Arial" w:cs="Arial" w:eastAsia="Arial" w:hAnsi="Arial"/>
                <w:sz w:val="17"/>
                <w:szCs w:val="17"/>
                <w:color w:val="auto"/>
              </w:rPr>
              <w:t>Kipp A. Bedard</w:t>
            </w:r>
          </w:p>
        </w:tc>
        <w:tc>
          <w:tcPr>
            <w:tcW w:w="2260" w:type="dxa"/>
            <w:vAlign w:val="bottom"/>
          </w:tcPr>
          <w:p>
            <w:pPr>
              <w:ind w:left="540"/>
              <w:spacing w:after="0"/>
              <w:rPr>
                <w:sz w:val="20"/>
                <w:szCs w:val="20"/>
                <w:color w:val="auto"/>
              </w:rPr>
            </w:pPr>
            <w:r>
              <w:rPr>
                <w:rFonts w:ascii="Arial" w:cs="Arial" w:eastAsia="Arial" w:hAnsi="Arial"/>
                <w:sz w:val="17"/>
                <w:szCs w:val="17"/>
                <w:color w:val="auto"/>
              </w:rPr>
              <w:t>Daniel Francisco</w:t>
            </w:r>
          </w:p>
        </w:tc>
      </w:tr>
      <w:tr>
        <w:trPr>
          <w:trHeight w:val="208"/>
        </w:trPr>
        <w:tc>
          <w:tcPr>
            <w:tcW w:w="1200" w:type="dxa"/>
            <w:vAlign w:val="bottom"/>
          </w:tcPr>
          <w:p>
            <w:pPr>
              <w:spacing w:after="0"/>
              <w:rPr>
                <w:sz w:val="18"/>
                <w:szCs w:val="18"/>
                <w:color w:val="auto"/>
              </w:rPr>
            </w:pPr>
          </w:p>
        </w:tc>
        <w:tc>
          <w:tcPr>
            <w:tcW w:w="2620" w:type="dxa"/>
            <w:vAlign w:val="bottom"/>
          </w:tcPr>
          <w:p>
            <w:pPr>
              <w:ind w:left="520"/>
              <w:spacing w:after="0"/>
              <w:rPr>
                <w:sz w:val="20"/>
                <w:szCs w:val="20"/>
                <w:color w:val="auto"/>
              </w:rPr>
            </w:pPr>
            <w:r>
              <w:rPr>
                <w:rFonts w:ascii="Arial" w:cs="Arial" w:eastAsia="Arial" w:hAnsi="Arial"/>
                <w:sz w:val="17"/>
                <w:szCs w:val="17"/>
                <w:color w:val="auto"/>
              </w:rPr>
              <w:t>Investor Relations</w:t>
            </w:r>
          </w:p>
        </w:tc>
        <w:tc>
          <w:tcPr>
            <w:tcW w:w="2260" w:type="dxa"/>
            <w:vAlign w:val="bottom"/>
          </w:tcPr>
          <w:p>
            <w:pPr>
              <w:ind w:left="540"/>
              <w:spacing w:after="0"/>
              <w:rPr>
                <w:sz w:val="20"/>
                <w:szCs w:val="20"/>
                <w:color w:val="auto"/>
              </w:rPr>
            </w:pPr>
            <w:r>
              <w:rPr>
                <w:rFonts w:ascii="Arial" w:cs="Arial" w:eastAsia="Arial" w:hAnsi="Arial"/>
                <w:sz w:val="17"/>
                <w:szCs w:val="17"/>
                <w:color w:val="auto"/>
              </w:rPr>
              <w:t>Media Relations</w:t>
            </w:r>
          </w:p>
        </w:tc>
      </w:tr>
      <w:tr>
        <w:trPr>
          <w:trHeight w:val="208"/>
        </w:trPr>
        <w:tc>
          <w:tcPr>
            <w:tcW w:w="1200" w:type="dxa"/>
            <w:vAlign w:val="bottom"/>
          </w:tcPr>
          <w:p>
            <w:pPr>
              <w:spacing w:after="0"/>
              <w:rPr>
                <w:sz w:val="18"/>
                <w:szCs w:val="18"/>
                <w:color w:val="auto"/>
              </w:rPr>
            </w:pPr>
          </w:p>
        </w:tc>
        <w:tc>
          <w:tcPr>
            <w:tcW w:w="2620" w:type="dxa"/>
            <w:vAlign w:val="bottom"/>
          </w:tcPr>
          <w:p>
            <w:pPr>
              <w:ind w:left="520"/>
              <w:spacing w:after="0"/>
              <w:rPr>
                <w:sz w:val="20"/>
                <w:szCs w:val="20"/>
                <w:color w:val="auto"/>
              </w:rPr>
            </w:pPr>
            <w:r>
              <w:rPr>
                <w:rFonts w:ascii="Arial" w:cs="Arial" w:eastAsia="Arial" w:hAnsi="Arial"/>
                <w:sz w:val="17"/>
                <w:szCs w:val="17"/>
                <w:color w:val="auto"/>
              </w:rPr>
              <w:t>kbedard@micron.com</w:t>
            </w:r>
          </w:p>
        </w:tc>
        <w:tc>
          <w:tcPr>
            <w:tcW w:w="2260" w:type="dxa"/>
            <w:vAlign w:val="bottom"/>
          </w:tcPr>
          <w:p>
            <w:pPr>
              <w:ind w:left="540"/>
              <w:spacing w:after="0"/>
              <w:rPr>
                <w:sz w:val="20"/>
                <w:szCs w:val="20"/>
                <w:color w:val="auto"/>
              </w:rPr>
            </w:pPr>
            <w:r>
              <w:rPr>
                <w:rFonts w:ascii="Arial" w:cs="Arial" w:eastAsia="Arial" w:hAnsi="Arial"/>
                <w:sz w:val="17"/>
                <w:szCs w:val="17"/>
                <w:color w:val="auto"/>
                <w:w w:val="93"/>
              </w:rPr>
              <w:t>dfrancisco@micron.com</w:t>
            </w:r>
          </w:p>
        </w:tc>
      </w:tr>
      <w:tr>
        <w:trPr>
          <w:trHeight w:val="221"/>
        </w:trPr>
        <w:tc>
          <w:tcPr>
            <w:tcW w:w="1200" w:type="dxa"/>
            <w:vAlign w:val="bottom"/>
          </w:tcPr>
          <w:p>
            <w:pPr>
              <w:spacing w:after="0"/>
              <w:rPr>
                <w:sz w:val="19"/>
                <w:szCs w:val="19"/>
                <w:color w:val="auto"/>
              </w:rPr>
            </w:pPr>
          </w:p>
        </w:tc>
        <w:tc>
          <w:tcPr>
            <w:tcW w:w="2620" w:type="dxa"/>
            <w:vAlign w:val="bottom"/>
          </w:tcPr>
          <w:p>
            <w:pPr>
              <w:ind w:left="520"/>
              <w:spacing w:after="0"/>
              <w:rPr>
                <w:sz w:val="20"/>
                <w:szCs w:val="20"/>
                <w:color w:val="auto"/>
              </w:rPr>
            </w:pPr>
            <w:r>
              <w:rPr>
                <w:rFonts w:ascii="Arial" w:cs="Arial" w:eastAsia="Arial" w:hAnsi="Arial"/>
                <w:sz w:val="17"/>
                <w:szCs w:val="17"/>
                <w:color w:val="auto"/>
              </w:rPr>
              <w:t>(208) 368-4465</w:t>
            </w:r>
          </w:p>
        </w:tc>
        <w:tc>
          <w:tcPr>
            <w:tcW w:w="2260" w:type="dxa"/>
            <w:vAlign w:val="bottom"/>
          </w:tcPr>
          <w:p>
            <w:pPr>
              <w:ind w:left="540"/>
              <w:spacing w:after="0"/>
              <w:rPr>
                <w:sz w:val="20"/>
                <w:szCs w:val="20"/>
                <w:color w:val="auto"/>
              </w:rPr>
            </w:pPr>
            <w:r>
              <w:rPr>
                <w:rFonts w:ascii="Arial" w:cs="Arial" w:eastAsia="Arial" w:hAnsi="Arial"/>
                <w:sz w:val="17"/>
                <w:szCs w:val="17"/>
                <w:color w:val="auto"/>
              </w:rPr>
              <w:t>(208) 368-5584</w:t>
            </w: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ANNOUNCES PROPOSED $750 MILLION OFFERING OF SENIOR NOTES</w:t>
      </w:r>
    </w:p>
    <w:p>
      <w:pPr>
        <w:spacing w:after="0" w:line="227"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BOISE, Idaho, July 23, 2014 — Micron Technology, Inc., (NASDAQ: MU) today announced that it intends to offer, subject to market and other considerations, $750 million aggregate principal amount of senior notes due 2025 (the “Notes”) through an offering to qualified institutional buyers pursuant to Rule 144A under the Securities Act of 1933, as amended (the “Securities Act”), and outside the United States to non-U.S. persons pursuant to Regulation S under the Securities Act.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The interest rate, redemption provisions and other terms of the Notes will be determined by negotiations between Micron and the initial purchasers.</w:t>
      </w:r>
    </w:p>
    <w:p>
      <w:pPr>
        <w:spacing w:after="0" w:line="221"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Micron intends to use a portion of the net proceeds from the offering to extinguish its obligations with respect to its 1.875% convertible senior notes due 2031 (the “2031B Notes”), which may include payments in settlement of conversions of or to repurchase or redeem such notes. Micron expects to use the balance of the net proceeds for retirement of other convertible notes and debt and other general corporate purposes. Earlier today, Micron gave notice to holders of the 2031B Notes that their notes will be redeemed on August 22, 2014, except to the extent such notes are converted or repurchased by Micron prior to such date, and its current intent is to settle any such conversions entirely in cash with a portion of the proceeds from the offering.</w:t>
      </w:r>
    </w:p>
    <w:p>
      <w:pPr>
        <w:spacing w:after="0" w:line="16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announcement does not constitute an offer to sell or a solicitation of an offer to buy any of the foregoing securities, nor shall there be any offer, solicitation or sale in any state or jurisdiction in which such an offer, solicitation or sale would be unlawful.</w:t>
      </w:r>
    </w:p>
    <w:p>
      <w:pPr>
        <w:spacing w:after="0" w:line="15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Notes have not been registered under the Securities Act or any state securities laws and may not be offered or sold in the United States absent registration or an applicable exemption from such registration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2655" cy="29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2019-12-05T19:54:30Z</dcterms:created>
  <dcterms:modified xsi:type="dcterms:W3CDTF">2019-12-05T19:54:30Z</dcterms:modified>
</cp:coreProperties>
</file>