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01/15/2024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01/15/2024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5"/>
              </w:rPr>
              <w:t>9,508</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642,251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01/17/2024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9"/>
              </w:rPr>
              <w:t>7,000</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649,251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01/17/2024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9"/>
              </w:rPr>
              <w:t>7,000</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83.2</w:t>
            </w:r>
            <w:r>
              <w:rPr>
                <w:rFonts w:ascii="Times New Roman" w:cs="Times New Roman" w:eastAsia="Times New Roman" w:hAnsi="Times New Roman"/>
                <w:sz w:val="21"/>
                <w:szCs w:val="21"/>
                <w:color w:val="008000"/>
                <w:w w:val="89"/>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642,251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01/17/2024</w:t>
            </w:r>
          </w:p>
        </w:tc>
        <w:tc>
          <w:tcPr>
            <w:tcW w:w="1100" w:type="dxa"/>
            <w:vAlign w:val="bottom"/>
          </w:tcPr>
          <w:p>
            <w:pPr>
              <w:spacing w:after="0"/>
              <w:rPr>
                <w:sz w:val="16"/>
                <w:szCs w:val="16"/>
                <w:color w:val="auto"/>
              </w:rPr>
            </w:pPr>
          </w:p>
        </w:tc>
        <w:tc>
          <w:tcPr>
            <w:tcW w:w="6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361,284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common stock shares to satisfy tax withholding obligations in connection with the vesting of previously granted awards.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$82.90 to $83.77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01/17/2024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2024-01-17T18:12:34Z</dcterms:created>
  <dcterms:modified xsi:type="dcterms:W3CDTF">2024-01-17T18:12:34Z</dcterms:modified>
</cp:coreProperties>
</file>