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18,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Company’s Fiscal 2016 Annual Meeting of Shareholders was held on January 18, 2017. At the meeting, the following proposals were submitted to a vote of the shareholders: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1</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11" w:lineRule="exact"/>
        <w:rPr>
          <w:sz w:val="20"/>
          <w:szCs w:val="20"/>
          <w:color w:val="auto"/>
        </w:rPr>
      </w:pPr>
    </w:p>
    <w:tbl>
      <w:tblPr>
        <w:tblLayout w:type="fixed"/>
        <w:tblInd w:w="1780" w:type="dxa"/>
        <w:tblCellMar>
          <w:top w:w="0" w:type="dxa"/>
          <w:left w:w="0" w:type="dxa"/>
          <w:bottom w:w="0" w:type="dxa"/>
          <w:right w:w="0" w:type="dxa"/>
        </w:tblCellMar>
      </w:tblPr>
      <w:tr>
        <w:trPr>
          <w:trHeight w:val="210"/>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 of Nominee</w:t>
            </w:r>
          </w:p>
        </w:tc>
        <w:tc>
          <w:tcPr>
            <w:tcW w:w="1520" w:type="dxa"/>
            <w:vAlign w:val="bottom"/>
            <w:gridSpan w:val="2"/>
          </w:tcPr>
          <w:p>
            <w:pPr>
              <w:ind w:left="500"/>
              <w:spacing w:after="0"/>
              <w:rPr>
                <w:sz w:val="20"/>
                <w:szCs w:val="20"/>
                <w:color w:val="auto"/>
              </w:rPr>
            </w:pPr>
            <w:r>
              <w:rPr>
                <w:rFonts w:ascii="Arial" w:cs="Arial" w:eastAsia="Arial" w:hAnsi="Arial"/>
                <w:sz w:val="16"/>
                <w:szCs w:val="16"/>
                <w:b w:val="1"/>
                <w:bCs w:val="1"/>
                <w:color w:val="auto"/>
              </w:rPr>
              <w:t>For</w:t>
            </w:r>
          </w:p>
        </w:tc>
        <w:tc>
          <w:tcPr>
            <w:tcW w:w="1480" w:type="dxa"/>
            <w:vAlign w:val="bottom"/>
            <w:gridSpan w:val="2"/>
          </w:tcPr>
          <w:p>
            <w:pPr>
              <w:ind w:left="360"/>
              <w:spacing w:after="0"/>
              <w:rPr>
                <w:sz w:val="20"/>
                <w:szCs w:val="20"/>
                <w:color w:val="auto"/>
              </w:rPr>
            </w:pPr>
            <w:r>
              <w:rPr>
                <w:rFonts w:ascii="Arial" w:cs="Arial" w:eastAsia="Arial" w:hAnsi="Arial"/>
                <w:sz w:val="16"/>
                <w:szCs w:val="16"/>
                <w:b w:val="1"/>
                <w:bCs w:val="1"/>
                <w:color w:val="auto"/>
              </w:rPr>
              <w:t>Against</w:t>
            </w:r>
          </w:p>
        </w:tc>
        <w:tc>
          <w:tcPr>
            <w:tcW w:w="1240" w:type="dxa"/>
            <w:vAlign w:val="bottom"/>
          </w:tcPr>
          <w:p>
            <w:pPr>
              <w:jc w:val="right"/>
              <w:ind w:right="271"/>
              <w:spacing w:after="0"/>
              <w:rPr>
                <w:sz w:val="20"/>
                <w:szCs w:val="20"/>
                <w:color w:val="auto"/>
              </w:rPr>
            </w:pPr>
            <w:r>
              <w:rPr>
                <w:rFonts w:ascii="Arial" w:cs="Arial" w:eastAsia="Arial" w:hAnsi="Arial"/>
                <w:sz w:val="16"/>
                <w:szCs w:val="16"/>
                <w:b w:val="1"/>
                <w:bCs w:val="1"/>
                <w:color w:val="auto"/>
              </w:rPr>
              <w:t>Abstain</w:t>
            </w:r>
          </w:p>
        </w:tc>
      </w:tr>
      <w:tr>
        <w:trPr>
          <w:trHeight w:val="33"/>
        </w:trPr>
        <w:tc>
          <w:tcPr>
            <w:tcW w:w="3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 Bailey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726,938,545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2,935,897</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3,023,829</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Richard M. Beyer</w:t>
            </w:r>
          </w:p>
        </w:tc>
        <w:tc>
          <w:tcPr>
            <w:tcW w:w="1280" w:type="dxa"/>
            <w:vAlign w:val="bottom"/>
          </w:tcPr>
          <w:p>
            <w:pPr>
              <w:jc w:val="right"/>
              <w:spacing w:after="0"/>
              <w:rPr>
                <w:sz w:val="20"/>
                <w:szCs w:val="20"/>
                <w:color w:val="auto"/>
              </w:rPr>
            </w:pPr>
            <w:r>
              <w:rPr>
                <w:rFonts w:ascii="Arial" w:cs="Arial" w:eastAsia="Arial" w:hAnsi="Arial"/>
                <w:sz w:val="18"/>
                <w:szCs w:val="18"/>
                <w:color w:val="auto"/>
              </w:rPr>
              <w:t>719,257,312</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10,627,542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3,013,417</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J. Byrne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718,146,475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11,730,303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3,021,495</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280" w:type="dxa"/>
            <w:vAlign w:val="bottom"/>
          </w:tcPr>
          <w:p>
            <w:pPr>
              <w:jc w:val="right"/>
              <w:spacing w:after="0"/>
              <w:rPr>
                <w:sz w:val="20"/>
                <w:szCs w:val="20"/>
                <w:color w:val="auto"/>
              </w:rPr>
            </w:pPr>
            <w:r>
              <w:rPr>
                <w:rFonts w:ascii="Arial" w:cs="Arial" w:eastAsia="Arial" w:hAnsi="Arial"/>
                <w:sz w:val="18"/>
                <w:szCs w:val="18"/>
                <w:color w:val="auto"/>
              </w:rPr>
              <w:t>725,371,542</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4,476,271</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3,050,459</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Mercedes Johnson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723,976,665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5,857,265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3,064,341</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Lawrence N. Mondry</w:t>
            </w:r>
          </w:p>
        </w:tc>
        <w:tc>
          <w:tcPr>
            <w:tcW w:w="1280" w:type="dxa"/>
            <w:vAlign w:val="bottom"/>
          </w:tcPr>
          <w:p>
            <w:pPr>
              <w:jc w:val="right"/>
              <w:spacing w:after="0"/>
              <w:rPr>
                <w:sz w:val="20"/>
                <w:szCs w:val="20"/>
                <w:color w:val="auto"/>
              </w:rPr>
            </w:pPr>
            <w:r>
              <w:rPr>
                <w:rFonts w:ascii="Arial" w:cs="Arial" w:eastAsia="Arial" w:hAnsi="Arial"/>
                <w:sz w:val="18"/>
                <w:szCs w:val="18"/>
                <w:color w:val="auto"/>
              </w:rPr>
              <w:t>716,206,047</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13,644,097</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3,048,129</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E. Switz</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724,309,529</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5,543,134</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3,045,609</w:t>
            </w:r>
          </w:p>
        </w:tc>
      </w:tr>
      <w:tr>
        <w:trPr>
          <w:trHeight w:val="27"/>
        </w:trPr>
        <w:tc>
          <w:tcPr>
            <w:tcW w:w="3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proposal by the Company to approve the Amended and Restated 2007 Equity Incentive Plan and increase the shares reserved for issuance thereunder by 30,000,000 was approved with 667,813,836 votes in favor, 61,448,486 votes against, and 3,634,516 abstentions.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The ratification of the adoption of our Section 382 Rights Agreement was approved with 630,197,834 votes in favor, 98,618,606 votes against, and 4,081,832 abstentions.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4</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ending August 31, 2017, was approved with 864,615,218 votes in favor, 10,008,561 votes against, and 4,219,672 abstentions.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5</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proposal by the Company to approve the non-binding resolution to approve the compensation of our Named Executive Officers as described in the proxy statement was approved with 704,326,494 votes in favor, 20,329,715 votes against, and 8,240,629 abstentions.</w:t>
      </w:r>
    </w:p>
    <w:p>
      <w:pPr>
        <w:sectPr>
          <w:pgSz w:w="11900" w:h="16838" w:orient="portrait"/>
          <w:cols w:equalWidth="0" w:num="1">
            <w:col w:w="11420"/>
          </w:cols>
          <w:pgMar w:left="240" w:top="1040"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6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January 19, 2016</w:t>
            </w:r>
          </w:p>
        </w:tc>
        <w:tc>
          <w:tcPr>
            <w:tcW w:w="2720" w:type="dxa"/>
            <w:vAlign w:val="bottom"/>
          </w:tcPr>
          <w:p>
            <w:pPr>
              <w:ind w:left="17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20" w:type="dxa"/>
            <w:vAlign w:val="bottom"/>
            <w:vMerge w:val="restart"/>
          </w:tcPr>
          <w:p>
            <w:pPr>
              <w:ind w:left="17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720" w:type="dxa"/>
            <w:vAlign w:val="bottom"/>
          </w:tcPr>
          <w:p>
            <w:pPr>
              <w:ind w:left="17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2019-12-05T10:49:13Z</dcterms:created>
  <dcterms:modified xsi:type="dcterms:W3CDTF">2019-12-05T10:49:13Z</dcterms:modified>
</cp:coreProperties>
</file>