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December 23, 2003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Delaware</w:t>
            </w:r>
          </w:p>
        </w:tc>
        <w:tc>
          <w:tcPr>
            <w:tcW w:w="4260" w:type="dxa"/>
            <w:vAlign w:val="bottom"/>
          </w:tcPr>
          <w:p>
            <w:pPr>
              <w:jc w:val="right"/>
              <w:ind w:right="1650"/>
              <w:spacing w:after="0"/>
              <w:rPr>
                <w:sz w:val="20"/>
                <w:szCs w:val="20"/>
                <w:color w:val="auto"/>
              </w:rPr>
            </w:pPr>
            <w:r>
              <w:rPr>
                <w:rFonts w:ascii="Arial" w:cs="Arial" w:eastAsia="Arial" w:hAnsi="Arial"/>
                <w:sz w:val="18"/>
                <w:szCs w:val="18"/>
                <w:b w:val="1"/>
                <w:bCs w:val="1"/>
                <w:color w:val="auto"/>
              </w:rPr>
              <w:t>001-10658</w:t>
            </w:r>
          </w:p>
        </w:tc>
        <w:tc>
          <w:tcPr>
            <w:tcW w:w="3480" w:type="dxa"/>
            <w:vAlign w:val="bottom"/>
          </w:tcPr>
          <w:p>
            <w:pPr>
              <w:jc w:val="right"/>
              <w:ind w:right="1310"/>
              <w:spacing w:after="0"/>
              <w:rPr>
                <w:sz w:val="20"/>
                <w:szCs w:val="20"/>
                <w:color w:val="auto"/>
              </w:rPr>
            </w:pPr>
            <w:r>
              <w:rPr>
                <w:rFonts w:ascii="Arial" w:cs="Arial" w:eastAsia="Arial" w:hAnsi="Arial"/>
                <w:sz w:val="18"/>
                <w:szCs w:val="18"/>
                <w:b w:val="1"/>
                <w:bCs w:val="1"/>
                <w:color w:val="auto"/>
              </w:rPr>
              <w:t>75-1618004</w:t>
            </w:r>
          </w:p>
        </w:tc>
        <w:tc>
          <w:tcPr>
            <w:tcW w:w="20" w:type="dxa"/>
            <w:vAlign w:val="bottom"/>
          </w:tcPr>
          <w:p>
            <w:pPr>
              <w:spacing w:after="0"/>
              <w:rPr>
                <w:sz w:val="19"/>
                <w:szCs w:val="19"/>
                <w:color w:val="auto"/>
              </w:rPr>
            </w:pPr>
          </w:p>
        </w:tc>
      </w:tr>
      <w:tr>
        <w:trPr>
          <w:trHeight w:val="230"/>
        </w:trPr>
        <w:tc>
          <w:tcPr>
            <w:tcW w:w="3680" w:type="dxa"/>
            <w:vAlign w:val="bottom"/>
          </w:tcPr>
          <w:p>
            <w:pPr>
              <w:jc w:val="center"/>
              <w:ind w:left="15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480" w:type="dxa"/>
            <w:vAlign w:val="bottom"/>
          </w:tcPr>
          <w:p>
            <w:pPr>
              <w:jc w:val="center"/>
              <w:ind w:right="90"/>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414"/>
        </w:trPr>
        <w:tc>
          <w:tcPr>
            <w:tcW w:w="3680" w:type="dxa"/>
            <w:vAlign w:val="bottom"/>
          </w:tcPr>
          <w:p>
            <w:pPr>
              <w:spacing w:after="0"/>
              <w:rPr>
                <w:sz w:val="24"/>
                <w:szCs w:val="24"/>
                <w:color w:val="auto"/>
              </w:rPr>
            </w:pPr>
          </w:p>
        </w:tc>
        <w:tc>
          <w:tcPr>
            <w:tcW w:w="4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8000 South Federal Way</w:t>
            </w: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3680" w:type="dxa"/>
            <w:vAlign w:val="bottom"/>
          </w:tcPr>
          <w:p>
            <w:pPr>
              <w:spacing w:after="0"/>
              <w:rPr>
                <w:sz w:val="19"/>
                <w:szCs w:val="19"/>
                <w:color w:val="auto"/>
              </w:rPr>
            </w:pPr>
          </w:p>
        </w:tc>
        <w:tc>
          <w:tcPr>
            <w:tcW w:w="4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Boise, Idaho 83716-9632</w:t>
            </w: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p>
        </w:tc>
        <w:tc>
          <w:tcPr>
            <w:tcW w:w="426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680" w:type="dxa"/>
            <w:vAlign w:val="bottom"/>
          </w:tcPr>
          <w:p>
            <w:pPr>
              <w:spacing w:after="0"/>
              <w:rPr>
                <w:sz w:val="24"/>
                <w:szCs w:val="24"/>
                <w:color w:val="auto"/>
              </w:rPr>
            </w:pPr>
          </w:p>
        </w:tc>
        <w:tc>
          <w:tcPr>
            <w:tcW w:w="4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(208) 368-4000</w:t>
            </w: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80" w:type="dxa"/>
            <w:vAlign w:val="bottom"/>
          </w:tcPr>
          <w:p>
            <w:pPr>
              <w:spacing w:after="0"/>
              <w:rPr>
                <w:sz w:val="20"/>
                <w:szCs w:val="20"/>
                <w:color w:val="auto"/>
              </w:rPr>
            </w:pPr>
          </w:p>
        </w:tc>
        <w:tc>
          <w:tcPr>
            <w:tcW w:w="4260" w:type="dxa"/>
            <w:vAlign w:val="bottom"/>
          </w:tcPr>
          <w:p>
            <w:pPr>
              <w:jc w:val="center"/>
              <w:ind w:right="110"/>
              <w:spacing w:after="0"/>
              <w:rPr>
                <w:sz w:val="20"/>
                <w:szCs w:val="20"/>
                <w:color w:val="auto"/>
              </w:rPr>
            </w:pPr>
            <w:r>
              <w:rPr>
                <w:rFonts w:ascii="Arial" w:cs="Arial" w:eastAsia="Arial" w:hAnsi="Arial"/>
                <w:sz w:val="18"/>
                <w:szCs w:val="18"/>
                <w:color w:val="auto"/>
                <w:w w:val="90"/>
              </w:rPr>
              <w:t>(Registrant’s telephone number, including area code)</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368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68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368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80" w:type="dxa"/>
            <w:vAlign w:val="bottom"/>
            <w:gridSpan w:val="3"/>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46"/>
        </w:trPr>
        <w:tc>
          <w:tcPr>
            <w:tcW w:w="840" w:type="dxa"/>
            <w:vAlign w:val="bottom"/>
          </w:tcPr>
          <w:p>
            <w:pPr>
              <w:spacing w:after="0"/>
              <w:rPr>
                <w:sz w:val="24"/>
                <w:szCs w:val="24"/>
                <w:color w:val="auto"/>
              </w:rPr>
            </w:pPr>
          </w:p>
        </w:tc>
        <w:tc>
          <w:tcPr>
            <w:tcW w:w="10580" w:type="dxa"/>
            <w:vAlign w:val="bottom"/>
            <w:gridSpan w:val="3"/>
          </w:tcPr>
          <w:p>
            <w:pPr>
              <w:ind w:left="140"/>
              <w:spacing w:after="0"/>
              <w:rPr>
                <w:sz w:val="20"/>
                <w:szCs w:val="20"/>
                <w:color w:val="auto"/>
              </w:rPr>
            </w:pPr>
            <w:r>
              <w:rPr>
                <w:rFonts w:ascii="Arial" w:cs="Arial" w:eastAsia="Arial" w:hAnsi="Arial"/>
                <w:sz w:val="18"/>
                <w:szCs w:val="18"/>
                <w:color w:val="auto"/>
              </w:rPr>
              <w:t>(c) Exhibits.</w:t>
            </w:r>
          </w:p>
        </w:tc>
      </w:tr>
      <w:tr>
        <w:trPr>
          <w:trHeight w:val="432"/>
        </w:trPr>
        <w:tc>
          <w:tcPr>
            <w:tcW w:w="840" w:type="dxa"/>
            <w:vAlign w:val="bottom"/>
          </w:tcPr>
          <w:p>
            <w:pPr>
              <w:spacing w:after="0"/>
              <w:rPr>
                <w:sz w:val="24"/>
                <w:szCs w:val="24"/>
                <w:color w:val="auto"/>
              </w:rPr>
            </w:pPr>
          </w:p>
        </w:tc>
        <w:tc>
          <w:tcPr>
            <w:tcW w:w="10580" w:type="dxa"/>
            <w:vAlign w:val="bottom"/>
            <w:gridSpan w:val="3"/>
          </w:tcPr>
          <w:p>
            <w:pPr>
              <w:ind w:left="140"/>
              <w:spacing w:after="0"/>
              <w:rPr>
                <w:sz w:val="20"/>
                <w:szCs w:val="20"/>
                <w:color w:val="auto"/>
              </w:rPr>
            </w:pPr>
            <w:r>
              <w:rPr>
                <w:rFonts w:ascii="Arial" w:cs="Arial" w:eastAsia="Arial" w:hAnsi="Arial"/>
                <w:sz w:val="18"/>
                <w:szCs w:val="18"/>
                <w:color w:val="auto"/>
              </w:rPr>
              <w:t>The following exhibits are filed herewith:</w:t>
            </w:r>
          </w:p>
        </w:tc>
      </w:tr>
      <w:tr>
        <w:trPr>
          <w:trHeight w:val="365"/>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900" w:type="dxa"/>
            <w:vAlign w:val="bottom"/>
            <w:tcBorders>
              <w:bottom w:val="single" w:sz="8" w:color="auto"/>
            </w:tcBorders>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10420" w:type="dxa"/>
            <w:vAlign w:val="bottom"/>
            <w:gridSpan w:val="2"/>
          </w:tcPr>
          <w:p>
            <w:pPr>
              <w:ind w:left="520"/>
              <w:spacing w:after="0"/>
              <w:rPr>
                <w:sz w:val="20"/>
                <w:szCs w:val="20"/>
                <w:color w:val="auto"/>
              </w:rPr>
            </w:pPr>
            <w:r>
              <w:rPr>
                <w:rFonts w:ascii="Arial" w:cs="Arial" w:eastAsia="Arial" w:hAnsi="Arial"/>
                <w:sz w:val="18"/>
                <w:szCs w:val="18"/>
                <w:color w:val="auto"/>
              </w:rPr>
              <w:t>Press Release issued on December 23, 2003.</w:t>
            </w:r>
          </w:p>
        </w:tc>
      </w:tr>
      <w:tr>
        <w:trPr>
          <w:trHeight w:val="500"/>
        </w:trPr>
        <w:tc>
          <w:tcPr>
            <w:tcW w:w="84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160" w:type="dxa"/>
            <w:vAlign w:val="bottom"/>
          </w:tcPr>
          <w:p>
            <w:pPr>
              <w:spacing w:after="0"/>
              <w:rPr>
                <w:sz w:val="24"/>
                <w:szCs w:val="24"/>
                <w:color w:val="auto"/>
              </w:rPr>
            </w:pP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Disclosure of Results of Operations and Financial Condition.</w:t>
            </w:r>
          </w:p>
        </w:tc>
      </w:tr>
    </w:tbl>
    <w:p>
      <w:pPr>
        <w:spacing w:after="0" w:line="215" w:lineRule="exact"/>
        <w:rPr>
          <w:sz w:val="24"/>
          <w:szCs w:val="24"/>
          <w:color w:val="auto"/>
        </w:rPr>
      </w:pPr>
    </w:p>
    <w:p>
      <w:pPr>
        <w:ind w:right="280" w:firstLine="972"/>
        <w:spacing w:after="0" w:line="277" w:lineRule="auto"/>
        <w:rPr>
          <w:sz w:val="20"/>
          <w:szCs w:val="20"/>
          <w:color w:val="auto"/>
        </w:rPr>
      </w:pPr>
      <w:r>
        <w:rPr>
          <w:rFonts w:ascii="Arial" w:cs="Arial" w:eastAsia="Arial" w:hAnsi="Arial"/>
          <w:sz w:val="18"/>
          <w:szCs w:val="18"/>
          <w:color w:val="auto"/>
        </w:rPr>
        <w:t>On December 23, 2003, Micron Technology, Inc. announced its financial results for the quarter ended December 4, 2003. The full text of the press release issued in connection with the announcement is attached as Exhibit 99.1 to this Current Report on Form 8-K.</w:t>
      </w:r>
    </w:p>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296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December 23, 2003</w:t>
            </w:r>
          </w:p>
        </w:tc>
        <w:tc>
          <w:tcPr>
            <w:tcW w:w="3680" w:type="dxa"/>
            <w:vAlign w:val="bottom"/>
          </w:tcPr>
          <w:p>
            <w:pPr>
              <w:ind w:left="296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3680" w:type="dxa"/>
            <w:vAlign w:val="bottom"/>
          </w:tcPr>
          <w:p>
            <w:pPr>
              <w:ind w:left="2960"/>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3780" w:type="dxa"/>
            <w:vAlign w:val="bottom"/>
          </w:tcPr>
          <w:p>
            <w:pPr>
              <w:spacing w:after="0"/>
              <w:rPr>
                <w:sz w:val="18"/>
                <w:szCs w:val="18"/>
                <w:color w:val="auto"/>
              </w:rPr>
            </w:pPr>
          </w:p>
        </w:tc>
        <w:tc>
          <w:tcPr>
            <w:tcW w:w="3680" w:type="dxa"/>
            <w:vAlign w:val="bottom"/>
          </w:tcPr>
          <w:p>
            <w:pPr>
              <w:ind w:left="2960"/>
              <w:spacing w:after="0"/>
              <w:rPr>
                <w:sz w:val="20"/>
                <w:szCs w:val="20"/>
                <w:color w:val="auto"/>
              </w:rPr>
            </w:pPr>
            <w:r>
              <w:rPr>
                <w:rFonts w:ascii="Arial" w:cs="Arial" w:eastAsia="Arial" w:hAnsi="Arial"/>
                <w:sz w:val="18"/>
                <w:szCs w:val="18"/>
                <w:color w:val="auto"/>
              </w:rPr>
              <w:t>Title:</w:t>
            </w:r>
          </w:p>
        </w:tc>
        <w:tc>
          <w:tcPr>
            <w:tcW w:w="396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7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3680" w:type="dxa"/>
            <w:vAlign w:val="bottom"/>
          </w:tcPr>
          <w:p>
            <w:pPr>
              <w:ind w:left="1880"/>
              <w:spacing w:after="0"/>
              <w:rPr>
                <w:sz w:val="20"/>
                <w:szCs w:val="20"/>
                <w:color w:val="auto"/>
              </w:rPr>
            </w:pPr>
            <w:r>
              <w:rPr>
                <w:rFonts w:ascii="Arial" w:cs="Arial" w:eastAsia="Arial" w:hAnsi="Arial"/>
                <w:sz w:val="18"/>
                <w:szCs w:val="18"/>
                <w:color w:val="auto"/>
              </w:rPr>
              <w:t>3</w:t>
            </w: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3780" w:type="dxa"/>
            <w:vAlign w:val="bottom"/>
            <w:tcBorders>
              <w:bottom w:val="single" w:sz="8" w:color="808080"/>
            </w:tcBorders>
          </w:tcPr>
          <w:p>
            <w:pPr>
              <w:spacing w:after="0"/>
              <w:rPr>
                <w:sz w:val="7"/>
                <w:szCs w:val="7"/>
                <w:color w:val="auto"/>
              </w:rPr>
            </w:pPr>
          </w:p>
        </w:tc>
        <w:tc>
          <w:tcPr>
            <w:tcW w:w="3680" w:type="dxa"/>
            <w:vAlign w:val="bottom"/>
            <w:tcBorders>
              <w:bottom w:val="single" w:sz="8" w:color="808080"/>
            </w:tcBorders>
          </w:tcPr>
          <w:p>
            <w:pPr>
              <w:spacing w:after="0"/>
              <w:rPr>
                <w:sz w:val="7"/>
                <w:szCs w:val="7"/>
                <w:color w:val="auto"/>
              </w:rPr>
            </w:pPr>
          </w:p>
        </w:tc>
        <w:tc>
          <w:tcPr>
            <w:tcW w:w="39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tcPr>
          <w:p>
            <w:pPr>
              <w:jc w:val="center"/>
              <w:ind w:right="1316"/>
              <w:spacing w:after="0"/>
              <w:rPr>
                <w:sz w:val="20"/>
                <w:szCs w:val="20"/>
                <w:color w:val="auto"/>
              </w:rPr>
            </w:pPr>
            <w:r>
              <w:rPr>
                <w:rFonts w:ascii="Arial" w:cs="Arial" w:eastAsia="Arial" w:hAnsi="Arial"/>
                <w:sz w:val="18"/>
                <w:szCs w:val="18"/>
                <w:b w:val="1"/>
                <w:bCs w:val="1"/>
                <w:color w:val="auto"/>
              </w:rPr>
              <w:t>INDEX TO EXHIBITS FILED WITH</w:t>
            </w:r>
          </w:p>
        </w:tc>
      </w:tr>
      <w:tr>
        <w:trPr>
          <w:trHeight w:val="234"/>
        </w:trPr>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20" w:type="dxa"/>
            <w:vAlign w:val="bottom"/>
          </w:tcPr>
          <w:p>
            <w:pPr>
              <w:jc w:val="center"/>
              <w:ind w:right="1316"/>
              <w:spacing w:after="0"/>
              <w:rPr>
                <w:sz w:val="20"/>
                <w:szCs w:val="20"/>
                <w:color w:val="auto"/>
              </w:rPr>
            </w:pPr>
            <w:r>
              <w:rPr>
                <w:rFonts w:ascii="Arial" w:cs="Arial" w:eastAsia="Arial" w:hAnsi="Arial"/>
                <w:sz w:val="18"/>
                <w:szCs w:val="18"/>
                <w:b w:val="1"/>
                <w:bCs w:val="1"/>
                <w:color w:val="auto"/>
                <w:w w:val="99"/>
              </w:rPr>
              <w:t>THE CURRENT REPORT ON FORM 8-K DATED DECEMBER 23, 2003</w:t>
            </w:r>
          </w:p>
        </w:tc>
      </w:tr>
      <w:tr>
        <w:trPr>
          <w:trHeight w:val="365"/>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1002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Description</w:t>
            </w:r>
          </w:p>
        </w:tc>
      </w:tr>
    </w:tbl>
    <w:p>
      <w:pPr>
        <w:sectPr>
          <w:pgSz w:w="11900" w:h="16838" w:orient="portrait"/>
          <w:cols w:equalWidth="0" w:num="1">
            <w:col w:w="11440"/>
          </w:cols>
          <w:pgMar w:left="240" w:top="585" w:right="219" w:bottom="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23, 2003.</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240" w:type="dxa"/>
            <w:vAlign w:val="bottom"/>
          </w:tcPr>
          <w:p>
            <w:pPr>
              <w:spacing w:after="0"/>
              <w:rPr>
                <w:sz w:val="20"/>
                <w:szCs w:val="20"/>
                <w:color w:val="auto"/>
              </w:rPr>
            </w:pPr>
          </w:p>
        </w:tc>
      </w:tr>
      <w:tr>
        <w:trPr>
          <w:trHeight w:val="634"/>
        </w:trPr>
        <w:tc>
          <w:tcPr>
            <w:tcW w:w="1140" w:type="dxa"/>
            <w:vAlign w:val="bottom"/>
          </w:tcPr>
          <w:p>
            <w:pPr>
              <w:spacing w:after="0"/>
              <w:rPr>
                <w:sz w:val="20"/>
                <w:szCs w:val="20"/>
                <w:color w:val="auto"/>
              </w:rPr>
            </w:pPr>
            <w:r>
              <w:rPr>
                <w:rFonts w:ascii="Arial" w:cs="Arial" w:eastAsia="Arial" w:hAnsi="Arial"/>
                <w:sz w:val="18"/>
                <w:szCs w:val="18"/>
                <w:color w:val="auto"/>
              </w:rPr>
              <w:t>Contacts:</w:t>
            </w:r>
          </w:p>
        </w:tc>
        <w:tc>
          <w:tcPr>
            <w:tcW w:w="2660" w:type="dxa"/>
            <w:vAlign w:val="bottom"/>
          </w:tcPr>
          <w:p>
            <w:pPr>
              <w:ind w:left="440"/>
              <w:spacing w:after="0"/>
              <w:rPr>
                <w:sz w:val="20"/>
                <w:szCs w:val="20"/>
                <w:color w:val="auto"/>
              </w:rPr>
            </w:pPr>
            <w:r>
              <w:rPr>
                <w:rFonts w:ascii="Arial" w:cs="Arial" w:eastAsia="Arial" w:hAnsi="Arial"/>
                <w:sz w:val="18"/>
                <w:szCs w:val="18"/>
                <w:color w:val="auto"/>
              </w:rPr>
              <w:t>Kipp A. Bedard</w:t>
            </w:r>
          </w:p>
        </w:tc>
        <w:tc>
          <w:tcPr>
            <w:tcW w:w="2240" w:type="dxa"/>
            <w:vAlign w:val="bottom"/>
          </w:tcPr>
          <w:p>
            <w:pPr>
              <w:ind w:left="620"/>
              <w:spacing w:after="0"/>
              <w:rPr>
                <w:sz w:val="20"/>
                <w:szCs w:val="20"/>
                <w:color w:val="auto"/>
              </w:rPr>
            </w:pPr>
            <w:r>
              <w:rPr>
                <w:rFonts w:ascii="Arial" w:cs="Arial" w:eastAsia="Arial" w:hAnsi="Arial"/>
                <w:sz w:val="18"/>
                <w:szCs w:val="18"/>
                <w:color w:val="auto"/>
              </w:rPr>
              <w:t>David T. Parker</w:t>
            </w:r>
          </w:p>
        </w:tc>
      </w:tr>
      <w:tr>
        <w:trPr>
          <w:trHeight w:val="216"/>
        </w:trPr>
        <w:tc>
          <w:tcPr>
            <w:tcW w:w="1140" w:type="dxa"/>
            <w:vAlign w:val="bottom"/>
          </w:tcPr>
          <w:p>
            <w:pPr>
              <w:spacing w:after="0"/>
              <w:rPr>
                <w:sz w:val="18"/>
                <w:szCs w:val="18"/>
                <w:color w:val="auto"/>
              </w:rPr>
            </w:pPr>
          </w:p>
        </w:tc>
        <w:tc>
          <w:tcPr>
            <w:tcW w:w="2660" w:type="dxa"/>
            <w:vAlign w:val="bottom"/>
          </w:tcPr>
          <w:p>
            <w:pPr>
              <w:ind w:left="440"/>
              <w:spacing w:after="0"/>
              <w:rPr>
                <w:sz w:val="20"/>
                <w:szCs w:val="20"/>
                <w:color w:val="auto"/>
              </w:rPr>
            </w:pPr>
            <w:r>
              <w:rPr>
                <w:rFonts w:ascii="Arial" w:cs="Arial" w:eastAsia="Arial" w:hAnsi="Arial"/>
                <w:sz w:val="18"/>
                <w:szCs w:val="18"/>
                <w:color w:val="auto"/>
              </w:rPr>
              <w:t>Investor Relations</w:t>
            </w:r>
          </w:p>
        </w:tc>
        <w:tc>
          <w:tcPr>
            <w:tcW w:w="2240" w:type="dxa"/>
            <w:vAlign w:val="bottom"/>
          </w:tcPr>
          <w:p>
            <w:pPr>
              <w:ind w:left="620"/>
              <w:spacing w:after="0"/>
              <w:rPr>
                <w:sz w:val="20"/>
                <w:szCs w:val="20"/>
                <w:color w:val="auto"/>
              </w:rPr>
            </w:pPr>
            <w:r>
              <w:rPr>
                <w:rFonts w:ascii="Arial" w:cs="Arial" w:eastAsia="Arial" w:hAnsi="Arial"/>
                <w:sz w:val="18"/>
                <w:szCs w:val="18"/>
                <w:color w:val="auto"/>
              </w:rPr>
              <w:t>Media Relations</w:t>
            </w:r>
          </w:p>
        </w:tc>
      </w:tr>
      <w:tr>
        <w:trPr>
          <w:trHeight w:val="216"/>
        </w:trPr>
        <w:tc>
          <w:tcPr>
            <w:tcW w:w="1140" w:type="dxa"/>
            <w:vAlign w:val="bottom"/>
          </w:tcPr>
          <w:p>
            <w:pPr>
              <w:spacing w:after="0"/>
              <w:rPr>
                <w:sz w:val="18"/>
                <w:szCs w:val="18"/>
                <w:color w:val="auto"/>
              </w:rPr>
            </w:pPr>
          </w:p>
        </w:tc>
        <w:tc>
          <w:tcPr>
            <w:tcW w:w="2660" w:type="dxa"/>
            <w:vAlign w:val="bottom"/>
          </w:tcPr>
          <w:p>
            <w:pPr>
              <w:ind w:left="440"/>
              <w:spacing w:after="0"/>
              <w:rPr>
                <w:sz w:val="20"/>
                <w:szCs w:val="20"/>
                <w:color w:val="auto"/>
              </w:rPr>
            </w:pPr>
            <w:r>
              <w:rPr>
                <w:rFonts w:ascii="Arial" w:cs="Arial" w:eastAsia="Arial" w:hAnsi="Arial"/>
                <w:sz w:val="18"/>
                <w:szCs w:val="18"/>
                <w:color w:val="auto"/>
              </w:rPr>
              <w:t>kbedard@micron.com</w:t>
            </w:r>
          </w:p>
        </w:tc>
        <w:tc>
          <w:tcPr>
            <w:tcW w:w="2240" w:type="dxa"/>
            <w:vAlign w:val="bottom"/>
          </w:tcPr>
          <w:p>
            <w:pPr>
              <w:ind w:left="620"/>
              <w:spacing w:after="0"/>
              <w:rPr>
                <w:sz w:val="20"/>
                <w:szCs w:val="20"/>
                <w:color w:val="auto"/>
              </w:rPr>
            </w:pPr>
            <w:r>
              <w:rPr>
                <w:rFonts w:ascii="Arial" w:cs="Arial" w:eastAsia="Arial" w:hAnsi="Arial"/>
                <w:sz w:val="18"/>
                <w:szCs w:val="18"/>
                <w:color w:val="auto"/>
                <w:w w:val="90"/>
              </w:rPr>
              <w:t>dtparker@micron.com</w:t>
            </w:r>
          </w:p>
        </w:tc>
      </w:tr>
      <w:tr>
        <w:trPr>
          <w:trHeight w:val="230"/>
        </w:trPr>
        <w:tc>
          <w:tcPr>
            <w:tcW w:w="1140" w:type="dxa"/>
            <w:vAlign w:val="bottom"/>
          </w:tcPr>
          <w:p>
            <w:pPr>
              <w:spacing w:after="0"/>
              <w:rPr>
                <w:sz w:val="20"/>
                <w:szCs w:val="20"/>
                <w:color w:val="auto"/>
              </w:rPr>
            </w:pPr>
          </w:p>
        </w:tc>
        <w:tc>
          <w:tcPr>
            <w:tcW w:w="2660" w:type="dxa"/>
            <w:vAlign w:val="bottom"/>
          </w:tcPr>
          <w:p>
            <w:pPr>
              <w:ind w:left="440"/>
              <w:spacing w:after="0"/>
              <w:rPr>
                <w:sz w:val="20"/>
                <w:szCs w:val="20"/>
                <w:color w:val="auto"/>
              </w:rPr>
            </w:pPr>
            <w:r>
              <w:rPr>
                <w:rFonts w:ascii="Arial" w:cs="Arial" w:eastAsia="Arial" w:hAnsi="Arial"/>
                <w:sz w:val="18"/>
                <w:szCs w:val="18"/>
                <w:color w:val="auto"/>
              </w:rPr>
              <w:t>(208) 368-4400</w:t>
            </w:r>
          </w:p>
        </w:tc>
        <w:tc>
          <w:tcPr>
            <w:tcW w:w="2240" w:type="dxa"/>
            <w:vAlign w:val="bottom"/>
          </w:tcPr>
          <w:p>
            <w:pPr>
              <w:ind w:left="620"/>
              <w:spacing w:after="0"/>
              <w:rPr>
                <w:sz w:val="20"/>
                <w:szCs w:val="20"/>
                <w:color w:val="auto"/>
              </w:rPr>
            </w:pPr>
            <w:r>
              <w:rPr>
                <w:rFonts w:ascii="Arial" w:cs="Arial" w:eastAsia="Arial" w:hAnsi="Arial"/>
                <w:sz w:val="18"/>
                <w:szCs w:val="18"/>
                <w:color w:val="auto"/>
              </w:rPr>
              <w:t>(208) 368-4400</w:t>
            </w:r>
          </w:p>
        </w:tc>
      </w:tr>
    </w:tbl>
    <w:p>
      <w:pPr>
        <w:spacing w:after="0" w:line="20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Web Site URL http://www.micron.com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 PROFIT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QUARTER OF FISCAL YEAR 2004</w:t>
      </w:r>
    </w:p>
    <w:p>
      <w:pPr>
        <w:spacing w:after="0" w:line="21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Boise, Idaho, December 23, 2003 – Micron Technology, Inc., (NYSE: MU) today announced operating income of $22 million and net income of $1 million for the first quarter of fiscal 2004. The Company’s results for the first quarter ended December 4, 2003, were achieved on sales of $1.1 billion. These results compare to a $316 million net loss on sales of $685 million for the first quarter of fiscal 2003 and a $123 million net loss on sales of $889 million for the fourth quarter of fiscal 2003.</w:t>
      </w:r>
    </w:p>
    <w:p>
      <w:pPr>
        <w:spacing w:after="0" w:line="187"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The Company’s sales were 25% higher in the first quarter of fiscal 2004 as compared to the immediately preceding quarter as a result of an approximate 15% increase in megabits sold and a 7% increase in average megabit selling prices. The Company’s megabit production of memory products increased approximately 10% in the first quarter of fiscal 2004 as compared to the immediately preceding quarter. The megabit production gains were principally due to improved manufacturing yields and transitions to 110 nanometer devices. At the end of the first quarter of fiscal 2004, finished goods inventories were at historically low levels relative to the sales volume for the quarter.</w:t>
      </w:r>
    </w:p>
    <w:p>
      <w:pPr>
        <w:spacing w:after="0" w:line="17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Company’s operating income for the first quarter of fiscal 2004 includes losses of $25 million from changes in currency exchange rates as a result of a weaker dollar, and a $21 million benefit primarily from sales of equipment associated with the Company’s restructure activities in fiscal 2003. The generally higher sales prices for equipment were reflective of improved market conditions across the semiconductor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Steve Appleton, Micron’s Chief Executive Officer and President, said, “We are pleased with the improvements in gross margin accomplished over successive quarters. The first quarter gross margin of 26% is, in part, a result of worldwide cost reduction efforts, gains in manufacturing efficiencies and our</w:t>
      </w:r>
    </w:p>
    <w:p>
      <w:pPr>
        <w:ind w:right="20"/>
        <w:spacing w:after="0" w:line="196" w:lineRule="auto"/>
        <w:rPr>
          <w:sz w:val="20"/>
          <w:szCs w:val="20"/>
          <w:color w:val="auto"/>
        </w:rPr>
      </w:pPr>
      <w:r>
        <w:rPr>
          <w:rFonts w:ascii="Arial" w:cs="Arial" w:eastAsia="Arial" w:hAnsi="Arial"/>
          <w:sz w:val="18"/>
          <w:szCs w:val="18"/>
          <w:color w:val="auto"/>
        </w:rPr>
        <w:t>leadership in process technology. Our advanced 6f</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products, which have a smaller die size using the same process technology as standard 8f</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products, are ramping effectively and our manufacturing migration to 110 nanometer process technology leads the industry. We are also pleased with the market leadership performance of our next generation products; we are the only company currently shipping all densities of DDR2 DRAM and our 2 and 3 megapixel CMOS image sensor products are “best-in-class” in performance and image quality.”</w:t>
      </w:r>
    </w:p>
    <w:p>
      <w:pPr>
        <w:spacing w:after="0" w:line="2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has not recognized any tax provision or benefit in either fiscal 2003 or the first quarter of fiscal 2004 from the results of its U.S.-based operations. The Company’s first quarter of fiscal 2004 contained 14 weeks compared to 13 weeks in the previous quarters.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will host a conference call today at 3:30 p.m. MST to discuss its financial results. The conference call, audio and slides, will be available online at www.micron.com. (To access the Webcast, you will need current versions of RealPlayer or Windows Media Player and speakers for audio.) A Webcast replay will be available on the Company’s Web site until January 5, 2005. A taped audio replay of the conference call will also be available at (973) 341-3080 (confirmation code: 4362562) beginning at 5:30 p.m. MST today and continuing until 7:30 p.m. MST on January 5, 2004.</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1st Qtr.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4th Qtr.</w:t>
            </w: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1st Qtr.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 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Aug. 28,</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Nov.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888.5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 of goods sold (1)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719.0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166.1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Restructure (2)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operating expense (3)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 (4)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Other non-operating income</w:t>
            </w:r>
          </w:p>
        </w:tc>
        <w:tc>
          <w:tcPr>
            <w:tcW w:w="4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(loss) per share: (6)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609.5</w:t>
            </w:r>
          </w:p>
        </w:tc>
        <w:tc>
          <w:tcPr>
            <w:tcW w:w="3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Dec. 4, 2003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93"/>
              </w:rPr>
              <w:t>Aug. 28, 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723.7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2,369.1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Restricted cash (4)</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Shareholders’ equity (7)</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5,429.1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4,971.0</w:t>
            </w: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7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Dec. 4,</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rPr>
              <w:t>Nov.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year 2004 contains 53 weeks and the first quarter of fiscal 2004 was the 14-week period ended December 4, 2003.</w:t>
      </w:r>
    </w:p>
    <w:p>
      <w:pPr>
        <w:spacing w:after="0" w:line="170" w:lineRule="exact"/>
        <w:rPr>
          <w:sz w:val="20"/>
          <w:szCs w:val="20"/>
          <w:color w:val="auto"/>
        </w:rPr>
      </w:pPr>
    </w:p>
    <w:p>
      <w:pPr>
        <w:ind w:left="500" w:right="560" w:hanging="492"/>
        <w:spacing w:after="0" w:line="277" w:lineRule="auto"/>
        <w:tabs>
          <w:tab w:leader="none" w:pos="52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first quarter of fiscal 2003, the Company recorded a $91 million charge to write down the Company’s work in process and finished goods inventories to their estimated market values.</w:t>
      </w:r>
    </w:p>
    <w:p>
      <w:pPr>
        <w:spacing w:after="0" w:line="170" w:lineRule="exact"/>
        <w:rPr>
          <w:rFonts w:ascii="Arial" w:cs="Arial" w:eastAsia="Arial" w:hAnsi="Arial"/>
          <w:sz w:val="18"/>
          <w:szCs w:val="18"/>
          <w:color w:val="auto"/>
        </w:rPr>
      </w:pPr>
    </w:p>
    <w:p>
      <w:pPr>
        <w:ind w:left="500" w:right="280" w:hanging="492"/>
        <w:spacing w:after="0" w:line="302" w:lineRule="auto"/>
        <w:tabs>
          <w:tab w:leader="none" w:pos="521"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the second quarter of fiscal 2003, the Company initiated a series of cost-reduction measures. In connection therewith, the Company recorded a restructure charge in fiscal 2003 that included the shutdown of the Company’s 200 mm production line in Virginia, the discontinuance of certain memory products, including SRAM and TCAM products, and a 10% reduction of the Company’s worldwide workforce. The credit to restructure in the first quarter of fiscal 2004 primarily reflects sales of equipment associated with the Company’s restructure activities in fiscal 2003.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9" w:lineRule="exact"/>
        <w:rPr>
          <w:rFonts w:ascii="Arial" w:cs="Arial" w:eastAsia="Arial" w:hAnsi="Arial"/>
          <w:sz w:val="16"/>
          <w:szCs w:val="16"/>
          <w:color w:val="auto"/>
        </w:rPr>
      </w:pPr>
    </w:p>
    <w:p>
      <w:pPr>
        <w:ind w:left="500" w:right="240" w:hanging="492"/>
        <w:spacing w:after="0" w:line="264" w:lineRule="auto"/>
        <w:tabs>
          <w:tab w:leader="none" w:pos="521"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operating expense in the first quarter of fiscal 2004 includes losses of $25 million from changes in currency exchange rates. Other operating expense in the fourth and first quarters of fiscal 2003 includes losses, net of gains, on write-downs and disposals of semiconductor equipment of $22 million and $7 million, respectively.</w:t>
      </w:r>
    </w:p>
    <w:p>
      <w:pPr>
        <w:spacing w:after="0" w:line="181" w:lineRule="exact"/>
        <w:rPr>
          <w:rFonts w:ascii="Arial" w:cs="Arial" w:eastAsia="Arial" w:hAnsi="Arial"/>
          <w:sz w:val="18"/>
          <w:szCs w:val="18"/>
          <w:color w:val="auto"/>
        </w:rPr>
      </w:pPr>
    </w:p>
    <w:p>
      <w:pPr>
        <w:ind w:left="500" w:right="260" w:hanging="492"/>
        <w:spacing w:after="0" w:line="286" w:lineRule="auto"/>
        <w:tabs>
          <w:tab w:leader="none" w:pos="521"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Company entered into an interest rate swap agreement, beginning August 29, 2003, to effectively swap the fixed interest rate on the Company’s convertible notes to a variable interest rate based on the 3-month LIBOR less 65 basis points. In connection therewith, the Company pledged $24 million as cash collateral, which is included in restricted cash in the Company’s consolidated balance sheet.</w:t>
      </w:r>
    </w:p>
    <w:p>
      <w:pPr>
        <w:spacing w:after="0" w:line="165" w:lineRule="exact"/>
        <w:rPr>
          <w:rFonts w:ascii="Arial" w:cs="Arial" w:eastAsia="Arial" w:hAnsi="Arial"/>
          <w:sz w:val="17"/>
          <w:szCs w:val="17"/>
          <w:color w:val="auto"/>
        </w:rPr>
      </w:pPr>
    </w:p>
    <w:p>
      <w:pPr>
        <w:ind w:left="500" w:right="60" w:hanging="492"/>
        <w:spacing w:after="0" w:line="264" w:lineRule="auto"/>
        <w:tabs>
          <w:tab w:leader="none" w:pos="52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fiscal 2004 and 2003 primarily reflect taxes on the Company’s non-U.S. operations. Beginning with the fourth quarter of fiscal 2002, the Company has not recognized any tax benefit from its domestic net operating losses in accordance with Statement of Financial Accounting Standards No.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4" w:name="page5"/>
    <w:bookmarkEnd w:id="4"/>
    <w:p>
      <w:pPr>
        <w:jc w:val="both"/>
        <w:ind w:left="492" w:hanging="492"/>
        <w:spacing w:after="0" w:line="264" w:lineRule="auto"/>
        <w:tabs>
          <w:tab w:leader="none" w:pos="51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22, 2003, the Company repurchased 1.5 million shares of redeemable common stock for $68 million in cash. Accretion of the redeemable common stock toward its redemption amount was $0.5 million, $1.6 million and $1.5 million for the first quarter of fiscal 2004 and the fourth and first quarters of fiscal 2003, respectively.</w:t>
      </w:r>
    </w:p>
    <w:p>
      <w:pPr>
        <w:spacing w:after="0" w:line="181" w:lineRule="exact"/>
        <w:rPr>
          <w:rFonts w:ascii="Arial" w:cs="Arial" w:eastAsia="Arial" w:hAnsi="Arial"/>
          <w:sz w:val="18"/>
          <w:szCs w:val="18"/>
          <w:color w:val="auto"/>
        </w:rPr>
      </w:pPr>
    </w:p>
    <w:p>
      <w:pPr>
        <w:ind w:left="492" w:right="20" w:hanging="492"/>
        <w:spacing w:after="0" w:line="273" w:lineRule="auto"/>
        <w:tabs>
          <w:tab w:leader="none" w:pos="513"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September 24, 2003, the Company received $450 million from Intel Corporation in exchange for the issuance of stock rights exchangeable into 33.9 million shares of the Company’s common stock. In conjunction with the issuance of the stock rights, the Company agreed to achieve operational objectives through May 2005, including certain levels of DDR2 production and 300 mm wafer processing capacity, and dedication of resources to advanced product development. In the event the Company fails to achieve certain 2005 milestones and the Company’s common stock price is then below Intel’s purchase price, the Company could be obligated to pay Intel amounts not to exceed $135 million, a substantial portion of which is payable, at the Company’s election, in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32"/>
      </w:cols>
      <w:pgMar w:left="248"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2019-12-13T13:17:56Z</dcterms:created>
  <dcterms:modified xsi:type="dcterms:W3CDTF">2019-12-13T13:17:56Z</dcterms:modified>
</cp:coreProperties>
</file>