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right="1999" w:hanging="4107"/>
        <w:spacing w:after="0" w:line="420" w:lineRule="auto"/>
        <w:rPr>
          <w:sz w:val="20"/>
          <w:szCs w:val="20"/>
          <w:color w:val="auto"/>
        </w:rPr>
      </w:pPr>
      <w:r>
        <w:rPr>
          <w:rFonts w:ascii="Courier New" w:cs="Courier New" w:eastAsia="Courier New" w:hAnsi="Courier New"/>
          <w:sz w:val="16"/>
          <w:szCs w:val="16"/>
          <w:color w:val="auto"/>
        </w:rPr>
        <w:t>As filed with the Securities and Exchange Commission on January 27, 1999 Registration no. 333-________________</w:t>
      </w:r>
    </w:p>
    <w:p>
      <w:pPr>
        <w:spacing w:after="0" w:line="17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S-8</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REGISTRATION STATEMENT</w:t>
      </w:r>
    </w:p>
    <w:p>
      <w:pPr>
        <w:ind w:left="3700"/>
        <w:spacing w:after="0" w:line="238" w:lineRule="auto"/>
        <w:rPr>
          <w:sz w:val="20"/>
          <w:szCs w:val="20"/>
          <w:color w:val="auto"/>
        </w:rPr>
      </w:pPr>
      <w:r>
        <w:rPr>
          <w:rFonts w:ascii="Courier New" w:cs="Courier New" w:eastAsia="Courier New" w:hAnsi="Courier New"/>
          <w:sz w:val="18"/>
          <w:szCs w:val="18"/>
          <w:color w:val="auto"/>
        </w:rPr>
        <w:t>UNDER</w:t>
      </w:r>
    </w:p>
    <w:p>
      <w:pPr>
        <w:ind w:left="264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Delaware</w:t>
            </w:r>
          </w:p>
        </w:tc>
        <w:tc>
          <w:tcPr>
            <w:tcW w:w="2580" w:type="dxa"/>
            <w:vAlign w:val="bottom"/>
          </w:tcPr>
          <w:p>
            <w:pPr>
              <w:spacing w:after="0"/>
              <w:rPr>
                <w:sz w:val="17"/>
                <w:szCs w:val="17"/>
                <w:color w:val="auto"/>
              </w:rPr>
            </w:pPr>
          </w:p>
        </w:tc>
        <w:tc>
          <w:tcPr>
            <w:tcW w:w="2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75-1618004</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5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580" w:type="dxa"/>
            <w:vAlign w:val="bottom"/>
          </w:tcPr>
          <w:p>
            <w:pPr>
              <w:spacing w:after="0"/>
              <w:rPr>
                <w:sz w:val="17"/>
                <w:szCs w:val="17"/>
                <w:color w:val="auto"/>
              </w:rPr>
            </w:pPr>
          </w:p>
        </w:tc>
        <w:tc>
          <w:tcPr>
            <w:tcW w:w="254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incorporation or organization)</w:t>
            </w:r>
          </w:p>
        </w:tc>
        <w:tc>
          <w:tcPr>
            <w:tcW w:w="2580" w:type="dxa"/>
            <w:vAlign w:val="bottom"/>
          </w:tcPr>
          <w:p>
            <w:pPr>
              <w:spacing w:after="0"/>
              <w:rPr>
                <w:sz w:val="24"/>
                <w:szCs w:val="24"/>
                <w:color w:val="auto"/>
              </w:rPr>
            </w:pPr>
          </w:p>
        </w:tc>
        <w:tc>
          <w:tcPr>
            <w:tcW w:w="2540" w:type="dxa"/>
            <w:vAlign w:val="bottom"/>
          </w:tcPr>
          <w:p>
            <w:pPr>
              <w:ind w:left="54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514"/>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8000 South Federal Way</w:t>
            </w:r>
          </w:p>
        </w:tc>
        <w:tc>
          <w:tcPr>
            <w:tcW w:w="2580" w:type="dxa"/>
            <w:vAlign w:val="bottom"/>
          </w:tcPr>
          <w:p>
            <w:pPr>
              <w:spacing w:after="0"/>
              <w:rPr>
                <w:sz w:val="24"/>
                <w:szCs w:val="24"/>
                <w:color w:val="auto"/>
              </w:rPr>
            </w:pPr>
          </w:p>
        </w:tc>
        <w:tc>
          <w:tcPr>
            <w:tcW w:w="254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83716-9632</w:t>
            </w:r>
          </w:p>
        </w:tc>
        <w:tc>
          <w:tcPr>
            <w:tcW w:w="0" w:type="dxa"/>
            <w:vAlign w:val="bottom"/>
          </w:tcPr>
          <w:p>
            <w:pPr>
              <w:spacing w:after="0"/>
              <w:rPr>
                <w:sz w:val="1"/>
                <w:szCs w:val="1"/>
                <w:color w:val="auto"/>
              </w:rPr>
            </w:pPr>
          </w:p>
        </w:tc>
      </w:tr>
      <w:tr>
        <w:trPr>
          <w:trHeight w:val="203"/>
        </w:trPr>
        <w:tc>
          <w:tcPr>
            <w:tcW w:w="3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Boise, Idaho</w:t>
            </w:r>
          </w:p>
        </w:tc>
        <w:tc>
          <w:tcPr>
            <w:tcW w:w="258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5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w w:val="97"/>
              </w:rPr>
              <w:t>(Address of Principal Executive</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Offices)</w:t>
            </w:r>
          </w:p>
        </w:tc>
        <w:tc>
          <w:tcPr>
            <w:tcW w:w="2540" w:type="dxa"/>
            <w:vAlign w:val="bottom"/>
          </w:tcPr>
          <w:p>
            <w:pPr>
              <w:ind w:left="84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405"/>
        </w:trPr>
        <w:tc>
          <w:tcPr>
            <w:tcW w:w="590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Micron Technology, Inc. 1998</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Non-Employee Director Stock Incentive Plan</w:t>
            </w:r>
          </w:p>
        </w:tc>
        <w:tc>
          <w:tcPr>
            <w:tcW w:w="0" w:type="dxa"/>
            <w:vAlign w:val="bottom"/>
          </w:tcPr>
          <w:p>
            <w:pPr>
              <w:spacing w:after="0"/>
              <w:rPr>
                <w:sz w:val="1"/>
                <w:szCs w:val="1"/>
                <w:color w:val="auto"/>
              </w:rPr>
            </w:pPr>
          </w:p>
        </w:tc>
      </w:tr>
      <w:tr>
        <w:trPr>
          <w:trHeight w:val="296"/>
        </w:trPr>
        <w:tc>
          <w:tcPr>
            <w:tcW w:w="8440" w:type="dxa"/>
            <w:vAlign w:val="bottom"/>
            <w:gridSpan w:val="3"/>
          </w:tcPr>
          <w:p>
            <w:pPr>
              <w:jc w:val="center"/>
              <w:ind w:right="232"/>
              <w:spacing w:after="0"/>
              <w:rPr>
                <w:sz w:val="20"/>
                <w:szCs w:val="20"/>
                <w:color w:val="auto"/>
              </w:rPr>
            </w:pPr>
            <w:r>
              <w:rPr>
                <w:rFonts w:ascii="Courier New" w:cs="Courier New" w:eastAsia="Courier New" w:hAnsi="Courier New"/>
                <w:sz w:val="18"/>
                <w:szCs w:val="18"/>
                <w:color w:val="auto"/>
                <w:w w:val="97"/>
              </w:rPr>
              <w:t>Micron Technology, Inc. 1989 Employee Stock Purchase Plan</w:t>
            </w:r>
          </w:p>
        </w:tc>
        <w:tc>
          <w:tcPr>
            <w:tcW w:w="0" w:type="dxa"/>
            <w:vAlign w:val="bottom"/>
          </w:tcPr>
          <w:p>
            <w:pPr>
              <w:spacing w:after="0"/>
              <w:rPr>
                <w:sz w:val="1"/>
                <w:szCs w:val="1"/>
                <w:color w:val="auto"/>
              </w:rPr>
            </w:pPr>
          </w:p>
        </w:tc>
      </w:tr>
      <w:tr>
        <w:trPr>
          <w:trHeight w:val="514"/>
        </w:trPr>
        <w:tc>
          <w:tcPr>
            <w:tcW w:w="59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(Full</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title of the plans)</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Steven R. Appleton</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Chairman of the Board, Chief Executive Officer and President</w:t>
      </w:r>
    </w:p>
    <w:p>
      <w:pPr>
        <w:ind w:left="28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2860"/>
        <w:spacing w:after="0"/>
        <w:rPr>
          <w:sz w:val="20"/>
          <w:szCs w:val="20"/>
          <w:color w:val="auto"/>
        </w:rPr>
      </w:pPr>
      <w:r>
        <w:rPr>
          <w:rFonts w:ascii="Courier New" w:cs="Courier New" w:eastAsia="Courier New" w:hAnsi="Courier New"/>
          <w:sz w:val="18"/>
          <w:szCs w:val="18"/>
          <w:color w:val="auto"/>
        </w:rPr>
        <w:t>8000 South Federal Way</w:t>
      </w:r>
    </w:p>
    <w:p>
      <w:pPr>
        <w:ind w:left="2860"/>
        <w:spacing w:after="0" w:line="238" w:lineRule="auto"/>
        <w:rPr>
          <w:sz w:val="20"/>
          <w:szCs w:val="20"/>
          <w:color w:val="auto"/>
        </w:rPr>
      </w:pPr>
      <w:r>
        <w:rPr>
          <w:rFonts w:ascii="Courier New" w:cs="Courier New" w:eastAsia="Courier New" w:hAnsi="Courier New"/>
          <w:sz w:val="18"/>
          <w:szCs w:val="18"/>
          <w:color w:val="auto"/>
        </w:rPr>
        <w:t>Boise, Idaho 83706-9632</w:t>
      </w:r>
    </w:p>
    <w:p>
      <w:pPr>
        <w:ind w:left="200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16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208-368-4000</w:t>
      </w:r>
    </w:p>
    <w:p>
      <w:pPr>
        <w:spacing w:after="0" w:line="3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4"/>
                <w:szCs w:val="24"/>
                <w:color w:val="auto"/>
              </w:rPr>
            </w:pPr>
          </w:p>
        </w:tc>
        <w:tc>
          <w:tcPr>
            <w:tcW w:w="4860" w:type="dxa"/>
            <w:vAlign w:val="bottom"/>
            <w:gridSpan w:val="3"/>
          </w:tcPr>
          <w:p>
            <w:pPr>
              <w:ind w:left="800"/>
              <w:spacing w:after="0"/>
              <w:rPr>
                <w:sz w:val="20"/>
                <w:szCs w:val="20"/>
                <w:color w:val="auto"/>
              </w:rPr>
            </w:pPr>
            <w:r>
              <w:rPr>
                <w:rFonts w:ascii="Courier New" w:cs="Courier New" w:eastAsia="Courier New" w:hAnsi="Courier New"/>
                <w:sz w:val="18"/>
                <w:szCs w:val="18"/>
                <w:color w:val="auto"/>
              </w:rPr>
              <w:t>CALCULATION OF REGISTRATION FEE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Title of</w:t>
            </w:r>
          </w:p>
        </w:tc>
        <w:tc>
          <w:tcPr>
            <w:tcW w:w="1640" w:type="dxa"/>
            <w:vAlign w:val="bottom"/>
          </w:tcPr>
          <w:p>
            <w:pPr>
              <w:spacing w:after="0"/>
              <w:rPr>
                <w:sz w:val="24"/>
                <w:szCs w:val="24"/>
                <w:color w:val="auto"/>
              </w:rPr>
            </w:pP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Proposed</w:t>
            </w:r>
          </w:p>
        </w:tc>
        <w:tc>
          <w:tcPr>
            <w:tcW w:w="1700" w:type="dxa"/>
            <w:vAlign w:val="bottom"/>
          </w:tcPr>
          <w:p>
            <w:pPr>
              <w:ind w:left="380"/>
              <w:spacing w:after="0"/>
              <w:rPr>
                <w:sz w:val="20"/>
                <w:szCs w:val="20"/>
                <w:color w:val="auto"/>
              </w:rPr>
            </w:pPr>
            <w:r>
              <w:rPr>
                <w:rFonts w:ascii="Courier New" w:cs="Courier New" w:eastAsia="Courier New" w:hAnsi="Courier New"/>
                <w:sz w:val="18"/>
                <w:szCs w:val="18"/>
                <w:color w:val="auto"/>
              </w:rPr>
              <w:t>Proposed</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1640" w:type="dxa"/>
            <w:vAlign w:val="bottom"/>
            <w:vMerge w:val="restart"/>
          </w:tcPr>
          <w:p>
            <w:pPr>
              <w:ind w:left="480"/>
              <w:spacing w:after="0"/>
              <w:rPr>
                <w:sz w:val="20"/>
                <w:szCs w:val="20"/>
                <w:color w:val="auto"/>
              </w:rPr>
            </w:pPr>
            <w:r>
              <w:rPr>
                <w:rFonts w:ascii="Courier New" w:cs="Courier New" w:eastAsia="Courier New" w:hAnsi="Courier New"/>
                <w:sz w:val="18"/>
                <w:szCs w:val="18"/>
                <w:color w:val="auto"/>
              </w:rPr>
              <w:t>Amount</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maximum</w:t>
            </w:r>
          </w:p>
        </w:tc>
        <w:tc>
          <w:tcPr>
            <w:tcW w:w="1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5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40" w:type="dxa"/>
            <w:vAlign w:val="bottom"/>
            <w:vMerge w:val="continue"/>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offering</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 be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price</w:t>
            </w:r>
          </w:p>
        </w:tc>
        <w:tc>
          <w:tcPr>
            <w:tcW w:w="17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offering</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registered</w:t>
            </w:r>
          </w:p>
        </w:tc>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rPr>
              <w:t>registered</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per share(1)</w:t>
            </w:r>
          </w:p>
        </w:tc>
        <w:tc>
          <w:tcPr>
            <w:tcW w:w="17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price(1)</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fee(2)</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$.10 par value</w:t>
            </w:r>
          </w:p>
        </w:tc>
        <w:tc>
          <w:tcPr>
            <w:tcW w:w="16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2,750,000(3)</w:t>
            </w:r>
          </w:p>
        </w:tc>
        <w:tc>
          <w:tcPr>
            <w:tcW w:w="152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$69.063</w:t>
            </w:r>
          </w:p>
        </w:tc>
        <w:tc>
          <w:tcPr>
            <w:tcW w:w="17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$189,923,250</w:t>
            </w:r>
          </w:p>
        </w:tc>
        <w:tc>
          <w:tcPr>
            <w:tcW w:w="15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$52,799</w:t>
            </w:r>
          </w:p>
        </w:tc>
        <w:tc>
          <w:tcPr>
            <w:tcW w:w="0" w:type="dxa"/>
            <w:vAlign w:val="bottom"/>
          </w:tcPr>
          <w:p>
            <w:pPr>
              <w:spacing w:after="0"/>
              <w:rPr>
                <w:sz w:val="1"/>
                <w:szCs w:val="1"/>
                <w:color w:val="auto"/>
              </w:rPr>
            </w:pPr>
          </w:p>
        </w:tc>
      </w:tr>
      <w:tr>
        <w:trPr>
          <w:trHeight w:val="296"/>
        </w:trPr>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per Share</w:t>
            </w:r>
          </w:p>
        </w:tc>
        <w:tc>
          <w:tcPr>
            <w:tcW w:w="16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540" w:right="1779" w:hanging="532"/>
        <w:spacing w:after="0" w:line="278"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Rules 457(c) and 457(h) of Regulation C solely for the purpose of calculating the registration fee on the basis of $69.063 per share, average of the high and low price of the Registrant's Common Stock as reported on the New York Stock Exchange on January 25, 1999.</w:t>
      </w:r>
    </w:p>
    <w:p>
      <w:pPr>
        <w:spacing w:after="0" w:line="2"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registration fee was calculated pursuant to Section</w:t>
      </w:r>
    </w:p>
    <w:p>
      <w:pPr>
        <w:ind w:left="540"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6(b) of the Securities Act of 1933, as amended, which provides that the fee shall be .000278 multiplied by the maximum aggregate offering price.</w:t>
      </w:r>
    </w:p>
    <w:p>
      <w:pPr>
        <w:ind w:left="540" w:right="1779" w:hanging="532"/>
        <w:spacing w:after="0" w:line="262"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to be registered consists of 250,000 shares under the Micron Technology, Inc. 1998 Non-Employee Director Stock Incentive Plan and 2,500,000 shares under the Micron Technology, Inc. 1989 Employee Stock Purchase Plan.</w:t>
      </w:r>
    </w:p>
    <w:p>
      <w:pPr>
        <w:sectPr>
          <w:pgSz w:w="11900" w:h="16838" w:orient="portrait"/>
          <w:cols w:equalWidth="0" w:num="1">
            <w:col w:w="10219"/>
          </w:cols>
          <w:pgMar w:left="240" w:top="623" w:right="1440" w:bottom="1440" w:gutter="0" w:footer="0" w:header="0"/>
        </w:sectPr>
      </w:pPr>
    </w:p>
    <w:bookmarkStart w:id="1" w:name="page2"/>
    <w:bookmarkEnd w:id="1"/>
    <w:p>
      <w:pPr>
        <w:jc w:val="center"/>
        <w:ind w:right="209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There are hereby incorporated by reference in this Registration Statement the following documents and information heretofore filed with the Securities and Exchange Commission:</w:t>
      </w:r>
    </w:p>
    <w:p>
      <w:pPr>
        <w:spacing w:after="0" w:line="66" w:lineRule="exact"/>
        <w:rPr>
          <w:sz w:val="20"/>
          <w:szCs w:val="20"/>
          <w:color w:val="auto"/>
        </w:rPr>
      </w:pPr>
    </w:p>
    <w:p>
      <w:pPr>
        <w:ind w:right="2099" w:firstLine="535"/>
        <w:spacing w:after="0" w:line="292"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for the year ended September 3, 1998, filed pursuant to Section 13(a) of the Securities Exchange Act of 1934, as amended (the "1934 Act") (File No. 1-10658).</w:t>
      </w:r>
    </w:p>
    <w:p>
      <w:pPr>
        <w:spacing w:after="0" w:line="66" w:lineRule="exact"/>
        <w:rPr>
          <w:rFonts w:ascii="Courier New" w:cs="Courier New" w:eastAsia="Courier New" w:hAnsi="Courier New"/>
          <w:sz w:val="18"/>
          <w:szCs w:val="18"/>
          <w:color w:val="auto"/>
        </w:rPr>
      </w:pPr>
    </w:p>
    <w:p>
      <w:pPr>
        <w:ind w:right="2099" w:firstLine="535"/>
        <w:spacing w:after="0" w:line="292"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Quarterly Report on Form 10-Q for the quarter ended December 3, 1998, filed pursuant to Section 13(a) of the 1934 Act (File No. 1-10658).</w:t>
      </w:r>
    </w:p>
    <w:p>
      <w:pPr>
        <w:spacing w:after="0" w:line="66" w:lineRule="exact"/>
        <w:rPr>
          <w:rFonts w:ascii="Courier New" w:cs="Courier New" w:eastAsia="Courier New" w:hAnsi="Courier New"/>
          <w:sz w:val="18"/>
          <w:szCs w:val="18"/>
          <w:color w:val="auto"/>
        </w:rPr>
      </w:pPr>
    </w:p>
    <w:p>
      <w:pPr>
        <w:ind w:right="1779" w:firstLine="535"/>
        <w:spacing w:after="0" w:line="26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November 9, 1990 pursuant to Section 12(b) of the 1934 Act (File No. 1-10658), including any amendment or report filed with the Securities and Exchange Commission for the purpose of updating such description.</w:t>
      </w:r>
    </w:p>
    <w:p>
      <w:pPr>
        <w:spacing w:after="0" w:line="90"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All reports and other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9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527"/>
        <w:spacing w:after="0" w:line="248" w:lineRule="auto"/>
        <w:rPr>
          <w:sz w:val="20"/>
          <w:szCs w:val="20"/>
          <w:color w:val="auto"/>
        </w:rPr>
      </w:pPr>
      <w:r>
        <w:rPr>
          <w:rFonts w:ascii="Courier New" w:cs="Courier New" w:eastAsia="Courier New" w:hAnsi="Courier New"/>
          <w:sz w:val="18"/>
          <w:szCs w:val="18"/>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11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ectPr>
          <w:pgSz w:w="11900" w:h="16838" w:orient="portrait"/>
          <w:cols w:equalWidth="0" w:num="1">
            <w:col w:w="10219"/>
          </w:cols>
          <w:pgMar w:left="240" w:top="691" w:right="1440" w:bottom="1440" w:gutter="0" w:footer="0" w:header="0"/>
        </w:sectPr>
      </w:pPr>
    </w:p>
    <w:bookmarkStart w:id="2" w:name="page3"/>
    <w:bookmarkEnd w:id="2"/>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w:t>
      </w:r>
    </w:p>
    <w:p>
      <w:pPr>
        <w:ind w:left="22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1160" w:right="2099" w:hanging="947"/>
        <w:spacing w:after="0" w:line="347" w:lineRule="auto"/>
        <w:tabs>
          <w:tab w:leader="none" w:pos="11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Micron Technology, Inc. 1998 Non-Employee Director Stock Incentive Plan.</w:t>
      </w:r>
    </w:p>
    <w:p>
      <w:pPr>
        <w:spacing w:after="0" w:line="18"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Micron Technology, Inc. 1989 Employee Stock Purchase Plan.</w:t>
      </w:r>
    </w:p>
    <w:p>
      <w:pPr>
        <w:spacing w:after="0" w:line="20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w:t>
      </w:r>
    </w:p>
    <w:p>
      <w:pPr>
        <w:spacing w:after="0" w:line="20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sz w:val="20"/>
          <w:szCs w:val="20"/>
          <w:color w:val="auto"/>
        </w:rPr>
      </w:pPr>
    </w:p>
    <w:p>
      <w:pPr>
        <w:ind w:right="1879" w:firstLine="535"/>
        <w:spacing w:after="0" w:line="265"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the Registration Statement or any material change to such information in the Registration Statement.</w:t>
      </w:r>
    </w:p>
    <w:p>
      <w:pPr>
        <w:spacing w:after="0" w:line="89" w:lineRule="exact"/>
        <w:rPr>
          <w:rFonts w:ascii="Courier New" w:cs="Courier New" w:eastAsia="Courier New" w:hAnsi="Courier New"/>
          <w:sz w:val="18"/>
          <w:szCs w:val="18"/>
          <w:color w:val="auto"/>
        </w:rPr>
      </w:pPr>
    </w:p>
    <w:p>
      <w:pPr>
        <w:ind w:right="1879" w:firstLine="535"/>
        <w:spacing w:after="0" w:line="265"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jc w:val="both"/>
        <w:ind w:right="1779" w:firstLine="535"/>
        <w:spacing w:after="0" w:line="292"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sz w:val="20"/>
          <w:szCs w:val="20"/>
          <w:color w:val="auto"/>
        </w:rPr>
      </w:pPr>
    </w:p>
    <w:p>
      <w:pPr>
        <w:ind w:right="1779" w:firstLine="535"/>
        <w:spacing w:after="0" w:line="252"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691" w:right="1440" w:bottom="1440" w:gutter="0" w:footer="0" w:header="0"/>
        </w:sectPr>
      </w:pPr>
    </w:p>
    <w:bookmarkStart w:id="3" w:name="page4"/>
    <w:bookmarkEnd w:id="3"/>
    <w:p>
      <w:pPr>
        <w:ind w:right="1779" w:firstLine="535"/>
        <w:spacing w:after="0" w:line="24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26th day of January, 1999.</w:t>
      </w:r>
    </w:p>
    <w:p>
      <w:pPr>
        <w:spacing w:after="0" w:line="9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W. G. Stover, Jr.</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By: Wilbur G. Stover, Jr.</w:t>
      </w:r>
    </w:p>
    <w:p>
      <w:pPr>
        <w:ind w:left="3580"/>
        <w:spacing w:after="0"/>
        <w:rPr>
          <w:sz w:val="20"/>
          <w:szCs w:val="20"/>
          <w:color w:val="auto"/>
        </w:rPr>
      </w:pPr>
      <w:r>
        <w:rPr>
          <w:rFonts w:ascii="Courier New" w:cs="Courier New" w:eastAsia="Courier New" w:hAnsi="Courier New"/>
          <w:sz w:val="18"/>
          <w:szCs w:val="18"/>
          <w:color w:val="auto"/>
        </w:rPr>
        <w:t>Vice President of Finance,</w:t>
      </w:r>
    </w:p>
    <w:p>
      <w:pPr>
        <w:ind w:left="3580"/>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691" w:right="1440" w:bottom="144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POWER OF ATTORNEY</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KNOW ALL PERSONS BY THESE PRESENTS, that each person whose signature appears below constitutes and appoints Steven R. Appleton and Wilbur G. Stover,</w:t>
      </w: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line="171" w:lineRule="exact"/>
              <w:rPr>
                <w:sz w:val="20"/>
                <w:szCs w:val="20"/>
                <w:color w:val="auto"/>
              </w:rPr>
            </w:pPr>
            <w:r>
              <w:rPr>
                <w:rFonts w:ascii="Courier New" w:cs="Courier New" w:eastAsia="Courier New" w:hAnsi="Courier New"/>
                <w:sz w:val="18"/>
                <w:szCs w:val="18"/>
                <w:color w:val="auto"/>
                <w:w w:val="97"/>
              </w:rPr>
              <w:t>Jr., jointly and severally,</w:t>
            </w:r>
          </w:p>
        </w:tc>
        <w:tc>
          <w:tcPr>
            <w:tcW w:w="5480" w:type="dxa"/>
            <w:vAlign w:val="bottom"/>
            <w:gridSpan w:val="2"/>
          </w:tcPr>
          <w:p>
            <w:pPr>
              <w:ind w:left="100"/>
              <w:spacing w:after="0" w:line="171" w:lineRule="exact"/>
              <w:rPr>
                <w:sz w:val="20"/>
                <w:szCs w:val="20"/>
                <w:color w:val="auto"/>
              </w:rPr>
            </w:pPr>
            <w:r>
              <w:rPr>
                <w:rFonts w:ascii="Courier New" w:cs="Courier New" w:eastAsia="Courier New" w:hAnsi="Courier New"/>
                <w:sz w:val="18"/>
                <w:szCs w:val="18"/>
                <w:color w:val="auto"/>
              </w:rPr>
              <w:t>his attorneys-in-fact, each with the power of</w:t>
            </w:r>
          </w:p>
        </w:tc>
        <w:tc>
          <w:tcPr>
            <w:tcW w:w="0" w:type="dxa"/>
            <w:vAlign w:val="bottom"/>
          </w:tcPr>
          <w:p>
            <w:pPr>
              <w:spacing w:after="0"/>
              <w:rPr>
                <w:sz w:val="1"/>
                <w:szCs w:val="1"/>
                <w:color w:val="auto"/>
              </w:rPr>
            </w:pP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substitution, for him in any and all capacities, to sign any amendments to</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this Registration Statement</w:t>
            </w: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on Form S-8, and to file the same, with exhibits</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thereto and other documents</w:t>
            </w: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 connection therewith, with the Securities and</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Exchange Commission, hereby</w:t>
            </w: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ratifying and confirming all that each of said</w:t>
            </w:r>
          </w:p>
        </w:tc>
        <w:tc>
          <w:tcPr>
            <w:tcW w:w="0" w:type="dxa"/>
            <w:vAlign w:val="bottom"/>
          </w:tcPr>
          <w:p>
            <w:pPr>
              <w:spacing w:after="0"/>
              <w:rPr>
                <w:sz w:val="1"/>
                <w:szCs w:val="1"/>
                <w:color w:val="auto"/>
              </w:rPr>
            </w:pP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attorneys-in-fact, or his substitute or substitutes, may do or cause to be</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done by virtue hereof.</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34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Pursuant to the requirements of the Securities Act of 1933, as amended,</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this Registration Statement</w:t>
            </w: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has been signed by the following persons in the</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w w:val="97"/>
              </w:rPr>
              <w:t>capacities and on the dates</w:t>
            </w:r>
          </w:p>
        </w:tc>
        <w:tc>
          <w:tcPr>
            <w:tcW w:w="3780" w:type="dxa"/>
            <w:vAlign w:val="bottom"/>
          </w:tcPr>
          <w:p>
            <w:pPr>
              <w:ind w:left="100"/>
              <w:spacing w:after="0"/>
              <w:rPr>
                <w:sz w:val="20"/>
                <w:szCs w:val="20"/>
                <w:color w:val="auto"/>
              </w:rPr>
            </w:pPr>
            <w:r>
              <w:rPr>
                <w:rFonts w:ascii="Courier New" w:cs="Courier New" w:eastAsia="Courier New" w:hAnsi="Courier New"/>
                <w:sz w:val="18"/>
                <w:szCs w:val="18"/>
                <w:color w:val="auto"/>
              </w:rPr>
              <w:t>indicated.</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780" w:type="dxa"/>
            <w:vAlign w:val="bottom"/>
          </w:tcPr>
          <w:p>
            <w:pPr>
              <w:ind w:left="1160"/>
              <w:spacing w:after="0"/>
              <w:rPr>
                <w:sz w:val="20"/>
                <w:szCs w:val="20"/>
                <w:color w:val="auto"/>
              </w:rPr>
            </w:pPr>
            <w:r>
              <w:rPr>
                <w:rFonts w:ascii="Courier New" w:cs="Courier New" w:eastAsia="Courier New" w:hAnsi="Courier New"/>
                <w:sz w:val="18"/>
                <w:szCs w:val="18"/>
                <w:color w:val="auto"/>
              </w:rPr>
              <w:t>Title</w:t>
            </w:r>
          </w:p>
        </w:tc>
        <w:tc>
          <w:tcPr>
            <w:tcW w:w="1700" w:type="dxa"/>
            <w:vAlign w:val="bottom"/>
          </w:tcPr>
          <w:p>
            <w:pPr>
              <w:ind w:left="540"/>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780" w:type="dxa"/>
            <w:vAlign w:val="bottom"/>
          </w:tcPr>
          <w:p>
            <w:pPr>
              <w:ind w:left="1360"/>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Steven R. Appleton</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Chairman of the Board, Chief</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Executive Officer and President</w:t>
            </w:r>
          </w:p>
        </w:tc>
        <w:tc>
          <w:tcPr>
            <w:tcW w:w="170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January 26, 1999</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(Principal Executive Officer)</w:t>
            </w: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W. G. Stover, Jr.</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Vice President of Finance and</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Chief Financial Officer (Principal</w:t>
            </w:r>
          </w:p>
        </w:tc>
        <w:tc>
          <w:tcPr>
            <w:tcW w:w="170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January 26, 1999</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Financial and Accounting Officer)</w:t>
            </w: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James W. Bagley</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January 26, 1999</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8"/>
                <w:szCs w:val="18"/>
                <w:color w:val="auto"/>
              </w:rPr>
              <w:t>James W. Bagley</w:t>
            </w:r>
          </w:p>
        </w:tc>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Robert A. Lothrop</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26, 1999</w:t>
      </w:r>
    </w:p>
    <w:p>
      <w:pPr>
        <w:spacing w:after="0" w:line="2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Lothrop</w:t>
      </w:r>
    </w:p>
    <w:p>
      <w:pPr>
        <w:spacing w:after="0" w:line="169"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Thomas T. Nicholson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26, 1999</w:t>
      </w:r>
    </w:p>
    <w:p>
      <w:pPr>
        <w:spacing w:after="0" w:line="2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Thomas T. Nicholson</w:t>
      </w:r>
    </w:p>
    <w:p>
      <w:pPr>
        <w:spacing w:after="0" w:line="169"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Don J.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26, 1999</w:t>
      </w:r>
    </w:p>
    <w:p>
      <w:pPr>
        <w:spacing w:after="0" w:line="2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Don J. Simplot</w:t>
      </w:r>
    </w:p>
    <w:p>
      <w:pPr>
        <w:spacing w:after="0" w:line="169"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John R.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26, 1999</w:t>
      </w:r>
    </w:p>
    <w:p>
      <w:pPr>
        <w:spacing w:after="0" w:line="2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John R. Simplot</w:t>
      </w:r>
    </w:p>
    <w:p>
      <w:pPr>
        <w:spacing w:after="0" w:line="169"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Gordon C. Smith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26, 1999</w:t>
      </w:r>
    </w:p>
    <w:p>
      <w:pPr>
        <w:spacing w:after="0" w:line="2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Smith</w:t>
      </w:r>
    </w:p>
    <w:p>
      <w:pPr>
        <w:spacing w:after="0" w:line="169" w:lineRule="exact"/>
        <w:rPr>
          <w:sz w:val="20"/>
          <w:szCs w:val="20"/>
          <w:color w:val="auto"/>
        </w:rPr>
      </w:pPr>
    </w:p>
    <w:p>
      <w:pPr>
        <w:spacing w:after="0"/>
        <w:tabs>
          <w:tab w:leader="none" w:pos="2840" w:val="left"/>
          <w:tab w:leader="none" w:pos="6620" w:val="left"/>
        </w:tabs>
        <w:rPr>
          <w:sz w:val="20"/>
          <w:szCs w:val="20"/>
          <w:color w:val="auto"/>
        </w:rPr>
      </w:pPr>
      <w:r>
        <w:rPr>
          <w:rFonts w:ascii="Courier New" w:cs="Courier New" w:eastAsia="Courier New" w:hAnsi="Courier New"/>
          <w:sz w:val="18"/>
          <w:szCs w:val="18"/>
          <w:color w:val="auto"/>
        </w:rPr>
        <w:t>/s/ William P. Weber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January 26, 1999</w:t>
      </w:r>
    </w:p>
    <w:p>
      <w:pPr>
        <w:spacing w:after="0" w:line="2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William P. Weber</w:t>
      </w:r>
    </w:p>
    <w:p>
      <w:pPr>
        <w:sectPr>
          <w:pgSz w:w="11900" w:h="16838" w:orient="portrait"/>
          <w:cols w:equalWidth="0" w:num="1">
            <w:col w:w="10219"/>
          </w:cols>
          <w:pgMar w:left="240" w:top="69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1060" w:type="dxa"/>
            <w:vAlign w:val="bottom"/>
          </w:tcPr>
          <w:p>
            <w:pPr>
              <w:spacing w:after="0"/>
              <w:rPr>
                <w:sz w:val="24"/>
                <w:szCs w:val="24"/>
                <w:color w:val="auto"/>
              </w:rPr>
            </w:pPr>
          </w:p>
        </w:tc>
        <w:tc>
          <w:tcPr>
            <w:tcW w:w="7160" w:type="dxa"/>
            <w:vAlign w:val="bottom"/>
          </w:tcPr>
          <w:p>
            <w:pPr>
              <w:ind w:left="232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514"/>
        </w:trPr>
        <w:tc>
          <w:tcPr>
            <w:tcW w:w="10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160" w:type="dxa"/>
            <w:vAlign w:val="bottom"/>
            <w:vMerge w:val="restart"/>
          </w:tcPr>
          <w:p>
            <w:pPr>
              <w:ind w:left="126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16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0"/>
                <w:szCs w:val="20"/>
                <w:color w:val="auto"/>
              </w:rPr>
            </w:pPr>
            <w:r>
              <w:rPr>
                <w:rFonts w:ascii="Courier New" w:cs="Courier New" w:eastAsia="Courier New" w:hAnsi="Courier New"/>
                <w:sz w:val="18"/>
                <w:szCs w:val="18"/>
                <w:color w:val="auto"/>
              </w:rPr>
              <w:t>4.6</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w w:val="97"/>
              </w:rPr>
              <w:t>Micron Technology, Inc. 1998 Non-Employee Director Stock Incentive</w:t>
            </w:r>
          </w:p>
        </w:tc>
        <w:tc>
          <w:tcPr>
            <w:tcW w:w="0" w:type="dxa"/>
            <w:vAlign w:val="bottom"/>
          </w:tcPr>
          <w:p>
            <w:pPr>
              <w:spacing w:after="0"/>
              <w:rPr>
                <w:sz w:val="1"/>
                <w:szCs w:val="1"/>
                <w:color w:val="auto"/>
              </w:rPr>
            </w:pPr>
          </w:p>
        </w:tc>
      </w:tr>
      <w:tr>
        <w:trPr>
          <w:trHeight w:val="296"/>
        </w:trPr>
        <w:tc>
          <w:tcPr>
            <w:tcW w:w="1060" w:type="dxa"/>
            <w:vAlign w:val="bottom"/>
          </w:tcPr>
          <w:p>
            <w:pPr>
              <w:spacing w:after="0"/>
              <w:rPr>
                <w:sz w:val="24"/>
                <w:szCs w:val="24"/>
                <w:color w:val="auto"/>
              </w:rPr>
            </w:pP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Plan.</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4.7</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Micron Technology, Inc. 1989 Employee Stock Purchase Plan.</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Opinion of Counsel.</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Consent of Independent Accountants.</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Consent of Counsel (contained in Exhibit 5.1).</w:t>
            </w: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Power of Attorney (included on signature page).</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4.6</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1998 NON-EMPLOYEE DIRECTOR STOCK INCENTIVE PLAN</w:t>
      </w:r>
    </w:p>
    <w:p>
      <w:pPr>
        <w:spacing w:after="0" w:line="372" w:lineRule="exact"/>
        <w:rPr>
          <w:sz w:val="20"/>
          <w:szCs w:val="20"/>
          <w:color w:val="auto"/>
        </w:rPr>
      </w:pPr>
    </w:p>
    <w:p>
      <w:pPr>
        <w:ind w:right="1779" w:firstLine="535"/>
        <w:spacing w:after="0" w:line="287" w:lineRule="auto"/>
        <w:tabs>
          <w:tab w:leader="none" w:pos="94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Micron Technology, Inc. 1998 Non-Employee Director Stock Incentive Plan is to attract, retain and compensate highly-qualified individuals who are not employees of Micron Technology, Inc. or any of its subsidiaries or affiliates for service as members of the Board by providing them with an ownership interest in the Common Stock of the Company. The Company intends that the Plan will benefit the Company and its stockholders by allowing Non-Employee Directors to have a personal financial stake in the Company through an ownership interest in the Common Stock and will closely associate the interests of Non-Employee Directors with that of the Company's stockholders.</w:t>
      </w:r>
    </w:p>
    <w:p>
      <w:pPr>
        <w:spacing w:after="0" w:line="75" w:lineRule="exact"/>
        <w:rPr>
          <w:rFonts w:ascii="Courier New" w:cs="Courier New" w:eastAsia="Courier New" w:hAnsi="Courier New"/>
          <w:sz w:val="16"/>
          <w:szCs w:val="16"/>
          <w:color w:val="auto"/>
        </w:rPr>
      </w:pPr>
    </w:p>
    <w:p>
      <w:pPr>
        <w:ind w:right="2099" w:firstLine="535"/>
        <w:spacing w:after="0" w:line="34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 Unless the context clearly indicates otherwise, the following terms shall have the following meanings: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"Company" means Micron Technology,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"Committee" has the meaning assigned such term in Section 3.</w:t>
      </w:r>
    </w:p>
    <w:p>
      <w:pPr>
        <w:spacing w:after="0" w:line="20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"Common Stock" means the common stock, par value $0.10 per share, of the Company.</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"Deferral Period" has the meaning set forth in Section 6(e) of the Plan.</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"Deferred Stock Rights" means the right to receive shares of Common Stock upon termination as a director of the Company, as described in Section 6(e) of the Plan.</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"Distributions" has the meaning set forth in Section 6(e) of the Plan.</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"Election Form" means a form approved by the Committee pursuant to which a Non-Employee Director elects a form of payment of his or her Retainer, as provided in Section 6(a).</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"Fair Market Value," on any date, means (i) 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Wall Street Journal or such other source as the Committee deems reliable; or (ii) in the absence</w:t>
      </w:r>
    </w:p>
    <w:p>
      <w:pPr>
        <w:sectPr>
          <w:pgSz w:w="11900" w:h="16838" w:orient="portrait"/>
          <w:cols w:equalWidth="0" w:num="1">
            <w:col w:w="10219"/>
          </w:cols>
          <w:pgMar w:left="240" w:top="515" w:right="1440" w:bottom="1440" w:gutter="0" w:footer="0" w:header="0"/>
        </w:sectPr>
      </w:pPr>
    </w:p>
    <w:bookmarkStart w:id="7" w:name="page8"/>
    <w:bookmarkEnd w:id="7"/>
    <w:p>
      <w:pPr>
        <w:ind w:right="2099"/>
        <w:spacing w:after="0" w:line="347" w:lineRule="auto"/>
        <w:rPr>
          <w:sz w:val="20"/>
          <w:szCs w:val="20"/>
          <w:color w:val="auto"/>
        </w:rPr>
      </w:pPr>
      <w:r>
        <w:rPr>
          <w:rFonts w:ascii="Courier New" w:cs="Courier New" w:eastAsia="Courier New" w:hAnsi="Courier New"/>
          <w:sz w:val="18"/>
          <w:szCs w:val="18"/>
          <w:color w:val="auto"/>
        </w:rPr>
        <w:t>of an established market for the Common Stock, the Fair Market Value shall be determined in good faith by the Committee.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"Hardship" has the meaning set forth in Section 6(f) of the Plan.</w:t>
      </w:r>
    </w:p>
    <w:p>
      <w:pPr>
        <w:spacing w:after="0" w:line="201"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"Non-Employee Director" means a director of the Company who is not an employee of the Company or of any of its subsidiaries or affiliates.</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"Participant" means any Non-Employee Director who is participating 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"Plan" means the Micron Technology, Inc. 1998 Non-Employee Director Stock Incentive Plan, as amended from time to time.</w:t>
      </w:r>
    </w:p>
    <w:p>
      <w:pPr>
        <w:spacing w:after="0" w:line="1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"Plan Administrator" means the person or persons designated by the Committee to administer the Plan in accordance with Section 3 of the Plan. If no such administrator is designated, the Plan Administrator shall be the Committee or the Board, as the case may be, administering the Plan pursuant to Section 3.</w:t>
      </w:r>
    </w:p>
    <w:p>
      <w:pPr>
        <w:spacing w:after="0" w:line="90"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"Plan Year" means the twelve-month period ending on December 31 of each year which, for purposes of the Plan, is the period for which Retainer is earned.</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"Quarterly Grant Date" has the meaning set forth in Section 6(c) of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"Quarterly Service Period" has the meaning set forth in Section 6(c) of the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w:t>
      </w:r>
    </w:p>
    <w:p>
      <w:pPr>
        <w:spacing w:after="0" w:line="16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"Retainer" means the compensation payable by the Company to a Non-Employee Director for service as a director (and, if applicable, as the member of a committee of the Board) of the Company, as such amount may be changed from time to time.</w:t>
      </w:r>
    </w:p>
    <w:p>
      <w:pPr>
        <w:spacing w:after="0" w:line="82" w:lineRule="exact"/>
        <w:rPr>
          <w:sz w:val="20"/>
          <w:szCs w:val="20"/>
          <w:color w:val="auto"/>
        </w:rPr>
      </w:pPr>
    </w:p>
    <w:p>
      <w:pPr>
        <w:ind w:right="2519" w:firstLine="527"/>
        <w:spacing w:after="0" w:line="402" w:lineRule="auto"/>
        <w:rPr>
          <w:sz w:val="20"/>
          <w:szCs w:val="20"/>
          <w:color w:val="auto"/>
        </w:rPr>
      </w:pPr>
      <w:r>
        <w:rPr>
          <w:rFonts w:ascii="Courier New" w:cs="Courier New" w:eastAsia="Courier New" w:hAnsi="Courier New"/>
          <w:sz w:val="16"/>
          <w:szCs w:val="16"/>
          <w:color w:val="auto"/>
        </w:rPr>
        <w:t>"Rule 16b-3" means Rule 16b-3, as amended from time to time, of the Securities and Exchange Commission as promulgated under the Exchange Act.</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"Shares" means shares of Common Stock.</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"Stock Equivalent Amount" means the portion (in 25% increments) of a Non-Employee Director's Retainer for a Plan Year that he or she has elected to receive in the form of Common Stock or Deferred Stock Rights.</w:t>
      </w:r>
    </w:p>
    <w:p>
      <w:pPr>
        <w:spacing w:after="0" w:line="66" w:lineRule="exact"/>
        <w:rPr>
          <w:sz w:val="20"/>
          <w:szCs w:val="20"/>
          <w:color w:val="auto"/>
        </w:rPr>
      </w:pPr>
    </w:p>
    <w:p>
      <w:pPr>
        <w:ind w:right="1779" w:firstLine="535"/>
        <w:spacing w:after="0" w:line="252"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Compensation Committee of the Board of Directors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Non-Employee Directors to receive awards under the Plan, the number of Shares subject to any such awards or the time at which any such awards are</w:t>
      </w:r>
    </w:p>
    <w:p>
      <w:pPr>
        <w:sectPr>
          <w:pgSz w:w="11900" w:h="16838" w:orient="portrait"/>
          <w:cols w:equalWidth="0" w:num="1">
            <w:col w:w="10219"/>
          </w:cols>
          <w:pgMar w:left="240" w:top="691" w:right="1440" w:bottom="1440" w:gutter="0" w:footer="0" w:header="0"/>
        </w:sectPr>
      </w:pPr>
    </w:p>
    <w:bookmarkStart w:id="8" w:name="page9"/>
    <w:bookmarkEnd w:id="8"/>
    <w:p>
      <w:pPr>
        <w:ind w:right="1999"/>
        <w:spacing w:after="0" w:line="250" w:lineRule="auto"/>
        <w:rPr>
          <w:sz w:val="20"/>
          <w:szCs w:val="20"/>
          <w:color w:val="auto"/>
        </w:rPr>
      </w:pPr>
      <w:r>
        <w:rPr>
          <w:rFonts w:ascii="Courier New" w:cs="Courier New" w:eastAsia="Courier New" w:hAnsi="Courier New"/>
          <w:sz w:val="18"/>
          <w:szCs w:val="18"/>
          <w:color w:val="auto"/>
        </w:rPr>
        <w:t>to be granted.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 The Committee may appoint a plan administrator to carry out the ministerial functions of the Plan, but the administrator shall have no other authority or powers of the Committee. Notwithstanding the foregoing, the Board shall exercise any and all rights, duties and powers of the Committee under the Plan to the extent required by the applicable exemptive conditions of Rule 16b-3, as determined by the Board its sole discretion.</w:t>
      </w:r>
    </w:p>
    <w:p>
      <w:pPr>
        <w:spacing w:after="0" w:line="104" w:lineRule="exact"/>
        <w:rPr>
          <w:sz w:val="20"/>
          <w:szCs w:val="20"/>
          <w:color w:val="auto"/>
        </w:rPr>
      </w:pPr>
    </w:p>
    <w:p>
      <w:pPr>
        <w:ind w:right="2199" w:firstLine="535"/>
        <w:spacing w:after="0" w:line="292"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Plan. The Shares issued under the Plan shall not exceed in the aggregate 250,000 shares of Common Stock. Such Shares may be authorized and unissued shares or treasury shares.</w:t>
      </w:r>
    </w:p>
    <w:p>
      <w:pPr>
        <w:spacing w:after="0" w:line="66"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All active Non-Employee Directors shall be eligible to participate in the Plan.</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Payment of Retainer.</w:t>
      </w:r>
    </w:p>
    <w:p>
      <w:pPr>
        <w:spacing w:after="0" w:line="201" w:lineRule="exact"/>
        <w:rPr>
          <w:rFonts w:ascii="Courier New" w:cs="Courier New" w:eastAsia="Courier New" w:hAnsi="Courier New"/>
          <w:sz w:val="18"/>
          <w:szCs w:val="18"/>
          <w:color w:val="auto"/>
        </w:rPr>
      </w:pPr>
    </w:p>
    <w:p>
      <w:pPr>
        <w:ind w:left="540" w:right="1999" w:firstLine="521"/>
        <w:spacing w:after="0" w:line="246" w:lineRule="auto"/>
        <w:tabs>
          <w:tab w:leader="none" w:pos="159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Elections. On or before November 30 of each year (December 31, 1998 in the case of the first Plan Year), each Non-Employee Director shall file with the Plan Administrator an election form in substantially the form attached hereto as Exhibit A, or such other form as the Plan Administrator shall prescribe (the "Election Form"), in which such Non-Employee Director shall indicate his or her preference to receive some or all of his or her Retainer for the following Plan Year in the form of (i) cash, (ii) Common Stock, or (iii) Deferred Stock Rights. Such elections shall be made in increments of 25% of the Retainer. Individuals who are nominated to become Non-Employee Directors may make such election after such nomination but prior to the time they are elected to the Board. If a Non-Employee Director fails to timely file an Election Form for a Plan Year, then 100% of his or her Retainer for such Plan Year will be paid in cash.</w:t>
      </w:r>
    </w:p>
    <w:p>
      <w:pPr>
        <w:spacing w:after="0" w:line="112" w:lineRule="exact"/>
        <w:rPr>
          <w:rFonts w:ascii="Courier New" w:cs="Courier New" w:eastAsia="Courier New" w:hAnsi="Courier New"/>
          <w:sz w:val="18"/>
          <w:szCs w:val="18"/>
          <w:color w:val="auto"/>
        </w:rPr>
      </w:pPr>
    </w:p>
    <w:p>
      <w:pPr>
        <w:ind w:left="540" w:right="1999" w:firstLine="521"/>
        <w:spacing w:after="0" w:line="292" w:lineRule="auto"/>
        <w:tabs>
          <w:tab w:leader="none" w:pos="159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Payments. That portion of the Retainer to be paid in cash will be paid whenever such fees are payable, in accordance with the policies established by the Committee from time to time.</w:t>
      </w:r>
    </w:p>
    <w:p>
      <w:pPr>
        <w:spacing w:after="0" w:line="66" w:lineRule="exact"/>
        <w:rPr>
          <w:rFonts w:ascii="Courier New" w:cs="Courier New" w:eastAsia="Courier New" w:hAnsi="Courier New"/>
          <w:sz w:val="18"/>
          <w:szCs w:val="18"/>
          <w:color w:val="auto"/>
        </w:rPr>
      </w:pPr>
    </w:p>
    <w:p>
      <w:pPr>
        <w:ind w:left="540" w:right="1879" w:firstLine="521"/>
        <w:spacing w:after="0" w:line="246" w:lineRule="auto"/>
        <w:tabs>
          <w:tab w:leader="none" w:pos="1593"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Dates and Formula for Stock Grants. To the extent that a Non-Employee Director has elected to receive some or all of his or her Retainer in the form of Common Stock and has not elected to defer receipt of such shares pursuant to Section 6(e), shares of Common Stock shall be automatically granted to such Non-Employee Director on March 31, June 30, September 30 and December 31 of each Plan Year (each such date is hereinafter referred to as a "Quarterly Grant Date"). The total number of Shares included in each grant under this Section 6(c) shall be determined by (i) dividing the Stock Equivalent Amount earned by the Non-Employee Director during the three-month period immediately preceding the Quarterly Grant Date (the "Quarterly Service Period") by the Fair Market Value per Share on the Quarterly Grant Date, and (ii) and subtracting any Shares to be deferred pursuant to Section 6(e). Fractions will be rounded to the next highest Share.</w:t>
      </w:r>
    </w:p>
    <w:p>
      <w:pPr>
        <w:sectPr>
          <w:pgSz w:w="11900" w:h="16838" w:orient="portrait"/>
          <w:cols w:equalWidth="0" w:num="1">
            <w:col w:w="10219"/>
          </w:cols>
          <w:pgMar w:left="240" w:top="691" w:right="1440" w:bottom="1440" w:gutter="0" w:footer="0" w:header="0"/>
        </w:sectPr>
      </w:pPr>
    </w:p>
    <w:bookmarkStart w:id="9" w:name="page10"/>
    <w:bookmarkEnd w:id="9"/>
    <w:p>
      <w:pPr>
        <w:ind w:right="1779" w:firstLine="521"/>
        <w:spacing w:after="0" w:line="253"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During Quarterly Service Period. In the event of termination of service on the Board by any Participant during a Quarterly Service Period, such Participant's award for the Quarterly Service Period shall be determined in accordance with Sections 6(b) based upon the Stock Equivalent Amount earned during such Quarterly Service Period through the date of termination of service, provided, that the grant date shall be the date of termination of service unless the grant has been deferred pursuant to Section 6(e).</w:t>
      </w:r>
    </w:p>
    <w:p>
      <w:pPr>
        <w:spacing w:after="0" w:line="103"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Stock Rights.</w:t>
      </w:r>
    </w:p>
    <w:p>
      <w:pPr>
        <w:spacing w:after="0" w:line="201" w:lineRule="exact"/>
        <w:rPr>
          <w:rFonts w:ascii="Courier New" w:cs="Courier New" w:eastAsia="Courier New" w:hAnsi="Courier New"/>
          <w:sz w:val="18"/>
          <w:szCs w:val="18"/>
          <w:color w:val="auto"/>
        </w:rPr>
      </w:pPr>
    </w:p>
    <w:p>
      <w:pPr>
        <w:ind w:right="1779" w:firstLine="1048"/>
        <w:spacing w:after="0" w:line="244" w:lineRule="auto"/>
        <w:tabs>
          <w:tab w:leader="none" w:pos="168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Defer. Each Participant will have the right to elect, in his or her Election Form delivered to the Plan Administrator prior to the commencement of each Plan Year, to defer until after the Participant's termination of service the grant of the Shares that would otherwise be granted to the Participant during the next ensuing Plan Year ("Deferred Stock Rights"). Pursuant to this Election Form, the Participant will elect whether all of the deferred grant will be (a) granted within 30 days after termination of service or (b) granted in approximately equal annual installments of Shares over a period of two to five years (as the Participant may elect) after the termination of service, each such annual grant to be made within 30 days after the anniversary of the termination of service. The deferral Election Form signed by the Participant prior to the Plan Year will be irrevocable except in case of Hardship (as defined in Section 6(f)) as determined in good faith by the Board pursuant to Section 6(f). No Shares will be issued until the grant date(s) so deferred (the "Deferred Grant Date") at which time the Company agrees to issue the Shares to the Participant. The Participant will have no rights as a stockholder with respect to the Deferred Stock Rights, and the Deferred Stock Rights will be unsecured.</w:t>
      </w:r>
    </w:p>
    <w:p>
      <w:pPr>
        <w:spacing w:after="0" w:line="112" w:lineRule="exact"/>
        <w:rPr>
          <w:rFonts w:ascii="Courier New" w:cs="Courier New" w:eastAsia="Courier New" w:hAnsi="Courier New"/>
          <w:sz w:val="18"/>
          <w:szCs w:val="18"/>
          <w:color w:val="auto"/>
        </w:rPr>
      </w:pPr>
    </w:p>
    <w:p>
      <w:pPr>
        <w:ind w:right="1779" w:firstLine="1048"/>
        <w:spacing w:after="0" w:line="282" w:lineRule="auto"/>
        <w:tabs>
          <w:tab w:leader="none" w:pos="168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Dividend Account. If any dividends or other rights or distributions of any kind ("Distributions") are distributed to holders of Common Stock during the period from the applicable Quarterly Grant Date until the Deferred Grant Date (the "Deferral Period") but prior to the Participant's termination of service, an amount equal to the cash value of such Distributions on their distribution date, as such value is determined by the Committee, will be credited to a deferred dividend account for the Participant as follows: the account will be credited with the right to receive Shares having a Fair Market Value as of the date of the Distribution equal to the cash value of the Distribution. The Company will issue Shares equal to the cumulative total of rights to Shares in such account within 30 days after the Participant's termination of service.</w:t>
      </w:r>
    </w:p>
    <w:p>
      <w:pPr>
        <w:spacing w:after="0" w:line="7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If a Distribution is distributed to holders of Common Stock after the Participant's termination of service but prior to the issuance in full of the deferred Shares, an amount equal to the cash value of such Distributions pertaining to any Shares still deferred shall be converted into Shares equivalent in value to the Distribution (based on the Fair Market Value as of the date of Distribution) and such Shares will be issued to the Participant as soon as practical after the date of the Distribution.</w:t>
      </w:r>
    </w:p>
    <w:p>
      <w:pPr>
        <w:sectPr>
          <w:pgSz w:w="11900" w:h="16838" w:orient="portrait"/>
          <w:cols w:equalWidth="0" w:num="1">
            <w:col w:w="9679"/>
          </w:cols>
          <w:pgMar w:left="780" w:top="691" w:right="1440" w:bottom="1440" w:gutter="0" w:footer="0" w:header="0"/>
        </w:sectPr>
      </w:pPr>
    </w:p>
    <w:bookmarkStart w:id="10" w:name="page11"/>
    <w:bookmarkEnd w:id="10"/>
    <w:p>
      <w:pPr>
        <w:ind w:left="5" w:right="1779" w:firstLine="527"/>
        <w:spacing w:after="0" w:line="248" w:lineRule="auto"/>
        <w:rPr>
          <w:sz w:val="20"/>
          <w:szCs w:val="20"/>
          <w:color w:val="auto"/>
        </w:rPr>
      </w:pPr>
      <w:r>
        <w:rPr>
          <w:rFonts w:ascii="Courier New" w:cs="Courier New" w:eastAsia="Courier New" w:hAnsi="Courier New"/>
          <w:sz w:val="18"/>
          <w:szCs w:val="18"/>
          <w:color w:val="auto"/>
        </w:rPr>
        <w:t>No right or interest in the Deferred Stock Rights or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6(e) shall prevent transfers by will or by the applicable laws of descent and distribution. The Committee will have the right to adopt other regulations and procedures to govern deferral of grants of Shares.</w:t>
      </w:r>
    </w:p>
    <w:p>
      <w:pPr>
        <w:spacing w:after="0" w:line="105" w:lineRule="exact"/>
        <w:rPr>
          <w:sz w:val="20"/>
          <w:szCs w:val="20"/>
          <w:color w:val="auto"/>
        </w:rPr>
      </w:pPr>
    </w:p>
    <w:p>
      <w:pPr>
        <w:ind w:left="5" w:right="1879" w:firstLine="521"/>
        <w:spacing w:after="0" w:line="250" w:lineRule="auto"/>
        <w:tabs>
          <w:tab w:leader="none" w:pos="105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Hardship. The Board may accelerate the distribution of all or a portion of a Participant's deferred grants of Shares on account of his or her Hardship, subject to the following requirements: (i) the value of such accelerated distribution shall not exceed the amount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104" w:lineRule="exact"/>
        <w:rPr>
          <w:sz w:val="20"/>
          <w:szCs w:val="20"/>
          <w:color w:val="auto"/>
        </w:rPr>
      </w:pPr>
    </w:p>
    <w:p>
      <w:pPr>
        <w:ind w:left="5" w:right="1779" w:firstLine="527"/>
        <w:spacing w:after="0" w:line="283" w:lineRule="auto"/>
        <w:rPr>
          <w:sz w:val="20"/>
          <w:szCs w:val="20"/>
          <w:color w:val="auto"/>
        </w:rPr>
      </w:pPr>
      <w:r>
        <w:rPr>
          <w:rFonts w:ascii="Courier New" w:cs="Courier New" w:eastAsia="Courier New" w:hAnsi="Courier New"/>
          <w:sz w:val="16"/>
          <w:szCs w:val="16"/>
          <w:color w:val="auto"/>
        </w:rPr>
        <w:t>For purposes of this Plan, "Hardship" of a Participant, as determined by the Board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or her dependent, loss of the Participant's property due to casualty, or other extraordinary and unforeseeable circumstances arising as a result of events beyond the control of the Participant. A financial need shall not constitute a Hardship unless it is for at least $1,000,000 or the entire value of the principal amount of the Participant's deferred grants.</w:t>
      </w:r>
    </w:p>
    <w:p>
      <w:pPr>
        <w:spacing w:after="0" w:line="294" w:lineRule="exact"/>
        <w:rPr>
          <w:sz w:val="20"/>
          <w:szCs w:val="20"/>
          <w:color w:val="auto"/>
        </w:rPr>
      </w:pPr>
    </w:p>
    <w:p>
      <w:pPr>
        <w:ind w:left="-535" w:right="1779" w:firstLine="535"/>
        <w:spacing w:after="0" w:line="253" w:lineRule="auto"/>
        <w:tabs>
          <w:tab w:leader="none" w:pos="30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Prorated Grants. If on any Quarterly Grant Date, shares of Common Stock are not available under the Plan to grant to Non-Employee Directors the full amount of a grant contemplated by the Plan, then each such director shall receive an award equal to the number of shares of Common Stock then available under the Plan divided by the number of Non-Employee Directors entitled to a grant of shares on such date. Fractional shares shall be ignored and not granted. Any shortfall resulting from such proration shall be paid in the form of cash.</w:t>
      </w:r>
    </w:p>
    <w:p>
      <w:pPr>
        <w:spacing w:after="0" w:line="103" w:lineRule="exact"/>
        <w:rPr>
          <w:rFonts w:ascii="Courier New" w:cs="Courier New" w:eastAsia="Courier New" w:hAnsi="Courier New"/>
          <w:sz w:val="18"/>
          <w:szCs w:val="18"/>
          <w:color w:val="auto"/>
        </w:rPr>
      </w:pPr>
    </w:p>
    <w:p>
      <w:pPr>
        <w:ind w:left="-535" w:right="1879" w:firstLine="535"/>
        <w:spacing w:after="0" w:line="265" w:lineRule="auto"/>
        <w:tabs>
          <w:tab w:leader="none" w:pos="30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Whenever the Company issues Shares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89"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1" w:lineRule="exact"/>
        <w:rPr>
          <w:rFonts w:ascii="Courier New" w:cs="Courier New" w:eastAsia="Courier New" w:hAnsi="Courier New"/>
          <w:sz w:val="18"/>
          <w:szCs w:val="18"/>
          <w:color w:val="auto"/>
        </w:rPr>
      </w:pPr>
    </w:p>
    <w:p>
      <w:pPr>
        <w:ind w:left="5" w:right="1879" w:firstLine="521"/>
        <w:spacing w:after="0" w:line="292" w:lineRule="auto"/>
        <w:tabs>
          <w:tab w:leader="none" w:pos="105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Committee determines that any Distribution (whether in the form of cash, Common Stock, other securities, or other property), recapitalization,</w:t>
      </w:r>
    </w:p>
    <w:p>
      <w:pPr>
        <w:sectPr>
          <w:pgSz w:w="11900" w:h="16838" w:orient="portrait"/>
          <w:cols w:equalWidth="0" w:num="1">
            <w:col w:w="9684"/>
          </w:cols>
          <w:pgMar w:left="775" w:top="691" w:right="1440" w:bottom="1440" w:gutter="0" w:footer="0" w:header="0"/>
        </w:sectPr>
      </w:pPr>
    </w:p>
    <w:bookmarkStart w:id="11" w:name="page12"/>
    <w:bookmarkEnd w:id="11"/>
    <w:p>
      <w:pPr>
        <w:ind w:left="5" w:right="1999"/>
        <w:spacing w:after="0" w:line="245" w:lineRule="auto"/>
        <w:rPr>
          <w:sz w:val="20"/>
          <w:szCs w:val="20"/>
          <w:color w:val="auto"/>
        </w:rPr>
      </w:pPr>
      <w:r>
        <w:rPr>
          <w:rFonts w:ascii="Courier New" w:cs="Courier New" w:eastAsia="Courier New" w:hAnsi="Courier New"/>
          <w:sz w:val="18"/>
          <w:szCs w:val="18"/>
          <w:color w:val="auto"/>
        </w:rPr>
        <w:t>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hereunder, then the Committee shall, in such manner as it may deem equitable, adjust the number and type of Shares (or other securities or property) which may be granted under the Plan (including, but not limited to, adjustments of the maximum number and kind of securities which may be issued); provided, however, that to the extent required by the applicable exemptive conditions of Rule 16b-3, any such adjustment shall be subject to approval by the Board.</w:t>
      </w:r>
    </w:p>
    <w:p>
      <w:pPr>
        <w:spacing w:after="0" w:line="113" w:lineRule="exact"/>
        <w:rPr>
          <w:sz w:val="20"/>
          <w:szCs w:val="20"/>
          <w:color w:val="auto"/>
        </w:rPr>
      </w:pPr>
    </w:p>
    <w:p>
      <w:pPr>
        <w:ind w:left="5" w:right="1779" w:firstLine="521"/>
        <w:spacing w:after="0" w:line="256" w:lineRule="auto"/>
        <w:tabs>
          <w:tab w:leader="none" w:pos="105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corporate transaction or event described in paragraph (a) which results in Shares being exchanged for or converted into cash, securities or other property (including securities of another corporation), the Committee will have the right to terminate this Plan as of the date of the transaction or event, in which case all stock grants deferred under Section 6(e) shall become the right to receive such cash, securities or other property.</w:t>
      </w:r>
    </w:p>
    <w:p>
      <w:pPr>
        <w:spacing w:after="0" w:line="98" w:lineRule="exact"/>
        <w:rPr>
          <w:rFonts w:ascii="Courier New" w:cs="Courier New" w:eastAsia="Courier New" w:hAnsi="Courier New"/>
          <w:sz w:val="18"/>
          <w:szCs w:val="18"/>
          <w:color w:val="auto"/>
        </w:rPr>
      </w:pPr>
    </w:p>
    <w:p>
      <w:pPr>
        <w:ind w:left="5" w:right="1779" w:firstLine="521"/>
        <w:spacing w:after="0" w:line="347" w:lineRule="auto"/>
        <w:tabs>
          <w:tab w:leader="none" w:pos="105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finally granted under this Plan shall always be rounded to the next highest whole Share.</w:t>
      </w:r>
    </w:p>
    <w:p>
      <w:pPr>
        <w:spacing w:after="0" w:line="18" w:lineRule="exact"/>
        <w:rPr>
          <w:rFonts w:ascii="Courier New" w:cs="Courier New" w:eastAsia="Courier New" w:hAnsi="Courier New"/>
          <w:sz w:val="18"/>
          <w:szCs w:val="18"/>
          <w:color w:val="auto"/>
        </w:rPr>
      </w:pPr>
    </w:p>
    <w:p>
      <w:pPr>
        <w:ind w:left="5" w:right="1779" w:firstLine="521"/>
        <w:spacing w:after="0" w:line="265" w:lineRule="auto"/>
        <w:tabs>
          <w:tab w:leader="none" w:pos="105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decision of the Committee pursuant to the terms of this Section 9 shall be final, binding and conclusive upon the Participants, the Company and all other interested parties; provided, however, that to the extent required by the applicable exemptive conditions of Rule 16b-3, any such decision shall be subject to approval by the Board.</w:t>
      </w:r>
    </w:p>
    <w:p>
      <w:pPr>
        <w:spacing w:after="0" w:line="89" w:lineRule="exact"/>
        <w:rPr>
          <w:rFonts w:ascii="Courier New" w:cs="Courier New" w:eastAsia="Courier New" w:hAnsi="Courier New"/>
          <w:sz w:val="18"/>
          <w:szCs w:val="18"/>
          <w:color w:val="auto"/>
        </w:rPr>
      </w:pPr>
    </w:p>
    <w:p>
      <w:pPr>
        <w:ind w:left="-535" w:right="1779" w:firstLine="535"/>
        <w:spacing w:after="0" w:line="289" w:lineRule="auto"/>
        <w:tabs>
          <w:tab w:leader="none" w:pos="51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The Committee may terminate or suspend the Plan at any time, without stockholder approval. The Committee may amend the Plan at any time and for any reason without stockholder approval; provided, however, that the Committee may condition any amendment on the approval of stockholders of the Company if such approval is necessary or deemed advisable with respect to tax, securities or other applicable laws, policies or regulations. No termination, modification or amendment of the Plan may, without the consent of a Participant, adversely affect a Participant's rights under an award granted prior thereto.</w:t>
      </w:r>
    </w:p>
    <w:p>
      <w:pPr>
        <w:spacing w:after="0" w:line="77" w:lineRule="exact"/>
        <w:rPr>
          <w:rFonts w:ascii="Courier New" w:cs="Courier New" w:eastAsia="Courier New" w:hAnsi="Courier New"/>
          <w:sz w:val="16"/>
          <w:szCs w:val="16"/>
          <w:color w:val="auto"/>
        </w:rPr>
      </w:pPr>
    </w:p>
    <w:p>
      <w:pPr>
        <w:ind w:left="-535" w:right="1779" w:firstLine="535"/>
        <w:spacing w:after="0" w:line="249"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w:t>
      </w:r>
    </w:p>
    <w:p>
      <w:pPr>
        <w:sectPr>
          <w:pgSz w:w="11900" w:h="16838" w:orient="portrait"/>
          <w:cols w:equalWidth="0" w:num="1">
            <w:col w:w="9684"/>
          </w:cols>
          <w:pgMar w:left="775" w:top="691" w:right="1440" w:bottom="1440" w:gutter="0" w:footer="0" w:header="0"/>
        </w:sectPr>
      </w:pPr>
    </w:p>
    <w:bookmarkStart w:id="12" w:name="page13"/>
    <w:bookmarkEnd w:id="12"/>
    <w:p>
      <w:pPr>
        <w:ind w:right="1999"/>
        <w:spacing w:after="0" w:line="347" w:lineRule="auto"/>
        <w:rPr>
          <w:sz w:val="20"/>
          <w:szCs w:val="20"/>
          <w:color w:val="auto"/>
        </w:rPr>
      </w:pPr>
      <w:r>
        <w:rPr>
          <w:rFonts w:ascii="Courier New" w:cs="Courier New" w:eastAsia="Courier New" w:hAnsi="Courier New"/>
          <w:sz w:val="18"/>
          <w:szCs w:val="18"/>
          <w:color w:val="auto"/>
        </w:rPr>
        <w:t>defend it on his or her own behalf. This right of indemnification shall not be exclusive of any other rights of indemnification.</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82" w:lineRule="exact"/>
        <w:rPr>
          <w:sz w:val="20"/>
          <w:szCs w:val="20"/>
          <w:color w:val="auto"/>
        </w:rPr>
      </w:pPr>
    </w:p>
    <w:p>
      <w:pPr>
        <w:ind w:right="1779" w:firstLine="535"/>
        <w:spacing w:after="0" w:line="34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the Plan. The Plan shall remain in effect until ten years from the Effective Date, unless terminated earlier by the Committee.</w:t>
      </w:r>
    </w:p>
    <w:p>
      <w:pPr>
        <w:spacing w:after="0" w:line="18" w:lineRule="exact"/>
        <w:rPr>
          <w:rFonts w:ascii="Courier New" w:cs="Courier New" w:eastAsia="Courier New" w:hAnsi="Courier New"/>
          <w:sz w:val="18"/>
          <w:szCs w:val="18"/>
          <w:color w:val="auto"/>
        </w:rPr>
      </w:pPr>
    </w:p>
    <w:p>
      <w:pPr>
        <w:ind w:right="1779" w:firstLine="535"/>
        <w:spacing w:after="0" w:line="34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the Plan. The expenses of administering the Plan shall be borne by the Company.</w:t>
      </w:r>
    </w:p>
    <w:p>
      <w:pPr>
        <w:spacing w:after="0" w:line="18" w:lineRule="exact"/>
        <w:rPr>
          <w:rFonts w:ascii="Courier New" w:cs="Courier New" w:eastAsia="Courier New" w:hAnsi="Courier New"/>
          <w:sz w:val="18"/>
          <w:szCs w:val="18"/>
          <w:color w:val="auto"/>
        </w:rPr>
      </w:pPr>
    </w:p>
    <w:p>
      <w:pPr>
        <w:ind w:right="2419" w:firstLine="535"/>
        <w:spacing w:after="0" w:line="344"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was originally adopted by the Board on November 23, 1998, and became effective upon the approval thereof by the stockholders of the Company on January 14, 1999 (the "Effective Date").</w:t>
      </w:r>
    </w:p>
    <w:p>
      <w:pPr>
        <w:sectPr>
          <w:pgSz w:w="11900" w:h="16838" w:orient="portrait"/>
          <w:cols w:equalWidth="0" w:num="1">
            <w:col w:w="10219"/>
          </w:cols>
          <w:pgMar w:left="240" w:top="691"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4.7</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1989 EMPLOYEE STOCK</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PURCHASE PLAN</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following constitute the provisions of the 1989 Employee Stock Purchase Plan of Micron Technology, Inc.:</w:t>
      </w:r>
    </w:p>
    <w:p>
      <w:pPr>
        <w:spacing w:after="0" w:line="18" w:lineRule="exact"/>
        <w:rPr>
          <w:sz w:val="20"/>
          <w:szCs w:val="20"/>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Plan is to provide employees of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02"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w:t>
      </w:r>
    </w:p>
    <w:p>
      <w:pPr>
        <w:spacing w:after="0" w:line="30"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shall mean the Internal Revenue Code of 1986, as amended.</w:t>
      </w:r>
    </w:p>
    <w:p>
      <w:pPr>
        <w:spacing w:after="0" w:line="53"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$.10 no par value, of</w:t>
      </w:r>
    </w:p>
    <w:p>
      <w:pPr>
        <w:spacing w:after="0" w:line="5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Company.</w:t>
      </w:r>
    </w:p>
    <w:p>
      <w:pPr>
        <w:spacing w:after="0" w:line="169" w:lineRule="exact"/>
        <w:rPr>
          <w:sz w:val="20"/>
          <w:szCs w:val="20"/>
          <w:color w:val="auto"/>
        </w:rPr>
      </w:pPr>
    </w:p>
    <w:p>
      <w:pPr>
        <w:ind w:left="1580" w:hanging="519"/>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Micron Technology, Inc., a Delaware</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corporation.</w:t>
      </w:r>
    </w:p>
    <w:p>
      <w:pPr>
        <w:spacing w:after="0" w:line="169" w:lineRule="exact"/>
        <w:rPr>
          <w:sz w:val="20"/>
          <w:szCs w:val="20"/>
          <w:color w:val="auto"/>
        </w:rPr>
      </w:pPr>
    </w:p>
    <w:p>
      <w:pPr>
        <w:ind w:left="1580" w:hanging="519"/>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with respect to any Employee means such</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999"/>
        <w:spacing w:after="0" w:line="252" w:lineRule="auto"/>
        <w:rPr>
          <w:sz w:val="20"/>
          <w:szCs w:val="20"/>
          <w:color w:val="auto"/>
        </w:rPr>
      </w:pPr>
      <w:r>
        <w:rPr>
          <w:rFonts w:ascii="Courier New" w:cs="Courier New" w:eastAsia="Courier New" w:hAnsi="Courier New"/>
          <w:sz w:val="18"/>
          <w:szCs w:val="18"/>
          <w:color w:val="auto"/>
        </w:rPr>
        <w:t>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0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w:t>
      </w:r>
    </w:p>
    <w:p>
      <w:pPr>
        <w:spacing w:after="0" w:line="1" w:lineRule="exact"/>
        <w:rPr>
          <w:sz w:val="20"/>
          <w:szCs w:val="20"/>
          <w:color w:val="auto"/>
        </w:rPr>
      </w:pPr>
    </w:p>
    <w:p>
      <w:pPr>
        <w:ind w:right="2099" w:firstLine="8"/>
        <w:spacing w:after="0" w:line="262"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amounts which receive special tax benefits, such as premiums for group-term life insurance (but only to the extent that the premiums are not includible in the gross income of the employee), or contributions made by the employer (whether or not under a salary reduction</w:t>
      </w:r>
    </w:p>
    <w:p>
      <w:pPr>
        <w:sectPr>
          <w:pgSz w:w="11900" w:h="16838" w:orient="portrait"/>
          <w:cols w:equalWidth="0" w:num="1">
            <w:col w:w="10219"/>
          </w:cols>
          <w:pgMar w:left="240" w:top="515" w:right="1440" w:bottom="1440" w:gutter="0" w:footer="0" w:header="0"/>
        </w:sectPr>
      </w:pPr>
    </w:p>
    <w:bookmarkStart w:id="14" w:name="page15"/>
    <w:bookmarkEnd w:id="14"/>
    <w:p>
      <w:pPr>
        <w:ind w:right="2099"/>
        <w:spacing w:after="0" w:line="282" w:lineRule="auto"/>
        <w:rPr>
          <w:sz w:val="20"/>
          <w:szCs w:val="20"/>
          <w:color w:val="auto"/>
        </w:rPr>
      </w:pPr>
      <w:r>
        <w:rPr>
          <w:rFonts w:ascii="Courier New" w:cs="Courier New" w:eastAsia="Courier New" w:hAnsi="Courier New"/>
          <w:sz w:val="16"/>
          <w:szCs w:val="16"/>
          <w:color w:val="auto"/>
        </w:rPr>
        <w:t>agreement) towards the purchase of any annuity contract described in Code Section 403(b) (whether or not the contributions are actually excludable from the Employee's gross income); (e) reimbursements or other expense allowances;</w:t>
      </w:r>
    </w:p>
    <w:p>
      <w:pPr>
        <w:spacing w:after="0" w:line="1" w:lineRule="exact"/>
        <w:rPr>
          <w:sz w:val="20"/>
          <w:szCs w:val="20"/>
          <w:color w:val="auto"/>
        </w:rPr>
      </w:pPr>
    </w:p>
    <w:p>
      <w:pPr>
        <w:ind w:right="2199" w:firstLine="8"/>
        <w:spacing w:after="0" w:line="309"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fringe benefits (cash and noncash); (g) moving expenses; and (h) welfare benefits.</w:t>
      </w:r>
    </w:p>
    <w:p>
      <w:pPr>
        <w:spacing w:after="0" w:line="51" w:lineRule="exact"/>
        <w:rPr>
          <w:sz w:val="20"/>
          <w:szCs w:val="20"/>
          <w:color w:val="auto"/>
        </w:rPr>
      </w:pPr>
    </w:p>
    <w:p>
      <w:pPr>
        <w:ind w:left="1580" w:hanging="519"/>
        <w:spacing w:after="0"/>
        <w:tabs>
          <w:tab w:leader="none" w:pos="1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Status as an Employee" shall mean the absence of any</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96" w:lineRule="exact"/>
        <w:rPr>
          <w:sz w:val="20"/>
          <w:szCs w:val="20"/>
          <w:color w:val="auto"/>
        </w:rPr>
      </w:pPr>
    </w:p>
    <w:p>
      <w:pPr>
        <w:ind w:left="1580" w:hanging="519"/>
        <w:spacing w:after="0"/>
        <w:tabs>
          <w:tab w:leader="none" w:pos="15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Subsidiaries" shall mean the Subsidiaries which have</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2619"/>
        <w:spacing w:after="0" w:line="309" w:lineRule="auto"/>
        <w:rPr>
          <w:sz w:val="20"/>
          <w:szCs w:val="20"/>
          <w:color w:val="auto"/>
        </w:rPr>
      </w:pPr>
      <w:r>
        <w:rPr>
          <w:rFonts w:ascii="Courier New" w:cs="Courier New" w:eastAsia="Courier New" w:hAnsi="Courier New"/>
          <w:sz w:val="18"/>
          <w:szCs w:val="18"/>
          <w:color w:val="auto"/>
        </w:rPr>
        <w:t>been designated by the Board from time to time in its sole discretion as eligible to participate in the Plan.</w:t>
      </w:r>
    </w:p>
    <w:p>
      <w:pPr>
        <w:spacing w:after="0" w:line="51" w:lineRule="exact"/>
        <w:rPr>
          <w:sz w:val="20"/>
          <w:szCs w:val="20"/>
          <w:color w:val="auto"/>
        </w:rPr>
      </w:pPr>
    </w:p>
    <w:p>
      <w:pPr>
        <w:ind w:left="1580" w:hanging="519"/>
        <w:spacing w:after="0"/>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shall mean any person, including an officer, who is</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continuously employed for at least twenty (20) hours per week and more than five</w:t>
      </w:r>
    </w:p>
    <w:p>
      <w:pPr>
        <w:spacing w:after="0" w:line="21" w:lineRule="exact"/>
        <w:rPr>
          <w:sz w:val="20"/>
          <w:szCs w:val="20"/>
          <w:color w:val="auto"/>
        </w:rPr>
      </w:pPr>
    </w:p>
    <w:p>
      <w:pPr>
        <w:ind w:right="1879" w:firstLine="8"/>
        <w:spacing w:after="0" w:line="268" w:lineRule="auto"/>
        <w:tabs>
          <w:tab w:leader="none" w:pos="42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in a calendar year by the Company or one of its Designated Subsidiaries; provided, however, that all employees of an Italian Designated Subsidiary of the Company shall be considered "Employees" under the Plan, without regard as to whether they are continuously employed for at least twenty</w:t>
      </w:r>
    </w:p>
    <w:p>
      <w:pPr>
        <w:ind w:right="2519" w:firstLine="8"/>
        <w:spacing w:after="0" w:line="309"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hours per week or more than five (5) months in a calendar year by an Italian Designated Subsidiary of the Company.</w:t>
      </w:r>
    </w:p>
    <w:p>
      <w:pPr>
        <w:spacing w:after="0" w:line="51" w:lineRule="exact"/>
        <w:rPr>
          <w:sz w:val="20"/>
          <w:szCs w:val="20"/>
          <w:color w:val="auto"/>
        </w:rPr>
      </w:pPr>
    </w:p>
    <w:p>
      <w:pPr>
        <w:ind w:left="1580" w:hanging="519"/>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"Enrollment Date" shall mean the first day of each Offering</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Period.</w:t>
      </w:r>
    </w:p>
    <w:p>
      <w:pPr>
        <w:spacing w:after="0" w:line="169" w:lineRule="exact"/>
        <w:rPr>
          <w:sz w:val="20"/>
          <w:szCs w:val="20"/>
          <w:color w:val="auto"/>
        </w:rPr>
      </w:pPr>
    </w:p>
    <w:p>
      <w:pPr>
        <w:ind w:left="1580" w:hanging="519"/>
        <w:spacing w:after="0"/>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shall mean the last day of each Offering Period</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of the Plan.</w:t>
      </w:r>
    </w:p>
    <w:p>
      <w:pPr>
        <w:spacing w:after="0" w:line="169" w:lineRule="exact"/>
        <w:rPr>
          <w:sz w:val="20"/>
          <w:szCs w:val="20"/>
          <w:color w:val="auto"/>
        </w:rPr>
      </w:pPr>
    </w:p>
    <w:p>
      <w:pPr>
        <w:ind w:left="1580" w:hanging="519"/>
        <w:spacing w:after="0"/>
        <w:tabs>
          <w:tab w:leader="none" w:pos="1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Period" shall mean a period of three (3) months during</w:t>
      </w:r>
    </w:p>
    <w:p>
      <w:pPr>
        <w:spacing w:after="0" w:line="53"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which an option granted pursuant to the Plan may be exercised.</w:t>
      </w:r>
    </w:p>
    <w:p>
      <w:pPr>
        <w:spacing w:after="0" w:line="169" w:lineRule="exact"/>
        <w:rPr>
          <w:sz w:val="20"/>
          <w:szCs w:val="20"/>
          <w:color w:val="auto"/>
        </w:rPr>
      </w:pPr>
    </w:p>
    <w:p>
      <w:pPr>
        <w:ind w:left="1580" w:hanging="519"/>
        <w:spacing w:after="0"/>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this Employee Stock Purchase Plan.</w:t>
      </w:r>
    </w:p>
    <w:p>
      <w:pPr>
        <w:spacing w:after="0" w:line="30"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 corporation, domestic or foreign, of</w:t>
      </w:r>
    </w:p>
    <w:p>
      <w:pPr>
        <w:spacing w:after="0" w:line="30"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which not less than 50% of the voting shares are held by the Company or a Subsidiary, whether or not such corporation now exists or is hereafter organized or acquired by the Company or a Subsidiary.</w:t>
      </w:r>
    </w:p>
    <w:p>
      <w:pPr>
        <w:spacing w:after="0" w:line="82" w:lineRule="exact"/>
        <w:rPr>
          <w:sz w:val="20"/>
          <w:szCs w:val="20"/>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779" w:firstLine="1061"/>
        <w:spacing w:after="0" w:line="274" w:lineRule="auto"/>
        <w:tabs>
          <w:tab w:leader="none" w:pos="15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as defined in paragraph 2 who has been continuously employed by the Company or any subsidiary of the Company for at least one (1) consecutive month and who shall be employed by the Company on a given Enrollment Date shall be eligible to participate in the Plan.</w:t>
      </w:r>
    </w:p>
    <w:p>
      <w:pPr>
        <w:spacing w:after="0" w:line="81" w:lineRule="exact"/>
        <w:rPr>
          <w:rFonts w:ascii="Courier New" w:cs="Courier New" w:eastAsia="Courier New" w:hAnsi="Courier New"/>
          <w:sz w:val="18"/>
          <w:szCs w:val="18"/>
          <w:color w:val="auto"/>
        </w:rPr>
      </w:pPr>
    </w:p>
    <w:p>
      <w:pPr>
        <w:ind w:right="1779" w:firstLine="1061"/>
        <w:spacing w:after="0" w:line="274" w:lineRule="auto"/>
        <w:tabs>
          <w:tab w:leader="none" w:pos="15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provisions of the Plan to the contrary notwithstanding, no Employee shall be granted an option under the Plan (i) if, immediately after the grant, such Employee (or any other person whose stock would be attributed to such Employee pursuant to Section 424(d)</w:t>
      </w:r>
    </w:p>
    <w:p>
      <w:pPr>
        <w:sectPr>
          <w:pgSz w:w="11900" w:h="16838" w:orient="portrait"/>
          <w:cols w:equalWidth="0" w:num="1">
            <w:col w:w="10219"/>
          </w:cols>
          <w:pgMar w:left="240" w:top="691" w:right="1440" w:bottom="1440" w:gutter="0" w:footer="0" w:header="0"/>
        </w:sectPr>
      </w:pPr>
    </w:p>
    <w:bookmarkStart w:id="15" w:name="page16"/>
    <w:bookmarkEnd w:id="15"/>
    <w:p>
      <w:pPr>
        <w:ind w:right="1999"/>
        <w:spacing w:after="0" w:line="252" w:lineRule="auto"/>
        <w:rPr>
          <w:sz w:val="20"/>
          <w:szCs w:val="20"/>
          <w:color w:val="auto"/>
        </w:rPr>
      </w:pPr>
      <w:r>
        <w:rPr>
          <w:rFonts w:ascii="Courier New" w:cs="Courier New" w:eastAsia="Courier New" w:hAnsi="Courier New"/>
          <w:sz w:val="18"/>
          <w:szCs w:val="18"/>
          <w:color w:val="auto"/>
        </w:rPr>
        <w:t>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99" w:lineRule="exact"/>
        <w:rPr>
          <w:sz w:val="20"/>
          <w:szCs w:val="20"/>
          <w:color w:val="auto"/>
        </w:rPr>
      </w:pPr>
    </w:p>
    <w:p>
      <w:pPr>
        <w:ind w:left="1060" w:hanging="525"/>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Periods.  The Plan shall be implemented by consecutive</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7" w:lineRule="auto"/>
        <w:rPr>
          <w:sz w:val="20"/>
          <w:szCs w:val="20"/>
          <w:color w:val="auto"/>
        </w:rPr>
      </w:pPr>
      <w:r>
        <w:rPr>
          <w:rFonts w:ascii="Courier New" w:cs="Courier New" w:eastAsia="Courier New" w:hAnsi="Courier New"/>
          <w:sz w:val="18"/>
          <w:szCs w:val="18"/>
          <w:color w:val="auto"/>
        </w:rPr>
        <w:t>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05" w:lineRule="exact"/>
        <w:rPr>
          <w:sz w:val="20"/>
          <w:szCs w:val="20"/>
          <w:color w:val="auto"/>
        </w:rPr>
      </w:pPr>
    </w:p>
    <w:p>
      <w:pPr>
        <w:ind w:left="1060" w:hanging="525"/>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879" w:firstLine="1061"/>
        <w:spacing w:after="0" w:line="256" w:lineRule="auto"/>
        <w:tabs>
          <w:tab w:leader="none" w:pos="15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eligible Employee may become a participant in the Plan by completing a subscription agreement authorizing payroll deductions in the form of Exhibit A to this Plan and filing it with the Company's payroll or administrative office at least ten (10) business days prior to the applicable Enrollment Date, unless a different time for filing the subscription agreement is set by the Board for all eligible Employees with respect to a given Offering Period.</w:t>
      </w:r>
    </w:p>
    <w:p>
      <w:pPr>
        <w:spacing w:after="0" w:line="98" w:lineRule="exact"/>
        <w:rPr>
          <w:rFonts w:ascii="Courier New" w:cs="Courier New" w:eastAsia="Courier New" w:hAnsi="Courier New"/>
          <w:sz w:val="18"/>
          <w:szCs w:val="18"/>
          <w:color w:val="auto"/>
        </w:rPr>
      </w:pPr>
    </w:p>
    <w:p>
      <w:pPr>
        <w:ind w:right="1879" w:firstLine="1061"/>
        <w:spacing w:after="0" w:line="274" w:lineRule="auto"/>
        <w:tabs>
          <w:tab w:leader="none" w:pos="15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8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779" w:firstLine="1061"/>
        <w:spacing w:after="0" w:line="256" w:lineRule="auto"/>
        <w:tabs>
          <w:tab w:leader="none" w:pos="15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98" w:lineRule="exact"/>
        <w:rPr>
          <w:rFonts w:ascii="Courier New" w:cs="Courier New" w:eastAsia="Courier New" w:hAnsi="Courier New"/>
          <w:sz w:val="18"/>
          <w:szCs w:val="18"/>
          <w:color w:val="auto"/>
        </w:rPr>
      </w:pPr>
    </w:p>
    <w:p>
      <w:pPr>
        <w:ind w:right="1779" w:firstLine="1061"/>
        <w:spacing w:after="0" w:line="292" w:lineRule="auto"/>
        <w:tabs>
          <w:tab w:leader="none" w:pos="158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payroll deductions made by a participant shall be credited to his or her account under the Plan. A participant may not make any additional payments into such account.</w:t>
      </w:r>
    </w:p>
    <w:p>
      <w:pPr>
        <w:spacing w:after="0" w:line="66" w:lineRule="exact"/>
        <w:rPr>
          <w:rFonts w:ascii="Courier New" w:cs="Courier New" w:eastAsia="Courier New" w:hAnsi="Courier New"/>
          <w:sz w:val="18"/>
          <w:szCs w:val="18"/>
          <w:color w:val="auto"/>
        </w:rPr>
      </w:pPr>
    </w:p>
    <w:p>
      <w:pPr>
        <w:ind w:right="2099" w:firstLine="1061"/>
        <w:spacing w:after="0" w:line="306" w:lineRule="auto"/>
        <w:tabs>
          <w:tab w:leader="none" w:pos="158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ectPr>
          <w:pgSz w:w="11900" w:h="16838" w:orient="portrait"/>
          <w:cols w:equalWidth="0" w:num="1">
            <w:col w:w="10219"/>
          </w:cols>
          <w:pgMar w:left="240" w:top="691" w:right="1440" w:bottom="1440" w:gutter="0" w:footer="0" w:header="0"/>
        </w:sectPr>
      </w:pPr>
    </w:p>
    <w:bookmarkStart w:id="16" w:name="page17"/>
    <w:bookmarkEnd w:id="16"/>
    <w:p>
      <w:pPr>
        <w:ind w:right="1879" w:firstLine="1061"/>
        <w:spacing w:after="0" w:line="250" w:lineRule="auto"/>
        <w:tabs>
          <w:tab w:leader="none" w:pos="15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0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779" w:firstLine="1061"/>
        <w:spacing w:after="0" w:line="244" w:lineRule="auto"/>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a number of shares determined by dividing $6,250 by the fair market value of a share of the Company's Common Stock on the Enrollment Date,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117" w:lineRule="exact"/>
        <w:rPr>
          <w:rFonts w:ascii="Courier New" w:cs="Courier New" w:eastAsia="Courier New" w:hAnsi="Courier New"/>
          <w:sz w:val="18"/>
          <w:szCs w:val="18"/>
          <w:color w:val="auto"/>
        </w:rPr>
      </w:pPr>
    </w:p>
    <w:p>
      <w:pPr>
        <w:ind w:right="1779" w:firstLine="1061"/>
        <w:spacing w:after="0" w:line="272" w:lineRule="auto"/>
        <w:tabs>
          <w:tab w:leader="none" w:pos="158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average closing price for the preceding five (5) business days on the New York Stock Exchange (NYSE) on such date, as reported in The</w:t>
      </w:r>
    </w:p>
    <w:p>
      <w:pPr>
        <w:spacing w:after="0" w:line="5"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Wall Street Journal.</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Unless a participant withdraws from the Plan as</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provided in paragraph 11, his or her option for the purchase of shares will be exercised 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06" w:lineRule="exact"/>
        <w:rPr>
          <w:sz w:val="20"/>
          <w:szCs w:val="20"/>
          <w:color w:val="auto"/>
        </w:rPr>
      </w:pPr>
    </w:p>
    <w:p>
      <w:pPr>
        <w:ind w:left="1060" w:hanging="525"/>
        <w:spacing w:after="0"/>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on Transfer of Shares. Effective April 1, 1993, shares</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purchased upon exercise of a participant's option may not be transferred by the participant for a period of one (1) year from the Exercise Date. This transfer restriction shall be earlier terminated in the event of a</w:t>
      </w:r>
    </w:p>
    <w:p>
      <w:pPr>
        <w:sectPr>
          <w:pgSz w:w="11900" w:h="16838" w:orient="portrait"/>
          <w:cols w:equalWidth="0" w:num="1">
            <w:col w:w="10219"/>
          </w:cols>
          <w:pgMar w:left="240" w:top="691" w:right="1440" w:bottom="1440" w:gutter="0" w:footer="0" w:header="0"/>
        </w:sectPr>
      </w:pPr>
    </w:p>
    <w:bookmarkStart w:id="17" w:name="page18"/>
    <w:bookmarkEnd w:id="17"/>
    <w:p>
      <w:pPr>
        <w:ind w:right="1999"/>
        <w:spacing w:after="0" w:line="292" w:lineRule="auto"/>
        <w:rPr>
          <w:sz w:val="20"/>
          <w:szCs w:val="20"/>
          <w:color w:val="auto"/>
        </w:rPr>
      </w:pPr>
      <w:r>
        <w:rPr>
          <w:rFonts w:ascii="Courier New" w:cs="Courier New" w:eastAsia="Courier New" w:hAnsi="Courier New"/>
          <w:sz w:val="18"/>
          <w:szCs w:val="18"/>
          <w:color w:val="auto"/>
        </w:rPr>
        <w:t>participant's permanent disability or death, or upon the involuntary transfer of the shares due to divorce, judicial declaration of insolvency or bankruptcy or other form of involuntary transfer.</w:t>
      </w:r>
    </w:p>
    <w:p>
      <w:pPr>
        <w:spacing w:after="0" w:line="66" w:lineRule="exact"/>
        <w:rPr>
          <w:sz w:val="20"/>
          <w:szCs w:val="20"/>
          <w:color w:val="auto"/>
        </w:rPr>
      </w:pPr>
    </w:p>
    <w:p>
      <w:pPr>
        <w:ind w:left="1060" w:hanging="631"/>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Prior to April 1, 1993, as promptly as practicable after</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2" w:lineRule="auto"/>
        <w:rPr>
          <w:sz w:val="20"/>
          <w:szCs w:val="20"/>
          <w:color w:val="auto"/>
        </w:rPr>
      </w:pPr>
      <w:r>
        <w:rPr>
          <w:rFonts w:ascii="Courier New" w:cs="Courier New" w:eastAsia="Courier New" w:hAnsi="Courier New"/>
          <w:sz w:val="18"/>
          <w:szCs w:val="18"/>
          <w:color w:val="auto"/>
        </w:rPr>
        <w:t>the Exercise Date of each Offering Period, the Company shall arrange the delivery to each participant of a certificate representing the full shares purchased upon exercise of the participant's option. Subsequent to April 1, 1993, immediately following the Exercise Date of each Offering Period, unless a participant requests the issuance of a certificate representing the participant's shares, the Company shall promptly record the participant's full shares in book entry form. Upon request from a participant, or upon the involuntary transfer of a participant's shares, the Company shall arrange for the delivery to the participant of a certificate representing the full shares purchased. Certificates issued upon a participant's request which are subject to the transfer restriction referred to in paragraph 9 shall bear a legend in a conspicuous place referencing the restriction.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16" w:lineRule="exact"/>
        <w:rPr>
          <w:sz w:val="20"/>
          <w:szCs w:val="20"/>
          <w:color w:val="auto"/>
        </w:rPr>
      </w:pPr>
    </w:p>
    <w:p>
      <w:pPr>
        <w:ind w:left="1060" w:hanging="631"/>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Termination of Employment.</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779" w:firstLine="1061"/>
        <w:spacing w:after="0" w:line="248" w:lineRule="auto"/>
        <w:tabs>
          <w:tab w:leader="none" w:pos="15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withdraw all but not less than all the payroll deductions credited to such participant's account under the Plan at any time prior to the Exercise Date of the Offering Period by giving written notice to the Company in the form of Exhibit B to this Plan.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307" w:lineRule="exact"/>
        <w:rPr>
          <w:rFonts w:ascii="Courier New" w:cs="Courier New" w:eastAsia="Courier New" w:hAnsi="Courier New"/>
          <w:sz w:val="18"/>
          <w:szCs w:val="18"/>
          <w:color w:val="auto"/>
        </w:rPr>
      </w:pPr>
    </w:p>
    <w:p>
      <w:pPr>
        <w:ind w:right="1999" w:firstLine="1061"/>
        <w:spacing w:after="0" w:line="260" w:lineRule="auto"/>
        <w:tabs>
          <w:tab w:leader="none" w:pos="15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92" w:lineRule="exact"/>
        <w:rPr>
          <w:rFonts w:ascii="Courier New" w:cs="Courier New" w:eastAsia="Courier New" w:hAnsi="Courier New"/>
          <w:sz w:val="18"/>
          <w:szCs w:val="18"/>
          <w:color w:val="auto"/>
        </w:rPr>
      </w:pPr>
    </w:p>
    <w:p>
      <w:pPr>
        <w:ind w:right="1779" w:firstLine="1061"/>
        <w:spacing w:after="0" w:line="306" w:lineRule="auto"/>
        <w:tabs>
          <w:tab w:leader="none" w:pos="158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60" w:lineRule="exact"/>
        <w:rPr>
          <w:rFonts w:ascii="Courier New" w:cs="Courier New" w:eastAsia="Courier New" w:hAnsi="Courier New"/>
          <w:sz w:val="16"/>
          <w:szCs w:val="16"/>
          <w:color w:val="auto"/>
        </w:rPr>
      </w:pPr>
    </w:p>
    <w:p>
      <w:pPr>
        <w:ind w:right="1879" w:firstLine="1061"/>
        <w:spacing w:after="0" w:line="344" w:lineRule="auto"/>
        <w:tabs>
          <w:tab w:leader="none" w:pos="158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have any effect upon his or her eligibility to participate in a succeeding Offering Period or in any similar plan which may hereafter be adopted by the Company.</w:t>
      </w:r>
    </w:p>
    <w:p>
      <w:pPr>
        <w:sectPr>
          <w:pgSz w:w="11900" w:h="16838" w:orient="portrait"/>
          <w:cols w:equalWidth="0" w:num="1">
            <w:col w:w="10219"/>
          </w:cols>
          <w:pgMar w:left="240" w:top="691" w:right="1440" w:bottom="1440" w:gutter="0" w:footer="0" w:header="0"/>
        </w:sectPr>
      </w:pPr>
    </w:p>
    <w:bookmarkStart w:id="18" w:name="page19"/>
    <w:bookmarkEnd w:id="18"/>
    <w:p>
      <w:pPr>
        <w:ind w:left="1060" w:hanging="631"/>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No interest shall accrue on the payroll deductions of a</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participant in the Plan.</w:t>
      </w:r>
    </w:p>
    <w:p>
      <w:pPr>
        <w:spacing w:after="0" w:line="169" w:lineRule="exact"/>
        <w:rPr>
          <w:sz w:val="20"/>
          <w:szCs w:val="20"/>
          <w:color w:val="auto"/>
        </w:rPr>
      </w:pPr>
    </w:p>
    <w:p>
      <w:pPr>
        <w:ind w:left="1060" w:hanging="631"/>
        <w:spacing w:after="0"/>
        <w:tabs>
          <w:tab w:leader="none" w:pos="10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779" w:firstLine="1061"/>
        <w:spacing w:after="0" w:line="247" w:lineRule="auto"/>
        <w:tabs>
          <w:tab w:leader="none" w:pos="147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the Company's Common Stock which shall be made available for sale under the Plan shall be 9,250,000 shares,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07" w:lineRule="exact"/>
        <w:rPr>
          <w:rFonts w:ascii="Courier New" w:cs="Courier New" w:eastAsia="Courier New" w:hAnsi="Courier New"/>
          <w:sz w:val="18"/>
          <w:szCs w:val="18"/>
          <w:color w:val="auto"/>
        </w:rPr>
      </w:pPr>
    </w:p>
    <w:p>
      <w:pPr>
        <w:ind w:right="2099" w:firstLine="1061"/>
        <w:spacing w:after="0" w:line="347" w:lineRule="auto"/>
        <w:tabs>
          <w:tab w:leader="none" w:pos="147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will have no interest or voting right in shares covered by his or her option until such option has been exercised.</w:t>
      </w:r>
    </w:p>
    <w:p>
      <w:pPr>
        <w:spacing w:after="0" w:line="18" w:lineRule="exact"/>
        <w:rPr>
          <w:rFonts w:ascii="Courier New" w:cs="Courier New" w:eastAsia="Courier New" w:hAnsi="Courier New"/>
          <w:sz w:val="18"/>
          <w:szCs w:val="18"/>
          <w:color w:val="auto"/>
        </w:rPr>
      </w:pPr>
    </w:p>
    <w:p>
      <w:pPr>
        <w:ind w:right="1879" w:firstLine="1061"/>
        <w:spacing w:after="0" w:line="292" w:lineRule="auto"/>
        <w:tabs>
          <w:tab w:leader="none" w:pos="147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to be delivered to a participant under the Plan will be registered in the name of the participant or in the name of the participant and his or her spouse.</w:t>
      </w:r>
    </w:p>
    <w:p>
      <w:pPr>
        <w:spacing w:after="0" w:line="66" w:lineRule="exact"/>
        <w:rPr>
          <w:rFonts w:ascii="Courier New" w:cs="Courier New" w:eastAsia="Courier New" w:hAnsi="Courier New"/>
          <w:sz w:val="18"/>
          <w:szCs w:val="18"/>
          <w:color w:val="auto"/>
        </w:rPr>
      </w:pPr>
    </w:p>
    <w:p>
      <w:pPr>
        <w:ind w:left="1060" w:hanging="631"/>
        <w:spacing w:after="0"/>
        <w:tabs>
          <w:tab w:leader="none" w:pos="10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Board of the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96" w:lineRule="exact"/>
        <w:rPr>
          <w:sz w:val="20"/>
          <w:szCs w:val="20"/>
          <w:color w:val="auto"/>
        </w:rPr>
      </w:pPr>
    </w:p>
    <w:p>
      <w:pPr>
        <w:ind w:right="1779" w:firstLine="1061"/>
        <w:spacing w:after="0" w:line="292"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Board who are eligible to participate in the Plan may not vote on any matter affecting the administration of the Plan or the grant of any option pursuant to the Plan.</w:t>
      </w:r>
    </w:p>
    <w:p>
      <w:pPr>
        <w:spacing w:after="0" w:line="66" w:lineRule="exact"/>
        <w:rPr>
          <w:rFonts w:ascii="Courier New" w:cs="Courier New" w:eastAsia="Courier New" w:hAnsi="Courier New"/>
          <w:sz w:val="18"/>
          <w:szCs w:val="18"/>
          <w:color w:val="auto"/>
        </w:rPr>
      </w:pPr>
    </w:p>
    <w:p>
      <w:pPr>
        <w:ind w:right="1779" w:firstLine="1061"/>
        <w:spacing w:after="0" w:line="292" w:lineRule="auto"/>
        <w:tabs>
          <w:tab w:leader="none" w:pos="147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Committee is established to administer the Plan, no member of the Board who is eligible to participate in the Plan may be a member of the Committee.</w:t>
      </w:r>
    </w:p>
    <w:p>
      <w:pPr>
        <w:spacing w:after="0" w:line="66" w:lineRule="exact"/>
        <w:rPr>
          <w:rFonts w:ascii="Courier New" w:cs="Courier New" w:eastAsia="Courier New" w:hAnsi="Courier New"/>
          <w:sz w:val="18"/>
          <w:szCs w:val="18"/>
          <w:color w:val="auto"/>
        </w:rPr>
      </w:pPr>
    </w:p>
    <w:p>
      <w:pPr>
        <w:ind w:left="1060" w:hanging="631"/>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w:t>
      </w:r>
    </w:p>
    <w:p>
      <w:pPr>
        <w:spacing w:after="0" w:line="30"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right="1879" w:firstLine="1061"/>
        <w:spacing w:after="0" w:line="293" w:lineRule="auto"/>
        <w:tabs>
          <w:tab w:leader="none" w:pos="147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ectPr>
          <w:pgSz w:w="11900" w:h="16838" w:orient="portrait"/>
          <w:cols w:equalWidth="0" w:num="1">
            <w:col w:w="10219"/>
          </w:cols>
          <w:pgMar w:left="240" w:top="691" w:right="1440" w:bottom="1440" w:gutter="0" w:footer="0" w:header="0"/>
        </w:sectPr>
      </w:pPr>
    </w:p>
    <w:bookmarkStart w:id="19" w:name="page20"/>
    <w:bookmarkEnd w:id="19"/>
    <w:p>
      <w:pPr>
        <w:ind w:right="1879" w:firstLine="1061"/>
        <w:spacing w:after="0" w:line="285" w:lineRule="auto"/>
        <w:tabs>
          <w:tab w:leader="none" w:pos="1475"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76" w:lineRule="exact"/>
        <w:rPr>
          <w:rFonts w:ascii="Courier New" w:cs="Courier New" w:eastAsia="Courier New" w:hAnsi="Courier New"/>
          <w:sz w:val="16"/>
          <w:szCs w:val="16"/>
          <w:color w:val="auto"/>
        </w:rPr>
      </w:pPr>
    </w:p>
    <w:p>
      <w:pPr>
        <w:ind w:left="1060" w:hanging="631"/>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Rights.  Neither payroll deductions credited to a</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02" w:lineRule="exact"/>
        <w:rPr>
          <w:sz w:val="20"/>
          <w:szCs w:val="20"/>
          <w:color w:val="auto"/>
        </w:rPr>
      </w:pPr>
    </w:p>
    <w:p>
      <w:pPr>
        <w:ind w:left="1060" w:hanging="631"/>
        <w:spacing w:after="0"/>
        <w:tabs>
          <w:tab w:leader="none" w:pos="10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Funds.  All payroll deductions received or held by the Company</w:t>
      </w:r>
    </w:p>
    <w:p>
      <w:pPr>
        <w:spacing w:after="0" w:line="53"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under the Plan may be used by the Company for any corporate purpose, and the Company shall not be obligated to segregate such payroll deductions.</w:t>
      </w:r>
    </w:p>
    <w:p>
      <w:pPr>
        <w:spacing w:after="0" w:line="51" w:lineRule="exact"/>
        <w:rPr>
          <w:sz w:val="20"/>
          <w:szCs w:val="20"/>
          <w:color w:val="auto"/>
        </w:rPr>
      </w:pPr>
    </w:p>
    <w:p>
      <w:pPr>
        <w:ind w:left="1060" w:hanging="631"/>
        <w:spacing w:after="0"/>
        <w:tabs>
          <w:tab w:leader="none" w:pos="10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Individual accounts will be maintained for each participant</w:t>
      </w:r>
    </w:p>
    <w:p>
      <w:pPr>
        <w:spacing w:after="0" w:line="53"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96" w:lineRule="exact"/>
        <w:rPr>
          <w:sz w:val="20"/>
          <w:szCs w:val="20"/>
          <w:color w:val="auto"/>
        </w:rPr>
      </w:pPr>
    </w:p>
    <w:p>
      <w:pPr>
        <w:ind w:left="1060" w:hanging="631"/>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Subject to any required</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74" w:lineRule="auto"/>
        <w:rPr>
          <w:sz w:val="20"/>
          <w:szCs w:val="20"/>
          <w:color w:val="auto"/>
        </w:rPr>
      </w:pPr>
      <w:r>
        <w:rPr>
          <w:rFonts w:ascii="Courier New" w:cs="Courier New" w:eastAsia="Courier New" w:hAnsi="Courier New"/>
          <w:sz w:val="16"/>
          <w:szCs w:val="16"/>
          <w:color w:val="auto"/>
        </w:rPr>
        <w:t>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9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In the event of the proposed dissolution or liquidation of the Company, the Offering Period will terminate immediately prior to the consummation of such proposed action, unless</w:t>
      </w:r>
    </w:p>
    <w:p>
      <w:pPr>
        <w:sectPr>
          <w:pgSz w:w="11900" w:h="16838" w:orient="portrait"/>
          <w:cols w:equalWidth="0" w:num="1">
            <w:col w:w="10219"/>
          </w:cols>
          <w:pgMar w:left="240" w:top="691" w:right="1440" w:bottom="1440" w:gutter="0" w:footer="0" w:header="0"/>
        </w:sectPr>
      </w:pPr>
    </w:p>
    <w:bookmarkStart w:id="20" w:name="page21"/>
    <w:bookmarkEnd w:id="20"/>
    <w:p>
      <w:pPr>
        <w:ind w:right="1999"/>
        <w:spacing w:after="0" w:line="246" w:lineRule="auto"/>
        <w:rPr>
          <w:sz w:val="20"/>
          <w:szCs w:val="20"/>
          <w:color w:val="auto"/>
        </w:rPr>
      </w:pPr>
      <w:r>
        <w:rPr>
          <w:rFonts w:ascii="Courier New" w:cs="Courier New" w:eastAsia="Courier New" w:hAnsi="Courier New"/>
          <w:sz w:val="18"/>
          <w:szCs w:val="18"/>
          <w:color w:val="auto"/>
        </w:rPr>
        <w:t>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11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98" w:lineRule="exact"/>
        <w:rPr>
          <w:sz w:val="20"/>
          <w:szCs w:val="20"/>
          <w:color w:val="auto"/>
        </w:rPr>
      </w:pPr>
    </w:p>
    <w:p>
      <w:pPr>
        <w:ind w:left="1060" w:hanging="631"/>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  The Board of Directors of the Company may</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01" w:lineRule="exact"/>
        <w:rPr>
          <w:sz w:val="20"/>
          <w:szCs w:val="20"/>
          <w:color w:val="auto"/>
        </w:rPr>
      </w:pPr>
    </w:p>
    <w:p>
      <w:pPr>
        <w:ind w:left="1580" w:hanging="519"/>
        <w:spacing w:after="0"/>
        <w:tabs>
          <w:tab w:leader="none" w:pos="1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number of shares that may be issued under the Plan;</w:t>
      </w:r>
    </w:p>
    <w:p>
      <w:pPr>
        <w:spacing w:after="0" w:line="223" w:lineRule="exact"/>
        <w:rPr>
          <w:rFonts w:ascii="Courier New" w:cs="Courier New" w:eastAsia="Courier New" w:hAnsi="Courier New"/>
          <w:sz w:val="16"/>
          <w:szCs w:val="16"/>
          <w:color w:val="auto"/>
        </w:rPr>
      </w:pPr>
    </w:p>
    <w:p>
      <w:pPr>
        <w:ind w:right="1999" w:firstLine="1061"/>
        <w:spacing w:after="0" w:line="347"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designation of the employees (or class of employees) eligible for participation in the Plan; or</w:t>
      </w:r>
    </w:p>
    <w:p>
      <w:pPr>
        <w:spacing w:after="0" w:line="1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increase the benefits which may accrue to participants</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under the Plan.</w:t>
      </w:r>
    </w:p>
    <w:p>
      <w:pPr>
        <w:spacing w:after="0" w:line="169" w:lineRule="exact"/>
        <w:rPr>
          <w:rFonts w:ascii="Courier New" w:cs="Courier New" w:eastAsia="Courier New" w:hAnsi="Courier New"/>
          <w:sz w:val="16"/>
          <w:szCs w:val="16"/>
          <w:color w:val="auto"/>
        </w:rPr>
      </w:pPr>
    </w:p>
    <w:p>
      <w:pPr>
        <w:ind w:right="1779" w:firstLine="1061"/>
        <w:spacing w:after="0" w:line="306" w:lineRule="auto"/>
        <w:tabs>
          <w:tab w:leader="none" w:pos="1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60" w:lineRule="exact"/>
        <w:rPr>
          <w:rFonts w:ascii="Courier New" w:cs="Courier New" w:eastAsia="Courier New" w:hAnsi="Courier New"/>
          <w:sz w:val="16"/>
          <w:szCs w:val="16"/>
          <w:color w:val="auto"/>
        </w:rPr>
      </w:pPr>
    </w:p>
    <w:p>
      <w:pPr>
        <w:ind w:right="2199" w:firstLine="1588"/>
        <w:spacing w:after="0" w:line="260" w:lineRule="auto"/>
        <w:tabs>
          <w:tab w:leader="none" w:pos="2212"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92"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shortening any Offering Period so that Offering Period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ends on a</w:t>
      </w:r>
    </w:p>
    <w:p>
      <w:pPr>
        <w:sectPr>
          <w:pgSz w:w="11900" w:h="16838" w:orient="portrait"/>
          <w:cols w:equalWidth="0" w:num="1">
            <w:col w:w="10219"/>
          </w:cols>
          <w:pgMar w:left="240" w:top="691" w:right="1440" w:bottom="1440" w:gutter="0" w:footer="0" w:header="0"/>
        </w:sectPr>
      </w:pPr>
    </w:p>
    <w:bookmarkStart w:id="21" w:name="page22"/>
    <w:bookmarkEnd w:id="21"/>
    <w:p>
      <w:pPr>
        <w:ind w:right="2319"/>
        <w:spacing w:after="0" w:line="347" w:lineRule="auto"/>
        <w:rPr>
          <w:sz w:val="20"/>
          <w:szCs w:val="20"/>
          <w:color w:val="auto"/>
        </w:rPr>
      </w:pPr>
      <w:r>
        <w:rPr>
          <w:rFonts w:ascii="Courier New" w:cs="Courier New" w:eastAsia="Courier New" w:hAnsi="Courier New"/>
          <w:sz w:val="18"/>
          <w:szCs w:val="18"/>
          <w:color w:val="auto"/>
        </w:rPr>
        <w:t>new Exercise Date, including an Offering Period underway at the time of the Board action.</w:t>
      </w:r>
    </w:p>
    <w:p>
      <w:pPr>
        <w:spacing w:after="0" w:line="1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Such modifications or amendments shall not require stockholder approval or the consent of any Plan participants.</w:t>
      </w:r>
    </w:p>
    <w:p>
      <w:pPr>
        <w:spacing w:after="0" w:line="18" w:lineRule="exact"/>
        <w:rPr>
          <w:sz w:val="20"/>
          <w:szCs w:val="20"/>
          <w:color w:val="auto"/>
        </w:rPr>
      </w:pPr>
    </w:p>
    <w:p>
      <w:pPr>
        <w:ind w:left="1060" w:hanging="631"/>
        <w:spacing w:after="0"/>
        <w:tabs>
          <w:tab w:leader="none" w:pos="10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or other communications by a participant to the</w:t>
      </w:r>
    </w:p>
    <w:p>
      <w:pPr>
        <w:spacing w:after="0" w:line="53"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879"/>
        <w:spacing w:after="0" w:line="323" w:lineRule="auto"/>
        <w:rPr>
          <w:sz w:val="20"/>
          <w:szCs w:val="20"/>
          <w:color w:val="auto"/>
        </w:rPr>
      </w:pPr>
      <w:r>
        <w:rPr>
          <w:rFonts w:ascii="Courier New" w:cs="Courier New" w:eastAsia="Courier New" w:hAnsi="Courier New"/>
          <w:sz w:val="16"/>
          <w:szCs w:val="16"/>
          <w:color w:val="auto"/>
        </w:rPr>
        <w:t>Company under or in connection with the Plan shall be deemed to have been duly given when received in the form specified by the Company at the location, or by the person, designated by the Company for the receipt thereof.</w:t>
      </w:r>
    </w:p>
    <w:p>
      <w:pPr>
        <w:spacing w:after="0" w:line="47" w:lineRule="exact"/>
        <w:rPr>
          <w:sz w:val="20"/>
          <w:szCs w:val="20"/>
          <w:color w:val="auto"/>
        </w:rPr>
      </w:pPr>
    </w:p>
    <w:p>
      <w:pPr>
        <w:ind w:left="1060" w:hanging="631"/>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96" w:lineRule="exact"/>
        <w:rPr>
          <w:sz w:val="20"/>
          <w:szCs w:val="20"/>
          <w:color w:val="auto"/>
        </w:rPr>
      </w:pPr>
    </w:p>
    <w:p>
      <w:pPr>
        <w:ind w:right="1779" w:firstLine="1061"/>
        <w:spacing w:after="0" w:line="256"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solicited substantially in accordance with Section 14(a) of the Securities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98" w:lineRule="exact"/>
        <w:rPr>
          <w:rFonts w:ascii="Courier New" w:cs="Courier New" w:eastAsia="Courier New" w:hAnsi="Courier New"/>
          <w:sz w:val="18"/>
          <w:szCs w:val="18"/>
          <w:color w:val="auto"/>
        </w:rPr>
      </w:pPr>
    </w:p>
    <w:p>
      <w:pPr>
        <w:ind w:right="1879" w:firstLine="1061"/>
        <w:spacing w:after="0" w:line="292"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obtained at or prior to the first annual meeting of shareholders held subsequent to the first registration of Common Stock under Section 12 of the Act.</w:t>
      </w:r>
    </w:p>
    <w:p>
      <w:pPr>
        <w:spacing w:after="0" w:line="66"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98" w:lineRule="exact"/>
        <w:rPr>
          <w:sz w:val="20"/>
          <w:szCs w:val="20"/>
          <w:color w:val="auto"/>
        </w:rPr>
      </w:pPr>
    </w:p>
    <w:p>
      <w:pPr>
        <w:ind w:left="1060" w:hanging="631"/>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  Shares shall not be issued with</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999"/>
        <w:spacing w:after="0" w:line="250" w:lineRule="auto"/>
        <w:rPr>
          <w:sz w:val="20"/>
          <w:szCs w:val="20"/>
          <w:color w:val="auto"/>
        </w:rPr>
      </w:pPr>
      <w:r>
        <w:rPr>
          <w:rFonts w:ascii="Courier New" w:cs="Courier New" w:eastAsia="Courier New" w:hAnsi="Courier New"/>
          <w:sz w:val="18"/>
          <w:szCs w:val="18"/>
          <w:color w:val="auto"/>
        </w:rPr>
        <w:t>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02" w:lineRule="exact"/>
        <w:rPr>
          <w:sz w:val="20"/>
          <w:szCs w:val="20"/>
          <w:color w:val="auto"/>
        </w:rPr>
      </w:pPr>
    </w:p>
    <w:p>
      <w:pPr>
        <w:ind w:right="1879" w:firstLine="1053"/>
        <w:spacing w:after="0" w:line="260" w:lineRule="auto"/>
        <w:rPr>
          <w:sz w:val="20"/>
          <w:szCs w:val="20"/>
          <w:color w:val="auto"/>
        </w:rPr>
      </w:pPr>
      <w:r>
        <w:rPr>
          <w:rFonts w:ascii="Courier New" w:cs="Courier New" w:eastAsia="Courier New" w:hAnsi="Courier New"/>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ectPr>
          <w:pgSz w:w="11900" w:h="16838" w:orient="portrait"/>
          <w:cols w:equalWidth="0" w:num="1">
            <w:col w:w="10219"/>
          </w:cols>
          <w:pgMar w:left="240" w:top="691" w:right="1440" w:bottom="1440" w:gutter="0" w:footer="0" w:header="0"/>
        </w:sectPr>
      </w:pPr>
    </w:p>
    <w:bookmarkStart w:id="22" w:name="page23"/>
    <w:bookmarkEnd w:id="22"/>
    <w:p>
      <w:pPr>
        <w:ind w:left="1060" w:hanging="631"/>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The Plan shall become effective upon the earlier to</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occur of its adoption by the Board of Directors or its approval by the shareholders of the Company as described in paragraph 22. It shall continue in effect for a term of twenty (20) years unless sooner terminated under paragraph 20.</w:t>
      </w:r>
    </w:p>
    <w:p>
      <w:pPr>
        <w:sectPr>
          <w:pgSz w:w="11900" w:h="16838" w:orient="portrait"/>
          <w:cols w:equalWidth="0" w:num="1">
            <w:col w:w="10219"/>
          </w:cols>
          <w:pgMar w:left="240" w:top="690"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January 26,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have examined the Registration Statement on Form S-8 to be filed by you with the Securities and Exchange Commission on or about January 26, 1999, in connection with the registration under the Securities Act of 1933, as amended, of shares of your Common Stock reserved for issuance under the Micron Technology, Inc. 1998 Non-Employee Director Stock Incentive Plan and the Micron Technology, Inc. 1989 Employee Stock Purchase Plan (collectively, the "Plans"). As your legal counsel, we have examined the proceedings taken and are familiar with the proceedings proposed to be taken by you in connection with the sale and issuance of said shares.</w:t>
      </w:r>
    </w:p>
    <w:p>
      <w:pPr>
        <w:spacing w:after="0" w:line="99"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It is our opinion that, upon completion of the proceedings to be taken prior to issuance of the shares pursuant to the Prospectus constituting part of and incorporated by reference into the Registration Statement on Form S-8 and upon completion of the proceedings being taken in order to permit such transactions to be carried out in accordance with the securities laws of the various states where required, the shares, when issued and sold in the manner referred to in the Plans and the agreements which accompany the Plans, and in accordance with the Company's Certificate of Incorporation, will be legally and validly issued, fully paid and nonassessable.</w:t>
      </w:r>
    </w:p>
    <w:p>
      <w:pPr>
        <w:spacing w:after="0" w:line="99"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consent to the use of this opinion as an exhibit to said Registration Statement and further consent to the use of our name wherever appearing in said Registration Statement, including the Prospectus constituting a part thereof, and amendments thereto.</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WILSON SONSINI GOODRICH &amp; ROSATI,</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Professional Corporation</w:t>
      </w:r>
    </w:p>
    <w:p>
      <w:pPr>
        <w:sectPr>
          <w:pgSz w:w="11900" w:h="16838" w:orient="portrait"/>
          <w:cols w:equalWidth="0" w:num="1">
            <w:col w:w="10219"/>
          </w:cols>
          <w:pgMar w:left="240" w:top="515"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Micron Technology, Inc. on Form S-8 of our report dated September 28, 1998, except the Subsequent Event Note which is as of October 19, 1998, on our audits of the consolidated financial statements of Micron Technology, Inc. as of September 3, 1998 and August 28, 1997 and for each of the three years in the period ended September 3, 1998, which report is included in the Annual Report on Form 10-K (File No. 1-10658).</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rPr>
          <w:sz w:val="20"/>
          <w:szCs w:val="20"/>
          <w:color w:val="auto"/>
        </w:rPr>
      </w:pPr>
      <w:r>
        <w:rPr>
          <w:rFonts w:ascii="Courier New" w:cs="Courier New" w:eastAsia="Courier New" w:hAnsi="Courier New"/>
          <w:sz w:val="18"/>
          <w:szCs w:val="18"/>
          <w:color w:val="auto"/>
        </w:rPr>
        <w:t>January 26, 1999</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lowerLetter"/>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lowerLetter"/>
      <w:start w:val="2"/>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3"/>
    </w:lvl>
  </w:abstractNum>
  <w:abstractNum w:abstractNumId="14">
    <w:nsid w:val="5C482A97"/>
    <w:multiLevelType w:val="hybridMultilevel"/>
    <w:lvl w:ilvl="0">
      <w:lvlJc w:val="left"/>
      <w:lvlText w:val="%1."/>
      <w:numFmt w:val="decimal"/>
      <w:start w:val="4"/>
    </w:lvl>
    <w:lvl w:ilvl="1">
      <w:lvlJc w:val="left"/>
      <w:lvlText w:val="(%2)"/>
      <w:numFmt w:val="lowerLetter"/>
      <w:start w:val="1"/>
    </w:lvl>
  </w:abstractNum>
  <w:abstractNum w:abstractNumId="15">
    <w:nsid w:val="2463B9EA"/>
    <w:multiLevelType w:val="hybridMultilevel"/>
    <w:lvl w:ilvl="0">
      <w:lvlJc w:val="left"/>
      <w:lvlText w:val="(%1)"/>
      <w:numFmt w:val="lowerLetter"/>
      <w:start w:val="4"/>
    </w:lvl>
    <w:lvl w:ilvl="1">
      <w:lvlJc w:val="left"/>
      <w:lvlText w:val="(%2)"/>
      <w:numFmt w:val="lowerRoman"/>
      <w:start w:val="1"/>
    </w:lvl>
  </w:abstractNum>
  <w:abstractNum w:abstractNumId="16">
    <w:nsid w:val="5E884ADC"/>
    <w:multiLevelType w:val="hybridMultilevel"/>
    <w:lvl w:ilvl="0">
      <w:lvlJc w:val="left"/>
      <w:lvlText w:val="(%1)"/>
      <w:numFmt w:val="lowerLetter"/>
      <w:start w:val="6"/>
    </w:lvl>
  </w:abstractNum>
  <w:abstractNum w:abstractNumId="17">
    <w:nsid w:val="51EAD36B"/>
    <w:multiLevelType w:val="hybridMultilevel"/>
    <w:lvl w:ilvl="0">
      <w:lvlJc w:val="left"/>
      <w:lvlText w:val="%1."/>
      <w:numFmt w:val="decimal"/>
      <w:start w:val="7"/>
    </w:lvl>
    <w:lvl w:ilvl="1">
      <w:lvlJc w:val="left"/>
      <w:lvlText w:val="(%2)"/>
      <w:numFmt w:val="lowerLetter"/>
      <w:start w:val="1"/>
    </w:lvl>
  </w:abstractNum>
  <w:abstractNum w:abstractNumId="18">
    <w:nsid w:val="2D517796"/>
    <w:multiLevelType w:val="hybridMultilevel"/>
    <w:lvl w:ilvl="0">
      <w:lvlJc w:val="left"/>
      <w:lvlText w:val="%1"/>
      <w:numFmt w:val="decimal"/>
      <w:start w:val="1"/>
    </w:lvl>
    <w:lvl w:ilvl="1">
      <w:lvlJc w:val="left"/>
      <w:lvlText w:val="(%2)"/>
      <w:numFmt w:val="lowerLetter"/>
      <w:start w:val="2"/>
    </w:lvl>
  </w:abstractNum>
  <w:abstractNum w:abstractNumId="19">
    <w:nsid w:val="580BD78F"/>
    <w:multiLevelType w:val="hybridMultilevel"/>
    <w:lvl w:ilvl="0">
      <w:lvlJc w:val="left"/>
      <w:lvlText w:val="%1."/>
      <w:numFmt w:val="decimal"/>
      <w:start w:val="10"/>
    </w:lvl>
    <w:lvl w:ilvl="1">
      <w:lvlJc w:val="left"/>
      <w:lvlText w:val="%2"/>
      <w:numFmt w:val="lowerLetter"/>
      <w:start w:val="1"/>
    </w:lvl>
  </w:abstractNum>
  <w:abstractNum w:abstractNumId="20">
    <w:nsid w:val="153EA438"/>
    <w:multiLevelType w:val="hybridMultilevel"/>
    <w:lvl w:ilvl="0">
      <w:lvlJc w:val="left"/>
      <w:lvlText w:val="%1."/>
      <w:numFmt w:val="decimal"/>
      <w:start w:val="12"/>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2"/>
    </w:lvl>
    <w:lvl w:ilvl="1">
      <w:lvlJc w:val="left"/>
      <w:lvlText w:val="(%2)"/>
      <w:numFmt w:val="lowerLetter"/>
      <w:start w:val="1"/>
    </w:lvl>
  </w:abstractNum>
  <w:abstractNum w:abstractNumId="23">
    <w:nsid w:val="6A2342EC"/>
    <w:multiLevelType w:val="hybridMultilevel"/>
    <w:lvl w:ilvl="0">
      <w:lvlJc w:val="left"/>
      <w:lvlText w:val="(%1)"/>
      <w:numFmt w:val="lowerLetter"/>
      <w:start w:val="4"/>
    </w:lvl>
  </w:abstractNum>
  <w:abstractNum w:abstractNumId="24">
    <w:nsid w:val="2A487CB0"/>
    <w:multiLevelType w:val="hybridMultilevel"/>
    <w:lvl w:ilvl="0">
      <w:lvlJc w:val="left"/>
      <w:lvlText w:val="(%1)"/>
      <w:numFmt w:val="lowerLetter"/>
      <w:start w:val="5"/>
    </w:lvl>
  </w:abstractNum>
  <w:abstractNum w:abstractNumId="25">
    <w:nsid w:val="1D4ED43B"/>
    <w:multiLevelType w:val="hybridMultilevel"/>
    <w:lvl w:ilvl="0">
      <w:lvlJc w:val="left"/>
      <w:lvlText w:val="(%1)"/>
      <w:numFmt w:val="lowerLetter"/>
      <w:start w:val="4"/>
    </w:lvl>
  </w:abstractNum>
  <w:abstractNum w:abstractNumId="26">
    <w:nsid w:val="725A06FB"/>
    <w:multiLevelType w:val="hybridMultilevel"/>
    <w:lvl w:ilvl="0">
      <w:lvlJc w:val="left"/>
      <w:lvlText w:val="(%1)"/>
      <w:numFmt w:val="lowerLetter"/>
      <w:start w:val="6"/>
    </w:lvl>
  </w:abstractNum>
  <w:abstractNum w:abstractNumId="27">
    <w:nsid w:val="2CD89A32"/>
    <w:multiLevelType w:val="hybridMultilevel"/>
    <w:lvl w:ilvl="0">
      <w:lvlJc w:val="left"/>
      <w:lvlText w:val="(%1)"/>
      <w:numFmt w:val="lowerLetter"/>
      <w:start w:val="6"/>
    </w:lvl>
  </w:abstractNum>
  <w:abstractNum w:abstractNumId="28">
    <w:nsid w:val="57E4CCAF"/>
    <w:multiLevelType w:val="hybridMultilevel"/>
    <w:lvl w:ilvl="0">
      <w:lvlJc w:val="left"/>
      <w:lvlText w:val="(%1)"/>
      <w:numFmt w:val="lowerLetter"/>
      <w:start w:val="7"/>
    </w:lvl>
  </w:abstractNum>
  <w:abstractNum w:abstractNumId="29">
    <w:nsid w:val="7A6D8D3C"/>
    <w:multiLevelType w:val="hybridMultilevel"/>
    <w:lvl w:ilvl="0">
      <w:lvlJc w:val="left"/>
      <w:lvlText w:val="(%1)"/>
      <w:numFmt w:val="lowerLetter"/>
      <w:start w:val="8"/>
    </w:lvl>
  </w:abstractNum>
  <w:abstractNum w:abstractNumId="30">
    <w:nsid w:val="4B588F54"/>
    <w:multiLevelType w:val="hybridMultilevel"/>
    <w:lvl w:ilvl="0">
      <w:lvlJc w:val="left"/>
      <w:lvlText w:val="(%1)"/>
      <w:numFmt w:val="decimal"/>
      <w:start w:val="5"/>
    </w:lvl>
  </w:abstractNum>
  <w:abstractNum w:abstractNumId="31">
    <w:nsid w:val="542289EC"/>
    <w:multiLevelType w:val="hybridMultilevel"/>
    <w:lvl w:ilvl="0">
      <w:lvlJc w:val="left"/>
      <w:lvlText w:val="(%1)"/>
      <w:numFmt w:val="decimal"/>
      <w:start w:val="20"/>
    </w:lvl>
  </w:abstractNum>
  <w:abstractNum w:abstractNumId="32">
    <w:nsid w:val="6DE91B18"/>
    <w:multiLevelType w:val="hybridMultilevel"/>
    <w:lvl w:ilvl="0">
      <w:lvlJc w:val="left"/>
      <w:lvlText w:val="(%1)"/>
      <w:numFmt w:val="lowerRoman"/>
      <w:start w:val="1"/>
    </w:lvl>
  </w:abstractNum>
  <w:abstractNum w:abstractNumId="33">
    <w:nsid w:val="38437FDB"/>
    <w:multiLevelType w:val="hybridMultilevel"/>
    <w:lvl w:ilvl="0">
      <w:lvlJc w:val="left"/>
      <w:lvlText w:val="(%1)"/>
      <w:numFmt w:val="lowerLetter"/>
      <w:start w:val="10"/>
    </w:lvl>
  </w:abstractNum>
  <w:abstractNum w:abstractNumId="34">
    <w:nsid w:val="7644A45C"/>
    <w:multiLevelType w:val="hybridMultilevel"/>
    <w:lvl w:ilvl="0">
      <w:lvlJc w:val="left"/>
      <w:lvlText w:val="(%1)"/>
      <w:numFmt w:val="lowerLetter"/>
      <w:start w:val="11"/>
    </w:lvl>
  </w:abstractNum>
  <w:abstractNum w:abstractNumId="35">
    <w:nsid w:val="32FFF902"/>
    <w:multiLevelType w:val="hybridMultilevel"/>
    <w:lvl w:ilvl="0">
      <w:lvlJc w:val="left"/>
      <w:lvlText w:val="(%1)"/>
      <w:numFmt w:val="lowerLetter"/>
      <w:start w:val="12"/>
    </w:lvl>
  </w:abstractNum>
  <w:abstractNum w:abstractNumId="36">
    <w:nsid w:val="684A481A"/>
    <w:multiLevelType w:val="hybridMultilevel"/>
    <w:lvl w:ilvl="0">
      <w:lvlJc w:val="left"/>
      <w:lvlText w:val="%1."/>
      <w:numFmt w:val="decimal"/>
      <w:start w:val="3"/>
    </w:lvl>
    <w:lvl w:ilvl="1">
      <w:lvlJc w:val="left"/>
      <w:lvlText w:val="(%2)"/>
      <w:numFmt w:val="lowerLetter"/>
      <w:start w:val="1"/>
    </w:lvl>
  </w:abstractNum>
  <w:abstractNum w:abstractNumId="37">
    <w:nsid w:val="579478FE"/>
    <w:multiLevelType w:val="hybridMultilevel"/>
    <w:lvl w:ilvl="0">
      <w:lvlJc w:val="left"/>
      <w:lvlText w:val="%1."/>
      <w:numFmt w:val="decimal"/>
      <w:start w:val="4"/>
    </w:lvl>
  </w:abstractNum>
  <w:abstractNum w:abstractNumId="38">
    <w:nsid w:val="749ABB43"/>
    <w:multiLevelType w:val="hybridMultilevel"/>
    <w:lvl w:ilvl="0">
      <w:lvlJc w:val="left"/>
      <w:lvlText w:val="%1."/>
      <w:numFmt w:val="decimal"/>
      <w:start w:val="5"/>
    </w:lvl>
    <w:lvl w:ilvl="1">
      <w:lvlJc w:val="left"/>
      <w:lvlText w:val="(%2)"/>
      <w:numFmt w:val="lowerLetter"/>
      <w:start w:val="1"/>
    </w:lvl>
  </w:abstractNum>
  <w:abstractNum w:abstractNumId="39">
    <w:nsid w:val="3DC240FB"/>
    <w:multiLevelType w:val="hybridMultilevel"/>
    <w:lvl w:ilvl="0">
      <w:lvlJc w:val="left"/>
      <w:lvlText w:val="%1"/>
      <w:numFmt w:val="decimal"/>
      <w:start w:val="1"/>
    </w:lvl>
    <w:lvl w:ilvl="1">
      <w:lvlJc w:val="left"/>
      <w:lvlText w:val="(%2)"/>
      <w:numFmt w:val="lowerLetter"/>
      <w:start w:val="4"/>
    </w:lvl>
  </w:abstractNum>
  <w:abstractNum w:abstractNumId="40">
    <w:nsid w:val="1BA026FA"/>
    <w:multiLevelType w:val="hybridMultilevel"/>
    <w:lvl w:ilvl="0">
      <w:lvlJc w:val="left"/>
      <w:lvlText w:val="%1."/>
      <w:numFmt w:val="decimal"/>
      <w:start w:val="7"/>
    </w:lvl>
    <w:lvl w:ilvl="1">
      <w:lvlJc w:val="left"/>
      <w:lvlText w:val="(%2)"/>
      <w:numFmt w:val="lowerLetter"/>
      <w:start w:val="1"/>
    </w:lvl>
  </w:abstractNum>
  <w:abstractNum w:abstractNumId="41">
    <w:nsid w:val="79A1DEAA"/>
    <w:multiLevelType w:val="hybridMultilevel"/>
    <w:lvl w:ilvl="0">
      <w:lvlJc w:val="left"/>
      <w:lvlText w:val="%1."/>
      <w:numFmt w:val="decimal"/>
      <w:start w:val="8"/>
    </w:lvl>
  </w:abstractNum>
  <w:abstractNum w:abstractNumId="42">
    <w:nsid w:val="75C6C33A"/>
    <w:multiLevelType w:val="hybridMultilevel"/>
    <w:lvl w:ilvl="0">
      <w:lvlJc w:val="left"/>
      <w:lvlText w:val="%1."/>
      <w:numFmt w:val="decimal"/>
      <w:start w:val="9"/>
    </w:lvl>
  </w:abstractNum>
  <w:abstractNum w:abstractNumId="43">
    <w:nsid w:val="12E685FB"/>
    <w:multiLevelType w:val="hybridMultilevel"/>
    <w:lvl w:ilvl="0">
      <w:lvlJc w:val="left"/>
      <w:lvlText w:val="%1."/>
      <w:numFmt w:val="decimal"/>
      <w:start w:val="10"/>
    </w:lvl>
  </w:abstractNum>
  <w:abstractNum w:abstractNumId="44">
    <w:nsid w:val="70C6A529"/>
    <w:multiLevelType w:val="hybridMultilevel"/>
    <w:lvl w:ilvl="0">
      <w:lvlJc w:val="left"/>
      <w:lvlText w:val="%1."/>
      <w:numFmt w:val="decimal"/>
      <w:start w:val="11"/>
    </w:lvl>
    <w:lvl w:ilvl="1">
      <w:lvlJc w:val="left"/>
      <w:lvlText w:val="(%2)"/>
      <w:numFmt w:val="lowerLetter"/>
      <w:start w:val="1"/>
    </w:lvl>
  </w:abstractNum>
  <w:abstractNum w:abstractNumId="45">
    <w:nsid w:val="520EEDD1"/>
    <w:multiLevelType w:val="hybridMultilevel"/>
    <w:lvl w:ilvl="0">
      <w:lvlJc w:val="left"/>
      <w:lvlText w:val="%1."/>
      <w:numFmt w:val="decimal"/>
      <w:start w:val="12"/>
    </w:lvl>
  </w:abstractNum>
  <w:abstractNum w:abstractNumId="46">
    <w:nsid w:val="374A3FE6"/>
    <w:multiLevelType w:val="hybridMultilevel"/>
    <w:lvl w:ilvl="0">
      <w:lvlJc w:val="left"/>
      <w:lvlText w:val="%1."/>
      <w:numFmt w:val="decimal"/>
      <w:start w:val="13"/>
    </w:lvl>
    <w:lvl w:ilvl="1">
      <w:lvlJc w:val="left"/>
      <w:lvlText w:val="(%2)"/>
      <w:numFmt w:val="lowerLetter"/>
      <w:start w:val="1"/>
    </w:lvl>
  </w:abstractNum>
  <w:abstractNum w:abstractNumId="47">
    <w:nsid w:val="4F4EF005"/>
    <w:multiLevelType w:val="hybridMultilevel"/>
    <w:lvl w:ilvl="0">
      <w:lvlJc w:val="left"/>
      <w:lvlText w:val="%1"/>
      <w:numFmt w:val="decimal"/>
      <w:start w:val="1"/>
    </w:lvl>
    <w:lvl w:ilvl="1">
      <w:lvlJc w:val="left"/>
      <w:lvlText w:val="(%2)"/>
      <w:numFmt w:val="lowerLetter"/>
      <w:start w:val="1"/>
    </w:lvl>
  </w:abstractNum>
  <w:abstractNum w:abstractNumId="48">
    <w:nsid w:val="23F9C13C"/>
    <w:multiLevelType w:val="hybridMultilevel"/>
    <w:lvl w:ilvl="0">
      <w:lvlJc w:val="left"/>
      <w:lvlText w:val="%1."/>
      <w:numFmt w:val="decimal"/>
      <w:start w:val="15"/>
    </w:lvl>
    <w:lvl w:ilvl="1">
      <w:lvlJc w:val="left"/>
      <w:lvlText w:val="(%2)"/>
      <w:numFmt w:val="lowerLetter"/>
      <w:start w:val="1"/>
    </w:lvl>
  </w:abstractNum>
  <w:abstractNum w:abstractNumId="49">
    <w:nsid w:val="649BB77C"/>
    <w:multiLevelType w:val="hybridMultilevel"/>
    <w:lvl w:ilvl="0">
      <w:lvlJc w:val="left"/>
      <w:lvlText w:val="%1"/>
      <w:numFmt w:val="decimal"/>
      <w:start w:val="1"/>
    </w:lvl>
    <w:lvl w:ilvl="1">
      <w:lvlJc w:val="left"/>
      <w:lvlText w:val="(%2)"/>
      <w:numFmt w:val="lowerLetter"/>
      <w:start w:val="2"/>
    </w:lvl>
  </w:abstractNum>
  <w:abstractNum w:abstractNumId="50">
    <w:nsid w:val="275AC794"/>
    <w:multiLevelType w:val="hybridMultilevel"/>
    <w:lvl w:ilvl="0">
      <w:lvlJc w:val="left"/>
      <w:lvlText w:val="%1."/>
      <w:numFmt w:val="decimal"/>
      <w:start w:val="16"/>
    </w:lvl>
    <w:lvl w:ilvl="1">
      <w:lvlJc w:val="left"/>
      <w:lvlText w:val="%2"/>
      <w:numFmt w:val="lowerLetter"/>
      <w:start w:val="1"/>
    </w:lvl>
  </w:abstractNum>
  <w:abstractNum w:abstractNumId="51">
    <w:nsid w:val="39386575"/>
    <w:multiLevelType w:val="hybridMultilevel"/>
    <w:lvl w:ilvl="0">
      <w:lvlJc w:val="left"/>
      <w:lvlText w:val="%1."/>
      <w:numFmt w:val="decimal"/>
      <w:start w:val="17"/>
    </w:lvl>
  </w:abstractNum>
  <w:abstractNum w:abstractNumId="52">
    <w:nsid w:val="1CF10FD8"/>
    <w:multiLevelType w:val="hybridMultilevel"/>
    <w:lvl w:ilvl="0">
      <w:lvlJc w:val="left"/>
      <w:lvlText w:val="%1."/>
      <w:numFmt w:val="decimal"/>
      <w:start w:val="18"/>
    </w:lvl>
  </w:abstractNum>
  <w:abstractNum w:abstractNumId="53">
    <w:nsid w:val="180115BE"/>
    <w:multiLevelType w:val="hybridMultilevel"/>
    <w:lvl w:ilvl="0">
      <w:lvlJc w:val="left"/>
      <w:lvlText w:val="%1."/>
      <w:numFmt w:val="decimal"/>
      <w:start w:val="19"/>
    </w:lvl>
  </w:abstractNum>
  <w:abstractNum w:abstractNumId="54">
    <w:nsid w:val="235BA861"/>
    <w:multiLevelType w:val="hybridMultilevel"/>
    <w:lvl w:ilvl="0">
      <w:lvlJc w:val="left"/>
      <w:lvlText w:val="%1."/>
      <w:numFmt w:val="decimal"/>
      <w:start w:val="20"/>
    </w:lvl>
  </w:abstractNum>
  <w:abstractNum w:abstractNumId="55">
    <w:nsid w:val="47398C89"/>
    <w:multiLevelType w:val="hybridMultilevel"/>
    <w:lvl w:ilvl="0">
      <w:lvlJc w:val="left"/>
      <w:lvlText w:val="(%1)"/>
      <w:numFmt w:val="lowerLetter"/>
      <w:start w:val="1"/>
    </w:lvl>
    <w:lvl w:ilvl="1">
      <w:lvlJc w:val="left"/>
      <w:lvlText w:val="(%2)"/>
      <w:numFmt w:val="lowerRoman"/>
      <w:start w:val="1"/>
    </w:lvl>
  </w:abstractNum>
  <w:abstractNum w:abstractNumId="56">
    <w:nsid w:val="354FE9F9"/>
    <w:multiLevelType w:val="hybridMultilevel"/>
    <w:lvl w:ilvl="0">
      <w:lvlJc w:val="left"/>
      <w:lvlText w:val="%1."/>
      <w:numFmt w:val="decimal"/>
      <w:start w:val="21"/>
    </w:lvl>
  </w:abstractNum>
  <w:abstractNum w:abstractNumId="57">
    <w:nsid w:val="15B5AF5C"/>
    <w:multiLevelType w:val="hybridMultilevel"/>
    <w:lvl w:ilvl="0">
      <w:lvlJc w:val="left"/>
      <w:lvlText w:val="%1."/>
      <w:numFmt w:val="decimal"/>
      <w:start w:val="22"/>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23"/>
    </w:lvl>
  </w:abstractNum>
  <w:abstractNum w:abstractNumId="60">
    <w:nsid w:val="10233C99"/>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2020-02-22T10:57:25Z</dcterms:created>
  <dcterms:modified xsi:type="dcterms:W3CDTF">2020-02-22T10:57:25Z</dcterms:modified>
</cp:coreProperties>
</file>