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auto"/>
        </w:rPr>
        <w:t>As filed with the Securities and Exchange Commission on May 1, 2006</w:t>
      </w:r>
    </w:p>
    <w:p>
      <w:pPr>
        <w:spacing w:after="0" w:line="2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211455</wp:posOffset>
            </wp:positionV>
            <wp:extent cx="72466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pacing w:after="0" w:line="200" w:lineRule="exact"/>
        <w:rPr>
          <w:sz w:val="24"/>
          <w:szCs w:val="24"/>
          <w:color w:val="auto"/>
        </w:rPr>
      </w:pPr>
    </w:p>
    <w:p>
      <w:pPr>
        <w:spacing w:after="0" w:line="34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S-8</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REGISTRATION STATEMENT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UNDER</w:t>
      </w:r>
    </w:p>
    <w:p>
      <w:pPr>
        <w:jc w:val="center"/>
        <w:spacing w:after="0"/>
        <w:rPr>
          <w:sz w:val="20"/>
          <w:szCs w:val="20"/>
          <w:color w:val="auto"/>
        </w:rPr>
      </w:pPr>
      <w:r>
        <w:rPr>
          <w:rFonts w:ascii="Arial" w:cs="Arial" w:eastAsia="Arial" w:hAnsi="Arial"/>
          <w:sz w:val="22"/>
          <w:szCs w:val="22"/>
          <w:b w:val="1"/>
          <w:bCs w:val="1"/>
          <w:color w:val="auto"/>
        </w:rPr>
        <w:t>THE SECURITIES ACT OF 1933</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MICRON TECHNOLOGY,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900" w:type="dxa"/>
        <w:tblCellMar>
          <w:top w:w="0" w:type="dxa"/>
          <w:left w:w="0" w:type="dxa"/>
          <w:bottom w:w="0" w:type="dxa"/>
          <w:right w:w="0" w:type="dxa"/>
        </w:tblCellMar>
      </w:tblPr>
      <w:tr>
        <w:trPr>
          <w:trHeight w:val="220"/>
        </w:trPr>
        <w:tc>
          <w:tcPr>
            <w:tcW w:w="5120" w:type="dxa"/>
            <w:vAlign w:val="bottom"/>
          </w:tcPr>
          <w:p>
            <w:pPr>
              <w:jc w:val="center"/>
              <w:ind w:right="1210"/>
              <w:spacing w:after="0"/>
              <w:rPr>
                <w:sz w:val="20"/>
                <w:szCs w:val="20"/>
                <w:color w:val="auto"/>
              </w:rPr>
            </w:pPr>
            <w:r>
              <w:rPr>
                <w:rFonts w:ascii="Arial" w:cs="Arial" w:eastAsia="Arial" w:hAnsi="Arial"/>
                <w:sz w:val="18"/>
                <w:szCs w:val="18"/>
                <w:b w:val="1"/>
                <w:bCs w:val="1"/>
                <w:color w:val="auto"/>
                <w:w w:val="93"/>
              </w:rPr>
              <w:t>Delaware</w:t>
            </w:r>
          </w:p>
        </w:tc>
        <w:tc>
          <w:tcPr>
            <w:tcW w:w="3920" w:type="dxa"/>
            <w:vAlign w:val="bottom"/>
          </w:tcPr>
          <w:p>
            <w:pPr>
              <w:jc w:val="center"/>
              <w:ind w:left="1190"/>
              <w:spacing w:after="0"/>
              <w:rPr>
                <w:sz w:val="20"/>
                <w:szCs w:val="20"/>
                <w:color w:val="auto"/>
              </w:rPr>
            </w:pPr>
            <w:r>
              <w:rPr>
                <w:rFonts w:ascii="Arial" w:cs="Arial" w:eastAsia="Arial" w:hAnsi="Arial"/>
                <w:sz w:val="18"/>
                <w:szCs w:val="18"/>
                <w:b w:val="1"/>
                <w:bCs w:val="1"/>
                <w:color w:val="auto"/>
                <w:w w:val="91"/>
              </w:rPr>
              <w:t>75-1618004</w:t>
            </w:r>
          </w:p>
        </w:tc>
      </w:tr>
      <w:tr>
        <w:trPr>
          <w:trHeight w:val="230"/>
        </w:trPr>
        <w:tc>
          <w:tcPr>
            <w:tcW w:w="5120" w:type="dxa"/>
            <w:vAlign w:val="bottom"/>
          </w:tcPr>
          <w:p>
            <w:pPr>
              <w:jc w:val="center"/>
              <w:ind w:right="1210"/>
              <w:spacing w:after="0"/>
              <w:rPr>
                <w:sz w:val="20"/>
                <w:szCs w:val="20"/>
                <w:color w:val="auto"/>
              </w:rPr>
            </w:pPr>
            <w:r>
              <w:rPr>
                <w:rFonts w:ascii="Arial" w:cs="Arial" w:eastAsia="Arial" w:hAnsi="Arial"/>
                <w:sz w:val="18"/>
                <w:szCs w:val="18"/>
                <w:color w:val="auto"/>
                <w:w w:val="93"/>
              </w:rPr>
              <w:t>(State or other jurisdiction of incorporation)</w:t>
            </w:r>
          </w:p>
        </w:tc>
        <w:tc>
          <w:tcPr>
            <w:tcW w:w="3920" w:type="dxa"/>
            <w:vAlign w:val="bottom"/>
          </w:tcPr>
          <w:p>
            <w:pPr>
              <w:jc w:val="center"/>
              <w:ind w:left="1210"/>
              <w:spacing w:after="0"/>
              <w:rPr>
                <w:sz w:val="20"/>
                <w:szCs w:val="20"/>
                <w:color w:val="auto"/>
              </w:rPr>
            </w:pPr>
            <w:r>
              <w:rPr>
                <w:rFonts w:ascii="Arial" w:cs="Arial" w:eastAsia="Arial" w:hAnsi="Arial"/>
                <w:sz w:val="18"/>
                <w:szCs w:val="18"/>
                <w:color w:val="auto"/>
                <w:w w:val="94"/>
              </w:rPr>
              <w:t>(I.R.S. Employer Identification No.)</w:t>
            </w:r>
          </w:p>
        </w:tc>
      </w:tr>
      <w:tr>
        <w:trPr>
          <w:trHeight w:val="418"/>
        </w:trPr>
        <w:tc>
          <w:tcPr>
            <w:tcW w:w="5120" w:type="dxa"/>
            <w:vAlign w:val="bottom"/>
          </w:tcPr>
          <w:p>
            <w:pPr>
              <w:jc w:val="center"/>
              <w:ind w:right="1210"/>
              <w:spacing w:after="0"/>
              <w:rPr>
                <w:sz w:val="20"/>
                <w:szCs w:val="20"/>
                <w:color w:val="auto"/>
              </w:rPr>
            </w:pPr>
            <w:r>
              <w:rPr>
                <w:rFonts w:ascii="Arial" w:cs="Arial" w:eastAsia="Arial" w:hAnsi="Arial"/>
                <w:sz w:val="18"/>
                <w:szCs w:val="18"/>
                <w:b w:val="1"/>
                <w:bCs w:val="1"/>
                <w:color w:val="auto"/>
                <w:w w:val="90"/>
              </w:rPr>
              <w:t>8000 South Federal Way, P.O. Box 6, Boise, Idaho</w:t>
            </w:r>
          </w:p>
        </w:tc>
        <w:tc>
          <w:tcPr>
            <w:tcW w:w="3920" w:type="dxa"/>
            <w:vAlign w:val="bottom"/>
          </w:tcPr>
          <w:p>
            <w:pPr>
              <w:jc w:val="center"/>
              <w:ind w:left="1190"/>
              <w:spacing w:after="0"/>
              <w:rPr>
                <w:sz w:val="20"/>
                <w:szCs w:val="20"/>
                <w:color w:val="auto"/>
              </w:rPr>
            </w:pPr>
            <w:r>
              <w:rPr>
                <w:rFonts w:ascii="Arial" w:cs="Arial" w:eastAsia="Arial" w:hAnsi="Arial"/>
                <w:sz w:val="18"/>
                <w:szCs w:val="18"/>
                <w:b w:val="1"/>
                <w:bCs w:val="1"/>
                <w:color w:val="auto"/>
                <w:w w:val="91"/>
              </w:rPr>
              <w:t>83707-0006</w:t>
            </w:r>
          </w:p>
        </w:tc>
      </w:tr>
      <w:tr>
        <w:trPr>
          <w:trHeight w:val="230"/>
        </w:trPr>
        <w:tc>
          <w:tcPr>
            <w:tcW w:w="5120" w:type="dxa"/>
            <w:vAlign w:val="bottom"/>
          </w:tcPr>
          <w:p>
            <w:pPr>
              <w:jc w:val="center"/>
              <w:ind w:right="1210"/>
              <w:spacing w:after="0"/>
              <w:rPr>
                <w:sz w:val="20"/>
                <w:szCs w:val="20"/>
                <w:color w:val="auto"/>
              </w:rPr>
            </w:pPr>
            <w:r>
              <w:rPr>
                <w:rFonts w:ascii="Arial" w:cs="Arial" w:eastAsia="Arial" w:hAnsi="Arial"/>
                <w:sz w:val="18"/>
                <w:szCs w:val="18"/>
                <w:color w:val="auto"/>
                <w:w w:val="92"/>
              </w:rPr>
              <w:t>(Address of principal executive offices)</w:t>
            </w:r>
          </w:p>
        </w:tc>
        <w:tc>
          <w:tcPr>
            <w:tcW w:w="3920" w:type="dxa"/>
            <w:vAlign w:val="bottom"/>
          </w:tcPr>
          <w:p>
            <w:pPr>
              <w:jc w:val="center"/>
              <w:ind w:left="1190"/>
              <w:spacing w:after="0"/>
              <w:rPr>
                <w:sz w:val="20"/>
                <w:szCs w:val="20"/>
                <w:color w:val="auto"/>
              </w:rPr>
            </w:pPr>
            <w:r>
              <w:rPr>
                <w:rFonts w:ascii="Arial" w:cs="Arial" w:eastAsia="Arial" w:hAnsi="Arial"/>
                <w:sz w:val="18"/>
                <w:szCs w:val="18"/>
                <w:color w:val="auto"/>
                <w:w w:val="94"/>
              </w:rPr>
              <w:t>(Zip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205740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Micron Technology, Inc. 2004 Equity Incentive Plan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(Full title of the plan)</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 G. Stover, Jr.</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V.P. of Finance and Chief Financial Officer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8000 South Federal Way</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Boise, Idaho 83716-9632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and address of agent for service)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208-368-4000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(Telephone number, including area code, of agent for service)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20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40" w:type="dxa"/>
            <w:vAlign w:val="bottom"/>
            <w:gridSpan w:val="2"/>
            <w:vMerge w:val="restart"/>
          </w:tcPr>
          <w:p>
            <w:pPr>
              <w:jc w:val="center"/>
              <w:ind w:right="520"/>
              <w:spacing w:after="0"/>
              <w:rPr>
                <w:sz w:val="20"/>
                <w:szCs w:val="20"/>
                <w:color w:val="auto"/>
              </w:rPr>
            </w:pPr>
            <w:r>
              <w:rPr>
                <w:rFonts w:ascii="Arial" w:cs="Arial" w:eastAsia="Arial" w:hAnsi="Arial"/>
                <w:sz w:val="14"/>
                <w:szCs w:val="14"/>
                <w:b w:val="1"/>
                <w:bCs w:val="1"/>
                <w:color w:val="auto"/>
                <w:w w:val="89"/>
              </w:rPr>
              <w:t>Proposed</w:t>
            </w:r>
          </w:p>
        </w:tc>
        <w:tc>
          <w:tcPr>
            <w:tcW w:w="260" w:type="dxa"/>
            <w:vAlign w:val="bottom"/>
          </w:tcPr>
          <w:p>
            <w:pPr>
              <w:spacing w:after="0"/>
              <w:rPr>
                <w:sz w:val="14"/>
                <w:szCs w:val="14"/>
                <w:color w:val="auto"/>
              </w:rPr>
            </w:pPr>
          </w:p>
        </w:tc>
        <w:tc>
          <w:tcPr>
            <w:tcW w:w="15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9"/>
              </w:rPr>
              <w:t>Proposed</w:t>
            </w:r>
          </w:p>
        </w:tc>
        <w:tc>
          <w:tcPr>
            <w:tcW w:w="3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74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5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4"/>
              </w:rPr>
              <w:t>maximum</w:t>
            </w:r>
          </w:p>
        </w:tc>
        <w:tc>
          <w:tcPr>
            <w:tcW w:w="3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1"/>
              </w:rPr>
              <w:t>Title of securities to be</w:t>
            </w:r>
          </w:p>
        </w:tc>
        <w:tc>
          <w:tcPr>
            <w:tcW w:w="2280" w:type="dxa"/>
            <w:vAlign w:val="bottom"/>
            <w:gridSpan w:val="2"/>
            <w:vMerge w:val="restart"/>
          </w:tcPr>
          <w:p>
            <w:pPr>
              <w:ind w:left="580"/>
              <w:spacing w:after="0"/>
              <w:rPr>
                <w:sz w:val="20"/>
                <w:szCs w:val="20"/>
                <w:color w:val="auto"/>
              </w:rPr>
            </w:pPr>
            <w:r>
              <w:rPr>
                <w:rFonts w:ascii="Arial" w:cs="Arial" w:eastAsia="Arial" w:hAnsi="Arial"/>
                <w:sz w:val="14"/>
                <w:szCs w:val="14"/>
                <w:b w:val="1"/>
                <w:bCs w:val="1"/>
                <w:color w:val="auto"/>
              </w:rPr>
              <w:t>Amount to be</w:t>
            </w:r>
          </w:p>
        </w:tc>
        <w:tc>
          <w:tcPr>
            <w:tcW w:w="260" w:type="dxa"/>
            <w:vAlign w:val="bottom"/>
          </w:tcPr>
          <w:p>
            <w:pPr>
              <w:spacing w:after="0"/>
              <w:rPr>
                <w:sz w:val="12"/>
                <w:szCs w:val="12"/>
                <w:color w:val="auto"/>
              </w:rPr>
            </w:pPr>
          </w:p>
        </w:tc>
        <w:tc>
          <w:tcPr>
            <w:tcW w:w="174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4"/>
              </w:rPr>
              <w:t>maximum</w:t>
            </w:r>
          </w:p>
        </w:tc>
        <w:tc>
          <w:tcPr>
            <w:tcW w:w="260" w:type="dxa"/>
            <w:vAlign w:val="bottom"/>
          </w:tcPr>
          <w:p>
            <w:pPr>
              <w:spacing w:after="0"/>
              <w:rPr>
                <w:sz w:val="12"/>
                <w:szCs w:val="12"/>
                <w:color w:val="auto"/>
              </w:rPr>
            </w:pPr>
          </w:p>
        </w:tc>
        <w:tc>
          <w:tcPr>
            <w:tcW w:w="15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6"/>
              </w:rPr>
              <w:t>aggregate</w:t>
            </w:r>
          </w:p>
        </w:tc>
        <w:tc>
          <w:tcPr>
            <w:tcW w:w="300" w:type="dxa"/>
            <w:vAlign w:val="bottom"/>
          </w:tcPr>
          <w:p>
            <w:pPr>
              <w:spacing w:after="0"/>
              <w:rPr>
                <w:sz w:val="12"/>
                <w:szCs w:val="12"/>
                <w:color w:val="auto"/>
              </w:rPr>
            </w:pPr>
          </w:p>
        </w:tc>
        <w:tc>
          <w:tcPr>
            <w:tcW w:w="1640" w:type="dxa"/>
            <w:vAlign w:val="bottom"/>
            <w:vMerge w:val="restart"/>
          </w:tcPr>
          <w:p>
            <w:pPr>
              <w:jc w:val="center"/>
              <w:ind w:right="222"/>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9"/>
        </w:trPr>
        <w:tc>
          <w:tcPr>
            <w:tcW w:w="3420" w:type="dxa"/>
            <w:vAlign w:val="bottom"/>
            <w:gridSpan w:val="2"/>
            <w:vMerge w:val="continue"/>
          </w:tcPr>
          <w:p>
            <w:pPr>
              <w:spacing w:after="0"/>
              <w:rPr>
                <w:sz w:val="12"/>
                <w:szCs w:val="12"/>
                <w:color w:val="auto"/>
              </w:rPr>
            </w:pPr>
          </w:p>
        </w:tc>
        <w:tc>
          <w:tcPr>
            <w:tcW w:w="228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74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3"/>
              </w:rPr>
              <w:t>offering price</w:t>
            </w:r>
          </w:p>
        </w:tc>
        <w:tc>
          <w:tcPr>
            <w:tcW w:w="260" w:type="dxa"/>
            <w:vAlign w:val="bottom"/>
          </w:tcPr>
          <w:p>
            <w:pPr>
              <w:spacing w:after="0"/>
              <w:rPr>
                <w:sz w:val="12"/>
                <w:szCs w:val="12"/>
                <w:color w:val="auto"/>
              </w:rPr>
            </w:pPr>
          </w:p>
        </w:tc>
        <w:tc>
          <w:tcPr>
            <w:tcW w:w="15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5"/>
              </w:rPr>
              <w:t>offering</w:t>
            </w:r>
          </w:p>
        </w:tc>
        <w:tc>
          <w:tcPr>
            <w:tcW w:w="300" w:type="dxa"/>
            <w:vAlign w:val="bottom"/>
          </w:tcPr>
          <w:p>
            <w:pPr>
              <w:spacing w:after="0"/>
              <w:rPr>
                <w:sz w:val="12"/>
                <w:szCs w:val="12"/>
                <w:color w:val="auto"/>
              </w:rPr>
            </w:pPr>
          </w:p>
        </w:tc>
        <w:tc>
          <w:tcPr>
            <w:tcW w:w="1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registered</w:t>
            </w:r>
          </w:p>
        </w:tc>
        <w:tc>
          <w:tcPr>
            <w:tcW w:w="260" w:type="dxa"/>
            <w:vAlign w:val="bottom"/>
          </w:tcPr>
          <w:p>
            <w:pPr>
              <w:spacing w:after="0"/>
              <w:rPr>
                <w:sz w:val="14"/>
                <w:szCs w:val="14"/>
                <w:color w:val="auto"/>
              </w:rPr>
            </w:pPr>
          </w:p>
        </w:tc>
        <w:tc>
          <w:tcPr>
            <w:tcW w:w="2020" w:type="dxa"/>
            <w:vAlign w:val="bottom"/>
            <w:tcBorders>
              <w:bottom w:val="single" w:sz="8" w:color="auto"/>
            </w:tcBorders>
          </w:tcPr>
          <w:p>
            <w:pPr>
              <w:ind w:left="600"/>
              <w:spacing w:after="0"/>
              <w:rPr>
                <w:sz w:val="20"/>
                <w:szCs w:val="20"/>
                <w:color w:val="auto"/>
              </w:rPr>
            </w:pPr>
            <w:r>
              <w:rPr>
                <w:rFonts w:ascii="Arial" w:cs="Arial" w:eastAsia="Arial" w:hAnsi="Arial"/>
                <w:sz w:val="14"/>
                <w:szCs w:val="14"/>
                <w:b w:val="1"/>
                <w:bCs w:val="1"/>
                <w:color w:val="auto"/>
              </w:rPr>
              <w:t>registered (1)</w:t>
            </w:r>
          </w:p>
        </w:tc>
        <w:tc>
          <w:tcPr>
            <w:tcW w:w="2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center"/>
              <w:ind w:right="184"/>
              <w:spacing w:after="0"/>
              <w:rPr>
                <w:sz w:val="20"/>
                <w:szCs w:val="20"/>
                <w:color w:val="auto"/>
              </w:rPr>
            </w:pPr>
            <w:r>
              <w:rPr>
                <w:rFonts w:ascii="Arial" w:cs="Arial" w:eastAsia="Arial" w:hAnsi="Arial"/>
                <w:sz w:val="14"/>
                <w:szCs w:val="14"/>
                <w:b w:val="1"/>
                <w:bCs w:val="1"/>
                <w:color w:val="auto"/>
                <w:w w:val="92"/>
              </w:rPr>
              <w:t>per share (2)</w:t>
            </w:r>
          </w:p>
        </w:tc>
        <w:tc>
          <w:tcPr>
            <w:tcW w:w="2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center"/>
              <w:ind w:right="185"/>
              <w:spacing w:after="0"/>
              <w:rPr>
                <w:sz w:val="20"/>
                <w:szCs w:val="20"/>
                <w:color w:val="auto"/>
              </w:rPr>
            </w:pPr>
            <w:r>
              <w:rPr>
                <w:rFonts w:ascii="Arial" w:cs="Arial" w:eastAsia="Arial" w:hAnsi="Arial"/>
                <w:sz w:val="14"/>
                <w:szCs w:val="14"/>
                <w:b w:val="1"/>
                <w:bCs w:val="1"/>
                <w:color w:val="auto"/>
                <w:w w:val="91"/>
              </w:rPr>
              <w:t>price (2)</w:t>
            </w:r>
          </w:p>
        </w:tc>
        <w:tc>
          <w:tcPr>
            <w:tcW w:w="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jc w:val="center"/>
              <w:ind w:right="202"/>
              <w:spacing w:after="0"/>
              <w:rPr>
                <w:sz w:val="20"/>
                <w:szCs w:val="20"/>
                <w:color w:val="auto"/>
              </w:rPr>
            </w:pPr>
            <w:r>
              <w:rPr>
                <w:rFonts w:ascii="Arial" w:cs="Arial" w:eastAsia="Arial" w:hAnsi="Arial"/>
                <w:sz w:val="14"/>
                <w:szCs w:val="14"/>
                <w:b w:val="1"/>
                <w:bCs w:val="1"/>
                <w:color w:val="auto"/>
                <w:w w:val="90"/>
              </w:rPr>
              <w:t>registration fee</w:t>
            </w:r>
          </w:p>
        </w:tc>
        <w:tc>
          <w:tcPr>
            <w:tcW w:w="0" w:type="dxa"/>
            <w:vAlign w:val="bottom"/>
          </w:tcPr>
          <w:p>
            <w:pPr>
              <w:spacing w:after="0"/>
              <w:rPr>
                <w:sz w:val="1"/>
                <w:szCs w:val="1"/>
                <w:color w:val="auto"/>
              </w:rPr>
            </w:pPr>
          </w:p>
        </w:tc>
      </w:tr>
      <w:tr>
        <w:trPr>
          <w:trHeight w:val="411"/>
        </w:trPr>
        <w:tc>
          <w:tcPr>
            <w:tcW w:w="342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Common Stock $.10 par value per share, to</w:t>
            </w:r>
          </w:p>
        </w:tc>
        <w:tc>
          <w:tcPr>
            <w:tcW w:w="2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20" w:type="dxa"/>
            <w:vAlign w:val="bottom"/>
            <w:gridSpan w:val="2"/>
          </w:tcPr>
          <w:p>
            <w:pPr>
              <w:ind w:left="180"/>
              <w:spacing w:after="0"/>
              <w:rPr>
                <w:sz w:val="20"/>
                <w:szCs w:val="20"/>
                <w:color w:val="auto"/>
              </w:rPr>
            </w:pPr>
            <w:r>
              <w:rPr>
                <w:rFonts w:ascii="Arial" w:cs="Arial" w:eastAsia="Arial" w:hAnsi="Arial"/>
                <w:sz w:val="18"/>
                <w:szCs w:val="18"/>
                <w:color w:val="auto"/>
              </w:rPr>
              <w:t>be issued pursuant to the Micron</w:t>
            </w:r>
          </w:p>
        </w:tc>
        <w:tc>
          <w:tcPr>
            <w:tcW w:w="2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gridSpan w:val="2"/>
          </w:tcPr>
          <w:p>
            <w:pPr>
              <w:ind w:left="180"/>
              <w:spacing w:after="0"/>
              <w:rPr>
                <w:sz w:val="20"/>
                <w:szCs w:val="20"/>
                <w:color w:val="auto"/>
              </w:rPr>
            </w:pPr>
            <w:r>
              <w:rPr>
                <w:rFonts w:ascii="Arial" w:cs="Arial" w:eastAsia="Arial" w:hAnsi="Arial"/>
                <w:sz w:val="18"/>
                <w:szCs w:val="18"/>
                <w:color w:val="auto"/>
              </w:rPr>
              <w:t>Technology, Inc. 2004 Equity Incentive</w:t>
            </w:r>
          </w:p>
        </w:tc>
        <w:tc>
          <w:tcPr>
            <w:tcW w:w="2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20" w:type="dxa"/>
            <w:vAlign w:val="bottom"/>
            <w:gridSpan w:val="2"/>
          </w:tcPr>
          <w:p>
            <w:pPr>
              <w:ind w:left="180"/>
              <w:spacing w:after="0"/>
              <w:rPr>
                <w:sz w:val="20"/>
                <w:szCs w:val="20"/>
                <w:color w:val="auto"/>
              </w:rPr>
            </w:pPr>
            <w:r>
              <w:rPr>
                <w:rFonts w:ascii="Arial" w:cs="Arial" w:eastAsia="Arial" w:hAnsi="Arial"/>
                <w:sz w:val="18"/>
                <w:szCs w:val="18"/>
                <w:color w:val="auto"/>
              </w:rPr>
              <w:t>Plan</w:t>
            </w:r>
          </w:p>
        </w:tc>
        <w:tc>
          <w:tcPr>
            <w:tcW w:w="2280" w:type="dxa"/>
            <w:vAlign w:val="bottom"/>
            <w:gridSpan w:val="2"/>
          </w:tcPr>
          <w:p>
            <w:pPr>
              <w:jc w:val="right"/>
              <w:ind w:right="260"/>
              <w:spacing w:after="0"/>
              <w:rPr>
                <w:sz w:val="20"/>
                <w:szCs w:val="20"/>
                <w:color w:val="auto"/>
              </w:rPr>
            </w:pPr>
            <w:r>
              <w:rPr>
                <w:rFonts w:ascii="Arial" w:cs="Arial" w:eastAsia="Arial" w:hAnsi="Arial"/>
                <w:sz w:val="18"/>
                <w:szCs w:val="18"/>
                <w:color w:val="auto"/>
              </w:rPr>
              <w:t>12,000,000</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740" w:type="dxa"/>
            <w:vAlign w:val="bottom"/>
            <w:gridSpan w:val="2"/>
          </w:tcPr>
          <w:p>
            <w:pPr>
              <w:jc w:val="right"/>
              <w:ind w:right="260"/>
              <w:spacing w:after="0"/>
              <w:rPr>
                <w:sz w:val="20"/>
                <w:szCs w:val="20"/>
                <w:color w:val="auto"/>
              </w:rPr>
            </w:pPr>
            <w:r>
              <w:rPr>
                <w:rFonts w:ascii="Arial" w:cs="Arial" w:eastAsia="Arial" w:hAnsi="Arial"/>
                <w:sz w:val="18"/>
                <w:szCs w:val="18"/>
                <w:color w:val="auto"/>
              </w:rPr>
              <w:t>16.27</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195,240,000</w:t>
            </w:r>
          </w:p>
        </w:tc>
        <w:tc>
          <w:tcPr>
            <w:tcW w:w="24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20,890.68</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both"/>
        <w:ind w:left="340" w:right="240" w:hanging="332"/>
        <w:spacing w:after="0" w:line="286" w:lineRule="auto"/>
        <w:tabs>
          <w:tab w:leader="none" w:pos="340" w:val="left"/>
        </w:tabs>
        <w:numPr>
          <w:ilvl w:val="0"/>
          <w:numId w:val="1"/>
        </w:numPr>
        <w:rPr>
          <w:rFonts w:ascii="Arial" w:cs="Arial" w:eastAsia="Arial" w:hAnsi="Arial"/>
          <w:sz w:val="17"/>
          <w:szCs w:val="17"/>
          <w:color w:val="auto"/>
        </w:rPr>
      </w:pPr>
      <w:r>
        <w:rPr>
          <w:rFonts w:ascii="Arial" w:cs="Arial" w:eastAsia="Arial" w:hAnsi="Arial"/>
          <w:sz w:val="17"/>
          <w:szCs w:val="17"/>
          <w:color w:val="auto"/>
        </w:rPr>
        <w:t>Pursuant to Rule 416 under the Securities Act of 1933 (the “Securities Act”), to the extent additional shares of the Registrant’s Common Stock may be issued or issuable as a result of a stock split, stock dividend or other distribution declared at any time by the Board of Directors while this Registration Statement is in effect, this Registration Statement is hereby declared to cover all of such additional Common Stock.</w:t>
      </w:r>
    </w:p>
    <w:p>
      <w:pPr>
        <w:spacing w:after="0" w:line="165" w:lineRule="exact"/>
        <w:rPr>
          <w:rFonts w:ascii="Arial" w:cs="Arial" w:eastAsia="Arial" w:hAnsi="Arial"/>
          <w:sz w:val="17"/>
          <w:szCs w:val="17"/>
          <w:color w:val="auto"/>
        </w:rPr>
      </w:pPr>
    </w:p>
    <w:p>
      <w:pPr>
        <w:ind w:left="340" w:right="220" w:hanging="332"/>
        <w:spacing w:after="0" w:line="264"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in accordance with Rules 457(c) and 457(h) under the Securities Act, solely for the purpose of calculating the registration fee on the basis of $16.27 per share, which is the average of the high and low price of the Company’s Common Stock as reported on the New York Stock Exchange on April 24, 2006.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2466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193040</wp:posOffset>
            </wp:positionV>
            <wp:extent cx="72466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431165</wp:posOffset>
            </wp:positionV>
            <wp:extent cx="7267575"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4"/>
          <w:szCs w:val="24"/>
          <w:color w:val="auto"/>
        </w:rPr>
      </w:pPr>
    </w:p>
    <w:p>
      <w:pPr>
        <w:ind w:left="2940"/>
        <w:spacing w:after="0"/>
        <w:rPr>
          <w:sz w:val="20"/>
          <w:szCs w:val="20"/>
          <w:color w:val="auto"/>
        </w:rPr>
      </w:pPr>
      <w:r>
        <w:rPr>
          <w:rFonts w:ascii="Arial" w:cs="Arial" w:eastAsia="Arial" w:hAnsi="Arial"/>
          <w:sz w:val="18"/>
          <w:szCs w:val="18"/>
          <w:b w:val="1"/>
          <w:bCs w:val="1"/>
          <w:color w:val="auto"/>
        </w:rPr>
        <w:t>INFORMATION REQUIRED IN THE SECTION 10(a) PROSPECTUS</w:t>
      </w:r>
    </w:p>
    <w:p>
      <w:pPr>
        <w:spacing w:after="0" w:line="229" w:lineRule="exact"/>
        <w:rPr>
          <w:sz w:val="24"/>
          <w:szCs w:val="24"/>
          <w:color w:val="auto"/>
        </w:rPr>
      </w:pPr>
    </w:p>
    <w:p>
      <w:pPr>
        <w:ind w:left="660"/>
        <w:spacing w:after="0"/>
        <w:rPr>
          <w:sz w:val="20"/>
          <w:szCs w:val="20"/>
          <w:color w:val="auto"/>
        </w:rPr>
      </w:pPr>
      <w:r>
        <w:rPr>
          <w:rFonts w:ascii="Arial" w:cs="Arial" w:eastAsia="Arial" w:hAnsi="Arial"/>
          <w:sz w:val="18"/>
          <w:szCs w:val="18"/>
          <w:color w:val="auto"/>
        </w:rPr>
        <w:t>The contents of Registration Statement No. 333-120620 have been incorporated herein by reference.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233" w:right="239" w:bottom="383"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Except to the extent set forth herein, the contents of Registration Statement No. 333-120620 have been incorporated herein by reference.</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Incorporation of Documents by Reference.</w:t>
      </w:r>
    </w:p>
    <w:p>
      <w:pPr>
        <w:spacing w:after="0" w:line="229"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The following documents filed by the Company with the Securities and Exchange Commission are incorporated by reference in this Registration Statement:</w:t>
      </w:r>
    </w:p>
    <w:p>
      <w:pPr>
        <w:spacing w:after="0" w:line="170" w:lineRule="exact"/>
        <w:rPr>
          <w:sz w:val="20"/>
          <w:szCs w:val="20"/>
          <w:color w:val="auto"/>
        </w:rPr>
      </w:pPr>
    </w:p>
    <w:p>
      <w:pPr>
        <w:ind w:right="440" w:firstLine="656"/>
        <w:spacing w:after="0" w:line="277" w:lineRule="auto"/>
        <w:tabs>
          <w:tab w:leader="none" w:pos="983"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Company’s latest Annual Report on Form 10-K for the year ended September 1, 2005, filed pursuant to Section 13(a) of the Securities Exchange Act of 1934, as amended (the “Exchange Act”) (File No. 1-10658).</w:t>
      </w:r>
    </w:p>
    <w:p>
      <w:pPr>
        <w:spacing w:after="0" w:line="170" w:lineRule="exact"/>
        <w:rPr>
          <w:rFonts w:ascii="Arial" w:cs="Arial" w:eastAsia="Arial" w:hAnsi="Arial"/>
          <w:sz w:val="18"/>
          <w:szCs w:val="18"/>
          <w:color w:val="auto"/>
        </w:rPr>
      </w:pPr>
    </w:p>
    <w:p>
      <w:pPr>
        <w:ind w:right="620" w:firstLine="656"/>
        <w:spacing w:after="0" w:line="277" w:lineRule="auto"/>
        <w:tabs>
          <w:tab w:leader="none" w:pos="993"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Company’s Quarterly Report on Form 10-Q for the quarterly period ended December 1, 2005, filed pursuant to Section 13(a) of the Exchange Act.</w:t>
      </w:r>
    </w:p>
    <w:p>
      <w:pPr>
        <w:spacing w:after="0" w:line="170" w:lineRule="exact"/>
        <w:rPr>
          <w:rFonts w:ascii="Arial" w:cs="Arial" w:eastAsia="Arial" w:hAnsi="Arial"/>
          <w:sz w:val="18"/>
          <w:szCs w:val="18"/>
          <w:color w:val="auto"/>
        </w:rPr>
      </w:pPr>
    </w:p>
    <w:p>
      <w:pPr>
        <w:ind w:left="1000" w:hanging="344"/>
        <w:spacing w:after="0"/>
        <w:tabs>
          <w:tab w:leader="none" w:pos="100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Company’s Quarterly Report on Form 10-Q for the quarterly period ended March 2, 2006, filed pursuant to Section 13(a) of the Exchange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Act.</w:t>
      </w:r>
    </w:p>
    <w:p>
      <w:pPr>
        <w:spacing w:after="0" w:line="210" w:lineRule="exact"/>
        <w:rPr>
          <w:rFonts w:ascii="Arial" w:cs="Arial" w:eastAsia="Arial" w:hAnsi="Arial"/>
          <w:sz w:val="16"/>
          <w:szCs w:val="16"/>
          <w:color w:val="auto"/>
        </w:rPr>
      </w:pPr>
    </w:p>
    <w:p>
      <w:pPr>
        <w:ind w:right="200" w:firstLine="656"/>
        <w:spacing w:after="0" w:line="277" w:lineRule="auto"/>
        <w:tabs>
          <w:tab w:leader="none" w:pos="993"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Company’s amended Quarterly Report on Form 10-Q for the quarterly period ended December 1, 2005, filed pursuant to Section 13(a) of the Exchange Act.</w:t>
      </w:r>
    </w:p>
    <w:p>
      <w:pPr>
        <w:spacing w:after="0" w:line="170" w:lineRule="exact"/>
        <w:rPr>
          <w:rFonts w:ascii="Arial" w:cs="Arial" w:eastAsia="Arial" w:hAnsi="Arial"/>
          <w:sz w:val="18"/>
          <w:szCs w:val="18"/>
          <w:color w:val="auto"/>
        </w:rPr>
      </w:pPr>
    </w:p>
    <w:p>
      <w:pPr>
        <w:ind w:left="1000" w:hanging="344"/>
        <w:spacing w:after="0"/>
        <w:tabs>
          <w:tab w:leader="none" w:pos="10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Company’s Current Report on Form 8-K filed pursuant to Section 13(a) of the Exchange Act on November 21, 2005.</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Company’s Current Report on Form 8-K filed pursuant to Section 13(a) of the Exchange Act on December 12, 2005.</w:t>
      </w:r>
    </w:p>
    <w:p>
      <w:pPr>
        <w:spacing w:after="0" w:line="225" w:lineRule="exact"/>
        <w:rPr>
          <w:rFonts w:ascii="Arial" w:cs="Arial" w:eastAsia="Arial" w:hAnsi="Arial"/>
          <w:sz w:val="18"/>
          <w:szCs w:val="18"/>
          <w:color w:val="auto"/>
        </w:rPr>
      </w:pPr>
    </w:p>
    <w:p>
      <w:pPr>
        <w:ind w:left="1000" w:hanging="344"/>
        <w:spacing w:after="0"/>
        <w:tabs>
          <w:tab w:leader="none" w:pos="10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Company’s Current Report on Form 8-K filed pursuant to Section 13(a) of the Exchange Act on February 10, 2006.</w:t>
      </w:r>
    </w:p>
    <w:p>
      <w:pPr>
        <w:spacing w:after="0" w:line="225" w:lineRule="exact"/>
        <w:rPr>
          <w:rFonts w:ascii="Arial" w:cs="Arial" w:eastAsia="Arial" w:hAnsi="Arial"/>
          <w:sz w:val="18"/>
          <w:szCs w:val="18"/>
          <w:color w:val="auto"/>
        </w:rPr>
      </w:pPr>
    </w:p>
    <w:p>
      <w:pPr>
        <w:ind w:left="1000" w:hanging="344"/>
        <w:spacing w:after="0"/>
        <w:tabs>
          <w:tab w:leader="none" w:pos="10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Company’s Current Report on Form 8-K filed pursuant to Section 13(a) of the Exchange Act on February 14, 2006.</w:t>
      </w:r>
    </w:p>
    <w:p>
      <w:pPr>
        <w:spacing w:after="0" w:line="225" w:lineRule="exact"/>
        <w:rPr>
          <w:rFonts w:ascii="Arial" w:cs="Arial" w:eastAsia="Arial" w:hAnsi="Arial"/>
          <w:sz w:val="18"/>
          <w:szCs w:val="18"/>
          <w:color w:val="auto"/>
        </w:rPr>
      </w:pPr>
    </w:p>
    <w:p>
      <w:pPr>
        <w:ind w:left="960" w:hanging="304"/>
        <w:spacing w:after="0"/>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Company’s Current Report on Form 8-K filed pursuant to Section 13(a) of the Exchange Act on February 22, 2006.</w:t>
      </w:r>
    </w:p>
    <w:p>
      <w:pPr>
        <w:spacing w:after="0" w:line="225" w:lineRule="exact"/>
        <w:rPr>
          <w:rFonts w:ascii="Arial" w:cs="Arial" w:eastAsia="Arial" w:hAnsi="Arial"/>
          <w:sz w:val="18"/>
          <w:szCs w:val="18"/>
          <w:color w:val="auto"/>
        </w:rPr>
      </w:pPr>
    </w:p>
    <w:p>
      <w:pPr>
        <w:ind w:left="960" w:hanging="304"/>
        <w:spacing w:after="0"/>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Company’s Current Report on Form 8-K filed pursuant to Section 13(a) of the Exchange Act on March 7, 2006.</w:t>
      </w:r>
    </w:p>
    <w:p>
      <w:pPr>
        <w:spacing w:after="0" w:line="225" w:lineRule="exact"/>
        <w:rPr>
          <w:rFonts w:ascii="Arial" w:cs="Arial" w:eastAsia="Arial" w:hAnsi="Arial"/>
          <w:sz w:val="18"/>
          <w:szCs w:val="18"/>
          <w:color w:val="auto"/>
        </w:rPr>
      </w:pPr>
    </w:p>
    <w:p>
      <w:pPr>
        <w:ind w:left="1000" w:hanging="344"/>
        <w:spacing w:after="0"/>
        <w:tabs>
          <w:tab w:leader="none" w:pos="10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Company’s Current Report on Form 8-K filed pursuant to Section 13(a) of the Exchange Act on March 10, 2006.</w:t>
      </w:r>
    </w:p>
    <w:p>
      <w:pPr>
        <w:spacing w:after="0" w:line="225" w:lineRule="exact"/>
        <w:rPr>
          <w:rFonts w:ascii="Arial" w:cs="Arial" w:eastAsia="Arial" w:hAnsi="Arial"/>
          <w:sz w:val="18"/>
          <w:szCs w:val="18"/>
          <w:color w:val="auto"/>
        </w:rPr>
      </w:pPr>
    </w:p>
    <w:p>
      <w:pPr>
        <w:ind w:left="960" w:hanging="304"/>
        <w:spacing w:after="0"/>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Company’s Current Report on Form 8-K filed pursuant to Section 13(a) of the Exchange Act on April 10, 2006.</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firstLine="656"/>
        <w:spacing w:after="0" w:line="264" w:lineRule="auto"/>
        <w:tabs>
          <w:tab w:leader="none" w:pos="1043"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description of the Company’s common stock contained in the Company’s Registration Statement on Form 8-A, filed November 9, 1990, pursuant to Section 12(b) of the Exchange Act (File No. 1-10658), including any amendment or report filed with the Securities and Exchange Commission for the purpose of updating such description.</w:t>
      </w:r>
    </w:p>
    <w:p>
      <w:pPr>
        <w:spacing w:after="0" w:line="181"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All reports and other documents filed by the Company pursuant to Sections 13(a), 13(c), 14 and 15(d) of the Exchange Act after the date of this Registration Statement and prior to the filing of a post-effective amendment which indicates that all securities offered have been sold or which deregisters all securities then remaining unsold, shall be deemed to be incorporated by reference in this Registration Statement and to be part hereof from the date of filing such documents.</w:t>
      </w:r>
    </w:p>
    <w:p>
      <w:pPr>
        <w:spacing w:after="0" w:line="18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Exhibits.</w:t>
      </w:r>
    </w:p>
    <w:p>
      <w:pPr>
        <w:spacing w:after="0" w:line="221"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168275</wp:posOffset>
            </wp:positionH>
            <wp:positionV relativeFrom="paragraph">
              <wp:posOffset>-3175</wp:posOffset>
            </wp:positionV>
            <wp:extent cx="4546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54660" cy="8890"/>
                    </a:xfrm>
                    <a:prstGeom prst="rect">
                      <a:avLst/>
                    </a:prstGeom>
                    <a:noFill/>
                  </pic:spPr>
                </pic:pic>
              </a:graphicData>
            </a:graphic>
          </wp:anchor>
        </w:drawing>
      </w:r>
    </w:p>
    <w:p>
      <w:pPr>
        <w:spacing w:after="0" w:line="190" w:lineRule="exact"/>
        <w:rPr>
          <w:sz w:val="20"/>
          <w:szCs w:val="20"/>
          <w:color w:val="auto"/>
        </w:rPr>
      </w:pPr>
    </w:p>
    <w:tbl>
      <w:tblPr>
        <w:tblLayout w:type="fixed"/>
        <w:tblInd w:w="26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5.1</w:t>
            </w:r>
          </w:p>
        </w:tc>
        <w:tc>
          <w:tcPr>
            <w:tcW w:w="4680" w:type="dxa"/>
            <w:vAlign w:val="bottom"/>
          </w:tcPr>
          <w:p>
            <w:pPr>
              <w:ind w:left="320"/>
              <w:spacing w:after="0"/>
              <w:rPr>
                <w:sz w:val="20"/>
                <w:szCs w:val="20"/>
                <w:color w:val="auto"/>
              </w:rPr>
            </w:pPr>
            <w:r>
              <w:rPr>
                <w:rFonts w:ascii="Arial" w:cs="Arial" w:eastAsia="Arial" w:hAnsi="Arial"/>
                <w:sz w:val="18"/>
                <w:szCs w:val="18"/>
                <w:color w:val="auto"/>
              </w:rPr>
              <w:t>Opinion of Counsel.</w:t>
            </w:r>
          </w:p>
        </w:tc>
      </w:tr>
      <w:tr>
        <w:trPr>
          <w:trHeight w:val="432"/>
        </w:trPr>
        <w:tc>
          <w:tcPr>
            <w:tcW w:w="660" w:type="dxa"/>
            <w:vAlign w:val="bottom"/>
          </w:tcPr>
          <w:p>
            <w:pPr>
              <w:spacing w:after="0"/>
              <w:rPr>
                <w:sz w:val="20"/>
                <w:szCs w:val="20"/>
                <w:color w:val="auto"/>
              </w:rPr>
            </w:pPr>
            <w:r>
              <w:rPr>
                <w:rFonts w:ascii="Arial" w:cs="Arial" w:eastAsia="Arial" w:hAnsi="Arial"/>
                <w:sz w:val="18"/>
                <w:szCs w:val="18"/>
                <w:color w:val="auto"/>
              </w:rPr>
              <w:t>23.1</w:t>
            </w:r>
          </w:p>
        </w:tc>
        <w:tc>
          <w:tcPr>
            <w:tcW w:w="4680" w:type="dxa"/>
            <w:vAlign w:val="bottom"/>
          </w:tcPr>
          <w:p>
            <w:pPr>
              <w:ind w:left="320"/>
              <w:spacing w:after="0"/>
              <w:rPr>
                <w:sz w:val="20"/>
                <w:szCs w:val="20"/>
                <w:color w:val="auto"/>
              </w:rPr>
            </w:pPr>
            <w:r>
              <w:rPr>
                <w:rFonts w:ascii="Arial" w:cs="Arial" w:eastAsia="Arial" w:hAnsi="Arial"/>
                <w:sz w:val="18"/>
                <w:szCs w:val="18"/>
                <w:color w:val="auto"/>
                <w:w w:val="90"/>
              </w:rPr>
              <w:t>Consent of Independent Registered Public Accounting Firm.</w:t>
            </w:r>
          </w:p>
        </w:tc>
      </w:tr>
      <w:tr>
        <w:trPr>
          <w:trHeight w:val="432"/>
        </w:trPr>
        <w:tc>
          <w:tcPr>
            <w:tcW w:w="660" w:type="dxa"/>
            <w:vAlign w:val="bottom"/>
          </w:tcPr>
          <w:p>
            <w:pPr>
              <w:spacing w:after="0"/>
              <w:rPr>
                <w:sz w:val="20"/>
                <w:szCs w:val="20"/>
                <w:color w:val="auto"/>
              </w:rPr>
            </w:pPr>
            <w:r>
              <w:rPr>
                <w:rFonts w:ascii="Arial" w:cs="Arial" w:eastAsia="Arial" w:hAnsi="Arial"/>
                <w:sz w:val="18"/>
                <w:szCs w:val="18"/>
                <w:color w:val="auto"/>
              </w:rPr>
              <w:t>23.2</w:t>
            </w:r>
          </w:p>
        </w:tc>
        <w:tc>
          <w:tcPr>
            <w:tcW w:w="4680" w:type="dxa"/>
            <w:vAlign w:val="bottom"/>
          </w:tcPr>
          <w:p>
            <w:pPr>
              <w:ind w:left="320"/>
              <w:spacing w:after="0"/>
              <w:rPr>
                <w:sz w:val="20"/>
                <w:szCs w:val="20"/>
                <w:color w:val="auto"/>
              </w:rPr>
            </w:pPr>
            <w:r>
              <w:rPr>
                <w:rFonts w:ascii="Arial" w:cs="Arial" w:eastAsia="Arial" w:hAnsi="Arial"/>
                <w:sz w:val="18"/>
                <w:szCs w:val="18"/>
                <w:color w:val="auto"/>
              </w:rPr>
              <w:t>Consent of Counsel (contained in Exhibit 5.1).</w:t>
            </w:r>
          </w:p>
        </w:tc>
      </w:tr>
      <w:tr>
        <w:trPr>
          <w:trHeight w:val="432"/>
        </w:trPr>
        <w:tc>
          <w:tcPr>
            <w:tcW w:w="660" w:type="dxa"/>
            <w:vAlign w:val="bottom"/>
          </w:tcPr>
          <w:p>
            <w:pPr>
              <w:spacing w:after="0"/>
              <w:rPr>
                <w:sz w:val="20"/>
                <w:szCs w:val="20"/>
                <w:color w:val="auto"/>
              </w:rPr>
            </w:pPr>
            <w:r>
              <w:rPr>
                <w:rFonts w:ascii="Arial" w:cs="Arial" w:eastAsia="Arial" w:hAnsi="Arial"/>
                <w:sz w:val="18"/>
                <w:szCs w:val="18"/>
                <w:color w:val="auto"/>
              </w:rPr>
              <w:t>24.1</w:t>
            </w:r>
          </w:p>
        </w:tc>
        <w:tc>
          <w:tcPr>
            <w:tcW w:w="4680" w:type="dxa"/>
            <w:vAlign w:val="bottom"/>
          </w:tcPr>
          <w:p>
            <w:pPr>
              <w:ind w:left="320"/>
              <w:spacing w:after="0"/>
              <w:rPr>
                <w:sz w:val="20"/>
                <w:szCs w:val="20"/>
                <w:color w:val="auto"/>
              </w:rPr>
            </w:pPr>
            <w:r>
              <w:rPr>
                <w:rFonts w:ascii="Arial" w:cs="Arial" w:eastAsia="Arial" w:hAnsi="Arial"/>
                <w:sz w:val="18"/>
                <w:szCs w:val="18"/>
                <w:color w:val="auto"/>
              </w:rPr>
              <w:t>Power of Attorney (included on signature page).</w:t>
            </w: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00" w:firstLine="648"/>
        <w:spacing w:after="0" w:line="269" w:lineRule="auto"/>
        <w:rPr>
          <w:sz w:val="20"/>
          <w:szCs w:val="20"/>
          <w:color w:val="auto"/>
        </w:rPr>
      </w:pPr>
      <w:r>
        <w:rPr>
          <w:rFonts w:ascii="Arial" w:cs="Arial" w:eastAsia="Arial" w:hAnsi="Arial"/>
          <w:sz w:val="18"/>
          <w:szCs w:val="18"/>
          <w:color w:val="auto"/>
        </w:rPr>
        <w:t>Pursuant to the requirements of the Securities Act, the Company certifies that it has reasonable grounds to believe that it meets all of the requirements for filing on Form S-8 and has duly caused this Registration Statement to be signed on its behalf by the undersigned, thereunto duly authorized, in the City of Boise, State of Idaho, on this 28</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day of April, 2006.</w:t>
      </w:r>
    </w:p>
    <w:p>
      <w:pPr>
        <w:sectPr>
          <w:pgSz w:w="11900" w:h="16838" w:orient="portrait"/>
          <w:cols w:equalWidth="0" w:num="1">
            <w:col w:w="11420"/>
          </w:cols>
          <w:pgMar w:left="240" w:top="337" w:right="239" w:bottom="0" w:gutter="0" w:footer="0" w:header="0"/>
        </w:sectPr>
      </w:pPr>
    </w:p>
    <w:bookmarkStart w:id="2" w:name="page3"/>
    <w:bookmarkEnd w:id="2"/>
    <w:p>
      <w:pPr>
        <w:ind w:left="5580"/>
        <w:spacing w:after="0"/>
        <w:rPr>
          <w:sz w:val="20"/>
          <w:szCs w:val="20"/>
          <w:color w:val="auto"/>
        </w:rPr>
      </w:pPr>
      <w:r>
        <w:rPr>
          <w:rFonts w:ascii="Arial" w:cs="Arial" w:eastAsia="Arial" w:hAnsi="Arial"/>
          <w:sz w:val="18"/>
          <w:szCs w:val="18"/>
          <w:color w:val="auto"/>
        </w:rPr>
        <w:t>MICRON TECHNOLOGY, INC.</w:t>
      </w:r>
    </w:p>
    <w:p>
      <w:pPr>
        <w:spacing w:after="0" w:line="22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W. G. Stover, Jr.</w:t>
      </w:r>
    </w:p>
    <w:p>
      <w:pPr>
        <w:spacing w:after="0" w:line="23" w:lineRule="exact"/>
        <w:rPr>
          <w:sz w:val="20"/>
          <w:szCs w:val="20"/>
          <w:color w:val="auto"/>
        </w:rPr>
      </w:pPr>
    </w:p>
    <w:p>
      <w:pPr>
        <w:ind w:left="5580"/>
        <w:spacing w:after="0"/>
        <w:tabs>
          <w:tab w:leader="none" w:pos="62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 G. Stover,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3547110</wp:posOffset>
            </wp:positionH>
            <wp:positionV relativeFrom="paragraph">
              <wp:posOffset>-130810</wp:posOffset>
            </wp:positionV>
            <wp:extent cx="37045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704590" cy="8890"/>
                    </a:xfrm>
                    <a:prstGeom prst="rect">
                      <a:avLst/>
                    </a:prstGeom>
                    <a:noFill/>
                  </pic:spPr>
                </pic:pic>
              </a:graphicData>
            </a:graphic>
          </wp:anchor>
        </w:drawing>
      </w:r>
    </w:p>
    <w:p>
      <w:pPr>
        <w:spacing w:after="0" w:line="3"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Vice President of Finance</w:t>
      </w:r>
    </w:p>
    <w:p>
      <w:pPr>
        <w:spacing w:after="0" w:line="9"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and Chief Financial Officer</w:t>
      </w:r>
    </w:p>
    <w:p>
      <w:pPr>
        <w:spacing w:after="0" w:line="21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POWER OF ATTORNEY</w:t>
      </w:r>
    </w:p>
    <w:p>
      <w:pPr>
        <w:spacing w:after="0" w:line="229"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KNOW ALL PERSONS BY THESE PRESENTS, that each person whose signature appears below constitutes and appoints Steven R. Appleton and W. G. Stover, Jr., jointly and severally, his attorneys-in-fact, each with the power of substitution, for him in any and all capacities, to sign any amendments to this Registration Statement on Form S-8, and to file the same, with exhibits thereto and other documents in connection therewith, with the Securities and Exchange Commission, hereby ratifying and confirming all that each of said attorneys-in-fact, or his substitute or substitutes, may do or cause to be done by virtue hereof.</w:t>
      </w:r>
    </w:p>
    <w:p>
      <w:pPr>
        <w:spacing w:after="0" w:line="188"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Pursuant to the requirements of the Securities Act, this Registration Statement has been signed by the following persons in the capacities and on the dates indicated.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Signature</w:t>
            </w:r>
          </w:p>
        </w:tc>
        <w:tc>
          <w:tcPr>
            <w:tcW w:w="40" w:type="dxa"/>
            <w:vAlign w:val="bottom"/>
            <w:tcBorders>
              <w:bottom w:val="single" w:sz="8" w:color="auto"/>
            </w:tcBorders>
          </w:tcPr>
          <w:p>
            <w:pPr>
              <w:spacing w:after="0"/>
              <w:rPr>
                <w:sz w:val="14"/>
                <w:szCs w:val="14"/>
                <w:color w:val="auto"/>
              </w:rPr>
            </w:pPr>
          </w:p>
        </w:tc>
        <w:tc>
          <w:tcPr>
            <w:tcW w:w="27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540" w:type="dxa"/>
            <w:vAlign w:val="bottom"/>
          </w:tcPr>
          <w:p>
            <w:pPr>
              <w:spacing w:after="0"/>
              <w:rPr>
                <w:sz w:val="14"/>
                <w:szCs w:val="14"/>
                <w:color w:val="auto"/>
              </w:rPr>
            </w:pPr>
          </w:p>
        </w:tc>
        <w:tc>
          <w:tcPr>
            <w:tcW w:w="4160" w:type="dxa"/>
            <w:vAlign w:val="bottom"/>
            <w:tcBorders>
              <w:bottom w:val="single" w:sz="8" w:color="auto"/>
            </w:tcBorders>
          </w:tcPr>
          <w:p>
            <w:pPr>
              <w:ind w:left="1940"/>
              <w:spacing w:after="0"/>
              <w:rPr>
                <w:sz w:val="20"/>
                <w:szCs w:val="20"/>
                <w:color w:val="auto"/>
              </w:rPr>
            </w:pPr>
            <w:r>
              <w:rPr>
                <w:rFonts w:ascii="Arial" w:cs="Arial" w:eastAsia="Arial" w:hAnsi="Arial"/>
                <w:sz w:val="14"/>
                <w:szCs w:val="14"/>
                <w:b w:val="1"/>
                <w:bCs w:val="1"/>
                <w:color w:val="auto"/>
              </w:rPr>
              <w:t>Title</w:t>
            </w:r>
          </w:p>
        </w:tc>
        <w:tc>
          <w:tcPr>
            <w:tcW w:w="540" w:type="dxa"/>
            <w:vAlign w:val="bottom"/>
          </w:tcPr>
          <w:p>
            <w:pPr>
              <w:spacing w:after="0"/>
              <w:rPr>
                <w:sz w:val="14"/>
                <w:szCs w:val="14"/>
                <w:color w:val="auto"/>
              </w:rPr>
            </w:pP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6"/>
        </w:trPr>
        <w:tc>
          <w:tcPr>
            <w:tcW w:w="4820" w:type="dxa"/>
            <w:vAlign w:val="bottom"/>
            <w:gridSpan w:val="6"/>
          </w:tcPr>
          <w:p>
            <w:pPr>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Steven R. Appleton</w:t>
            </w:r>
          </w:p>
        </w:tc>
        <w:tc>
          <w:tcPr>
            <w:tcW w:w="4700" w:type="dxa"/>
            <w:vAlign w:val="bottom"/>
            <w:gridSpan w:val="2"/>
          </w:tcPr>
          <w:p>
            <w:pPr>
              <w:spacing w:after="0"/>
              <w:rPr>
                <w:sz w:val="20"/>
                <w:szCs w:val="20"/>
                <w:color w:val="auto"/>
              </w:rPr>
            </w:pPr>
            <w:r>
              <w:rPr>
                <w:rFonts w:ascii="Arial" w:cs="Arial" w:eastAsia="Arial" w:hAnsi="Arial"/>
                <w:sz w:val="18"/>
                <w:szCs w:val="18"/>
                <w:color w:val="auto"/>
              </w:rPr>
              <w:t>Chairman of the Board, Chief Executive Officer</w:t>
            </w:r>
          </w:p>
        </w:tc>
        <w:tc>
          <w:tcPr>
            <w:tcW w:w="1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78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auto"/>
              </w:rPr>
              <w:t>Steven R. Appleton</w:t>
            </w:r>
          </w:p>
        </w:tc>
        <w:tc>
          <w:tcPr>
            <w:tcW w:w="5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and President (Principal Executive Officer)</w:t>
            </w:r>
          </w:p>
        </w:tc>
        <w:tc>
          <w:tcPr>
            <w:tcW w:w="1900" w:type="dxa"/>
            <w:vAlign w:val="bottom"/>
          </w:tcPr>
          <w:p>
            <w:pPr>
              <w:jc w:val="center"/>
              <w:spacing w:after="0"/>
              <w:rPr>
                <w:sz w:val="20"/>
                <w:szCs w:val="20"/>
                <w:color w:val="auto"/>
              </w:rPr>
            </w:pPr>
            <w:r>
              <w:rPr>
                <w:rFonts w:ascii="Arial" w:cs="Arial" w:eastAsia="Arial" w:hAnsi="Arial"/>
                <w:sz w:val="18"/>
                <w:szCs w:val="18"/>
                <w:color w:val="auto"/>
                <w:w w:val="95"/>
              </w:rPr>
              <w:t>April 28, 2006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4820" w:type="dxa"/>
            <w:vAlign w:val="bottom"/>
            <w:gridSpan w:val="6"/>
          </w:tcPr>
          <w:p>
            <w:pPr>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W. G. Stover, Jr.</w:t>
            </w:r>
          </w:p>
        </w:tc>
        <w:tc>
          <w:tcPr>
            <w:tcW w:w="4700" w:type="dxa"/>
            <w:vAlign w:val="bottom"/>
            <w:gridSpan w:val="2"/>
          </w:tcPr>
          <w:p>
            <w:pPr>
              <w:spacing w:after="0"/>
              <w:rPr>
                <w:sz w:val="20"/>
                <w:szCs w:val="20"/>
                <w:color w:val="auto"/>
              </w:rPr>
            </w:pPr>
            <w:r>
              <w:rPr>
                <w:rFonts w:ascii="Arial" w:cs="Arial" w:eastAsia="Arial" w:hAnsi="Arial"/>
                <w:sz w:val="18"/>
                <w:szCs w:val="18"/>
                <w:color w:val="auto"/>
              </w:rPr>
              <w:t>Vice President of Finance and Chief Financial</w:t>
            </w:r>
          </w:p>
        </w:tc>
        <w:tc>
          <w:tcPr>
            <w:tcW w:w="1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3780" w:type="dxa"/>
            <w:vAlign w:val="bottom"/>
            <w:tcBorders>
              <w:top w:val="single" w:sz="8" w:color="auto"/>
            </w:tcBorders>
            <w:gridSpan w:val="4"/>
          </w:tcPr>
          <w:p>
            <w:pPr>
              <w:spacing w:after="0" w:line="195" w:lineRule="exact"/>
              <w:rPr>
                <w:sz w:val="20"/>
                <w:szCs w:val="20"/>
                <w:color w:val="auto"/>
              </w:rPr>
            </w:pPr>
            <w:r>
              <w:rPr>
                <w:rFonts w:ascii="Arial" w:cs="Arial" w:eastAsia="Arial" w:hAnsi="Arial"/>
                <w:sz w:val="18"/>
                <w:szCs w:val="18"/>
                <w:color w:val="auto"/>
              </w:rPr>
              <w:t>W. G. Stover, Jr.</w:t>
            </w:r>
          </w:p>
        </w:tc>
        <w:tc>
          <w:tcPr>
            <w:tcW w:w="5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700" w:type="dxa"/>
            <w:vAlign w:val="bottom"/>
            <w:gridSpan w:val="2"/>
          </w:tcPr>
          <w:p>
            <w:pPr>
              <w:spacing w:after="0" w:line="195" w:lineRule="exact"/>
              <w:rPr>
                <w:sz w:val="20"/>
                <w:szCs w:val="20"/>
                <w:color w:val="auto"/>
              </w:rPr>
            </w:pPr>
            <w:r>
              <w:rPr>
                <w:rFonts w:ascii="Arial" w:cs="Arial" w:eastAsia="Arial" w:hAnsi="Arial"/>
                <w:sz w:val="18"/>
                <w:szCs w:val="18"/>
                <w:color w:val="auto"/>
              </w:rPr>
              <w:t>Officer (Principal Financial and Accounting</w:t>
            </w:r>
          </w:p>
        </w:tc>
        <w:tc>
          <w:tcPr>
            <w:tcW w:w="1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Officer)</w:t>
            </w:r>
          </w:p>
        </w:tc>
        <w:tc>
          <w:tcPr>
            <w:tcW w:w="1900" w:type="dxa"/>
            <w:vAlign w:val="bottom"/>
          </w:tcPr>
          <w:p>
            <w:pPr>
              <w:jc w:val="center"/>
              <w:spacing w:after="0"/>
              <w:rPr>
                <w:sz w:val="20"/>
                <w:szCs w:val="20"/>
                <w:color w:val="auto"/>
              </w:rPr>
            </w:pPr>
            <w:r>
              <w:rPr>
                <w:rFonts w:ascii="Arial" w:cs="Arial" w:eastAsia="Arial" w:hAnsi="Arial"/>
                <w:sz w:val="18"/>
                <w:szCs w:val="18"/>
                <w:color w:val="auto"/>
                <w:w w:val="95"/>
              </w:rPr>
              <w:t>April 28, 2006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820" w:type="dxa"/>
            <w:vAlign w:val="bottom"/>
            <w:gridSpan w:val="6"/>
          </w:tcPr>
          <w:p>
            <w:pPr>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Teruaki Aoki</w:t>
            </w:r>
          </w:p>
        </w:tc>
        <w:tc>
          <w:tcPr>
            <w:tcW w:w="4700" w:type="dxa"/>
            <w:vAlign w:val="bottom"/>
            <w:gridSpan w:val="2"/>
            <w:vMerge w:val="restart"/>
          </w:tcPr>
          <w:p>
            <w:pPr>
              <w:spacing w:after="0"/>
              <w:rPr>
                <w:sz w:val="20"/>
                <w:szCs w:val="20"/>
                <w:color w:val="auto"/>
              </w:rPr>
            </w:pPr>
            <w:r>
              <w:rPr>
                <w:rFonts w:ascii="Arial" w:cs="Arial" w:eastAsia="Arial" w:hAnsi="Arial"/>
                <w:sz w:val="18"/>
                <w:szCs w:val="18"/>
                <w:color w:val="auto"/>
              </w:rPr>
              <w:t>Director</w:t>
            </w:r>
          </w:p>
        </w:tc>
        <w:tc>
          <w:tcPr>
            <w:tcW w:w="1900" w:type="dxa"/>
            <w:vAlign w:val="bottom"/>
            <w:vMerge w:val="restart"/>
          </w:tcPr>
          <w:p>
            <w:pPr>
              <w:jc w:val="center"/>
              <w:spacing w:after="0"/>
              <w:rPr>
                <w:sz w:val="20"/>
                <w:szCs w:val="20"/>
                <w:color w:val="auto"/>
              </w:rPr>
            </w:pPr>
            <w:r>
              <w:rPr>
                <w:rFonts w:ascii="Arial" w:cs="Arial" w:eastAsia="Arial" w:hAnsi="Arial"/>
                <w:sz w:val="18"/>
                <w:szCs w:val="18"/>
                <w:color w:val="auto"/>
                <w:w w:val="95"/>
              </w:rPr>
              <w:t>April 28, 2006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10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7"/>
              </w:rPr>
              <w:t>Teruaki Aoki</w:t>
            </w:r>
          </w:p>
        </w:tc>
        <w:tc>
          <w:tcPr>
            <w:tcW w:w="40" w:type="dxa"/>
            <w:vAlign w:val="bottom"/>
            <w:tcBorders>
              <w:top w:val="single" w:sz="8" w:color="auto"/>
            </w:tcBorders>
          </w:tcPr>
          <w:p>
            <w:pPr>
              <w:spacing w:after="0"/>
              <w:rPr>
                <w:sz w:val="19"/>
                <w:szCs w:val="19"/>
                <w:color w:val="auto"/>
              </w:rPr>
            </w:pPr>
          </w:p>
        </w:tc>
        <w:tc>
          <w:tcPr>
            <w:tcW w:w="2740" w:type="dxa"/>
            <w:vAlign w:val="bottom"/>
            <w:tcBorders>
              <w:top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700" w:type="dxa"/>
            <w:vAlign w:val="bottom"/>
            <w:gridSpan w:val="2"/>
            <w:vMerge w:val="continue"/>
          </w:tcPr>
          <w:p>
            <w:pPr>
              <w:spacing w:after="0"/>
              <w:rPr>
                <w:sz w:val="19"/>
                <w:szCs w:val="19"/>
                <w:color w:val="auto"/>
              </w:rPr>
            </w:pPr>
          </w:p>
        </w:tc>
        <w:tc>
          <w:tcPr>
            <w:tcW w:w="190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4820" w:type="dxa"/>
            <w:vAlign w:val="bottom"/>
            <w:gridSpan w:val="6"/>
          </w:tcPr>
          <w:p>
            <w:pPr>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James W. Bagley</w:t>
            </w:r>
          </w:p>
        </w:tc>
        <w:tc>
          <w:tcPr>
            <w:tcW w:w="4700" w:type="dxa"/>
            <w:vAlign w:val="bottom"/>
            <w:gridSpan w:val="2"/>
            <w:vMerge w:val="restart"/>
          </w:tcPr>
          <w:p>
            <w:pPr>
              <w:spacing w:after="0"/>
              <w:rPr>
                <w:sz w:val="20"/>
                <w:szCs w:val="20"/>
                <w:color w:val="auto"/>
              </w:rPr>
            </w:pPr>
            <w:r>
              <w:rPr>
                <w:rFonts w:ascii="Arial" w:cs="Arial" w:eastAsia="Arial" w:hAnsi="Arial"/>
                <w:sz w:val="18"/>
                <w:szCs w:val="18"/>
                <w:color w:val="auto"/>
              </w:rPr>
              <w:t>Director</w:t>
            </w:r>
          </w:p>
        </w:tc>
        <w:tc>
          <w:tcPr>
            <w:tcW w:w="1900" w:type="dxa"/>
            <w:vAlign w:val="bottom"/>
            <w:vMerge w:val="restart"/>
          </w:tcPr>
          <w:p>
            <w:pPr>
              <w:jc w:val="center"/>
              <w:spacing w:after="0"/>
              <w:rPr>
                <w:sz w:val="20"/>
                <w:szCs w:val="20"/>
                <w:color w:val="auto"/>
              </w:rPr>
            </w:pPr>
            <w:r>
              <w:rPr>
                <w:rFonts w:ascii="Arial" w:cs="Arial" w:eastAsia="Arial" w:hAnsi="Arial"/>
                <w:sz w:val="18"/>
                <w:szCs w:val="18"/>
                <w:color w:val="auto"/>
                <w:w w:val="95"/>
              </w:rPr>
              <w:t>April 28, 2006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78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auto"/>
              </w:rPr>
              <w:t>James W. Bagley</w:t>
            </w:r>
          </w:p>
        </w:tc>
        <w:tc>
          <w:tcPr>
            <w:tcW w:w="5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700" w:type="dxa"/>
            <w:vAlign w:val="bottom"/>
            <w:gridSpan w:val="2"/>
            <w:vMerge w:val="continue"/>
          </w:tcPr>
          <w:p>
            <w:pPr>
              <w:spacing w:after="0"/>
              <w:rPr>
                <w:sz w:val="19"/>
                <w:szCs w:val="19"/>
                <w:color w:val="auto"/>
              </w:rPr>
            </w:pPr>
          </w:p>
        </w:tc>
        <w:tc>
          <w:tcPr>
            <w:tcW w:w="190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4820" w:type="dxa"/>
            <w:vAlign w:val="bottom"/>
            <w:gridSpan w:val="6"/>
          </w:tcPr>
          <w:p>
            <w:pPr>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Mercedes Johnson</w:t>
            </w:r>
          </w:p>
        </w:tc>
        <w:tc>
          <w:tcPr>
            <w:tcW w:w="4700" w:type="dxa"/>
            <w:vAlign w:val="bottom"/>
            <w:gridSpan w:val="2"/>
            <w:vMerge w:val="restart"/>
          </w:tcPr>
          <w:p>
            <w:pPr>
              <w:spacing w:after="0"/>
              <w:rPr>
                <w:sz w:val="20"/>
                <w:szCs w:val="20"/>
                <w:color w:val="auto"/>
              </w:rPr>
            </w:pPr>
            <w:r>
              <w:rPr>
                <w:rFonts w:ascii="Arial" w:cs="Arial" w:eastAsia="Arial" w:hAnsi="Arial"/>
                <w:sz w:val="18"/>
                <w:szCs w:val="18"/>
                <w:color w:val="auto"/>
              </w:rPr>
              <w:t>Director</w:t>
            </w:r>
          </w:p>
        </w:tc>
        <w:tc>
          <w:tcPr>
            <w:tcW w:w="1900" w:type="dxa"/>
            <w:vAlign w:val="bottom"/>
            <w:vMerge w:val="restart"/>
          </w:tcPr>
          <w:p>
            <w:pPr>
              <w:jc w:val="center"/>
              <w:spacing w:after="0"/>
              <w:rPr>
                <w:sz w:val="20"/>
                <w:szCs w:val="20"/>
                <w:color w:val="auto"/>
              </w:rPr>
            </w:pPr>
            <w:r>
              <w:rPr>
                <w:rFonts w:ascii="Arial" w:cs="Arial" w:eastAsia="Arial" w:hAnsi="Arial"/>
                <w:sz w:val="18"/>
                <w:szCs w:val="18"/>
                <w:color w:val="auto"/>
                <w:w w:val="95"/>
              </w:rPr>
              <w:t>April 28, 2006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78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auto"/>
              </w:rPr>
              <w:t>Mercedes Johnson</w:t>
            </w:r>
          </w:p>
        </w:tc>
        <w:tc>
          <w:tcPr>
            <w:tcW w:w="5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700" w:type="dxa"/>
            <w:vAlign w:val="bottom"/>
            <w:gridSpan w:val="2"/>
            <w:vMerge w:val="continue"/>
          </w:tcPr>
          <w:p>
            <w:pPr>
              <w:spacing w:after="0"/>
              <w:rPr>
                <w:sz w:val="19"/>
                <w:szCs w:val="19"/>
                <w:color w:val="auto"/>
              </w:rPr>
            </w:pPr>
          </w:p>
        </w:tc>
        <w:tc>
          <w:tcPr>
            <w:tcW w:w="190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4820" w:type="dxa"/>
            <w:vAlign w:val="bottom"/>
            <w:gridSpan w:val="6"/>
          </w:tcPr>
          <w:p>
            <w:pPr>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Robert A. Lothrop</w:t>
            </w:r>
          </w:p>
        </w:tc>
        <w:tc>
          <w:tcPr>
            <w:tcW w:w="4700" w:type="dxa"/>
            <w:vAlign w:val="bottom"/>
            <w:gridSpan w:val="2"/>
            <w:vMerge w:val="restart"/>
          </w:tcPr>
          <w:p>
            <w:pPr>
              <w:spacing w:after="0"/>
              <w:rPr>
                <w:sz w:val="20"/>
                <w:szCs w:val="20"/>
                <w:color w:val="auto"/>
              </w:rPr>
            </w:pPr>
            <w:r>
              <w:rPr>
                <w:rFonts w:ascii="Arial" w:cs="Arial" w:eastAsia="Arial" w:hAnsi="Arial"/>
                <w:sz w:val="18"/>
                <w:szCs w:val="18"/>
                <w:color w:val="auto"/>
              </w:rPr>
              <w:t>Director</w:t>
            </w:r>
          </w:p>
        </w:tc>
        <w:tc>
          <w:tcPr>
            <w:tcW w:w="1900" w:type="dxa"/>
            <w:vAlign w:val="bottom"/>
            <w:vMerge w:val="restart"/>
          </w:tcPr>
          <w:p>
            <w:pPr>
              <w:jc w:val="center"/>
              <w:spacing w:after="0"/>
              <w:rPr>
                <w:sz w:val="20"/>
                <w:szCs w:val="20"/>
                <w:color w:val="auto"/>
              </w:rPr>
            </w:pPr>
            <w:r>
              <w:rPr>
                <w:rFonts w:ascii="Arial" w:cs="Arial" w:eastAsia="Arial" w:hAnsi="Arial"/>
                <w:sz w:val="18"/>
                <w:szCs w:val="18"/>
                <w:color w:val="auto"/>
                <w:w w:val="95"/>
              </w:rPr>
              <w:t>April 28, 2006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78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auto"/>
              </w:rPr>
              <w:t>Robert A. Lothrop</w:t>
            </w:r>
          </w:p>
        </w:tc>
        <w:tc>
          <w:tcPr>
            <w:tcW w:w="5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700" w:type="dxa"/>
            <w:vAlign w:val="bottom"/>
            <w:gridSpan w:val="2"/>
            <w:vMerge w:val="continue"/>
          </w:tcPr>
          <w:p>
            <w:pPr>
              <w:spacing w:after="0"/>
              <w:rPr>
                <w:sz w:val="19"/>
                <w:szCs w:val="19"/>
                <w:color w:val="auto"/>
              </w:rPr>
            </w:pPr>
          </w:p>
        </w:tc>
        <w:tc>
          <w:tcPr>
            <w:tcW w:w="190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4820" w:type="dxa"/>
            <w:vAlign w:val="bottom"/>
            <w:gridSpan w:val="6"/>
          </w:tcPr>
          <w:p>
            <w:pPr>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Lawrence N. Mondry</w:t>
            </w:r>
          </w:p>
        </w:tc>
        <w:tc>
          <w:tcPr>
            <w:tcW w:w="4700" w:type="dxa"/>
            <w:vAlign w:val="bottom"/>
            <w:gridSpan w:val="2"/>
            <w:vMerge w:val="restart"/>
          </w:tcPr>
          <w:p>
            <w:pPr>
              <w:spacing w:after="0"/>
              <w:rPr>
                <w:sz w:val="20"/>
                <w:szCs w:val="20"/>
                <w:color w:val="auto"/>
              </w:rPr>
            </w:pPr>
            <w:r>
              <w:rPr>
                <w:rFonts w:ascii="Arial" w:cs="Arial" w:eastAsia="Arial" w:hAnsi="Arial"/>
                <w:sz w:val="18"/>
                <w:szCs w:val="18"/>
                <w:color w:val="auto"/>
              </w:rPr>
              <w:t>Director</w:t>
            </w:r>
          </w:p>
        </w:tc>
        <w:tc>
          <w:tcPr>
            <w:tcW w:w="1900" w:type="dxa"/>
            <w:vAlign w:val="bottom"/>
            <w:vMerge w:val="restart"/>
          </w:tcPr>
          <w:p>
            <w:pPr>
              <w:jc w:val="center"/>
              <w:spacing w:after="0"/>
              <w:rPr>
                <w:sz w:val="20"/>
                <w:szCs w:val="20"/>
                <w:color w:val="auto"/>
              </w:rPr>
            </w:pPr>
            <w:r>
              <w:rPr>
                <w:rFonts w:ascii="Arial" w:cs="Arial" w:eastAsia="Arial" w:hAnsi="Arial"/>
                <w:sz w:val="18"/>
                <w:szCs w:val="18"/>
                <w:color w:val="auto"/>
                <w:w w:val="95"/>
              </w:rPr>
              <w:t>April 28, 2006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78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auto"/>
              </w:rPr>
              <w:t>Lawrence N. Mondry</w:t>
            </w:r>
          </w:p>
        </w:tc>
        <w:tc>
          <w:tcPr>
            <w:tcW w:w="5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700" w:type="dxa"/>
            <w:vAlign w:val="bottom"/>
            <w:gridSpan w:val="2"/>
            <w:vMerge w:val="continue"/>
          </w:tcPr>
          <w:p>
            <w:pPr>
              <w:spacing w:after="0"/>
              <w:rPr>
                <w:sz w:val="19"/>
                <w:szCs w:val="19"/>
                <w:color w:val="auto"/>
              </w:rPr>
            </w:pPr>
          </w:p>
        </w:tc>
        <w:tc>
          <w:tcPr>
            <w:tcW w:w="190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4820" w:type="dxa"/>
            <w:vAlign w:val="bottom"/>
            <w:gridSpan w:val="6"/>
          </w:tcPr>
          <w:p>
            <w:pPr>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Gordon C. Smith</w:t>
            </w:r>
          </w:p>
        </w:tc>
        <w:tc>
          <w:tcPr>
            <w:tcW w:w="4700" w:type="dxa"/>
            <w:vAlign w:val="bottom"/>
            <w:gridSpan w:val="2"/>
            <w:vMerge w:val="restart"/>
          </w:tcPr>
          <w:p>
            <w:pPr>
              <w:spacing w:after="0"/>
              <w:rPr>
                <w:sz w:val="20"/>
                <w:szCs w:val="20"/>
                <w:color w:val="auto"/>
              </w:rPr>
            </w:pPr>
            <w:r>
              <w:rPr>
                <w:rFonts w:ascii="Arial" w:cs="Arial" w:eastAsia="Arial" w:hAnsi="Arial"/>
                <w:sz w:val="18"/>
                <w:szCs w:val="18"/>
                <w:color w:val="auto"/>
              </w:rPr>
              <w:t>Director</w:t>
            </w:r>
          </w:p>
        </w:tc>
        <w:tc>
          <w:tcPr>
            <w:tcW w:w="1900" w:type="dxa"/>
            <w:vAlign w:val="bottom"/>
            <w:vMerge w:val="restart"/>
          </w:tcPr>
          <w:p>
            <w:pPr>
              <w:jc w:val="center"/>
              <w:spacing w:after="0"/>
              <w:rPr>
                <w:sz w:val="20"/>
                <w:szCs w:val="20"/>
                <w:color w:val="auto"/>
              </w:rPr>
            </w:pPr>
            <w:r>
              <w:rPr>
                <w:rFonts w:ascii="Arial" w:cs="Arial" w:eastAsia="Arial" w:hAnsi="Arial"/>
                <w:sz w:val="18"/>
                <w:szCs w:val="18"/>
                <w:color w:val="auto"/>
                <w:w w:val="95"/>
              </w:rPr>
              <w:t>April 28, 2006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78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auto"/>
              </w:rPr>
              <w:t>Gordon C. Smith</w:t>
            </w:r>
          </w:p>
        </w:tc>
        <w:tc>
          <w:tcPr>
            <w:tcW w:w="5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700" w:type="dxa"/>
            <w:vAlign w:val="bottom"/>
            <w:gridSpan w:val="2"/>
            <w:vMerge w:val="continue"/>
          </w:tcPr>
          <w:p>
            <w:pPr>
              <w:spacing w:after="0"/>
              <w:rPr>
                <w:sz w:val="19"/>
                <w:szCs w:val="19"/>
                <w:color w:val="auto"/>
              </w:rPr>
            </w:pPr>
          </w:p>
        </w:tc>
        <w:tc>
          <w:tcPr>
            <w:tcW w:w="190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4820" w:type="dxa"/>
            <w:vAlign w:val="bottom"/>
            <w:gridSpan w:val="6"/>
          </w:tcPr>
          <w:p>
            <w:pPr>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Robert E. Switz</w:t>
            </w:r>
          </w:p>
        </w:tc>
        <w:tc>
          <w:tcPr>
            <w:tcW w:w="4700" w:type="dxa"/>
            <w:vAlign w:val="bottom"/>
            <w:gridSpan w:val="2"/>
            <w:vMerge w:val="restart"/>
          </w:tcPr>
          <w:p>
            <w:pPr>
              <w:spacing w:after="0"/>
              <w:rPr>
                <w:sz w:val="20"/>
                <w:szCs w:val="20"/>
                <w:color w:val="auto"/>
              </w:rPr>
            </w:pPr>
            <w:r>
              <w:rPr>
                <w:rFonts w:ascii="Arial" w:cs="Arial" w:eastAsia="Arial" w:hAnsi="Arial"/>
                <w:sz w:val="18"/>
                <w:szCs w:val="18"/>
                <w:color w:val="auto"/>
              </w:rPr>
              <w:t>Director</w:t>
            </w:r>
          </w:p>
        </w:tc>
        <w:tc>
          <w:tcPr>
            <w:tcW w:w="1900" w:type="dxa"/>
            <w:vAlign w:val="bottom"/>
            <w:vMerge w:val="restart"/>
          </w:tcPr>
          <w:p>
            <w:pPr>
              <w:jc w:val="center"/>
              <w:spacing w:after="0"/>
              <w:rPr>
                <w:sz w:val="20"/>
                <w:szCs w:val="20"/>
                <w:color w:val="auto"/>
              </w:rPr>
            </w:pPr>
            <w:r>
              <w:rPr>
                <w:rFonts w:ascii="Arial" w:cs="Arial" w:eastAsia="Arial" w:hAnsi="Arial"/>
                <w:sz w:val="18"/>
                <w:szCs w:val="18"/>
                <w:color w:val="auto"/>
                <w:w w:val="95"/>
              </w:rPr>
              <w:t>April 28, 2006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78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auto"/>
              </w:rPr>
              <w:t>Robert E. Switz</w:t>
            </w:r>
          </w:p>
        </w:tc>
        <w:tc>
          <w:tcPr>
            <w:tcW w:w="5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700" w:type="dxa"/>
            <w:vAlign w:val="bottom"/>
            <w:gridSpan w:val="2"/>
            <w:vMerge w:val="continue"/>
          </w:tcPr>
          <w:p>
            <w:pPr>
              <w:spacing w:after="0"/>
              <w:rPr>
                <w:sz w:val="19"/>
                <w:szCs w:val="19"/>
                <w:color w:val="auto"/>
              </w:rPr>
            </w:pPr>
          </w:p>
        </w:tc>
        <w:tc>
          <w:tcPr>
            <w:tcW w:w="190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4820" w:type="dxa"/>
            <w:vAlign w:val="bottom"/>
            <w:gridSpan w:val="6"/>
          </w:tcPr>
          <w:p>
            <w:pPr>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William P. Weber</w:t>
            </w:r>
          </w:p>
        </w:tc>
        <w:tc>
          <w:tcPr>
            <w:tcW w:w="4700" w:type="dxa"/>
            <w:vAlign w:val="bottom"/>
            <w:gridSpan w:val="2"/>
            <w:vMerge w:val="restart"/>
          </w:tcPr>
          <w:p>
            <w:pPr>
              <w:spacing w:after="0"/>
              <w:rPr>
                <w:sz w:val="20"/>
                <w:szCs w:val="20"/>
                <w:color w:val="auto"/>
              </w:rPr>
            </w:pPr>
            <w:r>
              <w:rPr>
                <w:rFonts w:ascii="Arial" w:cs="Arial" w:eastAsia="Arial" w:hAnsi="Arial"/>
                <w:sz w:val="18"/>
                <w:szCs w:val="18"/>
                <w:color w:val="auto"/>
              </w:rPr>
              <w:t>Director</w:t>
            </w:r>
          </w:p>
        </w:tc>
        <w:tc>
          <w:tcPr>
            <w:tcW w:w="1900" w:type="dxa"/>
            <w:vAlign w:val="bottom"/>
            <w:vMerge w:val="restart"/>
          </w:tcPr>
          <w:p>
            <w:pPr>
              <w:jc w:val="center"/>
              <w:spacing w:after="0"/>
              <w:rPr>
                <w:sz w:val="20"/>
                <w:szCs w:val="20"/>
                <w:color w:val="auto"/>
              </w:rPr>
            </w:pPr>
            <w:r>
              <w:rPr>
                <w:rFonts w:ascii="Arial" w:cs="Arial" w:eastAsia="Arial" w:hAnsi="Arial"/>
                <w:sz w:val="18"/>
                <w:szCs w:val="18"/>
                <w:color w:val="auto"/>
                <w:w w:val="95"/>
              </w:rPr>
              <w:t>April 28, 2006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78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auto"/>
              </w:rPr>
              <w:t>William P. Weber</w:t>
            </w:r>
          </w:p>
        </w:tc>
        <w:tc>
          <w:tcPr>
            <w:tcW w:w="5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700" w:type="dxa"/>
            <w:vAlign w:val="bottom"/>
            <w:gridSpan w:val="2"/>
            <w:vMerge w:val="continue"/>
          </w:tcPr>
          <w:p>
            <w:pPr>
              <w:spacing w:after="0"/>
              <w:rPr>
                <w:sz w:val="19"/>
                <w:szCs w:val="19"/>
                <w:color w:val="auto"/>
              </w:rPr>
            </w:pPr>
          </w:p>
        </w:tc>
        <w:tc>
          <w:tcPr>
            <w:tcW w:w="190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700" w:type="dxa"/>
            <w:vAlign w:val="bottom"/>
            <w:gridSpan w:val="2"/>
          </w:tcPr>
          <w:p>
            <w:pPr>
              <w:ind w:left="760"/>
              <w:spacing w:after="0"/>
              <w:rPr>
                <w:sz w:val="20"/>
                <w:szCs w:val="20"/>
                <w:color w:val="auto"/>
              </w:rPr>
            </w:pPr>
            <w:r>
              <w:rPr>
                <w:rFonts w:ascii="Arial" w:cs="Arial" w:eastAsia="Arial" w:hAnsi="Arial"/>
                <w:sz w:val="18"/>
                <w:szCs w:val="18"/>
                <w:color w:val="auto"/>
              </w:rPr>
              <w:t>II-4</w:t>
            </w:r>
          </w:p>
        </w:tc>
        <w:tc>
          <w:tcPr>
            <w:tcW w:w="1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76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274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4700" w:type="dxa"/>
            <w:vAlign w:val="bottom"/>
            <w:tcBorders>
              <w:bottom w:val="single" w:sz="8" w:color="808080"/>
            </w:tcBorders>
            <w:gridSpan w:val="2"/>
          </w:tcPr>
          <w:p>
            <w:pPr>
              <w:spacing w:after="0"/>
              <w:rPr>
                <w:sz w:val="10"/>
                <w:szCs w:val="10"/>
                <w:color w:val="auto"/>
              </w:rPr>
            </w:pPr>
          </w:p>
        </w:tc>
        <w:tc>
          <w:tcPr>
            <w:tcW w:w="190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780"/>
        </w:trPr>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700" w:type="dxa"/>
            <w:vAlign w:val="bottom"/>
            <w:gridSpan w:val="2"/>
          </w:tcPr>
          <w:p>
            <w:pPr>
              <w:ind w:left="200"/>
              <w:spacing w:after="0"/>
              <w:rPr>
                <w:sz w:val="20"/>
                <w:szCs w:val="20"/>
                <w:color w:val="auto"/>
              </w:rPr>
            </w:pPr>
            <w:r>
              <w:rPr>
                <w:rFonts w:ascii="Arial" w:cs="Arial" w:eastAsia="Arial" w:hAnsi="Arial"/>
                <w:sz w:val="18"/>
                <w:szCs w:val="18"/>
                <w:b w:val="1"/>
                <w:bCs w:val="1"/>
                <w:color w:val="auto"/>
              </w:rPr>
              <w:t>EXHIBIT INDEX</w:t>
            </w:r>
          </w:p>
        </w:tc>
        <w:tc>
          <w:tcPr>
            <w:tcW w:w="1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100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4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700" w:type="dxa"/>
            <w:vAlign w:val="bottom"/>
            <w:gridSpan w:val="2"/>
            <w:vMerge w:val="restart"/>
          </w:tcPr>
          <w:p>
            <w:pPr>
              <w:ind w:left="1060"/>
              <w:spacing w:after="0"/>
              <w:rPr>
                <w:sz w:val="20"/>
                <w:szCs w:val="20"/>
                <w:color w:val="auto"/>
              </w:rPr>
            </w:pPr>
            <w:r>
              <w:rPr>
                <w:rFonts w:ascii="Arial" w:cs="Arial" w:eastAsia="Arial" w:hAnsi="Arial"/>
                <w:sz w:val="14"/>
                <w:szCs w:val="14"/>
                <w:b w:val="1"/>
                <w:bCs w:val="1"/>
                <w:color w:val="auto"/>
              </w:rPr>
              <w:t>Description</w:t>
            </w:r>
          </w:p>
        </w:tc>
        <w:tc>
          <w:tcPr>
            <w:tcW w:w="1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7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7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700" w:type="dxa"/>
            <w:vAlign w:val="bottom"/>
            <w:tcBorders>
              <w:bottom w:val="single" w:sz="8" w:color="auto"/>
            </w:tcBorders>
            <w:gridSpan w:val="2"/>
            <w:vMerge w:val="continue"/>
          </w:tcPr>
          <w:p>
            <w:pPr>
              <w:spacing w:after="0"/>
              <w:rPr>
                <w:sz w:val="14"/>
                <w:szCs w:val="14"/>
                <w:color w:val="auto"/>
              </w:rPr>
            </w:pPr>
          </w:p>
        </w:tc>
        <w:tc>
          <w:tcPr>
            <w:tcW w:w="19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6"/>
        </w:trPr>
        <w:tc>
          <w:tcPr>
            <w:tcW w:w="760" w:type="dxa"/>
            <w:vAlign w:val="bottom"/>
          </w:tcPr>
          <w:p>
            <w:pPr>
              <w:spacing w:after="0"/>
              <w:rPr>
                <w:sz w:val="20"/>
                <w:szCs w:val="20"/>
                <w:color w:val="auto"/>
              </w:rPr>
            </w:pPr>
            <w:r>
              <w:rPr>
                <w:rFonts w:ascii="Arial" w:cs="Arial" w:eastAsia="Arial" w:hAnsi="Arial"/>
                <w:sz w:val="18"/>
                <w:szCs w:val="18"/>
                <w:color w:val="auto"/>
              </w:rPr>
              <w:t>5.1</w:t>
            </w:r>
          </w:p>
        </w:tc>
        <w:tc>
          <w:tcPr>
            <w:tcW w:w="240" w:type="dxa"/>
            <w:vAlign w:val="bottom"/>
          </w:tcPr>
          <w:p>
            <w:pPr>
              <w:spacing w:after="0"/>
              <w:rPr>
                <w:sz w:val="24"/>
                <w:szCs w:val="24"/>
                <w:color w:val="auto"/>
              </w:rPr>
            </w:pPr>
          </w:p>
        </w:tc>
        <w:tc>
          <w:tcPr>
            <w:tcW w:w="3820" w:type="dxa"/>
            <w:vAlign w:val="bottom"/>
            <w:gridSpan w:val="4"/>
          </w:tcPr>
          <w:p>
            <w:pPr>
              <w:ind w:left="40"/>
              <w:spacing w:after="0"/>
              <w:rPr>
                <w:sz w:val="20"/>
                <w:szCs w:val="20"/>
                <w:color w:val="auto"/>
              </w:rPr>
            </w:pPr>
            <w:r>
              <w:rPr>
                <w:rFonts w:ascii="Arial" w:cs="Arial" w:eastAsia="Arial" w:hAnsi="Arial"/>
                <w:sz w:val="18"/>
                <w:szCs w:val="18"/>
                <w:color w:val="auto"/>
              </w:rPr>
              <w:t>Opinion of Counsel.</w:t>
            </w:r>
          </w:p>
        </w:tc>
        <w:tc>
          <w:tcPr>
            <w:tcW w:w="4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60" w:type="dxa"/>
            <w:vAlign w:val="bottom"/>
          </w:tcPr>
          <w:p>
            <w:pPr>
              <w:spacing w:after="0"/>
              <w:rPr>
                <w:sz w:val="20"/>
                <w:szCs w:val="20"/>
                <w:color w:val="auto"/>
              </w:rPr>
            </w:pPr>
            <w:r>
              <w:rPr>
                <w:rFonts w:ascii="Arial" w:cs="Arial" w:eastAsia="Arial" w:hAnsi="Arial"/>
                <w:sz w:val="18"/>
                <w:szCs w:val="18"/>
                <w:color w:val="auto"/>
              </w:rPr>
              <w:t>23.1</w:t>
            </w:r>
          </w:p>
        </w:tc>
        <w:tc>
          <w:tcPr>
            <w:tcW w:w="240" w:type="dxa"/>
            <w:vAlign w:val="bottom"/>
          </w:tcPr>
          <w:p>
            <w:pPr>
              <w:spacing w:after="0"/>
              <w:rPr>
                <w:sz w:val="24"/>
                <w:szCs w:val="24"/>
                <w:color w:val="auto"/>
              </w:rPr>
            </w:pPr>
          </w:p>
        </w:tc>
        <w:tc>
          <w:tcPr>
            <w:tcW w:w="8520" w:type="dxa"/>
            <w:vAlign w:val="bottom"/>
            <w:gridSpan w:val="6"/>
          </w:tcPr>
          <w:p>
            <w:pPr>
              <w:ind w:left="40"/>
              <w:spacing w:after="0"/>
              <w:rPr>
                <w:sz w:val="20"/>
                <w:szCs w:val="20"/>
                <w:color w:val="auto"/>
              </w:rPr>
            </w:pPr>
            <w:r>
              <w:rPr>
                <w:rFonts w:ascii="Arial" w:cs="Arial" w:eastAsia="Arial" w:hAnsi="Arial"/>
                <w:sz w:val="18"/>
                <w:szCs w:val="18"/>
                <w:color w:val="auto"/>
              </w:rPr>
              <w:t>Consent of Independent Registered Public Accounting Firm.</w:t>
            </w:r>
          </w:p>
        </w:tc>
        <w:tc>
          <w:tcPr>
            <w:tcW w:w="1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60" w:type="dxa"/>
            <w:vAlign w:val="bottom"/>
          </w:tcPr>
          <w:p>
            <w:pPr>
              <w:spacing w:after="0"/>
              <w:rPr>
                <w:sz w:val="20"/>
                <w:szCs w:val="20"/>
                <w:color w:val="auto"/>
              </w:rPr>
            </w:pPr>
            <w:r>
              <w:rPr>
                <w:rFonts w:ascii="Arial" w:cs="Arial" w:eastAsia="Arial" w:hAnsi="Arial"/>
                <w:sz w:val="18"/>
                <w:szCs w:val="18"/>
                <w:color w:val="auto"/>
              </w:rPr>
              <w:t>23.2</w:t>
            </w:r>
          </w:p>
        </w:tc>
        <w:tc>
          <w:tcPr>
            <w:tcW w:w="240" w:type="dxa"/>
            <w:vAlign w:val="bottom"/>
          </w:tcPr>
          <w:p>
            <w:pPr>
              <w:spacing w:after="0"/>
              <w:rPr>
                <w:sz w:val="24"/>
                <w:szCs w:val="24"/>
                <w:color w:val="auto"/>
              </w:rPr>
            </w:pPr>
          </w:p>
        </w:tc>
        <w:tc>
          <w:tcPr>
            <w:tcW w:w="3820" w:type="dxa"/>
            <w:vAlign w:val="bottom"/>
            <w:gridSpan w:val="4"/>
          </w:tcPr>
          <w:p>
            <w:pPr>
              <w:ind w:left="40"/>
              <w:spacing w:after="0"/>
              <w:rPr>
                <w:sz w:val="20"/>
                <w:szCs w:val="20"/>
                <w:color w:val="auto"/>
              </w:rPr>
            </w:pPr>
            <w:r>
              <w:rPr>
                <w:rFonts w:ascii="Arial" w:cs="Arial" w:eastAsia="Arial" w:hAnsi="Arial"/>
                <w:sz w:val="18"/>
                <w:szCs w:val="18"/>
                <w:color w:val="auto"/>
              </w:rPr>
              <w:t>Consent of Counsel (contained in Exhibit 5.1).</w:t>
            </w:r>
          </w:p>
        </w:tc>
        <w:tc>
          <w:tcPr>
            <w:tcW w:w="4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60" w:type="dxa"/>
            <w:vAlign w:val="bottom"/>
          </w:tcPr>
          <w:p>
            <w:pPr>
              <w:spacing w:after="0"/>
              <w:rPr>
                <w:sz w:val="20"/>
                <w:szCs w:val="20"/>
                <w:color w:val="auto"/>
              </w:rPr>
            </w:pPr>
            <w:r>
              <w:rPr>
                <w:rFonts w:ascii="Arial" w:cs="Arial" w:eastAsia="Arial" w:hAnsi="Arial"/>
                <w:sz w:val="18"/>
                <w:szCs w:val="18"/>
                <w:color w:val="auto"/>
              </w:rPr>
              <w:t>24.1</w:t>
            </w:r>
          </w:p>
        </w:tc>
        <w:tc>
          <w:tcPr>
            <w:tcW w:w="240" w:type="dxa"/>
            <w:vAlign w:val="bottom"/>
          </w:tcPr>
          <w:p>
            <w:pPr>
              <w:spacing w:after="0"/>
              <w:rPr>
                <w:sz w:val="24"/>
                <w:szCs w:val="24"/>
                <w:color w:val="auto"/>
              </w:rPr>
            </w:pPr>
          </w:p>
        </w:tc>
        <w:tc>
          <w:tcPr>
            <w:tcW w:w="3820" w:type="dxa"/>
            <w:vAlign w:val="bottom"/>
            <w:gridSpan w:val="4"/>
          </w:tcPr>
          <w:p>
            <w:pPr>
              <w:ind w:left="40"/>
              <w:spacing w:after="0"/>
              <w:rPr>
                <w:sz w:val="20"/>
                <w:szCs w:val="20"/>
                <w:color w:val="auto"/>
              </w:rPr>
            </w:pPr>
            <w:r>
              <w:rPr>
                <w:rFonts w:ascii="Arial" w:cs="Arial" w:eastAsia="Arial" w:hAnsi="Arial"/>
                <w:sz w:val="18"/>
                <w:szCs w:val="18"/>
                <w:color w:val="auto"/>
                <w:w w:val="98"/>
              </w:rPr>
              <w:t>Power of Attorney (included on signature page).</w:t>
            </w:r>
          </w:p>
        </w:tc>
        <w:tc>
          <w:tcPr>
            <w:tcW w:w="4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4"/>
        </w:trPr>
        <w:tc>
          <w:tcPr>
            <w:tcW w:w="76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2740" w:type="dxa"/>
            <w:vAlign w:val="bottom"/>
            <w:tcBorders>
              <w:bottom w:val="single" w:sz="8" w:color="808080"/>
            </w:tcBorders>
          </w:tcPr>
          <w:p>
            <w:pPr>
              <w:spacing w:after="0"/>
              <w:rPr>
                <w:sz w:val="24"/>
                <w:szCs w:val="24"/>
                <w:color w:val="auto"/>
              </w:rPr>
            </w:pPr>
          </w:p>
        </w:tc>
        <w:tc>
          <w:tcPr>
            <w:tcW w:w="50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416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190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-2166620</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-2166620</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25" w:right="219" w:bottom="357"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5.1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April 28, 2006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Micron Technology,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8000 South Federal 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Boise, ID 83707-0006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We have examined the Registration Statement on Form S-8 to be filed by you with the Securities and Exchange Commission on or about April 28, 2006, (the “Registration Statement”) in connection with the registration under the Securities Act of 1933, as amended, of 12,000,000 shares of your Common Stock, $0.10 par value (the “Shares”) reserved for issuance under the Micron Technology, Inc. 2004 Equity Incentive Plan (the “Plan”). As your legal counsel, we have examined the proceedings taken and are familiar with the proceedings proposed to be taken by you in connection with the sale and issuance of the Shares under the Plan.</w:t>
      </w:r>
    </w:p>
    <w:p>
      <w:pPr>
        <w:spacing w:after="0" w:line="188"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It is our opinion that, upon completion of the proceedings to be taken, or contemplated by us as your counsel to be taken by you, prior to issuance of the Shares pursuant to the Registration Statement and the Plan, and upon completion of the proceedings being taken in order to permit such transactions to be carried out in accordance with the securities laws of the various states where required, the Shares, when issued and sold in the manner referred to in the Plan and the agreements which accompany the Plan, and in accordance with the Company’s Certificate of Incorporation, will be legally and validly issued, fully paid and nonassessable.</w:t>
      </w:r>
    </w:p>
    <w:p>
      <w:pPr>
        <w:spacing w:after="0" w:line="188"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consent to the use of this opinion as an exhibit to the Registration Statement and further consent to the use of our name wherever appearing in the Registration Statement, including the Prospectus constituting a part thereof, and amendments thereto.</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WILSON SONSINI GOODRICH &amp; ROSATI,</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Professional Corporation</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Wilson Sonsini Goodrich &amp; Rosati, PC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234124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34124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227330</wp:posOffset>
            </wp:positionV>
            <wp:extent cx="7267575"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We hereby consent to the incorporation by reference in this Registration Statement on Form S-8 of Micron Technology, Inc. of our report dated November 3, 2005, except as to the “Segment Information” footnote, as to which the date is February 9, 2006, relating to the financial statements, financial statement schedule, management’s assessment of the effectiveness of internal control over financial reporting and the effectiveness of internal control over financial reporting, which appears in Micron Technology, Inc.’s Current Report on Form 8-K filed on February 10, 2006.</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Jose, CA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27,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lowerLetter"/>
      <w:start w:val="13"/>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2019-12-13T13:00:36Z</dcterms:created>
  <dcterms:modified xsi:type="dcterms:W3CDTF">2019-12-13T13:00:36Z</dcterms:modified>
</cp:coreProperties>
</file>