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102" w:lineRule="exact"/>
        <w:rPr>
          <w:sz w:val="24"/>
          <w:szCs w:val="24"/>
          <w:color w:val="auto"/>
        </w:rPr>
      </w:pPr>
    </w:p>
    <w:p>
      <w:pPr>
        <w:ind w:left="420"/>
        <w:spacing w:after="0"/>
        <w:rPr>
          <w:sz w:val="20"/>
          <w:szCs w:val="20"/>
          <w:color w:val="auto"/>
        </w:rPr>
      </w:pPr>
      <w:r>
        <w:rPr>
          <w:rFonts w:ascii="Arial" w:cs="Arial" w:eastAsia="Arial" w:hAnsi="Arial"/>
          <w:sz w:val="16"/>
          <w:szCs w:val="16"/>
          <w:b w:val="1"/>
          <w:bCs w:val="1"/>
          <w:color w:val="auto"/>
        </w:rPr>
        <w:t>(Mark One)</w:t>
      </w:r>
    </w:p>
    <w:p>
      <w:pPr>
        <w:spacing w:after="0" w:line="54" w:lineRule="exact"/>
        <w:rPr>
          <w:sz w:val="24"/>
          <w:szCs w:val="24"/>
          <w:color w:val="auto"/>
        </w:rPr>
      </w:pPr>
    </w:p>
    <w:p>
      <w:pPr>
        <w:ind w:left="1700" w:hanging="929"/>
        <w:spacing w:after="0"/>
        <w:tabs>
          <w:tab w:leader="none" w:pos="1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September 1, 2022</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31" w:lineRule="exact"/>
        <w:rPr>
          <w:sz w:val="24"/>
          <w:szCs w:val="24"/>
          <w:color w:val="auto"/>
        </w:rPr>
      </w:pPr>
    </w:p>
    <w:p>
      <w:pPr>
        <w:ind w:left="1700" w:hanging="929"/>
        <w:spacing w:after="0"/>
        <w:tabs>
          <w:tab w:leader="none" w:pos="17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gridSpan w:val="5"/>
          </w:tcPr>
          <w:p>
            <w:pPr>
              <w:ind w:left="3940"/>
              <w:spacing w:after="0"/>
              <w:rPr>
                <w:sz w:val="20"/>
                <w:szCs w:val="20"/>
                <w:color w:val="auto"/>
              </w:rPr>
            </w:pPr>
            <w:r>
              <w:rPr>
                <w:rFonts w:ascii="Arial" w:cs="Arial" w:eastAsia="Arial" w:hAnsi="Arial"/>
                <w:sz w:val="18"/>
                <w:szCs w:val="18"/>
                <w:b w:val="1"/>
                <w:bCs w:val="1"/>
                <w:color w:val="auto"/>
              </w:rPr>
              <w:t>For the transition period from</w:t>
            </w:r>
          </w:p>
        </w:tc>
        <w:tc>
          <w:tcPr>
            <w:tcW w:w="262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20" w:type="dxa"/>
            <w:vAlign w:val="bottom"/>
            <w:gridSpan w:val="5"/>
          </w:tcPr>
          <w:p>
            <w:pPr>
              <w:jc w:val="center"/>
              <w:ind w:left="4052"/>
              <w:spacing w:after="0"/>
              <w:rPr>
                <w:sz w:val="20"/>
                <w:szCs w:val="20"/>
                <w:color w:val="auto"/>
              </w:rPr>
            </w:pPr>
            <w:r>
              <w:rPr>
                <w:rFonts w:ascii="Arial" w:cs="Arial" w:eastAsia="Arial" w:hAnsi="Arial"/>
                <w:sz w:val="18"/>
                <w:szCs w:val="18"/>
                <w:b w:val="1"/>
                <w:bCs w:val="1"/>
                <w:color w:val="auto"/>
                <w:w w:val="99"/>
              </w:rPr>
              <w:t>Commission file number 1-10658</w:t>
            </w:r>
          </w:p>
        </w:tc>
        <w:tc>
          <w:tcPr>
            <w:tcW w:w="26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94"/>
        </w:trPr>
        <w:tc>
          <w:tcPr>
            <w:tcW w:w="20" w:type="dxa"/>
            <w:vAlign w:val="bottom"/>
          </w:tcPr>
          <w:p>
            <w:pPr>
              <w:spacing w:after="0"/>
              <w:rPr>
                <w:sz w:val="24"/>
                <w:szCs w:val="24"/>
                <w:color w:val="auto"/>
              </w:rPr>
            </w:pPr>
          </w:p>
        </w:tc>
        <w:tc>
          <w:tcPr>
            <w:tcW w:w="9640" w:type="dxa"/>
            <w:vAlign w:val="bottom"/>
            <w:gridSpan w:val="6"/>
          </w:tcPr>
          <w:p>
            <w:pPr>
              <w:jc w:val="center"/>
              <w:ind w:left="1452"/>
              <w:spacing w:after="0"/>
              <w:rPr>
                <w:sz w:val="20"/>
                <w:szCs w:val="20"/>
                <w:color w:val="auto"/>
              </w:rPr>
            </w:pPr>
            <w:r>
              <w:rPr>
                <w:rFonts w:ascii="Arial" w:cs="Arial" w:eastAsia="Arial" w:hAnsi="Arial"/>
                <w:sz w:val="32"/>
                <w:szCs w:val="32"/>
                <w:b w:val="1"/>
                <w:bCs w:val="1"/>
                <w:color w:val="auto"/>
                <w:w w:val="99"/>
              </w:rPr>
              <w:t>Micron Technology, Inc.</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9640" w:type="dxa"/>
            <w:vAlign w:val="bottom"/>
            <w:gridSpan w:val="6"/>
          </w:tcPr>
          <w:p>
            <w:pPr>
              <w:jc w:val="center"/>
              <w:ind w:left="1432"/>
              <w:spacing w:after="0"/>
              <w:rPr>
                <w:sz w:val="20"/>
                <w:szCs w:val="20"/>
                <w:color w:val="auto"/>
              </w:rPr>
            </w:pPr>
            <w:r>
              <w:rPr>
                <w:rFonts w:ascii="Arial" w:cs="Arial" w:eastAsia="Arial" w:hAnsi="Arial"/>
                <w:sz w:val="16"/>
                <w:szCs w:val="16"/>
                <w:color w:val="auto"/>
              </w:rPr>
              <w:t>(Exact name of registrant as specified in its charter)</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Delaware</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20" w:type="dxa"/>
            <w:vAlign w:val="bottom"/>
          </w:tcPr>
          <w:p>
            <w:pPr>
              <w:jc w:val="center"/>
              <w:ind w:left="978"/>
              <w:spacing w:after="0"/>
              <w:rPr>
                <w:sz w:val="20"/>
                <w:szCs w:val="20"/>
                <w:color w:val="auto"/>
              </w:rPr>
            </w:pPr>
            <w:r>
              <w:rPr>
                <w:rFonts w:ascii="Arial" w:cs="Arial" w:eastAsia="Arial" w:hAnsi="Arial"/>
                <w:sz w:val="16"/>
                <w:szCs w:val="16"/>
                <w:b w:val="1"/>
                <w:bCs w:val="1"/>
                <w:color w:val="auto"/>
              </w:rPr>
              <w:t>75-1618004</w:t>
            </w:r>
          </w:p>
        </w:tc>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gridSpan w:val="2"/>
          </w:tcPr>
          <w:p>
            <w:pPr>
              <w:jc w:val="center"/>
              <w:ind w:right="140"/>
              <w:spacing w:after="0"/>
              <w:rPr>
                <w:sz w:val="20"/>
                <w:szCs w:val="20"/>
                <w:color w:val="auto"/>
              </w:rPr>
            </w:pPr>
            <w:r>
              <w:rPr>
                <w:rFonts w:ascii="Arial" w:cs="Arial" w:eastAsia="Arial" w:hAnsi="Arial"/>
                <w:sz w:val="16"/>
                <w:szCs w:val="16"/>
                <w:color w:val="auto"/>
              </w:rPr>
              <w:t>(State or other jurisdiction of incorporation or organization)</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60" w:type="dxa"/>
            <w:vAlign w:val="bottom"/>
            <w:gridSpan w:val="2"/>
          </w:tcPr>
          <w:p>
            <w:pPr>
              <w:jc w:val="center"/>
              <w:ind w:left="38"/>
              <w:spacing w:after="0"/>
              <w:rPr>
                <w:sz w:val="20"/>
                <w:szCs w:val="20"/>
                <w:color w:val="auto"/>
              </w:rPr>
            </w:pPr>
            <w:r>
              <w:rPr>
                <w:rFonts w:ascii="Arial" w:cs="Arial" w:eastAsia="Arial" w:hAnsi="Arial"/>
                <w:sz w:val="16"/>
                <w:szCs w:val="16"/>
                <w:color w:val="auto"/>
              </w:rPr>
              <w:t>(IRS Employer Identification No.)</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8000 S. Federal Way, Boise, Idaho</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tcPr>
          <w:p>
            <w:pPr>
              <w:jc w:val="center"/>
              <w:ind w:left="978"/>
              <w:spacing w:after="0"/>
              <w:rPr>
                <w:sz w:val="20"/>
                <w:szCs w:val="20"/>
                <w:color w:val="auto"/>
              </w:rPr>
            </w:pPr>
            <w:r>
              <w:rPr>
                <w:rFonts w:ascii="Arial" w:cs="Arial" w:eastAsia="Arial" w:hAnsi="Arial"/>
                <w:sz w:val="16"/>
                <w:szCs w:val="16"/>
                <w:b w:val="1"/>
                <w:bCs w:val="1"/>
                <w:color w:val="auto"/>
              </w:rPr>
              <w:t>83716-9632</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(Address of principal executive offices)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tcPr>
          <w:p>
            <w:pPr>
              <w:jc w:val="center"/>
              <w:ind w:left="978"/>
              <w:spacing w:after="0"/>
              <w:rPr>
                <w:sz w:val="20"/>
                <w:szCs w:val="20"/>
                <w:color w:val="auto"/>
              </w:rPr>
            </w:pPr>
            <w:r>
              <w:rPr>
                <w:rFonts w:ascii="Arial" w:cs="Arial" w:eastAsia="Arial" w:hAnsi="Arial"/>
                <w:sz w:val="16"/>
                <w:szCs w:val="16"/>
                <w:color w:val="auto"/>
              </w:rPr>
              <w:t>(Zip Code)</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6"/>
                <w:szCs w:val="16"/>
                <w:color w:val="auto"/>
              </w:rPr>
              <w:t>Registrant’s telephone number, including area code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tcPr>
          <w:p>
            <w:pPr>
              <w:jc w:val="center"/>
              <w:ind w:left="978"/>
              <w:spacing w:after="0"/>
              <w:rPr>
                <w:sz w:val="20"/>
                <w:szCs w:val="20"/>
                <w:color w:val="auto"/>
              </w:rPr>
            </w:pPr>
            <w:r>
              <w:rPr>
                <w:rFonts w:ascii="Arial" w:cs="Arial" w:eastAsia="Arial" w:hAnsi="Arial"/>
                <w:sz w:val="16"/>
                <w:szCs w:val="16"/>
                <w:color w:val="auto"/>
              </w:rPr>
              <w:t>(208) 368-4000</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4920" w:type="dxa"/>
            <w:vAlign w:val="bottom"/>
            <w:gridSpan w:val="2"/>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2100" w:type="dxa"/>
            <w:vAlign w:val="bottom"/>
            <w:gridSpan w:val="3"/>
          </w:tcPr>
          <w:p>
            <w:pPr>
              <w:jc w:val="center"/>
              <w:ind w:right="600"/>
              <w:spacing w:after="0"/>
              <w:rPr>
                <w:sz w:val="20"/>
                <w:szCs w:val="20"/>
                <w:color w:val="auto"/>
              </w:rPr>
            </w:pPr>
            <w:r>
              <w:rPr>
                <w:rFonts w:ascii="Arial" w:cs="Arial" w:eastAsia="Arial" w:hAnsi="Arial"/>
                <w:sz w:val="16"/>
                <w:szCs w:val="16"/>
                <w:b w:val="1"/>
                <w:bCs w:val="1"/>
                <w:color w:val="auto"/>
              </w:rPr>
              <w:t>Trading Symbol</w:t>
            </w:r>
          </w:p>
        </w:tc>
        <w:tc>
          <w:tcPr>
            <w:tcW w:w="3560" w:type="dxa"/>
            <w:vAlign w:val="bottom"/>
            <w:gridSpan w:val="2"/>
          </w:tcPr>
          <w:p>
            <w:pPr>
              <w:jc w:val="center"/>
              <w:ind w:left="18"/>
              <w:spacing w:after="0"/>
              <w:rPr>
                <w:sz w:val="20"/>
                <w:szCs w:val="20"/>
                <w:color w:val="auto"/>
              </w:rPr>
            </w:pPr>
            <w:r>
              <w:rPr>
                <w:rFonts w:ascii="Arial" w:cs="Arial" w:eastAsia="Arial" w:hAnsi="Arial"/>
                <w:sz w:val="16"/>
                <w:szCs w:val="16"/>
                <w:b w:val="1"/>
                <w:bCs w:val="1"/>
                <w:color w:val="auto"/>
              </w:rPr>
              <w:t>Name of each exchange on which registered</w:t>
            </w: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$0.10 per share</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MU</w:t>
            </w:r>
          </w:p>
        </w:tc>
        <w:tc>
          <w:tcPr>
            <w:tcW w:w="1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560" w:type="dxa"/>
            <w:vAlign w:val="bottom"/>
            <w:tcBorders>
              <w:top w:val="single" w:sz="8" w:color="auto"/>
            </w:tcBorders>
            <w:gridSpan w:val="2"/>
          </w:tcPr>
          <w:p>
            <w:pPr>
              <w:jc w:val="center"/>
              <w:ind w:left="38"/>
              <w:spacing w:after="0"/>
              <w:rPr>
                <w:sz w:val="20"/>
                <w:szCs w:val="20"/>
                <w:color w:val="auto"/>
              </w:rPr>
            </w:pPr>
            <w:r>
              <w:rPr>
                <w:rFonts w:ascii="Arial" w:cs="Arial" w:eastAsia="Arial" w:hAnsi="Arial"/>
                <w:sz w:val="16"/>
                <w:szCs w:val="16"/>
                <w:color w:val="auto"/>
              </w:rPr>
              <w:t>Nasdaq Global Select Market</w:t>
            </w: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9640" w:type="dxa"/>
            <w:vAlign w:val="bottom"/>
            <w:gridSpan w:val="6"/>
          </w:tcPr>
          <w:p>
            <w:pPr>
              <w:jc w:val="center"/>
              <w:ind w:left="1432"/>
              <w:spacing w:after="0"/>
              <w:rPr>
                <w:sz w:val="20"/>
                <w:szCs w:val="20"/>
                <w:color w:val="auto"/>
              </w:rPr>
            </w:pPr>
            <w:r>
              <w:rPr>
                <w:rFonts w:ascii="Arial" w:cs="Arial" w:eastAsia="Arial" w:hAnsi="Arial"/>
                <w:sz w:val="15"/>
                <w:szCs w:val="15"/>
                <w:color w:val="auto"/>
              </w:rPr>
              <w:t xml:space="preserve">Securities registered pursuant to Section 12(g) of the Act: </w:t>
            </w:r>
            <w:r>
              <w:rPr>
                <w:rFonts w:ascii="Arial" w:cs="Arial" w:eastAsia="Arial" w:hAnsi="Arial"/>
                <w:sz w:val="15"/>
                <w:szCs w:val="15"/>
                <w:b w:val="1"/>
                <w:bCs w:val="1"/>
                <w:color w:val="auto"/>
              </w:rPr>
              <w:t>None</w:t>
            </w:r>
          </w:p>
        </w:tc>
        <w:tc>
          <w:tcPr>
            <w:tcW w:w="940" w:type="dxa"/>
            <w:vAlign w:val="bottom"/>
            <w:vMerge w:val="restart"/>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1"/>
        </w:trPr>
        <w:tc>
          <w:tcPr>
            <w:tcW w:w="9660" w:type="dxa"/>
            <w:vAlign w:val="bottom"/>
            <w:gridSpan w:val="7"/>
          </w:tcPr>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tc>
        <w:tc>
          <w:tcPr>
            <w:tcW w:w="94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9660" w:type="dxa"/>
            <w:vAlign w:val="bottom"/>
            <w:gridSpan w:val="7"/>
          </w:tcPr>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tc>
        <w:tc>
          <w:tcPr>
            <w:tcW w:w="9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3"/>
        </w:trPr>
        <w:tc>
          <w:tcPr>
            <w:tcW w:w="9660" w:type="dxa"/>
            <w:vAlign w:val="bottom"/>
            <w:gridSpan w:val="7"/>
          </w:tcPr>
          <w:p>
            <w:pPr>
              <w:spacing w:after="0" w:line="163" w:lineRule="exact"/>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60" w:type="dxa"/>
            <w:vAlign w:val="bottom"/>
            <w:gridSpan w:val="7"/>
          </w:tcPr>
          <w:p>
            <w:pPr>
              <w:spacing w:after="0" w:line="162" w:lineRule="exact"/>
              <w:rPr>
                <w:sz w:val="20"/>
                <w:szCs w:val="20"/>
                <w:color w:val="auto"/>
              </w:rPr>
            </w:pPr>
            <w:r>
              <w:rPr>
                <w:rFonts w:ascii="Arial" w:cs="Arial" w:eastAsia="Arial" w:hAnsi="Arial"/>
                <w:sz w:val="16"/>
                <w:szCs w:val="16"/>
                <w:color w:val="auto"/>
              </w:rPr>
              <w:t>Exchange Act of 1934 during the preceding 12 months (or for such shorter period that the registrant was required to file such reports),</w:t>
            </w:r>
          </w:p>
        </w:tc>
        <w:tc>
          <w:tcPr>
            <w:tcW w:w="940" w:type="dxa"/>
            <w:vAlign w:val="bottom"/>
            <w:vMerge w:val="restart"/>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9"/>
        </w:trPr>
        <w:tc>
          <w:tcPr>
            <w:tcW w:w="7040" w:type="dxa"/>
            <w:vAlign w:val="bottom"/>
            <w:gridSpan w:val="6"/>
          </w:tcPr>
          <w:p>
            <w:pPr>
              <w:spacing w:after="0"/>
              <w:rPr>
                <w:sz w:val="20"/>
                <w:szCs w:val="20"/>
                <w:color w:val="auto"/>
              </w:rPr>
            </w:pPr>
            <w:r>
              <w:rPr>
                <w:rFonts w:ascii="Arial" w:cs="Arial" w:eastAsia="Arial" w:hAnsi="Arial"/>
                <w:sz w:val="16"/>
                <w:szCs w:val="16"/>
                <w:color w:val="auto"/>
              </w:rPr>
              <w:t>and (2) has been subject to such filing requirements for the past 90 days.</w:t>
            </w:r>
          </w:p>
        </w:tc>
        <w:tc>
          <w:tcPr>
            <w:tcW w:w="262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660" w:type="dxa"/>
            <w:vAlign w:val="bottom"/>
            <w:gridSpan w:val="7"/>
          </w:tcPr>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60" w:type="dxa"/>
            <w:vAlign w:val="bottom"/>
            <w:gridSpan w:val="7"/>
          </w:tcPr>
          <w:p>
            <w:pPr>
              <w:spacing w:after="0"/>
              <w:rPr>
                <w:sz w:val="20"/>
                <w:szCs w:val="20"/>
                <w:color w:val="auto"/>
              </w:rPr>
            </w:pPr>
            <w:r>
              <w:rPr>
                <w:rFonts w:ascii="Arial" w:cs="Arial" w:eastAsia="Arial" w:hAnsi="Arial"/>
                <w:sz w:val="16"/>
                <w:szCs w:val="16"/>
                <w:color w:val="auto"/>
              </w:rPr>
              <w:t>pursuant to Rule 405 of Regulation S-T (§ 232.405 of this chapter) during the preceding 12 months (or for such shorter period that the</w:t>
            </w:r>
          </w:p>
        </w:tc>
        <w:tc>
          <w:tcPr>
            <w:tcW w:w="9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940" w:type="dxa"/>
            <w:vAlign w:val="bottom"/>
            <w:gridSpan w:val="3"/>
          </w:tcPr>
          <w:p>
            <w:pPr>
              <w:spacing w:after="0"/>
              <w:rPr>
                <w:sz w:val="20"/>
                <w:szCs w:val="20"/>
                <w:color w:val="auto"/>
              </w:rPr>
            </w:pPr>
            <w:r>
              <w:rPr>
                <w:rFonts w:ascii="Arial" w:cs="Arial" w:eastAsia="Arial" w:hAnsi="Arial"/>
                <w:sz w:val="16"/>
                <w:szCs w:val="16"/>
                <w:color w:val="auto"/>
              </w:rPr>
              <w:t>registrant was required to submit such files).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940" w:type="dxa"/>
            <w:vAlign w:val="bottom"/>
            <w:vMerge w:val="restart"/>
          </w:tcPr>
          <w:p>
            <w:pPr>
              <w:ind w:left="10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2807970</wp:posOffset>
            </wp:positionH>
            <wp:positionV relativeFrom="paragraph">
              <wp:posOffset>-3363595</wp:posOffset>
            </wp:positionV>
            <wp:extent cx="152590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25905" cy="411480"/>
                    </a:xfrm>
                    <a:prstGeom prst="rect">
                      <a:avLst/>
                    </a:prstGeom>
                    <a:noFill/>
                  </pic:spPr>
                </pic:pic>
              </a:graphicData>
            </a:graphic>
          </wp:anchor>
        </w:drawing>
      </w:r>
    </w:p>
    <w:p>
      <w:pPr>
        <w:ind w:left="20" w:right="16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300" w:type="dxa"/>
        <w:tblCellMar>
          <w:top w:w="0" w:type="dxa"/>
          <w:left w:w="0" w:type="dxa"/>
          <w:bottom w:w="0" w:type="dxa"/>
          <w:right w:w="0" w:type="dxa"/>
        </w:tblCellMar>
      </w:tblPr>
      <w:tr>
        <w:trPr>
          <w:trHeight w:val="210"/>
        </w:trPr>
        <w:tc>
          <w:tcPr>
            <w:tcW w:w="2080" w:type="dxa"/>
            <w:vAlign w:val="bottom"/>
          </w:tcPr>
          <w:p>
            <w:pPr>
              <w:jc w:val="center"/>
              <w:ind w:right="315"/>
              <w:spacing w:after="0"/>
              <w:rPr>
                <w:sz w:val="20"/>
                <w:szCs w:val="20"/>
                <w:color w:val="auto"/>
              </w:rPr>
            </w:pPr>
            <w:r>
              <w:rPr>
                <w:rFonts w:ascii="Arial" w:cs="Arial" w:eastAsia="Arial" w:hAnsi="Arial"/>
                <w:sz w:val="16"/>
                <w:szCs w:val="16"/>
                <w:color w:val="auto"/>
              </w:rPr>
              <w:t>Large Accelerated Filer</w:t>
            </w:r>
          </w:p>
        </w:tc>
        <w:tc>
          <w:tcPr>
            <w:tcW w:w="2060" w:type="dxa"/>
            <w:vAlign w:val="bottom"/>
          </w:tcPr>
          <w:p>
            <w:pPr>
              <w:jc w:val="center"/>
              <w:spacing w:after="0"/>
              <w:rPr>
                <w:sz w:val="20"/>
                <w:szCs w:val="20"/>
                <w:color w:val="auto"/>
              </w:rPr>
            </w:pPr>
            <w:r>
              <w:rPr>
                <w:rFonts w:ascii="Arial" w:cs="Arial" w:eastAsia="Arial" w:hAnsi="Arial"/>
                <w:sz w:val="16"/>
                <w:szCs w:val="16"/>
                <w:color w:val="auto"/>
              </w:rPr>
              <w:t>Accelerated Filer</w:t>
            </w:r>
          </w:p>
        </w:tc>
        <w:tc>
          <w:tcPr>
            <w:tcW w:w="2240" w:type="dxa"/>
            <w:vAlign w:val="bottom"/>
          </w:tcPr>
          <w:p>
            <w:pPr>
              <w:jc w:val="center"/>
              <w:ind w:left="135"/>
              <w:spacing w:after="0"/>
              <w:rPr>
                <w:sz w:val="20"/>
                <w:szCs w:val="20"/>
                <w:color w:val="auto"/>
              </w:rPr>
            </w:pPr>
            <w:r>
              <w:rPr>
                <w:rFonts w:ascii="Arial" w:cs="Arial" w:eastAsia="Arial" w:hAnsi="Arial"/>
                <w:sz w:val="16"/>
                <w:szCs w:val="16"/>
                <w:color w:val="auto"/>
              </w:rPr>
              <w:t>Non-Accelerated Filer</w:t>
            </w:r>
          </w:p>
        </w:tc>
        <w:tc>
          <w:tcPr>
            <w:tcW w:w="2380" w:type="dxa"/>
            <w:vAlign w:val="bottom"/>
          </w:tcPr>
          <w:p>
            <w:pPr>
              <w:jc w:val="center"/>
              <w:ind w:left="55"/>
              <w:spacing w:after="0"/>
              <w:rPr>
                <w:sz w:val="20"/>
                <w:szCs w:val="20"/>
                <w:color w:val="auto"/>
              </w:rPr>
            </w:pPr>
            <w:r>
              <w:rPr>
                <w:rFonts w:ascii="Arial" w:cs="Arial" w:eastAsia="Arial" w:hAnsi="Arial"/>
                <w:sz w:val="16"/>
                <w:szCs w:val="16"/>
                <w:color w:val="auto"/>
              </w:rPr>
              <w:t>Smaller Reporting Company</w:t>
            </w:r>
          </w:p>
        </w:tc>
        <w:tc>
          <w:tcPr>
            <w:tcW w:w="2100" w:type="dxa"/>
            <w:vAlign w:val="bottom"/>
          </w:tcPr>
          <w:p>
            <w:pPr>
              <w:jc w:val="center"/>
              <w:ind w:left="15"/>
              <w:spacing w:after="0"/>
              <w:rPr>
                <w:sz w:val="20"/>
                <w:szCs w:val="20"/>
                <w:color w:val="auto"/>
              </w:rPr>
            </w:pPr>
            <w:r>
              <w:rPr>
                <w:rFonts w:ascii="Arial" w:cs="Arial" w:eastAsia="Arial" w:hAnsi="Arial"/>
                <w:sz w:val="16"/>
                <w:szCs w:val="16"/>
                <w:color w:val="auto"/>
              </w:rPr>
              <w:t>Emerging Growth Company</w:t>
            </w:r>
          </w:p>
        </w:tc>
      </w:tr>
      <w:tr>
        <w:trPr>
          <w:trHeight w:val="283"/>
        </w:trPr>
        <w:tc>
          <w:tcPr>
            <w:tcW w:w="2080" w:type="dxa"/>
            <w:vAlign w:val="bottom"/>
          </w:tcPr>
          <w:p>
            <w:pPr>
              <w:jc w:val="center"/>
              <w:ind w:right="315"/>
              <w:spacing w:after="0" w:line="181" w:lineRule="exact"/>
              <w:rPr>
                <w:sz w:val="20"/>
                <w:szCs w:val="20"/>
                <w:color w:val="auto"/>
              </w:rPr>
            </w:pPr>
            <w:r>
              <w:rPr>
                <w:rFonts w:ascii="MS PGothic" w:cs="MS PGothic" w:eastAsia="MS PGothic" w:hAnsi="MS PGothic"/>
                <w:sz w:val="18"/>
                <w:szCs w:val="18"/>
                <w:color w:val="auto"/>
                <w:w w:val="88"/>
              </w:rPr>
              <w:t>☒</w:t>
            </w:r>
          </w:p>
        </w:tc>
        <w:tc>
          <w:tcPr>
            <w:tcW w:w="20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40" w:type="dxa"/>
            <w:vAlign w:val="bottom"/>
          </w:tcPr>
          <w:p>
            <w:pPr>
              <w:jc w:val="center"/>
              <w:ind w:left="155"/>
              <w:spacing w:after="0" w:line="181" w:lineRule="exact"/>
              <w:rPr>
                <w:sz w:val="20"/>
                <w:szCs w:val="20"/>
                <w:color w:val="auto"/>
              </w:rPr>
            </w:pPr>
            <w:r>
              <w:rPr>
                <w:rFonts w:ascii="MS PGothic" w:cs="MS PGothic" w:eastAsia="MS PGothic" w:hAnsi="MS PGothic"/>
                <w:sz w:val="18"/>
                <w:szCs w:val="18"/>
                <w:color w:val="auto"/>
                <w:w w:val="88"/>
              </w:rPr>
              <w:t>☐</w:t>
            </w:r>
          </w:p>
        </w:tc>
        <w:tc>
          <w:tcPr>
            <w:tcW w:w="2380" w:type="dxa"/>
            <w:vAlign w:val="bottom"/>
          </w:tcPr>
          <w:p>
            <w:pPr>
              <w:jc w:val="center"/>
              <w:ind w:left="55"/>
              <w:spacing w:after="0" w:line="181" w:lineRule="exact"/>
              <w:rPr>
                <w:sz w:val="20"/>
                <w:szCs w:val="20"/>
                <w:color w:val="auto"/>
              </w:rPr>
            </w:pPr>
            <w:r>
              <w:rPr>
                <w:rFonts w:ascii="MS PGothic" w:cs="MS PGothic" w:eastAsia="MS PGothic" w:hAnsi="MS PGothic"/>
                <w:sz w:val="18"/>
                <w:szCs w:val="18"/>
                <w:color w:val="auto"/>
                <w:w w:val="88"/>
              </w:rPr>
              <w:t>☐</w:t>
            </w:r>
          </w:p>
        </w:tc>
        <w:tc>
          <w:tcPr>
            <w:tcW w:w="2100" w:type="dxa"/>
            <w:vAlign w:val="bottom"/>
          </w:tcPr>
          <w:p>
            <w:pPr>
              <w:jc w:val="center"/>
              <w:ind w:left="15"/>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74" w:lineRule="exact"/>
        <w:rPr>
          <w:sz w:val="24"/>
          <w:szCs w:val="24"/>
          <w:color w:val="auto"/>
        </w:rPr>
      </w:pPr>
    </w:p>
    <w:p>
      <w:pPr>
        <w:sectPr>
          <w:pgSz w:w="11900" w:h="16838" w:orient="portrait"/>
          <w:cols w:equalWidth="0" w:num="1">
            <w:col w:w="11220"/>
          </w:cols>
          <w:pgMar w:left="320" w:top="1033" w:right="359" w:bottom="1440" w:gutter="0" w:footer="0" w:header="0"/>
        </w:sectPr>
      </w:pPr>
    </w:p>
    <w:p>
      <w:pPr>
        <w:ind w:left="20" w:right="80"/>
        <w:spacing w:after="0" w:line="286"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5" w:lineRule="exact"/>
        <w:rPr>
          <w:sz w:val="24"/>
          <w:szCs w:val="24"/>
          <w:color w:val="auto"/>
        </w:rPr>
      </w:pPr>
    </w:p>
    <w:p>
      <w:pPr>
        <w:ind w:left="20"/>
        <w:spacing w:after="0" w:line="266" w:lineRule="auto"/>
        <w:rPr>
          <w:sz w:val="20"/>
          <w:szCs w:val="20"/>
          <w:color w:val="auto"/>
        </w:rPr>
      </w:pPr>
      <w:r>
        <w:rPr>
          <w:rFonts w:ascii="Arial" w:cs="Arial" w:eastAsia="Arial" w:hAnsi="Arial"/>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7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2">
            <w:col w:w="10680" w:space="220"/>
            <w:col w:w="320"/>
          </w:cols>
          <w:pgMar w:left="320" w:top="1033" w:right="359" w:bottom="1440" w:gutter="0" w:footer="0" w:header="0"/>
          <w:type w:val="continuous"/>
        </w:sectPr>
      </w:pPr>
    </w:p>
    <w:tbl>
      <w:tblPr>
        <w:tblLayout w:type="fixed"/>
        <w:tblInd w:w="20" w:type="dxa"/>
        <w:tblCellMar>
          <w:top w:w="0" w:type="dxa"/>
          <w:left w:w="0" w:type="dxa"/>
          <w:bottom w:w="0" w:type="dxa"/>
          <w:right w:w="0" w:type="dxa"/>
        </w:tblCellMar>
      </w:tblPr>
      <w:tr>
        <w:trPr>
          <w:trHeight w:val="215"/>
        </w:trPr>
        <w:tc>
          <w:tcPr>
            <w:tcW w:w="8940" w:type="dxa"/>
            <w:vAlign w:val="bottom"/>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500" w:type="dxa"/>
            <w:vAlign w:val="bottom"/>
            <w:vMerge w:val="restart"/>
          </w:tcPr>
          <w:p>
            <w:pPr>
              <w:ind w:left="8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18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r>
        <w:trPr>
          <w:trHeight w:val="136"/>
        </w:trPr>
        <w:tc>
          <w:tcPr>
            <w:tcW w:w="894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01" w:lineRule="exact"/>
        <w:rPr>
          <w:sz w:val="24"/>
          <w:szCs w:val="24"/>
          <w:color w:val="auto"/>
        </w:rPr>
      </w:pPr>
    </w:p>
    <w:p>
      <w:pPr>
        <w:ind w:right="140"/>
        <w:spacing w:after="0" w:line="271" w:lineRule="auto"/>
        <w:rPr>
          <w:sz w:val="20"/>
          <w:szCs w:val="20"/>
          <w:color w:val="auto"/>
        </w:rPr>
      </w:pPr>
      <w:r>
        <w:rPr>
          <w:rFonts w:ascii="Arial" w:cs="Arial" w:eastAsia="Arial" w:hAnsi="Arial"/>
          <w:sz w:val="16"/>
          <w:szCs w:val="16"/>
          <w:color w:val="auto"/>
        </w:rPr>
        <w:t>The aggregate market value of the voting and non-voting common equity held by non-affiliates was $83.9 billion based on the closing price reported on the Nasdaq Global Select Market on March 3, 2022. Shares of common stock held by each executive officer and director and by each person who owns 5% or more of the outstanding common stock were excluded as they may be deemed to be affiliates. This determination of affiliate status is not necessarily a conclusive determination for other purposes.</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September 30, 2022 was 1,087,168,584.</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5"/>
          <w:szCs w:val="15"/>
          <w:b w:val="1"/>
          <w:bCs w:val="1"/>
          <w:u w:val="single" w:color="auto"/>
          <w:color w:val="auto"/>
        </w:rPr>
        <w:t>DOCUMENTS INCORPORATED BY REFERENCE</w:t>
      </w:r>
    </w:p>
    <w:p>
      <w:pPr>
        <w:spacing w:after="0" w:line="76" w:lineRule="exact"/>
        <w:rPr>
          <w:sz w:val="24"/>
          <w:szCs w:val="24"/>
          <w:color w:val="auto"/>
        </w:rPr>
      </w:pPr>
    </w:p>
    <w:p>
      <w:pPr>
        <w:ind w:right="640"/>
        <w:spacing w:after="0" w:line="286" w:lineRule="auto"/>
        <w:rPr>
          <w:sz w:val="20"/>
          <w:szCs w:val="20"/>
          <w:color w:val="auto"/>
        </w:rPr>
      </w:pPr>
      <w:r>
        <w:rPr>
          <w:rFonts w:ascii="Arial" w:cs="Arial" w:eastAsia="Arial" w:hAnsi="Arial"/>
          <w:sz w:val="16"/>
          <w:szCs w:val="16"/>
          <w:color w:val="auto"/>
        </w:rPr>
        <w:t>Portions of the Proxy Statement for the registrant’s Fiscal 2022 Annual Meeting of Shareholders to be held on January 12, 2023 are incorporated by reference into Part II and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549275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3" w:right="359"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2134235" cy="190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4235" cy="1903095"/>
                    </a:xfrm>
                    <a:prstGeom prst="rect">
                      <a:avLst/>
                    </a:prstGeom>
                    <a:noFill/>
                  </pic:spPr>
                </pic:pic>
              </a:graphicData>
            </a:graphic>
          </wp:anchor>
        </w:drawing>
      </w:r>
    </w:p>
    <w:p>
      <w:pPr>
        <w:spacing w:after="0" w:line="249" w:lineRule="exact"/>
        <w:rPr>
          <w:sz w:val="20"/>
          <w:szCs w:val="20"/>
          <w:color w:val="auto"/>
        </w:rPr>
      </w:pPr>
    </w:p>
    <w:p>
      <w:pPr>
        <w:ind w:left="214"/>
        <w:spacing w:after="0" w:line="238" w:lineRule="auto"/>
        <w:rPr>
          <w:sz w:val="20"/>
          <w:szCs w:val="20"/>
          <w:color w:val="auto"/>
        </w:rPr>
      </w:pPr>
      <w:r>
        <w:rPr>
          <w:rFonts w:ascii="Arial" w:cs="Arial" w:eastAsia="Arial" w:hAnsi="Arial"/>
          <w:sz w:val="64"/>
          <w:szCs w:val="64"/>
          <w:b w:val="1"/>
          <w:bCs w:val="1"/>
          <w:color w:val="FFFFFF"/>
        </w:rPr>
        <w:t>Micron 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2134235" cy="642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34235" cy="6429375"/>
                    </a:xfrm>
                    <a:prstGeom prst="rect">
                      <a:avLst/>
                    </a:prstGeom>
                    <a:noFill/>
                  </pic:spPr>
                </pic:pic>
              </a:graphicData>
            </a:graphic>
          </wp:anchor>
        </w:drawing>
      </w:r>
    </w:p>
    <w:p>
      <w:pPr>
        <w:ind w:left="214"/>
        <w:spacing w:after="0"/>
        <w:rPr>
          <w:sz w:val="20"/>
          <w:szCs w:val="20"/>
          <w:color w:val="auto"/>
        </w:rPr>
      </w:pPr>
      <w:r>
        <w:rPr>
          <w:rFonts w:ascii="Arial" w:cs="Arial" w:eastAsia="Arial" w:hAnsi="Arial"/>
          <w:sz w:val="18"/>
          <w:szCs w:val="18"/>
          <w:color w:val="FFFFFF"/>
        </w:rPr>
        <w:t>Founded on October 5, 1978</w:t>
      </w:r>
    </w:p>
    <w:p>
      <w:pPr>
        <w:spacing w:after="0" w:line="140" w:lineRule="exact"/>
        <w:rPr>
          <w:sz w:val="20"/>
          <w:szCs w:val="20"/>
          <w:color w:val="auto"/>
        </w:rPr>
      </w:pPr>
    </w:p>
    <w:p>
      <w:pPr>
        <w:ind w:left="214"/>
        <w:spacing w:after="0"/>
        <w:rPr>
          <w:sz w:val="20"/>
          <w:szCs w:val="20"/>
          <w:color w:val="auto"/>
        </w:rPr>
      </w:pPr>
      <w:r>
        <w:rPr>
          <w:rFonts w:ascii="Arial" w:cs="Arial" w:eastAsia="Arial" w:hAnsi="Arial"/>
          <w:sz w:val="18"/>
          <w:szCs w:val="18"/>
          <w:color w:val="FFFFFF"/>
        </w:rPr>
        <w:t>Headquartered in</w:t>
      </w:r>
    </w:p>
    <w:p>
      <w:pPr>
        <w:ind w:left="214"/>
        <w:spacing w:after="0"/>
        <w:rPr>
          <w:sz w:val="20"/>
          <w:szCs w:val="20"/>
          <w:color w:val="auto"/>
        </w:rPr>
      </w:pPr>
      <w:r>
        <w:rPr>
          <w:rFonts w:ascii="Arial" w:cs="Arial" w:eastAsia="Arial" w:hAnsi="Arial"/>
          <w:sz w:val="18"/>
          <w:szCs w:val="18"/>
          <w:color w:val="FFFFFF"/>
        </w:rPr>
        <w:t>Boise, Idaho, USA</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$30.8B</w:t>
      </w:r>
    </w:p>
    <w:p>
      <w:pPr>
        <w:ind w:left="214"/>
        <w:spacing w:after="0"/>
        <w:rPr>
          <w:sz w:val="20"/>
          <w:szCs w:val="20"/>
          <w:color w:val="auto"/>
        </w:rPr>
      </w:pPr>
      <w:r>
        <w:rPr>
          <w:rFonts w:ascii="Arial" w:cs="Arial" w:eastAsia="Arial" w:hAnsi="Arial"/>
          <w:sz w:val="18"/>
          <w:szCs w:val="18"/>
          <w:color w:val="FFFFFF"/>
        </w:rPr>
        <w:t>FY22 annual revenue</w:t>
      </w:r>
    </w:p>
    <w:p>
      <w:pPr>
        <w:spacing w:after="0" w:line="136"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4th</w:t>
      </w:r>
    </w:p>
    <w:p>
      <w:pPr>
        <w:spacing w:after="0" w:line="13" w:lineRule="exact"/>
        <w:rPr>
          <w:sz w:val="20"/>
          <w:szCs w:val="20"/>
          <w:color w:val="auto"/>
        </w:rPr>
      </w:pPr>
    </w:p>
    <w:p>
      <w:pPr>
        <w:ind w:left="214" w:right="500"/>
        <w:spacing w:after="0" w:line="229" w:lineRule="auto"/>
        <w:rPr>
          <w:sz w:val="20"/>
          <w:szCs w:val="20"/>
          <w:color w:val="auto"/>
        </w:rPr>
      </w:pPr>
      <w:r>
        <w:rPr>
          <w:rFonts w:ascii="Arial" w:cs="Arial" w:eastAsia="Arial" w:hAnsi="Arial"/>
          <w:sz w:val="18"/>
          <w:szCs w:val="18"/>
          <w:color w:val="FFFFFF"/>
        </w:rPr>
        <w:t>Largest semiconductor company in the world*</w:t>
      </w:r>
    </w:p>
    <w:p>
      <w:pPr>
        <w:spacing w:after="0" w:line="70"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127</w:t>
      </w:r>
    </w:p>
    <w:p>
      <w:pPr>
        <w:ind w:left="214"/>
        <w:spacing w:after="0"/>
        <w:rPr>
          <w:sz w:val="20"/>
          <w:szCs w:val="20"/>
          <w:color w:val="auto"/>
        </w:rPr>
      </w:pPr>
      <w:r>
        <w:rPr>
          <w:rFonts w:ascii="Arial" w:cs="Arial" w:eastAsia="Arial" w:hAnsi="Arial"/>
          <w:sz w:val="18"/>
          <w:szCs w:val="18"/>
          <w:color w:val="FFFFFF"/>
        </w:rPr>
        <w:t>On the 2022 Fortune 500</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51,000+</w:t>
      </w:r>
    </w:p>
    <w:p>
      <w:pPr>
        <w:ind w:left="214"/>
        <w:spacing w:after="0"/>
        <w:rPr>
          <w:sz w:val="20"/>
          <w:szCs w:val="20"/>
          <w:color w:val="auto"/>
        </w:rPr>
      </w:pPr>
      <w:r>
        <w:rPr>
          <w:rFonts w:ascii="Arial" w:cs="Arial" w:eastAsia="Arial" w:hAnsi="Arial"/>
          <w:sz w:val="18"/>
          <w:szCs w:val="18"/>
          <w:color w:val="FFFFFF"/>
        </w:rPr>
        <w:t>Patents granted and growing**</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17</w:t>
      </w:r>
    </w:p>
    <w:p>
      <w:pPr>
        <w:ind w:left="214"/>
        <w:spacing w:after="0"/>
        <w:rPr>
          <w:sz w:val="20"/>
          <w:szCs w:val="20"/>
          <w:color w:val="auto"/>
        </w:rPr>
      </w:pPr>
      <w:r>
        <w:rPr>
          <w:rFonts w:ascii="Arial" w:cs="Arial" w:eastAsia="Arial" w:hAnsi="Arial"/>
          <w:sz w:val="18"/>
          <w:szCs w:val="18"/>
          <w:color w:val="FFFFFF"/>
        </w:rPr>
        <w:t>Countries**</w:t>
      </w:r>
    </w:p>
    <w:p>
      <w:pPr>
        <w:spacing w:after="0" w:line="82"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11</w:t>
      </w:r>
    </w:p>
    <w:p>
      <w:pPr>
        <w:ind w:left="214" w:right="1180"/>
        <w:spacing w:after="0" w:line="229" w:lineRule="auto"/>
        <w:rPr>
          <w:sz w:val="20"/>
          <w:szCs w:val="20"/>
          <w:color w:val="auto"/>
        </w:rPr>
      </w:pPr>
      <w:r>
        <w:rPr>
          <w:rFonts w:ascii="Arial" w:cs="Arial" w:eastAsia="Arial" w:hAnsi="Arial"/>
          <w:sz w:val="18"/>
          <w:szCs w:val="18"/>
          <w:color w:val="FFFFFF"/>
        </w:rPr>
        <w:t>Manufacturing sites and 15 customer labs**</w:t>
      </w:r>
    </w:p>
    <w:p>
      <w:pPr>
        <w:spacing w:after="0" w:line="70" w:lineRule="exact"/>
        <w:rPr>
          <w:sz w:val="20"/>
          <w:szCs w:val="20"/>
          <w:color w:val="auto"/>
        </w:rPr>
      </w:pPr>
    </w:p>
    <w:p>
      <w:pPr>
        <w:ind w:left="214"/>
        <w:spacing w:after="0"/>
        <w:rPr>
          <w:sz w:val="20"/>
          <w:szCs w:val="20"/>
          <w:color w:val="auto"/>
        </w:rPr>
      </w:pPr>
      <w:r>
        <w:rPr>
          <w:rFonts w:ascii="Arial" w:cs="Arial" w:eastAsia="Arial" w:hAnsi="Arial"/>
          <w:sz w:val="50"/>
          <w:szCs w:val="50"/>
          <w:b w:val="1"/>
          <w:bCs w:val="1"/>
          <w:color w:val="FFFFFF"/>
        </w:rPr>
        <w:t>~48,000</w:t>
      </w:r>
    </w:p>
    <w:p>
      <w:pPr>
        <w:ind w:left="214"/>
        <w:spacing w:after="0"/>
        <w:rPr>
          <w:sz w:val="20"/>
          <w:szCs w:val="20"/>
          <w:color w:val="auto"/>
        </w:rPr>
      </w:pPr>
      <w:r>
        <w:rPr>
          <w:rFonts w:ascii="Arial" w:cs="Arial" w:eastAsia="Arial" w:hAnsi="Arial"/>
          <w:sz w:val="18"/>
          <w:szCs w:val="18"/>
          <w:color w:val="FFFFFF"/>
        </w:rPr>
        <w:t>Team members**</w:t>
      </w:r>
    </w:p>
    <w:p>
      <w:pPr>
        <w:spacing w:after="0" w:line="185" w:lineRule="exact"/>
        <w:rPr>
          <w:sz w:val="20"/>
          <w:szCs w:val="20"/>
          <w:color w:val="auto"/>
        </w:rPr>
      </w:pPr>
    </w:p>
    <w:p>
      <w:pPr>
        <w:ind w:left="214" w:right="240"/>
        <w:spacing w:after="0" w:line="216" w:lineRule="auto"/>
        <w:rPr>
          <w:sz w:val="20"/>
          <w:szCs w:val="20"/>
          <w:color w:val="auto"/>
        </w:rPr>
      </w:pPr>
      <w:r>
        <w:rPr>
          <w:rFonts w:ascii="Arial" w:cs="Arial" w:eastAsia="Arial" w:hAnsi="Arial"/>
          <w:sz w:val="16"/>
          <w:szCs w:val="16"/>
          <w:color w:val="FFFFFF"/>
        </w:rPr>
        <w:t>*Based on Gartner Market Share: Semiconductors by End Market, Worldwide, 2021 (April 2022), excluding IP/software revenue.</w:t>
      </w:r>
    </w:p>
    <w:p>
      <w:pPr>
        <w:spacing w:after="0" w:line="2" w:lineRule="exact"/>
        <w:rPr>
          <w:sz w:val="20"/>
          <w:szCs w:val="20"/>
          <w:color w:val="auto"/>
        </w:rPr>
      </w:pPr>
    </w:p>
    <w:p>
      <w:pPr>
        <w:ind w:left="214"/>
        <w:spacing w:after="0"/>
        <w:rPr>
          <w:sz w:val="20"/>
          <w:szCs w:val="20"/>
          <w:color w:val="auto"/>
        </w:rPr>
      </w:pPr>
      <w:r>
        <w:rPr>
          <w:rFonts w:ascii="Arial" w:cs="Arial" w:eastAsia="Arial" w:hAnsi="Arial"/>
          <w:sz w:val="16"/>
          <w:szCs w:val="16"/>
          <w:color w:val="FFFFFF"/>
        </w:rPr>
        <w:t>**Micron data as of September 1, 2022.</w:t>
      </w:r>
    </w:p>
    <w:p>
      <w:pPr>
        <w:spacing w:after="0" w:line="118" w:lineRule="exact"/>
        <w:rPr>
          <w:sz w:val="20"/>
          <w:szCs w:val="20"/>
          <w:color w:val="auto"/>
        </w:rPr>
      </w:pPr>
    </w:p>
    <w:p>
      <w:pPr>
        <w:ind w:left="214"/>
        <w:spacing w:after="0"/>
        <w:rPr>
          <w:sz w:val="20"/>
          <w:szCs w:val="20"/>
          <w:color w:val="auto"/>
        </w:rPr>
      </w:pPr>
      <w:r>
        <w:rPr>
          <w:rFonts w:ascii="Arial" w:cs="Arial" w:eastAsia="Arial" w:hAnsi="Arial"/>
          <w:sz w:val="16"/>
          <w:szCs w:val="16"/>
          <w:b w:val="1"/>
          <w:bCs w:val="1"/>
          <w:color w:val="FFFFFF"/>
        </w:rPr>
        <w:t>Media Inquiries</w:t>
      </w:r>
    </w:p>
    <w:p>
      <w:pPr>
        <w:ind w:left="214"/>
        <w:spacing w:after="0"/>
        <w:rPr>
          <w:sz w:val="20"/>
          <w:szCs w:val="20"/>
          <w:color w:val="auto"/>
        </w:rPr>
      </w:pPr>
      <w:r>
        <w:rPr>
          <w:rFonts w:ascii="Arial" w:cs="Arial" w:eastAsia="Arial" w:hAnsi="Arial"/>
          <w:sz w:val="16"/>
          <w:szCs w:val="16"/>
          <w:color w:val="FFFFFF"/>
        </w:rPr>
        <w:t>mediarelations@micron.com</w:t>
      </w:r>
    </w:p>
    <w:p>
      <w:pPr>
        <w:spacing w:after="0" w:line="199" w:lineRule="exact"/>
        <w:rPr>
          <w:sz w:val="20"/>
          <w:szCs w:val="20"/>
          <w:color w:val="auto"/>
        </w:rPr>
      </w:pPr>
    </w:p>
    <w:p>
      <w:pPr>
        <w:ind w:left="214"/>
        <w:spacing w:after="0"/>
        <w:rPr>
          <w:sz w:val="20"/>
          <w:szCs w:val="20"/>
          <w:color w:val="auto"/>
        </w:rPr>
      </w:pPr>
      <w:r>
        <w:rPr>
          <w:rFonts w:ascii="Arial" w:cs="Arial" w:eastAsia="Arial" w:hAnsi="Arial"/>
          <w:sz w:val="16"/>
          <w:szCs w:val="16"/>
          <w:b w:val="1"/>
          <w:bCs w:val="1"/>
          <w:color w:val="FFFFFF"/>
        </w:rPr>
        <w:t>Government Inquiries</w:t>
      </w:r>
    </w:p>
    <w:p>
      <w:pPr>
        <w:ind w:left="214"/>
        <w:spacing w:after="0"/>
        <w:rPr>
          <w:sz w:val="20"/>
          <w:szCs w:val="20"/>
          <w:color w:val="auto"/>
        </w:rPr>
      </w:pPr>
      <w:r>
        <w:rPr>
          <w:rFonts w:ascii="Arial" w:cs="Arial" w:eastAsia="Arial" w:hAnsi="Arial"/>
          <w:sz w:val="16"/>
          <w:szCs w:val="16"/>
          <w:color w:val="FFFFFF"/>
        </w:rPr>
        <w:t>govaffairs@micron.com</w:t>
      </w:r>
    </w:p>
    <w:p>
      <w:pPr>
        <w:spacing w:after="0" w:line="205" w:lineRule="exact"/>
        <w:rPr>
          <w:sz w:val="20"/>
          <w:szCs w:val="20"/>
          <w:color w:val="auto"/>
        </w:rPr>
      </w:pPr>
    </w:p>
    <w:p>
      <w:pPr>
        <w:ind w:left="214" w:right="920"/>
        <w:spacing w:after="0" w:line="251" w:lineRule="auto"/>
        <w:rPr>
          <w:sz w:val="20"/>
          <w:szCs w:val="20"/>
          <w:color w:val="auto"/>
        </w:rPr>
      </w:pPr>
      <w:r>
        <w:rPr>
          <w:rFonts w:ascii="Arial" w:cs="Arial" w:eastAsia="Arial" w:hAnsi="Arial"/>
          <w:sz w:val="16"/>
          <w:szCs w:val="16"/>
          <w:b w:val="1"/>
          <w:bCs w:val="1"/>
          <w:color w:val="FFFFFF"/>
        </w:rPr>
        <w:t xml:space="preserve">Investor Inquiries </w:t>
      </w:r>
      <w:r>
        <w:rPr>
          <w:rFonts w:ascii="Arial" w:cs="Arial" w:eastAsia="Arial" w:hAnsi="Arial"/>
          <w:sz w:val="16"/>
          <w:szCs w:val="16"/>
          <w:color w:val="FFFFFF"/>
        </w:rPr>
        <w:t>investorrelations@micron.com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65"/>
          <w:szCs w:val="65"/>
          <w:b w:val="1"/>
          <w:bCs w:val="1"/>
          <w:color w:val="auto"/>
        </w:rPr>
        <w:t>It’s All About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-2698750</wp:posOffset>
            </wp:positionV>
            <wp:extent cx="4114800" cy="1842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14800" cy="1842770"/>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b w:val="1"/>
          <w:bCs w:val="1"/>
          <w:color w:val="0090DA"/>
        </w:rPr>
        <w:t>Data is today’s new business currency, and memory</w:t>
      </w:r>
    </w:p>
    <w:p>
      <w:pPr>
        <w:ind w:right="399"/>
        <w:spacing w:after="0" w:line="208" w:lineRule="auto"/>
        <w:rPr>
          <w:sz w:val="20"/>
          <w:szCs w:val="20"/>
          <w:color w:val="auto"/>
        </w:rPr>
      </w:pPr>
      <w:r>
        <w:rPr>
          <w:rFonts w:ascii="Arial" w:cs="Arial" w:eastAsia="Arial" w:hAnsi="Arial"/>
          <w:sz w:val="25"/>
          <w:szCs w:val="25"/>
          <w:b w:val="1"/>
          <w:bCs w:val="1"/>
          <w:color w:val="0090DA"/>
        </w:rPr>
        <w:t>and storage are a critical foundation for the data economy. Memory and storage innovations will help</w:t>
      </w:r>
    </w:p>
    <w:p>
      <w:pPr>
        <w:spacing w:after="0" w:line="1" w:lineRule="exact"/>
        <w:rPr>
          <w:sz w:val="20"/>
          <w:szCs w:val="20"/>
          <w:color w:val="auto"/>
        </w:rPr>
      </w:pPr>
    </w:p>
    <w:p>
      <w:pPr>
        <w:ind w:right="679"/>
        <w:spacing w:after="0" w:line="242" w:lineRule="auto"/>
        <w:rPr>
          <w:sz w:val="20"/>
          <w:szCs w:val="20"/>
          <w:color w:val="auto"/>
        </w:rPr>
      </w:pPr>
      <w:r>
        <w:rPr>
          <w:rFonts w:ascii="Arial" w:cs="Arial" w:eastAsia="Arial" w:hAnsi="Arial"/>
          <w:sz w:val="25"/>
          <w:szCs w:val="25"/>
          <w:b w:val="1"/>
          <w:bCs w:val="1"/>
          <w:color w:val="0090DA"/>
        </w:rPr>
        <w:t xml:space="preserve">transform society and enable significant value </w:t>
      </w:r>
      <w:r>
        <w:rPr>
          <w:rFonts w:ascii="Arial" w:cs="Arial" w:eastAsia="Arial" w:hAnsi="Arial"/>
          <w:sz w:val="25"/>
          <w:szCs w:val="25"/>
          <w:b w:val="1"/>
          <w:bCs w:val="1"/>
          <w:i w:val="1"/>
          <w:iCs w:val="1"/>
          <w:color w:val="0090DA"/>
        </w:rPr>
        <w:t>for</w:t>
      </w:r>
      <w:r>
        <w:rPr>
          <w:rFonts w:ascii="Arial" w:cs="Arial" w:eastAsia="Arial" w:hAnsi="Arial"/>
          <w:sz w:val="25"/>
          <w:szCs w:val="25"/>
          <w:b w:val="1"/>
          <w:bCs w:val="1"/>
          <w:color w:val="0090DA"/>
        </w:rPr>
        <w:t xml:space="preserve"> </w:t>
      </w:r>
      <w:r>
        <w:rPr>
          <w:rFonts w:ascii="Arial" w:cs="Arial" w:eastAsia="Arial" w:hAnsi="Arial"/>
          <w:sz w:val="25"/>
          <w:szCs w:val="25"/>
          <w:b w:val="1"/>
          <w:bCs w:val="1"/>
          <w:i w:val="1"/>
          <w:iCs w:val="1"/>
          <w:color w:val="0090DA"/>
        </w:rPr>
        <w:t>all</w:t>
      </w:r>
      <w:r>
        <w:rPr>
          <w:rFonts w:ascii="Arial" w:cs="Arial" w:eastAsia="Arial" w:hAnsi="Arial"/>
          <w:sz w:val="25"/>
          <w:szCs w:val="25"/>
          <w:b w:val="1"/>
          <w:bCs w:val="1"/>
          <w:color w:val="0090DA"/>
        </w:rPr>
        <w:t>.</w:t>
      </w:r>
    </w:p>
    <w:p>
      <w:pPr>
        <w:spacing w:after="0" w:line="37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Who We Are</w:t>
      </w:r>
    </w:p>
    <w:p>
      <w:pPr>
        <w:spacing w:after="0" w:line="51" w:lineRule="exact"/>
        <w:rPr>
          <w:sz w:val="20"/>
          <w:szCs w:val="20"/>
          <w:color w:val="auto"/>
        </w:rPr>
      </w:pPr>
    </w:p>
    <w:p>
      <w:pPr>
        <w:ind w:right="259"/>
        <w:spacing w:after="0" w:line="211" w:lineRule="auto"/>
        <w:rPr>
          <w:sz w:val="20"/>
          <w:szCs w:val="20"/>
          <w:color w:val="auto"/>
        </w:rPr>
      </w:pPr>
      <w:r>
        <w:rPr>
          <w:rFonts w:ascii="Arial" w:cs="Arial" w:eastAsia="Arial" w:hAnsi="Arial"/>
          <w:sz w:val="18"/>
          <w:szCs w:val="18"/>
          <w:color w:val="auto"/>
        </w:rPr>
        <w:t>Micron designs, develops, and manufactures industry-leading memory and storage products. By providing foundational capability for AI and 5G across data</w:t>
      </w:r>
    </w:p>
    <w:p>
      <w:pPr>
        <w:spacing w:after="0" w:line="1" w:lineRule="exact"/>
        <w:rPr>
          <w:sz w:val="20"/>
          <w:szCs w:val="20"/>
          <w:color w:val="auto"/>
        </w:rPr>
      </w:pPr>
    </w:p>
    <w:p>
      <w:pPr>
        <w:ind w:right="279"/>
        <w:spacing w:after="0" w:line="208" w:lineRule="auto"/>
        <w:rPr>
          <w:sz w:val="20"/>
          <w:szCs w:val="20"/>
          <w:color w:val="auto"/>
        </w:rPr>
      </w:pPr>
      <w:r>
        <w:rPr>
          <w:rFonts w:ascii="Arial" w:cs="Arial" w:eastAsia="Arial" w:hAnsi="Arial"/>
          <w:sz w:val="18"/>
          <w:szCs w:val="18"/>
          <w:color w:val="auto"/>
        </w:rPr>
        <w:t>center, the intelligent edge, and consumer devices, we unlock innovation across industries including healthcare, automotive and communications. Our technology and expertise are central to maximizing value from cutting-edge</w:t>
      </w:r>
    </w:p>
    <w:p>
      <w:pPr>
        <w:spacing w:after="0" w:line="2" w:lineRule="exact"/>
        <w:rPr>
          <w:sz w:val="20"/>
          <w:szCs w:val="20"/>
          <w:color w:val="auto"/>
        </w:rPr>
      </w:pPr>
    </w:p>
    <w:p>
      <w:pPr>
        <w:ind w:right="499"/>
        <w:spacing w:after="0" w:line="229" w:lineRule="auto"/>
        <w:rPr>
          <w:sz w:val="20"/>
          <w:szCs w:val="20"/>
          <w:color w:val="auto"/>
        </w:rPr>
      </w:pPr>
      <w:r>
        <w:rPr>
          <w:rFonts w:ascii="Arial" w:cs="Arial" w:eastAsia="Arial" w:hAnsi="Arial"/>
          <w:sz w:val="18"/>
          <w:szCs w:val="18"/>
          <w:color w:val="auto"/>
        </w:rPr>
        <w:t>computing applications and new business models which disrupt and advance the industry.</w:t>
      </w:r>
    </w:p>
    <w:p>
      <w:pPr>
        <w:spacing w:after="0" w:line="3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Vision</w:t>
      </w:r>
    </w:p>
    <w:p>
      <w:pPr>
        <w:spacing w:after="0" w:line="51" w:lineRule="exact"/>
        <w:rPr>
          <w:sz w:val="20"/>
          <w:szCs w:val="20"/>
          <w:color w:val="auto"/>
        </w:rPr>
      </w:pPr>
    </w:p>
    <w:p>
      <w:pPr>
        <w:ind w:right="479"/>
        <w:spacing w:after="0" w:line="223" w:lineRule="auto"/>
        <w:rPr>
          <w:sz w:val="20"/>
          <w:szCs w:val="20"/>
          <w:color w:val="auto"/>
        </w:rPr>
      </w:pPr>
      <w:r>
        <w:rPr>
          <w:rFonts w:ascii="Arial" w:cs="Arial" w:eastAsia="Arial" w:hAnsi="Arial"/>
          <w:sz w:val="17"/>
          <w:szCs w:val="17"/>
          <w:color w:val="auto"/>
        </w:rPr>
        <w:t xml:space="preserve">As a global leader in memory and storage solutions, we are transforming how the world uses information to enrich life </w:t>
      </w:r>
      <w:r>
        <w:rPr>
          <w:rFonts w:ascii="Arial" w:cs="Arial" w:eastAsia="Arial" w:hAnsi="Arial"/>
          <w:sz w:val="17"/>
          <w:szCs w:val="17"/>
          <w:i w:val="1"/>
          <w:iCs w:val="1"/>
          <w:color w:val="auto"/>
        </w:rPr>
        <w:t>for all</w:t>
      </w:r>
      <w:r>
        <w:rPr>
          <w:rFonts w:ascii="Arial" w:cs="Arial" w:eastAsia="Arial" w:hAnsi="Arial"/>
          <w:sz w:val="17"/>
          <w:szCs w:val="17"/>
          <w:color w:val="auto"/>
        </w:rPr>
        <w:t>. By advancing technologies to</w:t>
      </w:r>
    </w:p>
    <w:p>
      <w:pPr>
        <w:spacing w:after="0" w:line="1" w:lineRule="exact"/>
        <w:rPr>
          <w:sz w:val="20"/>
          <w:szCs w:val="20"/>
          <w:color w:val="auto"/>
        </w:rPr>
      </w:pPr>
    </w:p>
    <w:p>
      <w:pPr>
        <w:ind w:right="379"/>
        <w:spacing w:after="0" w:line="208" w:lineRule="auto"/>
        <w:rPr>
          <w:sz w:val="20"/>
          <w:szCs w:val="20"/>
          <w:color w:val="auto"/>
        </w:rPr>
      </w:pPr>
      <w:r>
        <w:rPr>
          <w:rFonts w:ascii="Arial" w:cs="Arial" w:eastAsia="Arial" w:hAnsi="Arial"/>
          <w:sz w:val="18"/>
          <w:szCs w:val="18"/>
          <w:color w:val="auto"/>
        </w:rPr>
        <w:t>collect, store and manage data with unprecedented speed and efficiency, we lead the transformation of data to intelligence. In a world of change, we remain nimble, delivering products that help inspire the world to learn, communicate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advance faster than ever.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Our Commitment</w:t>
      </w:r>
    </w:p>
    <w:p>
      <w:pPr>
        <w:spacing w:after="0" w:line="51" w:lineRule="exact"/>
        <w:rPr>
          <w:sz w:val="20"/>
          <w:szCs w:val="20"/>
          <w:color w:val="auto"/>
        </w:rPr>
      </w:pPr>
    </w:p>
    <w:p>
      <w:pPr>
        <w:ind w:right="539"/>
        <w:spacing w:after="0" w:line="211" w:lineRule="auto"/>
        <w:rPr>
          <w:sz w:val="20"/>
          <w:szCs w:val="20"/>
          <w:color w:val="auto"/>
        </w:rPr>
      </w:pPr>
      <w:r>
        <w:rPr>
          <w:rFonts w:ascii="Arial" w:cs="Arial" w:eastAsia="Arial" w:hAnsi="Arial"/>
          <w:sz w:val="18"/>
          <w:szCs w:val="18"/>
          <w:color w:val="auto"/>
        </w:rPr>
        <w:t>Our customers depend on our innovative solutions every day. We dedicate ourselves to demonstrating our environmental conscience, an inclusive team</w:t>
      </w:r>
    </w:p>
    <w:p>
      <w:pPr>
        <w:spacing w:after="0" w:line="1" w:lineRule="exact"/>
        <w:rPr>
          <w:sz w:val="20"/>
          <w:szCs w:val="20"/>
          <w:color w:val="auto"/>
        </w:rPr>
      </w:pPr>
    </w:p>
    <w:p>
      <w:pPr>
        <w:ind w:right="1059"/>
        <w:spacing w:after="0" w:line="229" w:lineRule="auto"/>
        <w:rPr>
          <w:sz w:val="20"/>
          <w:szCs w:val="20"/>
          <w:color w:val="auto"/>
        </w:rPr>
      </w:pPr>
      <w:r>
        <w:rPr>
          <w:rFonts w:ascii="Arial" w:cs="Arial" w:eastAsia="Arial" w:hAnsi="Arial"/>
          <w:sz w:val="18"/>
          <w:szCs w:val="18"/>
          <w:color w:val="auto"/>
        </w:rPr>
        <w:t xml:space="preserve">culture where all voices are heard and respected, and engaging in our communities to enrich life </w:t>
      </w:r>
      <w:r>
        <w:rPr>
          <w:rFonts w:ascii="Arial" w:cs="Arial" w:eastAsia="Arial" w:hAnsi="Arial"/>
          <w:sz w:val="18"/>
          <w:szCs w:val="18"/>
          <w:i w:val="1"/>
          <w:iCs w:val="1"/>
          <w:color w:val="auto"/>
        </w:rPr>
        <w:t>for all</w:t>
      </w:r>
      <w:r>
        <w:rPr>
          <w:rFonts w:ascii="Arial" w:cs="Arial" w:eastAsia="Arial" w:hAnsi="Arial"/>
          <w:sz w:val="18"/>
          <w:szCs w:val="18"/>
          <w:color w:val="auto"/>
        </w:rPr>
        <w:t>.</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29"/>
          <w:szCs w:val="29"/>
          <w:b w:val="1"/>
          <w:bCs w:val="1"/>
          <w:color w:val="0090DA"/>
        </w:rPr>
        <w:t>Global Product Portfolio</w:t>
      </w:r>
    </w:p>
    <w:p>
      <w:pPr>
        <w:spacing w:after="0" w:line="54" w:lineRule="exact"/>
        <w:rPr>
          <w:sz w:val="20"/>
          <w:szCs w:val="20"/>
          <w:color w:val="auto"/>
        </w:rPr>
      </w:pPr>
    </w:p>
    <w:p>
      <w:pPr>
        <w:ind w:right="739"/>
        <w:spacing w:after="0" w:line="235" w:lineRule="auto"/>
        <w:rPr>
          <w:sz w:val="20"/>
          <w:szCs w:val="20"/>
          <w:color w:val="auto"/>
        </w:rPr>
      </w:pPr>
      <w:r>
        <w:rPr>
          <w:rFonts w:ascii="Arial" w:cs="Arial" w:eastAsia="Arial" w:hAnsi="Arial"/>
          <w:sz w:val="16"/>
          <w:szCs w:val="16"/>
          <w:color w:val="0090DA"/>
        </w:rPr>
        <w:t>DRAM | NAND | NOR | Solid-State Drives | Graphics and High Bandwidth Memory (HBM) | Managed NAND and Multichip Packages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95885</wp:posOffset>
            </wp:positionV>
            <wp:extent cx="4140200" cy="3340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40200" cy="334010"/>
                    </a:xfrm>
                    <a:prstGeom prst="rect">
                      <a:avLst/>
                    </a:prstGeom>
                    <a:noFill/>
                  </pic:spPr>
                </pic:pic>
              </a:graphicData>
            </a:graphic>
          </wp:anchor>
        </w:drawing>
      </w:r>
    </w:p>
    <w:p>
      <w:pPr>
        <w:spacing w:after="0" w:line="214" w:lineRule="exact"/>
        <w:rPr>
          <w:sz w:val="20"/>
          <w:szCs w:val="20"/>
          <w:color w:val="auto"/>
        </w:rPr>
      </w:pPr>
    </w:p>
    <w:p>
      <w:pPr>
        <w:jc w:val="right"/>
        <w:ind w:right="259"/>
        <w:spacing w:after="0"/>
        <w:rPr>
          <w:sz w:val="20"/>
          <w:szCs w:val="20"/>
          <w:color w:val="auto"/>
        </w:rPr>
      </w:pPr>
      <w:r>
        <w:rPr>
          <w:rFonts w:ascii="Arial" w:cs="Arial" w:eastAsia="Arial" w:hAnsi="Arial"/>
          <w:sz w:val="25"/>
          <w:szCs w:val="25"/>
          <w:b w:val="1"/>
          <w:bCs w:val="1"/>
          <w:color w:val="FFFFFF"/>
        </w:rPr>
        <w:t>Connect with us on micron.com</w:t>
      </w:r>
    </w:p>
    <w:p>
      <w:pPr>
        <w:spacing w:after="0" w:line="153" w:lineRule="exact"/>
        <w:rPr>
          <w:sz w:val="20"/>
          <w:szCs w:val="20"/>
          <w:color w:val="auto"/>
        </w:rPr>
      </w:pPr>
    </w:p>
    <w:p>
      <w:pPr>
        <w:sectPr>
          <w:pgSz w:w="11900" w:h="16838" w:orient="portrait"/>
          <w:cols w:equalWidth="0" w:num="2">
            <w:col w:w="3314" w:space="160"/>
            <w:col w:w="6639"/>
          </w:cols>
          <w:pgMar w:left="346" w:top="1440" w:right="1440" w:bottom="1440" w:gutter="0" w:footer="0" w:header="0"/>
        </w:sectPr>
      </w:pPr>
    </w:p>
    <w:p>
      <w:pPr>
        <w:ind w:left="-6" w:right="419" w:firstLine="6"/>
        <w:spacing w:after="0" w:line="210" w:lineRule="auto"/>
        <w:tabs>
          <w:tab w:leader="none" w:pos="104" w:val="left"/>
        </w:tabs>
        <w:numPr>
          <w:ilvl w:val="0"/>
          <w:numId w:val="3"/>
        </w:numPr>
        <w:rPr>
          <w:rFonts w:ascii="Arial" w:cs="Arial" w:eastAsia="Arial" w:hAnsi="Arial"/>
          <w:sz w:val="11"/>
          <w:szCs w:val="11"/>
          <w:color w:val="auto"/>
        </w:rPr>
      </w:pPr>
      <w:r>
        <w:rPr>
          <w:rFonts w:ascii="Arial" w:cs="Arial" w:eastAsia="Arial" w:hAnsi="Arial"/>
          <w:sz w:val="11"/>
          <w:szCs w:val="11"/>
          <w:color w:val="auto"/>
        </w:rPr>
        <w:t>2022 Micron Technology, Inc. Micron, the Micron orbit logo, the M orbit logo, Intelligence Accelerated</w:t>
      </w:r>
      <w:r>
        <w:rPr>
          <w:rFonts w:ascii="Arial" w:cs="Arial" w:eastAsia="Arial" w:hAnsi="Arial"/>
          <w:sz w:val="14"/>
          <w:szCs w:val="14"/>
          <w:color w:val="auto"/>
          <w:vertAlign w:val="superscript"/>
        </w:rPr>
        <w:t>TM</w:t>
      </w:r>
      <w:r>
        <w:rPr>
          <w:rFonts w:ascii="Arial" w:cs="Arial" w:eastAsia="Arial" w:hAnsi="Arial"/>
          <w:sz w:val="11"/>
          <w:szCs w:val="11"/>
          <w:color w:val="auto"/>
        </w:rPr>
        <w:t>, and other Micron trademarks are the property of Micron Technology, Inc. All other trademarks are the property of their respective owners. Products and specifications are subject to change without notice. Rev 09/22.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480060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3"/>
          </w:cols>
          <w:pgMar w:left="346" w:top="1440"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40"/>
          <w:szCs w:val="40"/>
          <w:b w:val="1"/>
          <w:bCs w:val="1"/>
          <w:color w:val="auto"/>
        </w:rPr>
        <w:t>Micron’s Global Footprint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5863590" cy="33604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6359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color w:val="auto"/>
        </w:rPr>
        <w:t>Micron’s global footprint map highlights locations that include our manufacturing sites, centers of excellence, customer labs, and large offices.</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Not all Micron locations are represented on this map.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4074160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5863590" cy="32918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63590" cy="3291840"/>
                    </a:xfrm>
                    <a:prstGeom prst="rect">
                      <a:avLst/>
                    </a:prstGeom>
                    <a:noFill/>
                  </pic:spPr>
                </pic:pic>
              </a:graphicData>
            </a:graphic>
          </wp:anchor>
        </w:drawing>
      </w:r>
    </w:p>
    <w:p>
      <w:pPr>
        <w:sectPr>
          <w:pgSz w:w="11900" w:h="16838" w:orient="portrait"/>
          <w:cols w:equalWidth="0" w:num="1">
            <w:col w:w="10139"/>
          </w:cols>
          <w:pgMar w:left="320" w:top="929" w:right="1440" w:bottom="1440" w:gutter="0" w:footer="0" w:header="0"/>
        </w:sectPr>
      </w:pPr>
    </w:p>
    <w:bookmarkStart w:id="3" w:name="page4"/>
    <w:bookmarkEnd w:id="3"/>
    <w:p>
      <w:pPr>
        <w:spacing w:after="0"/>
        <w:rPr>
          <w:sz w:val="20"/>
          <w:szCs w:val="20"/>
          <w:color w:val="auto"/>
        </w:rPr>
      </w:pPr>
      <w:r>
        <w:rPr>
          <w:rFonts w:ascii="Arial" w:cs="Arial" w:eastAsia="Arial" w:hAnsi="Arial"/>
          <w:sz w:val="40"/>
          <w:szCs w:val="4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Introduction</w:t>
            </w:r>
          </w:p>
        </w:tc>
        <w:tc>
          <w:tcPr>
            <w:tcW w:w="948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1240" w:type="dxa"/>
            <w:vAlign w:val="bottom"/>
          </w:tcPr>
          <w:p>
            <w:pPr>
              <w:ind w:left="20"/>
              <w:spacing w:after="0"/>
              <w:rPr>
                <w:sz w:val="20"/>
                <w:szCs w:val="20"/>
                <w:color w:val="auto"/>
              </w:rPr>
            </w:pPr>
            <w:r>
              <w:rPr>
                <w:rFonts w:ascii="Arial" w:cs="Arial" w:eastAsia="Arial" w:hAnsi="Arial"/>
                <w:sz w:val="18"/>
                <w:szCs w:val="18"/>
                <w:b w:val="1"/>
                <w:bCs w:val="1"/>
                <w:color w:val="auto"/>
              </w:rPr>
              <w:t>PART I</w:t>
            </w:r>
          </w:p>
        </w:tc>
        <w:tc>
          <w:tcPr>
            <w:tcW w:w="948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Business</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1A.</w:t>
            </w:r>
          </w:p>
        </w:tc>
        <w:tc>
          <w:tcPr>
            <w:tcW w:w="9480" w:type="dxa"/>
            <w:vAlign w:val="bottom"/>
          </w:tcPr>
          <w:p>
            <w:pPr>
              <w:ind w:left="280"/>
              <w:spacing w:after="0"/>
              <w:rPr>
                <w:sz w:val="20"/>
                <w:szCs w:val="20"/>
                <w:color w:val="auto"/>
              </w:rPr>
            </w:pPr>
            <w:r>
              <w:rPr>
                <w:rFonts w:ascii="Arial" w:cs="Arial" w:eastAsia="Arial" w:hAnsi="Arial"/>
                <w:sz w:val="18"/>
                <w:szCs w:val="18"/>
                <w:color w:val="auto"/>
              </w:rPr>
              <w:t>Risk Factors</w:t>
            </w: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1B.</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Unresolved Staff Comments</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2.</w:t>
            </w:r>
          </w:p>
        </w:tc>
        <w:tc>
          <w:tcPr>
            <w:tcW w:w="9480" w:type="dxa"/>
            <w:vAlign w:val="bottom"/>
          </w:tcPr>
          <w:p>
            <w:pPr>
              <w:ind w:left="280"/>
              <w:spacing w:after="0"/>
              <w:rPr>
                <w:sz w:val="20"/>
                <w:szCs w:val="20"/>
                <w:color w:val="auto"/>
              </w:rPr>
            </w:pPr>
            <w:r>
              <w:rPr>
                <w:rFonts w:ascii="Arial" w:cs="Arial" w:eastAsia="Arial" w:hAnsi="Arial"/>
                <w:sz w:val="18"/>
                <w:szCs w:val="18"/>
                <w:color w:val="auto"/>
              </w:rPr>
              <w:t>Properties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3.</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Legal Proceedings</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4.</w:t>
            </w:r>
          </w:p>
        </w:tc>
        <w:tc>
          <w:tcPr>
            <w:tcW w:w="9480" w:type="dxa"/>
            <w:vAlign w:val="bottom"/>
          </w:tcPr>
          <w:p>
            <w:pPr>
              <w:ind w:left="280"/>
              <w:spacing w:after="0"/>
              <w:rPr>
                <w:sz w:val="20"/>
                <w:szCs w:val="20"/>
                <w:color w:val="auto"/>
              </w:rPr>
            </w:pPr>
            <w:r>
              <w:rPr>
                <w:rFonts w:ascii="Arial" w:cs="Arial" w:eastAsia="Arial" w:hAnsi="Arial"/>
                <w:sz w:val="18"/>
                <w:szCs w:val="18"/>
                <w:color w:val="auto"/>
              </w:rPr>
              <w:t>Mine Safety Disclosures</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II</w:t>
            </w:r>
          </w:p>
        </w:tc>
        <w:tc>
          <w:tcPr>
            <w:tcW w:w="948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5.</w:t>
            </w:r>
          </w:p>
        </w:tc>
        <w:tc>
          <w:tcPr>
            <w:tcW w:w="9480" w:type="dxa"/>
            <w:vAlign w:val="bottom"/>
          </w:tcPr>
          <w:p>
            <w:pPr>
              <w:ind w:left="28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6.</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[Reserved]</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7.</w:t>
            </w:r>
          </w:p>
        </w:tc>
        <w:tc>
          <w:tcPr>
            <w:tcW w:w="9480" w:type="dxa"/>
            <w:vAlign w:val="bottom"/>
          </w:tcPr>
          <w:p>
            <w:pPr>
              <w:ind w:left="2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7A.</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8.</w:t>
            </w:r>
          </w:p>
        </w:tc>
        <w:tc>
          <w:tcPr>
            <w:tcW w:w="9480" w:type="dxa"/>
            <w:vAlign w:val="bottom"/>
          </w:tcPr>
          <w:p>
            <w:pPr>
              <w:ind w:left="280"/>
              <w:spacing w:after="0"/>
              <w:rPr>
                <w:sz w:val="20"/>
                <w:szCs w:val="20"/>
                <w:color w:val="auto"/>
              </w:rPr>
            </w:pPr>
            <w:r>
              <w:rPr>
                <w:rFonts w:ascii="Arial" w:cs="Arial" w:eastAsia="Arial" w:hAnsi="Arial"/>
                <w:sz w:val="18"/>
                <w:szCs w:val="18"/>
                <w:color w:val="auto"/>
              </w:rPr>
              <w:t>Financial Statements and Supplementary Data</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9.</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9A.</w:t>
            </w:r>
          </w:p>
        </w:tc>
        <w:tc>
          <w:tcPr>
            <w:tcW w:w="9480" w:type="dxa"/>
            <w:vAlign w:val="bottom"/>
          </w:tcPr>
          <w:p>
            <w:pPr>
              <w:ind w:left="280"/>
              <w:spacing w:after="0"/>
              <w:rPr>
                <w:sz w:val="20"/>
                <w:szCs w:val="20"/>
                <w:color w:val="auto"/>
              </w:rPr>
            </w:pPr>
            <w:r>
              <w:rPr>
                <w:rFonts w:ascii="Arial" w:cs="Arial" w:eastAsia="Arial" w:hAnsi="Arial"/>
                <w:sz w:val="18"/>
                <w:szCs w:val="18"/>
                <w:color w:val="auto"/>
              </w:rPr>
              <w:t>Controls and Procedures</w:t>
            </w:r>
          </w:p>
        </w:tc>
        <w:tc>
          <w:tcPr>
            <w:tcW w:w="5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9B.</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Other Information</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9C.</w:t>
            </w:r>
          </w:p>
        </w:tc>
        <w:tc>
          <w:tcPr>
            <w:tcW w:w="9480" w:type="dxa"/>
            <w:vAlign w:val="bottom"/>
          </w:tcPr>
          <w:p>
            <w:pPr>
              <w:ind w:left="2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III</w:t>
            </w:r>
          </w:p>
        </w:tc>
        <w:tc>
          <w:tcPr>
            <w:tcW w:w="948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r>
      <w:tr>
        <w:trPr>
          <w:trHeight w:val="229"/>
        </w:trPr>
        <w:tc>
          <w:tcPr>
            <w:tcW w:w="1240" w:type="dxa"/>
            <w:vAlign w:val="bottom"/>
          </w:tcPr>
          <w:p>
            <w:pPr>
              <w:ind w:left="140"/>
              <w:spacing w:after="0"/>
              <w:rPr>
                <w:sz w:val="20"/>
                <w:szCs w:val="20"/>
                <w:color w:val="auto"/>
              </w:rPr>
            </w:pPr>
            <w:r>
              <w:rPr>
                <w:rFonts w:ascii="Arial" w:cs="Arial" w:eastAsia="Arial" w:hAnsi="Arial"/>
                <w:sz w:val="18"/>
                <w:szCs w:val="18"/>
                <w:color w:val="auto"/>
              </w:rPr>
              <w:t>Item 10.</w:t>
            </w:r>
          </w:p>
        </w:tc>
        <w:tc>
          <w:tcPr>
            <w:tcW w:w="9480" w:type="dxa"/>
            <w:vAlign w:val="bottom"/>
          </w:tcPr>
          <w:p>
            <w:pPr>
              <w:ind w:left="280"/>
              <w:spacing w:after="0"/>
              <w:rPr>
                <w:sz w:val="20"/>
                <w:szCs w:val="20"/>
                <w:color w:val="auto"/>
              </w:rPr>
            </w:pPr>
            <w:r>
              <w:rPr>
                <w:rFonts w:ascii="Arial" w:cs="Arial" w:eastAsia="Arial" w:hAnsi="Arial"/>
                <w:sz w:val="18"/>
                <w:szCs w:val="18"/>
                <w:color w:val="auto"/>
              </w:rPr>
              <w:t>Directors, Executive Officers, and Corporate Governance</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11.</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Executive Compensation</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12.</w:t>
            </w:r>
          </w:p>
        </w:tc>
        <w:tc>
          <w:tcPr>
            <w:tcW w:w="9480" w:type="dxa"/>
            <w:vAlign w:val="bottom"/>
          </w:tcPr>
          <w:p>
            <w:pPr>
              <w:ind w:left="2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13.</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14.</w:t>
            </w:r>
          </w:p>
        </w:tc>
        <w:tc>
          <w:tcPr>
            <w:tcW w:w="9480" w:type="dxa"/>
            <w:vAlign w:val="bottom"/>
          </w:tcPr>
          <w:p>
            <w:pPr>
              <w:ind w:left="280"/>
              <w:spacing w:after="0"/>
              <w:rPr>
                <w:sz w:val="20"/>
                <w:szCs w:val="20"/>
                <w:color w:val="auto"/>
              </w:rPr>
            </w:pPr>
            <w:r>
              <w:rPr>
                <w:rFonts w:ascii="Arial" w:cs="Arial" w:eastAsia="Arial" w:hAnsi="Arial"/>
                <w:sz w:val="18"/>
                <w:szCs w:val="18"/>
                <w:color w:val="auto"/>
              </w:rPr>
              <w:t>Principal Accountant Fees and Services</w:t>
            </w:r>
          </w:p>
        </w:tc>
        <w:tc>
          <w:tcPr>
            <w:tcW w:w="5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12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PART IV</w:t>
            </w:r>
          </w:p>
        </w:tc>
        <w:tc>
          <w:tcPr>
            <w:tcW w:w="9480" w:type="dxa"/>
            <w:vAlign w:val="bottom"/>
            <w:shd w:val="clear" w:color="auto" w:fill="D1D2D4"/>
          </w:tcPr>
          <w:p>
            <w:pPr>
              <w:spacing w:after="0"/>
              <w:rPr>
                <w:sz w:val="19"/>
                <w:szCs w:val="19"/>
                <w:color w:val="auto"/>
              </w:rPr>
            </w:pPr>
          </w:p>
        </w:tc>
        <w:tc>
          <w:tcPr>
            <w:tcW w:w="520" w:type="dxa"/>
            <w:vAlign w:val="bottom"/>
            <w:shd w:val="clear" w:color="auto" w:fill="D1D2D4"/>
          </w:tcPr>
          <w:p>
            <w:pPr>
              <w:spacing w:after="0"/>
              <w:rPr>
                <w:sz w:val="19"/>
                <w:szCs w:val="19"/>
                <w:color w:val="auto"/>
              </w:rPr>
            </w:pPr>
          </w:p>
        </w:tc>
      </w:tr>
      <w:tr>
        <w:trPr>
          <w:trHeight w:val="230"/>
        </w:trPr>
        <w:tc>
          <w:tcPr>
            <w:tcW w:w="1240" w:type="dxa"/>
            <w:vAlign w:val="bottom"/>
          </w:tcPr>
          <w:p>
            <w:pPr>
              <w:ind w:left="140"/>
              <w:spacing w:after="0"/>
              <w:rPr>
                <w:sz w:val="20"/>
                <w:szCs w:val="20"/>
                <w:color w:val="auto"/>
              </w:rPr>
            </w:pPr>
            <w:r>
              <w:rPr>
                <w:rFonts w:ascii="Arial" w:cs="Arial" w:eastAsia="Arial" w:hAnsi="Arial"/>
                <w:sz w:val="18"/>
                <w:szCs w:val="18"/>
                <w:color w:val="auto"/>
              </w:rPr>
              <w:t>Item 15.</w:t>
            </w:r>
          </w:p>
        </w:tc>
        <w:tc>
          <w:tcPr>
            <w:tcW w:w="9480" w:type="dxa"/>
            <w:vAlign w:val="bottom"/>
          </w:tcPr>
          <w:p>
            <w:pPr>
              <w:ind w:left="280"/>
              <w:spacing w:after="0"/>
              <w:rPr>
                <w:sz w:val="20"/>
                <w:szCs w:val="20"/>
                <w:color w:val="auto"/>
              </w:rPr>
            </w:pPr>
            <w:r>
              <w:rPr>
                <w:rFonts w:ascii="Arial" w:cs="Arial" w:eastAsia="Arial" w:hAnsi="Arial"/>
                <w:sz w:val="18"/>
                <w:szCs w:val="18"/>
                <w:color w:val="auto"/>
              </w:rPr>
              <w:t>Exhibits and Financial Statement Schedule</w:t>
            </w: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12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Item 16.</w:t>
            </w:r>
          </w:p>
        </w:tc>
        <w:tc>
          <w:tcPr>
            <w:tcW w:w="9480" w:type="dxa"/>
            <w:vAlign w:val="bottom"/>
            <w:shd w:val="clear" w:color="auto" w:fill="D1D2D4"/>
          </w:tcPr>
          <w:p>
            <w:pPr>
              <w:ind w:left="280"/>
              <w:spacing w:after="0"/>
              <w:rPr>
                <w:sz w:val="20"/>
                <w:szCs w:val="20"/>
                <w:color w:val="auto"/>
              </w:rPr>
            </w:pPr>
            <w:r>
              <w:rPr>
                <w:rFonts w:ascii="Arial" w:cs="Arial" w:eastAsia="Arial" w:hAnsi="Arial"/>
                <w:sz w:val="18"/>
                <w:szCs w:val="18"/>
                <w:color w:val="auto"/>
              </w:rPr>
              <w:t>Form 10-K Summary</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r>
      <w:tr>
        <w:trPr>
          <w:trHeight w:val="239"/>
        </w:trPr>
        <w:tc>
          <w:tcPr>
            <w:tcW w:w="1240" w:type="dxa"/>
            <w:vAlign w:val="bottom"/>
          </w:tcPr>
          <w:p>
            <w:pPr>
              <w:ind w:left="20"/>
              <w:spacing w:after="0"/>
              <w:rPr>
                <w:sz w:val="20"/>
                <w:szCs w:val="20"/>
                <w:color w:val="auto"/>
              </w:rPr>
            </w:pPr>
            <w:r>
              <w:rPr>
                <w:rFonts w:ascii="Arial" w:cs="Arial" w:eastAsia="Arial" w:hAnsi="Arial"/>
                <w:sz w:val="18"/>
                <w:szCs w:val="18"/>
                <w:color w:val="auto"/>
              </w:rPr>
              <w:t>Signatures</w:t>
            </w:r>
          </w:p>
        </w:tc>
        <w:tc>
          <w:tcPr>
            <w:tcW w:w="94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9"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Definitions of Commonly Used Terms</w:t>
      </w:r>
    </w:p>
    <w:p>
      <w:pPr>
        <w:spacing w:after="0" w:line="25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color w:val="auto"/>
        </w:rPr>
        <w:t>As used herein, “we,” “our,” “us,” and similar terms include Micron Technology, Inc. and its consolidated subsidiaries, unless the context indicates otherwise. Abbreviations, terms, or acronyms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200" w:type="dxa"/>
            <w:vAlign w:val="bottom"/>
          </w:tcPr>
          <w:p>
            <w:pPr>
              <w:ind w:left="220"/>
              <w:spacing w:after="0"/>
              <w:rPr>
                <w:sz w:val="20"/>
                <w:szCs w:val="20"/>
                <w:color w:val="auto"/>
              </w:rPr>
            </w:pPr>
            <w:r>
              <w:rPr>
                <w:rFonts w:ascii="Arial" w:cs="Arial" w:eastAsia="Arial" w:hAnsi="Arial"/>
                <w:sz w:val="18"/>
                <w:szCs w:val="18"/>
                <w:b w:val="1"/>
                <w:bCs w:val="1"/>
                <w:color w:val="auto"/>
              </w:rPr>
              <w:t>Term</w:t>
            </w:r>
          </w:p>
        </w:tc>
        <w:tc>
          <w:tcPr>
            <w:tcW w:w="760" w:type="dxa"/>
            <w:vAlign w:val="bottom"/>
          </w:tcPr>
          <w:p>
            <w:pPr>
              <w:spacing w:after="0"/>
              <w:rPr>
                <w:sz w:val="20"/>
                <w:szCs w:val="20"/>
                <w:color w:val="auto"/>
              </w:rPr>
            </w:pPr>
          </w:p>
        </w:tc>
        <w:tc>
          <w:tcPr>
            <w:tcW w:w="3200" w:type="dxa"/>
            <w:vAlign w:val="bottom"/>
            <w:gridSpan w:val="2"/>
          </w:tcPr>
          <w:p>
            <w:pPr>
              <w:ind w:left="800"/>
              <w:spacing w:after="0"/>
              <w:rPr>
                <w:sz w:val="20"/>
                <w:szCs w:val="20"/>
                <w:color w:val="auto"/>
              </w:rPr>
            </w:pPr>
            <w:r>
              <w:rPr>
                <w:rFonts w:ascii="Arial" w:cs="Arial" w:eastAsia="Arial" w:hAnsi="Arial"/>
                <w:sz w:val="18"/>
                <w:szCs w:val="18"/>
                <w:b w:val="1"/>
                <w:bCs w:val="1"/>
                <w:color w:val="auto"/>
              </w:rPr>
              <w:t>Definition</w:t>
            </w:r>
          </w:p>
        </w:tc>
        <w:tc>
          <w:tcPr>
            <w:tcW w:w="1560" w:type="dxa"/>
            <w:vAlign w:val="bottom"/>
          </w:tcPr>
          <w:p>
            <w:pPr>
              <w:ind w:left="680"/>
              <w:spacing w:after="0"/>
              <w:rPr>
                <w:sz w:val="20"/>
                <w:szCs w:val="20"/>
                <w:color w:val="auto"/>
              </w:rPr>
            </w:pPr>
            <w:r>
              <w:rPr>
                <w:rFonts w:ascii="Arial" w:cs="Arial" w:eastAsia="Arial" w:hAnsi="Arial"/>
                <w:sz w:val="18"/>
                <w:szCs w:val="18"/>
                <w:b w:val="1"/>
                <w:bCs w:val="1"/>
                <w:color w:val="auto"/>
              </w:rPr>
              <w:t>Term</w:t>
            </w:r>
          </w:p>
        </w:tc>
        <w:tc>
          <w:tcPr>
            <w:tcW w:w="4060" w:type="dxa"/>
            <w:vAlign w:val="bottom"/>
          </w:tcPr>
          <w:p>
            <w:pPr>
              <w:ind w:left="1720"/>
              <w:spacing w:after="0"/>
              <w:rPr>
                <w:sz w:val="20"/>
                <w:szCs w:val="20"/>
                <w:color w:val="auto"/>
              </w:rPr>
            </w:pPr>
            <w:r>
              <w:rPr>
                <w:rFonts w:ascii="Arial" w:cs="Arial" w:eastAsia="Arial" w:hAnsi="Arial"/>
                <w:sz w:val="18"/>
                <w:szCs w:val="18"/>
                <w:b w:val="1"/>
                <w:bCs w:val="1"/>
                <w:color w:val="auto"/>
              </w:rPr>
              <w:t>Definition</w:t>
            </w:r>
          </w:p>
        </w:tc>
      </w:tr>
      <w:tr>
        <w:trPr>
          <w:trHeight w:val="34"/>
        </w:trPr>
        <w:tc>
          <w:tcPr>
            <w:tcW w:w="460" w:type="dxa"/>
            <w:vAlign w:val="bottom"/>
            <w:tcBorders>
              <w:top w:val="single" w:sz="8" w:color="0090DA"/>
            </w:tcBorders>
          </w:tcPr>
          <w:p>
            <w:pPr>
              <w:spacing w:after="0"/>
              <w:rPr>
                <w:sz w:val="2"/>
                <w:szCs w:val="2"/>
                <w:color w:val="auto"/>
              </w:rPr>
            </w:pPr>
          </w:p>
        </w:tc>
        <w:tc>
          <w:tcPr>
            <w:tcW w:w="1200" w:type="dxa"/>
            <w:vAlign w:val="bottom"/>
            <w:tcBorders>
              <w:top w:val="single" w:sz="8" w:color="0090DA"/>
            </w:tcBorders>
          </w:tcPr>
          <w:p>
            <w:pPr>
              <w:spacing w:after="0"/>
              <w:rPr>
                <w:sz w:val="2"/>
                <w:szCs w:val="2"/>
                <w:color w:val="auto"/>
              </w:rPr>
            </w:pPr>
          </w:p>
        </w:tc>
        <w:tc>
          <w:tcPr>
            <w:tcW w:w="760" w:type="dxa"/>
            <w:vAlign w:val="bottom"/>
            <w:tcBorders>
              <w:top w:val="single" w:sz="8" w:color="0090DA"/>
            </w:tcBorders>
          </w:tcPr>
          <w:p>
            <w:pPr>
              <w:spacing w:after="0"/>
              <w:rPr>
                <w:sz w:val="2"/>
                <w:szCs w:val="2"/>
                <w:color w:val="auto"/>
              </w:rPr>
            </w:pPr>
          </w:p>
        </w:tc>
        <w:tc>
          <w:tcPr>
            <w:tcW w:w="308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top w:val="single" w:sz="8" w:color="0090DA"/>
            </w:tcBorders>
          </w:tcPr>
          <w:p>
            <w:pPr>
              <w:spacing w:after="0"/>
              <w:rPr>
                <w:sz w:val="2"/>
                <w:szCs w:val="2"/>
                <w:color w:val="auto"/>
              </w:rPr>
            </w:pPr>
          </w:p>
        </w:tc>
        <w:tc>
          <w:tcPr>
            <w:tcW w:w="4060" w:type="dxa"/>
            <w:vAlign w:val="bottom"/>
            <w:tcBorders>
              <w:top w:val="single" w:sz="8" w:color="0090DA"/>
            </w:tcBorders>
          </w:tcPr>
          <w:p>
            <w:pPr>
              <w:spacing w:after="0"/>
              <w:rPr>
                <w:sz w:val="2"/>
                <w:szCs w:val="2"/>
                <w:color w:val="auto"/>
              </w:rPr>
            </w:pPr>
          </w:p>
        </w:tc>
      </w:tr>
      <w:tr>
        <w:trPr>
          <w:trHeight w:val="175"/>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2023</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2.497%</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2023, repaid</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Inotera</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Inotera Memories, Inc.</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November 2021</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spacing w:after="0"/>
              <w:rPr>
                <w:sz w:val="21"/>
                <w:szCs w:val="21"/>
                <w:color w:val="auto"/>
              </w:rPr>
            </w:pP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2024</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4.640%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2024,</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Intel</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Intel Corporation</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November 2021</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2024</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Senior Term Loan A due October 2024</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LIBOR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London Interbank Offered Rate</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2025</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5.500%</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2025,</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LPDDR</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Low-Power Double Data Rate DRAM</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repaid November 2019</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32"/>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2026 Notes</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4.975% Senior Notes due February 2026</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LPDRAM</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Low-Power DRAM</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2027</w:t>
            </w:r>
          </w:p>
        </w:tc>
        <w:tc>
          <w:tcPr>
            <w:tcW w:w="1200" w:type="dxa"/>
            <w:vAlign w:val="bottom"/>
          </w:tcPr>
          <w:p>
            <w:pPr>
              <w:ind w:left="20"/>
              <w:spacing w:after="0" w:line="176" w:lineRule="exact"/>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4.185%</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Senior Notes due February 2027</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MCP</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Multichip packaged solutions with managed</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NAND and LPDRAM</w:t>
            </w:r>
          </w:p>
        </w:tc>
      </w:tr>
      <w:tr>
        <w:trPr>
          <w:trHeight w:val="232"/>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2029</w:t>
            </w:r>
          </w:p>
        </w:tc>
        <w:tc>
          <w:tcPr>
            <w:tcW w:w="1200" w:type="dxa"/>
            <w:vAlign w:val="bottom"/>
            <w:shd w:val="clear" w:color="auto" w:fill="DBDBDB"/>
          </w:tcPr>
          <w:p>
            <w:pPr>
              <w:ind w:left="20"/>
              <w:spacing w:after="0"/>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rPr>
                <w:sz w:val="20"/>
                <w:szCs w:val="20"/>
                <w:color w:val="auto"/>
              </w:rPr>
            </w:pPr>
            <w:r>
              <w:rPr>
                <w:rFonts w:ascii="Arial" w:cs="Arial" w:eastAsia="Arial" w:hAnsi="Arial"/>
                <w:sz w:val="18"/>
                <w:szCs w:val="18"/>
                <w:color w:val="auto"/>
                <w:w w:val="98"/>
              </w:rPr>
              <w:t>5.327%</w:t>
            </w:r>
          </w:p>
        </w:tc>
        <w:tc>
          <w:tcPr>
            <w:tcW w:w="3200" w:type="dxa"/>
            <w:vAlign w:val="bottom"/>
            <w:gridSpan w:val="2"/>
            <w:shd w:val="clear" w:color="auto" w:fill="DBDBDB"/>
          </w:tcPr>
          <w:p>
            <w:pPr>
              <w:ind w:left="40"/>
              <w:spacing w:after="0"/>
              <w:rPr>
                <w:sz w:val="20"/>
                <w:szCs w:val="20"/>
                <w:color w:val="auto"/>
              </w:rPr>
            </w:pPr>
            <w:r>
              <w:rPr>
                <w:rFonts w:ascii="Arial" w:cs="Arial" w:eastAsia="Arial" w:hAnsi="Arial"/>
                <w:sz w:val="18"/>
                <w:szCs w:val="18"/>
                <w:color w:val="auto"/>
              </w:rPr>
              <w:t>Senior Notes due February 2029</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Micron</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Micron Technology, Inc. (Parent Company)</w:t>
            </w:r>
          </w:p>
        </w:tc>
      </w:tr>
      <w:tr>
        <w:trPr>
          <w:trHeight w:val="229"/>
        </w:trPr>
        <w:tc>
          <w:tcPr>
            <w:tcW w:w="460" w:type="dxa"/>
            <w:vAlign w:val="bottom"/>
          </w:tcPr>
          <w:p>
            <w:pPr>
              <w:ind w:left="20"/>
              <w:spacing w:after="0"/>
              <w:rPr>
                <w:sz w:val="20"/>
                <w:szCs w:val="20"/>
                <w:color w:val="auto"/>
              </w:rPr>
            </w:pPr>
            <w:r>
              <w:rPr>
                <w:rFonts w:ascii="Arial" w:cs="Arial" w:eastAsia="Arial" w:hAnsi="Arial"/>
                <w:sz w:val="18"/>
                <w:szCs w:val="18"/>
                <w:color w:val="auto"/>
              </w:rPr>
              <w:t>2030</w:t>
            </w:r>
          </w:p>
        </w:tc>
        <w:tc>
          <w:tcPr>
            <w:tcW w:w="1200" w:type="dxa"/>
            <w:vAlign w:val="bottom"/>
          </w:tcPr>
          <w:p>
            <w:pPr>
              <w:ind w:left="20"/>
              <w:spacing w:after="0"/>
              <w:rPr>
                <w:sz w:val="20"/>
                <w:szCs w:val="20"/>
                <w:color w:val="auto"/>
              </w:rPr>
            </w:pPr>
            <w:r>
              <w:rPr>
                <w:rFonts w:ascii="Arial" w:cs="Arial" w:eastAsia="Arial" w:hAnsi="Arial"/>
                <w:sz w:val="18"/>
                <w:szCs w:val="18"/>
                <w:color w:val="auto"/>
              </w:rPr>
              <w:t>Notes</w:t>
            </w:r>
          </w:p>
        </w:tc>
        <w:tc>
          <w:tcPr>
            <w:tcW w:w="760" w:type="dxa"/>
            <w:vAlign w:val="bottom"/>
          </w:tcPr>
          <w:p>
            <w:pPr>
              <w:ind w:left="140"/>
              <w:spacing w:after="0"/>
              <w:rPr>
                <w:sz w:val="20"/>
                <w:szCs w:val="20"/>
                <w:color w:val="auto"/>
              </w:rPr>
            </w:pPr>
            <w:r>
              <w:rPr>
                <w:rFonts w:ascii="Arial" w:cs="Arial" w:eastAsia="Arial" w:hAnsi="Arial"/>
                <w:sz w:val="18"/>
                <w:szCs w:val="18"/>
                <w:color w:val="auto"/>
                <w:w w:val="98"/>
              </w:rPr>
              <w:t>4.663%</w:t>
            </w:r>
          </w:p>
        </w:tc>
        <w:tc>
          <w:tcPr>
            <w:tcW w:w="3200" w:type="dxa"/>
            <w:vAlign w:val="bottom"/>
            <w:gridSpan w:val="2"/>
          </w:tcPr>
          <w:p>
            <w:pPr>
              <w:ind w:left="40"/>
              <w:spacing w:after="0"/>
              <w:rPr>
                <w:sz w:val="20"/>
                <w:szCs w:val="20"/>
                <w:color w:val="auto"/>
              </w:rPr>
            </w:pPr>
            <w:r>
              <w:rPr>
                <w:rFonts w:ascii="Arial" w:cs="Arial" w:eastAsia="Arial" w:hAnsi="Arial"/>
                <w:sz w:val="18"/>
                <w:szCs w:val="18"/>
                <w:color w:val="auto"/>
              </w:rPr>
              <w:t>Senior Notes due February 2030</w:t>
            </w:r>
          </w:p>
        </w:tc>
        <w:tc>
          <w:tcPr>
            <w:tcW w:w="1560" w:type="dxa"/>
            <w:vAlign w:val="bottom"/>
          </w:tcPr>
          <w:p>
            <w:pPr>
              <w:spacing w:after="0"/>
              <w:rPr>
                <w:sz w:val="20"/>
                <w:szCs w:val="20"/>
                <w:color w:val="auto"/>
              </w:rPr>
            </w:pPr>
            <w:r>
              <w:rPr>
                <w:rFonts w:ascii="Arial" w:cs="Arial" w:eastAsia="Arial" w:hAnsi="Arial"/>
                <w:sz w:val="18"/>
                <w:szCs w:val="18"/>
                <w:color w:val="auto"/>
              </w:rPr>
              <w:t>MTU</w:t>
            </w:r>
          </w:p>
        </w:tc>
        <w:tc>
          <w:tcPr>
            <w:tcW w:w="4060" w:type="dxa"/>
            <w:vAlign w:val="bottom"/>
          </w:tcPr>
          <w:p>
            <w:pPr>
              <w:ind w:left="240"/>
              <w:spacing w:after="0"/>
              <w:rPr>
                <w:sz w:val="20"/>
                <w:szCs w:val="20"/>
                <w:color w:val="auto"/>
              </w:rPr>
            </w:pPr>
            <w:r>
              <w:rPr>
                <w:rFonts w:ascii="Arial" w:cs="Arial" w:eastAsia="Arial" w:hAnsi="Arial"/>
                <w:sz w:val="18"/>
                <w:szCs w:val="18"/>
                <w:color w:val="auto"/>
              </w:rPr>
              <w:t>Micron Technology Utah, LLC</w:t>
            </w:r>
          </w:p>
        </w:tc>
      </w:tr>
      <w:tr>
        <w:trPr>
          <w:trHeight w:val="176"/>
        </w:trPr>
        <w:tc>
          <w:tcPr>
            <w:tcW w:w="46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2032</w:t>
            </w:r>
          </w:p>
        </w:tc>
        <w:tc>
          <w:tcPr>
            <w:tcW w:w="1200" w:type="dxa"/>
            <w:vAlign w:val="bottom"/>
            <w:shd w:val="clear" w:color="auto" w:fill="DBDBDB"/>
          </w:tcPr>
          <w:p>
            <w:pPr>
              <w:ind w:left="20"/>
              <w:spacing w:after="0" w:line="176" w:lineRule="exact"/>
              <w:rPr>
                <w:sz w:val="20"/>
                <w:szCs w:val="20"/>
                <w:color w:val="auto"/>
              </w:rPr>
            </w:pPr>
            <w:r>
              <w:rPr>
                <w:rFonts w:ascii="Arial" w:cs="Arial" w:eastAsia="Arial" w:hAnsi="Arial"/>
                <w:sz w:val="18"/>
                <w:szCs w:val="18"/>
                <w:color w:val="auto"/>
              </w:rPr>
              <w:t>Green Bonds</w:t>
            </w:r>
          </w:p>
        </w:tc>
        <w:tc>
          <w:tcPr>
            <w:tcW w:w="760" w:type="dxa"/>
            <w:vAlign w:val="bottom"/>
            <w:shd w:val="clear" w:color="auto" w:fill="DBDBDB"/>
          </w:tcPr>
          <w:p>
            <w:pPr>
              <w:ind w:left="140"/>
              <w:spacing w:after="0" w:line="176" w:lineRule="exact"/>
              <w:rPr>
                <w:sz w:val="20"/>
                <w:szCs w:val="20"/>
                <w:color w:val="auto"/>
              </w:rPr>
            </w:pPr>
            <w:r>
              <w:rPr>
                <w:rFonts w:ascii="Arial" w:cs="Arial" w:eastAsia="Arial" w:hAnsi="Arial"/>
                <w:sz w:val="18"/>
                <w:szCs w:val="18"/>
                <w:color w:val="auto"/>
                <w:w w:val="98"/>
              </w:rPr>
              <w:t>2.703%</w:t>
            </w:r>
          </w:p>
        </w:tc>
        <w:tc>
          <w:tcPr>
            <w:tcW w:w="3200" w:type="dxa"/>
            <w:vAlign w:val="bottom"/>
            <w:gridSpan w:val="2"/>
            <w:shd w:val="clear" w:color="auto" w:fill="DBDBDB"/>
          </w:tcPr>
          <w:p>
            <w:pPr>
              <w:ind w:left="40"/>
              <w:spacing w:after="0" w:line="176" w:lineRule="exact"/>
              <w:rPr>
                <w:sz w:val="20"/>
                <w:szCs w:val="20"/>
                <w:color w:val="auto"/>
              </w:rPr>
            </w:pPr>
            <w:r>
              <w:rPr>
                <w:rFonts w:ascii="Arial" w:cs="Arial" w:eastAsia="Arial" w:hAnsi="Arial"/>
                <w:sz w:val="18"/>
                <w:szCs w:val="18"/>
                <w:color w:val="auto"/>
              </w:rPr>
              <w:t>Senior Notes due April 2032</w:t>
            </w:r>
          </w:p>
        </w:tc>
        <w:tc>
          <w:tcPr>
            <w:tcW w:w="1560" w:type="dxa"/>
            <w:vAlign w:val="bottom"/>
            <w:shd w:val="clear" w:color="auto" w:fill="DBDBDB"/>
          </w:tcPr>
          <w:p>
            <w:pPr>
              <w:spacing w:after="0" w:line="176" w:lineRule="exact"/>
              <w:rPr>
                <w:sz w:val="20"/>
                <w:szCs w:val="20"/>
                <w:color w:val="auto"/>
              </w:rPr>
            </w:pPr>
            <w:r>
              <w:rPr>
                <w:rFonts w:ascii="Arial" w:cs="Arial" w:eastAsia="Arial" w:hAnsi="Arial"/>
                <w:sz w:val="18"/>
                <w:szCs w:val="18"/>
                <w:color w:val="auto"/>
              </w:rPr>
              <w:t>NVMe</w:t>
            </w:r>
          </w:p>
        </w:tc>
        <w:tc>
          <w:tcPr>
            <w:tcW w:w="4060" w:type="dxa"/>
            <w:vAlign w:val="bottom"/>
            <w:shd w:val="clear" w:color="auto" w:fill="DBDBDB"/>
          </w:tcPr>
          <w:p>
            <w:pPr>
              <w:ind w:left="240"/>
              <w:spacing w:after="0" w:line="176" w:lineRule="exact"/>
              <w:rPr>
                <w:sz w:val="20"/>
                <w:szCs w:val="20"/>
                <w:color w:val="auto"/>
              </w:rPr>
            </w:pPr>
            <w:r>
              <w:rPr>
                <w:rFonts w:ascii="Arial" w:cs="Arial" w:eastAsia="Arial" w:hAnsi="Arial"/>
                <w:sz w:val="18"/>
                <w:szCs w:val="18"/>
                <w:color w:val="auto"/>
              </w:rPr>
              <w:t>Hardware interface for SSDs that connect via a</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PCIe bus</w:t>
            </w:r>
          </w:p>
        </w:tc>
      </w:tr>
      <w:tr>
        <w:trPr>
          <w:trHeight w:val="176"/>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2032D Notes</w:t>
            </w:r>
          </w:p>
        </w:tc>
        <w:tc>
          <w:tcPr>
            <w:tcW w:w="760" w:type="dxa"/>
            <w:vAlign w:val="bottom"/>
          </w:tcPr>
          <w:p>
            <w:pPr>
              <w:ind w:left="140"/>
              <w:spacing w:after="0" w:line="176" w:lineRule="exact"/>
              <w:rPr>
                <w:sz w:val="20"/>
                <w:szCs w:val="20"/>
                <w:color w:val="auto"/>
              </w:rPr>
            </w:pPr>
            <w:r>
              <w:rPr>
                <w:rFonts w:ascii="Arial" w:cs="Arial" w:eastAsia="Arial" w:hAnsi="Arial"/>
                <w:sz w:val="18"/>
                <w:szCs w:val="18"/>
                <w:color w:val="auto"/>
                <w:w w:val="98"/>
              </w:rPr>
              <w:t>3.125%</w:t>
            </w:r>
          </w:p>
        </w:tc>
        <w:tc>
          <w:tcPr>
            <w:tcW w:w="3200" w:type="dxa"/>
            <w:vAlign w:val="bottom"/>
            <w:gridSpan w:val="2"/>
          </w:tcPr>
          <w:p>
            <w:pPr>
              <w:ind w:left="40"/>
              <w:spacing w:after="0" w:line="176" w:lineRule="exact"/>
              <w:rPr>
                <w:sz w:val="20"/>
                <w:szCs w:val="20"/>
                <w:color w:val="auto"/>
              </w:rPr>
            </w:pPr>
            <w:r>
              <w:rPr>
                <w:rFonts w:ascii="Arial" w:cs="Arial" w:eastAsia="Arial" w:hAnsi="Arial"/>
                <w:sz w:val="18"/>
                <w:szCs w:val="18"/>
                <w:color w:val="auto"/>
              </w:rPr>
              <w:t>Convertible Senior Notes due May</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OEM</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Original Equipment Manufacturer</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2032, settled August 2021</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178"/>
        </w:trPr>
        <w:tc>
          <w:tcPr>
            <w:tcW w:w="460" w:type="dxa"/>
            <w:vAlign w:val="bottom"/>
            <w:shd w:val="clear" w:color="auto" w:fill="DBDBDB"/>
          </w:tcPr>
          <w:p>
            <w:pPr>
              <w:ind w:left="20"/>
              <w:spacing w:after="0" w:line="177" w:lineRule="exact"/>
              <w:rPr>
                <w:sz w:val="20"/>
                <w:szCs w:val="20"/>
                <w:color w:val="auto"/>
              </w:rPr>
            </w:pPr>
            <w:r>
              <w:rPr>
                <w:rFonts w:ascii="Arial" w:cs="Arial" w:eastAsia="Arial" w:hAnsi="Arial"/>
                <w:sz w:val="18"/>
                <w:szCs w:val="18"/>
                <w:color w:val="auto"/>
              </w:rPr>
              <w:t>2041</w:t>
            </w:r>
          </w:p>
        </w:tc>
        <w:tc>
          <w:tcPr>
            <w:tcW w:w="1200" w:type="dxa"/>
            <w:vAlign w:val="bottom"/>
            <w:shd w:val="clear" w:color="auto" w:fill="DBDBDB"/>
          </w:tcPr>
          <w:p>
            <w:pPr>
              <w:ind w:left="20"/>
              <w:spacing w:after="0" w:line="177" w:lineRule="exact"/>
              <w:rPr>
                <w:sz w:val="20"/>
                <w:szCs w:val="20"/>
                <w:color w:val="auto"/>
              </w:rPr>
            </w:pPr>
            <w:r>
              <w:rPr>
                <w:rFonts w:ascii="Arial" w:cs="Arial" w:eastAsia="Arial" w:hAnsi="Arial"/>
                <w:sz w:val="18"/>
                <w:szCs w:val="18"/>
                <w:color w:val="auto"/>
              </w:rPr>
              <w:t>Notes</w:t>
            </w:r>
          </w:p>
        </w:tc>
        <w:tc>
          <w:tcPr>
            <w:tcW w:w="760" w:type="dxa"/>
            <w:vAlign w:val="bottom"/>
            <w:shd w:val="clear" w:color="auto" w:fill="DBDBDB"/>
          </w:tcPr>
          <w:p>
            <w:pPr>
              <w:ind w:left="140"/>
              <w:spacing w:after="0" w:line="177" w:lineRule="exact"/>
              <w:rPr>
                <w:sz w:val="20"/>
                <w:szCs w:val="20"/>
                <w:color w:val="auto"/>
              </w:rPr>
            </w:pPr>
            <w:r>
              <w:rPr>
                <w:rFonts w:ascii="Arial" w:cs="Arial" w:eastAsia="Arial" w:hAnsi="Arial"/>
                <w:sz w:val="18"/>
                <w:szCs w:val="18"/>
                <w:color w:val="auto"/>
                <w:w w:val="98"/>
              </w:rPr>
              <w:t>3.366%</w:t>
            </w:r>
          </w:p>
        </w:tc>
        <w:tc>
          <w:tcPr>
            <w:tcW w:w="3200" w:type="dxa"/>
            <w:vAlign w:val="bottom"/>
            <w:gridSpan w:val="2"/>
            <w:shd w:val="clear" w:color="auto" w:fill="DBDBDB"/>
          </w:tcPr>
          <w:p>
            <w:pPr>
              <w:ind w:left="40"/>
              <w:spacing w:after="0" w:line="177" w:lineRule="exact"/>
              <w:rPr>
                <w:sz w:val="20"/>
                <w:szCs w:val="20"/>
                <w:color w:val="auto"/>
              </w:rPr>
            </w:pPr>
            <w:r>
              <w:rPr>
                <w:rFonts w:ascii="Arial" w:cs="Arial" w:eastAsia="Arial" w:hAnsi="Arial"/>
                <w:sz w:val="18"/>
                <w:szCs w:val="18"/>
                <w:color w:val="auto"/>
              </w:rPr>
              <w:t>Senior Notes due November 2041</w:t>
            </w:r>
          </w:p>
        </w:tc>
        <w:tc>
          <w:tcPr>
            <w:tcW w:w="156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rPr>
              <w:t>PCIe</w:t>
            </w:r>
          </w:p>
        </w:tc>
        <w:tc>
          <w:tcPr>
            <w:tcW w:w="4060" w:type="dxa"/>
            <w:vAlign w:val="bottom"/>
            <w:shd w:val="clear" w:color="auto" w:fill="DBDBDB"/>
          </w:tcPr>
          <w:p>
            <w:pPr>
              <w:ind w:left="240"/>
              <w:spacing w:after="0" w:line="177" w:lineRule="exact"/>
              <w:rPr>
                <w:sz w:val="20"/>
                <w:szCs w:val="20"/>
                <w:color w:val="auto"/>
              </w:rPr>
            </w:pPr>
            <w:r>
              <w:rPr>
                <w:rFonts w:ascii="Arial" w:cs="Arial" w:eastAsia="Arial" w:hAnsi="Arial"/>
                <w:sz w:val="18"/>
                <w:szCs w:val="18"/>
                <w:color w:val="auto"/>
              </w:rPr>
              <w:t>High-speed motherboard connection for</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760" w:type="dxa"/>
            <w:vAlign w:val="bottom"/>
            <w:shd w:val="clear" w:color="auto" w:fill="DBDBDB"/>
          </w:tcPr>
          <w:p>
            <w:pPr>
              <w:spacing w:after="0"/>
              <w:rPr>
                <w:sz w:val="21"/>
                <w:szCs w:val="21"/>
                <w:color w:val="auto"/>
              </w:rPr>
            </w:pPr>
          </w:p>
        </w:tc>
        <w:tc>
          <w:tcPr>
            <w:tcW w:w="3080" w:type="dxa"/>
            <w:vAlign w:val="bottom"/>
            <w:shd w:val="clear" w:color="auto" w:fill="DBDBDB"/>
          </w:tcPr>
          <w:p>
            <w:pPr>
              <w:spacing w:after="0"/>
              <w:rPr>
                <w:sz w:val="21"/>
                <w:szCs w:val="21"/>
                <w:color w:val="auto"/>
              </w:rPr>
            </w:pPr>
          </w:p>
        </w:tc>
        <w:tc>
          <w:tcPr>
            <w:tcW w:w="120" w:type="dxa"/>
            <w:vAlign w:val="bottom"/>
            <w:shd w:val="clear" w:color="auto" w:fill="DBDBDB"/>
          </w:tcPr>
          <w:p>
            <w:pPr>
              <w:spacing w:after="0"/>
              <w:rPr>
                <w:sz w:val="21"/>
                <w:szCs w:val="21"/>
                <w:color w:val="auto"/>
              </w:rPr>
            </w:pP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peripheral devices such as storage drives</w:t>
            </w:r>
          </w:p>
        </w:tc>
      </w:tr>
      <w:tr>
        <w:trPr>
          <w:trHeight w:val="230"/>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2051 Notes</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3.477% Senior Notes due November 2051</w:t>
            </w:r>
          </w:p>
        </w:tc>
        <w:tc>
          <w:tcPr>
            <w:tcW w:w="1560" w:type="dxa"/>
            <w:vAlign w:val="bottom"/>
          </w:tcPr>
          <w:p>
            <w:pPr>
              <w:spacing w:after="0"/>
              <w:rPr>
                <w:sz w:val="20"/>
                <w:szCs w:val="20"/>
                <w:color w:val="auto"/>
              </w:rPr>
            </w:pPr>
            <w:r>
              <w:rPr>
                <w:rFonts w:ascii="Arial" w:cs="Arial" w:eastAsia="Arial" w:hAnsi="Arial"/>
                <w:sz w:val="18"/>
                <w:szCs w:val="18"/>
                <w:color w:val="auto"/>
              </w:rPr>
              <w:t>Qimonda</w:t>
            </w:r>
          </w:p>
        </w:tc>
        <w:tc>
          <w:tcPr>
            <w:tcW w:w="4060" w:type="dxa"/>
            <w:vAlign w:val="bottom"/>
          </w:tcPr>
          <w:p>
            <w:pPr>
              <w:ind w:left="240"/>
              <w:spacing w:after="0"/>
              <w:rPr>
                <w:sz w:val="20"/>
                <w:szCs w:val="20"/>
                <w:color w:val="auto"/>
              </w:rPr>
            </w:pPr>
            <w:r>
              <w:rPr>
                <w:rFonts w:ascii="Arial" w:cs="Arial" w:eastAsia="Arial" w:hAnsi="Arial"/>
                <w:sz w:val="18"/>
                <w:szCs w:val="18"/>
                <w:color w:val="auto"/>
              </w:rPr>
              <w:t>Qimonda AG</w:t>
            </w:r>
          </w:p>
        </w:tc>
      </w:tr>
      <w:tr>
        <w:trPr>
          <w:trHeight w:val="229"/>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AI</w:t>
            </w:r>
          </w:p>
        </w:tc>
        <w:tc>
          <w:tcPr>
            <w:tcW w:w="1200" w:type="dxa"/>
            <w:vAlign w:val="bottom"/>
            <w:shd w:val="clear" w:color="auto" w:fill="DBDBDB"/>
          </w:tcPr>
          <w:p>
            <w:pPr>
              <w:spacing w:after="0"/>
              <w:rPr>
                <w:sz w:val="19"/>
                <w:szCs w:val="19"/>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Artificial Intelligence</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QLC</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Quad-Level Cell (four bits per cell)</w:t>
            </w:r>
          </w:p>
        </w:tc>
      </w:tr>
      <w:tr>
        <w:trPr>
          <w:trHeight w:val="176"/>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DDR</w:t>
            </w:r>
          </w:p>
        </w:tc>
        <w:tc>
          <w:tcPr>
            <w:tcW w:w="1200" w:type="dxa"/>
            <w:vAlign w:val="bottom"/>
          </w:tcPr>
          <w:p>
            <w:pPr>
              <w:spacing w:after="0"/>
              <w:rPr>
                <w:sz w:val="15"/>
                <w:szCs w:val="15"/>
                <w:color w:val="auto"/>
              </w:rPr>
            </w:pP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Double Data Rate DRAM</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Revolving Credit</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$2.5 billion Revolving Credit Facility due May</w:t>
            </w: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Facility</w:t>
            </w:r>
          </w:p>
        </w:tc>
        <w:tc>
          <w:tcPr>
            <w:tcW w:w="4060" w:type="dxa"/>
            <w:vAlign w:val="bottom"/>
          </w:tcPr>
          <w:p>
            <w:pPr>
              <w:ind w:left="240"/>
              <w:spacing w:after="0"/>
              <w:rPr>
                <w:sz w:val="20"/>
                <w:szCs w:val="20"/>
                <w:color w:val="auto"/>
              </w:rPr>
            </w:pPr>
            <w:r>
              <w:rPr>
                <w:rFonts w:ascii="Arial" w:cs="Arial" w:eastAsia="Arial" w:hAnsi="Arial"/>
                <w:sz w:val="18"/>
                <w:szCs w:val="18"/>
                <w:color w:val="auto"/>
              </w:rPr>
              <w:t>2026</w:t>
            </w:r>
          </w:p>
        </w:tc>
      </w:tr>
      <w:tr>
        <w:trPr>
          <w:trHeight w:val="178"/>
        </w:trPr>
        <w:tc>
          <w:tcPr>
            <w:tcW w:w="1660" w:type="dxa"/>
            <w:vAlign w:val="bottom"/>
            <w:gridSpan w:val="2"/>
            <w:shd w:val="clear" w:color="auto" w:fill="DBDBDB"/>
          </w:tcPr>
          <w:p>
            <w:pPr>
              <w:ind w:left="20"/>
              <w:spacing w:after="0" w:line="177" w:lineRule="exact"/>
              <w:rPr>
                <w:sz w:val="20"/>
                <w:szCs w:val="20"/>
                <w:color w:val="auto"/>
              </w:rPr>
            </w:pPr>
            <w:r>
              <w:rPr>
                <w:rFonts w:ascii="Arial" w:cs="Arial" w:eastAsia="Arial" w:hAnsi="Arial"/>
                <w:sz w:val="18"/>
                <w:szCs w:val="18"/>
                <w:color w:val="auto"/>
              </w:rPr>
              <w:t>EBITDA</w:t>
            </w:r>
          </w:p>
        </w:tc>
        <w:tc>
          <w:tcPr>
            <w:tcW w:w="3960" w:type="dxa"/>
            <w:vAlign w:val="bottom"/>
            <w:gridSpan w:val="3"/>
            <w:shd w:val="clear" w:color="auto" w:fill="DBDBDB"/>
          </w:tcPr>
          <w:p>
            <w:pPr>
              <w:ind w:left="140"/>
              <w:spacing w:after="0" w:line="177" w:lineRule="exact"/>
              <w:rPr>
                <w:sz w:val="20"/>
                <w:szCs w:val="20"/>
                <w:color w:val="auto"/>
              </w:rPr>
            </w:pPr>
            <w:r>
              <w:rPr>
                <w:rFonts w:ascii="Arial" w:cs="Arial" w:eastAsia="Arial" w:hAnsi="Arial"/>
                <w:sz w:val="18"/>
                <w:szCs w:val="18"/>
                <w:color w:val="auto"/>
              </w:rPr>
              <w:t>Earnings before interest, taxes, depreciation,</w:t>
            </w:r>
          </w:p>
        </w:tc>
        <w:tc>
          <w:tcPr>
            <w:tcW w:w="1560" w:type="dxa"/>
            <w:vAlign w:val="bottom"/>
            <w:shd w:val="clear" w:color="auto" w:fill="DBDBDB"/>
          </w:tcPr>
          <w:p>
            <w:pPr>
              <w:spacing w:after="0" w:line="177" w:lineRule="exact"/>
              <w:rPr>
                <w:sz w:val="20"/>
                <w:szCs w:val="20"/>
                <w:color w:val="auto"/>
              </w:rPr>
            </w:pPr>
            <w:r>
              <w:rPr>
                <w:rFonts w:ascii="Arial" w:cs="Arial" w:eastAsia="Arial" w:hAnsi="Arial"/>
                <w:sz w:val="18"/>
                <w:szCs w:val="18"/>
                <w:color w:val="auto"/>
              </w:rPr>
              <w:t>SATA</w:t>
            </w:r>
          </w:p>
        </w:tc>
        <w:tc>
          <w:tcPr>
            <w:tcW w:w="4060" w:type="dxa"/>
            <w:vAlign w:val="bottom"/>
            <w:shd w:val="clear" w:color="auto" w:fill="DBDBDB"/>
          </w:tcPr>
          <w:p>
            <w:pPr>
              <w:ind w:left="240"/>
              <w:spacing w:after="0" w:line="177" w:lineRule="exact"/>
              <w:rPr>
                <w:sz w:val="20"/>
                <w:szCs w:val="20"/>
                <w:color w:val="auto"/>
              </w:rPr>
            </w:pPr>
            <w:r>
              <w:rPr>
                <w:rFonts w:ascii="Arial" w:cs="Arial" w:eastAsia="Arial" w:hAnsi="Arial"/>
                <w:sz w:val="18"/>
                <w:szCs w:val="18"/>
                <w:color w:val="auto"/>
              </w:rPr>
              <w:t>Hardware interface for connecting to storage</w:t>
            </w:r>
          </w:p>
        </w:tc>
      </w:tr>
      <w:tr>
        <w:trPr>
          <w:trHeight w:val="243"/>
        </w:trPr>
        <w:tc>
          <w:tcPr>
            <w:tcW w:w="460" w:type="dxa"/>
            <w:vAlign w:val="bottom"/>
            <w:shd w:val="clear" w:color="auto" w:fill="DBDBDB"/>
          </w:tcPr>
          <w:p>
            <w:pPr>
              <w:spacing w:after="0"/>
              <w:rPr>
                <w:sz w:val="21"/>
                <w:szCs w:val="21"/>
                <w:color w:val="auto"/>
              </w:rPr>
            </w:pPr>
          </w:p>
        </w:tc>
        <w:tc>
          <w:tcPr>
            <w:tcW w:w="1200" w:type="dxa"/>
            <w:vAlign w:val="bottom"/>
            <w:shd w:val="clear" w:color="auto" w:fill="DBDBDB"/>
          </w:tcPr>
          <w:p>
            <w:pPr>
              <w:spacing w:after="0"/>
              <w:rPr>
                <w:sz w:val="21"/>
                <w:szCs w:val="21"/>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and amortization</w:t>
            </w:r>
          </w:p>
        </w:tc>
        <w:tc>
          <w:tcPr>
            <w:tcW w:w="1560" w:type="dxa"/>
            <w:vAlign w:val="bottom"/>
            <w:shd w:val="clear" w:color="auto" w:fill="DBDBDB"/>
          </w:tcPr>
          <w:p>
            <w:pPr>
              <w:spacing w:after="0"/>
              <w:rPr>
                <w:sz w:val="21"/>
                <w:szCs w:val="21"/>
                <w:color w:val="auto"/>
              </w:rPr>
            </w:pP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devices such as hard disk drives and SSDs</w:t>
            </w:r>
          </w:p>
        </w:tc>
      </w:tr>
      <w:tr>
        <w:trPr>
          <w:trHeight w:val="230"/>
        </w:trPr>
        <w:tc>
          <w:tcPr>
            <w:tcW w:w="460" w:type="dxa"/>
            <w:vAlign w:val="bottom"/>
          </w:tcPr>
          <w:p>
            <w:pPr>
              <w:ind w:left="20"/>
              <w:spacing w:after="0"/>
              <w:rPr>
                <w:sz w:val="20"/>
                <w:szCs w:val="20"/>
                <w:color w:val="auto"/>
              </w:rPr>
            </w:pPr>
            <w:r>
              <w:rPr>
                <w:rFonts w:ascii="Arial" w:cs="Arial" w:eastAsia="Arial" w:hAnsi="Arial"/>
                <w:sz w:val="18"/>
                <w:szCs w:val="18"/>
                <w:color w:val="auto"/>
              </w:rPr>
              <w:t>ESG</w:t>
            </w:r>
          </w:p>
        </w:tc>
        <w:tc>
          <w:tcPr>
            <w:tcW w:w="120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Environmental, Social, and Governance</w:t>
            </w:r>
          </w:p>
        </w:tc>
        <w:tc>
          <w:tcPr>
            <w:tcW w:w="1560" w:type="dxa"/>
            <w:vAlign w:val="bottom"/>
          </w:tcPr>
          <w:p>
            <w:pPr>
              <w:spacing w:after="0"/>
              <w:rPr>
                <w:sz w:val="20"/>
                <w:szCs w:val="20"/>
                <w:color w:val="auto"/>
              </w:rPr>
            </w:pPr>
            <w:r>
              <w:rPr>
                <w:rFonts w:ascii="Arial" w:cs="Arial" w:eastAsia="Arial" w:hAnsi="Arial"/>
                <w:sz w:val="18"/>
                <w:szCs w:val="18"/>
                <w:color w:val="auto"/>
              </w:rPr>
              <w:t>SLC</w:t>
            </w:r>
          </w:p>
        </w:tc>
        <w:tc>
          <w:tcPr>
            <w:tcW w:w="4060" w:type="dxa"/>
            <w:vAlign w:val="bottom"/>
          </w:tcPr>
          <w:p>
            <w:pPr>
              <w:ind w:left="240"/>
              <w:spacing w:after="0"/>
              <w:rPr>
                <w:sz w:val="20"/>
                <w:szCs w:val="20"/>
                <w:color w:val="auto"/>
              </w:rPr>
            </w:pPr>
            <w:r>
              <w:rPr>
                <w:rFonts w:ascii="Arial" w:cs="Arial" w:eastAsia="Arial" w:hAnsi="Arial"/>
                <w:sz w:val="18"/>
                <w:szCs w:val="18"/>
                <w:color w:val="auto"/>
              </w:rPr>
              <w:t>Single-Level Cell (one bit per cell)</w:t>
            </w:r>
          </w:p>
        </w:tc>
      </w:tr>
      <w:tr>
        <w:trPr>
          <w:trHeight w:val="230"/>
        </w:trPr>
        <w:tc>
          <w:tcPr>
            <w:tcW w:w="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EUV</w:t>
            </w:r>
          </w:p>
        </w:tc>
        <w:tc>
          <w:tcPr>
            <w:tcW w:w="1200" w:type="dxa"/>
            <w:vAlign w:val="bottom"/>
            <w:shd w:val="clear" w:color="auto" w:fill="DBDBDB"/>
          </w:tcPr>
          <w:p>
            <w:pPr>
              <w:spacing w:after="0"/>
              <w:rPr>
                <w:sz w:val="19"/>
                <w:szCs w:val="19"/>
                <w:color w:val="auto"/>
              </w:rPr>
            </w:pP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Extreme ultraviolet lithography</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SOFR</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Secured Overnight Financing Rate</w:t>
            </w:r>
          </w:p>
        </w:tc>
      </w:tr>
      <w:tr>
        <w:trPr>
          <w:trHeight w:val="175"/>
        </w:trPr>
        <w:tc>
          <w:tcPr>
            <w:tcW w:w="16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Extinguished 2024</w:t>
            </w: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Senior Term Loan A due October 2024, repaid</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SSD</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Solid State Drive</w:t>
            </w:r>
          </w:p>
        </w:tc>
      </w:tr>
      <w:tr>
        <w:trPr>
          <w:trHeight w:val="241"/>
        </w:trPr>
        <w:tc>
          <w:tcPr>
            <w:tcW w:w="1660" w:type="dxa"/>
            <w:vAlign w:val="bottom"/>
            <w:gridSpan w:val="2"/>
          </w:tcPr>
          <w:p>
            <w:pPr>
              <w:ind w:left="20"/>
              <w:spacing w:after="0"/>
              <w:rPr>
                <w:sz w:val="20"/>
                <w:szCs w:val="20"/>
                <w:color w:val="auto"/>
              </w:rPr>
            </w:pPr>
            <w:r>
              <w:rPr>
                <w:rFonts w:ascii="Arial" w:cs="Arial" w:eastAsia="Arial" w:hAnsi="Arial"/>
                <w:sz w:val="18"/>
                <w:szCs w:val="18"/>
                <w:color w:val="auto"/>
              </w:rPr>
              <w:t>Term Loan A</w:t>
            </w: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May 2021</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32"/>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GDDR</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Graphics Double Data Rate</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TI</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Texas Instruments Incorporated</w:t>
            </w:r>
          </w:p>
        </w:tc>
      </w:tr>
      <w:tr>
        <w:trPr>
          <w:trHeight w:val="175"/>
        </w:trPr>
        <w:tc>
          <w:tcPr>
            <w:tcW w:w="460" w:type="dxa"/>
            <w:vAlign w:val="bottom"/>
          </w:tcPr>
          <w:p>
            <w:pPr>
              <w:ind w:left="20"/>
              <w:spacing w:after="0" w:line="176" w:lineRule="exact"/>
              <w:rPr>
                <w:sz w:val="20"/>
                <w:szCs w:val="20"/>
                <w:color w:val="auto"/>
              </w:rPr>
            </w:pPr>
            <w:r>
              <w:rPr>
                <w:rFonts w:ascii="Arial" w:cs="Arial" w:eastAsia="Arial" w:hAnsi="Arial"/>
                <w:sz w:val="18"/>
                <w:szCs w:val="18"/>
                <w:color w:val="auto"/>
              </w:rPr>
              <w:t>HBM</w:t>
            </w:r>
          </w:p>
        </w:tc>
        <w:tc>
          <w:tcPr>
            <w:tcW w:w="1200" w:type="dxa"/>
            <w:vAlign w:val="bottom"/>
          </w:tcPr>
          <w:p>
            <w:pPr>
              <w:spacing w:after="0"/>
              <w:rPr>
                <w:sz w:val="15"/>
                <w:szCs w:val="15"/>
                <w:color w:val="auto"/>
              </w:rPr>
            </w:pP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High-bandwidth memory, a stacked DRAM</w:t>
            </w:r>
          </w:p>
        </w:tc>
        <w:tc>
          <w:tcPr>
            <w:tcW w:w="1560" w:type="dxa"/>
            <w:vAlign w:val="bottom"/>
          </w:tcPr>
          <w:p>
            <w:pPr>
              <w:spacing w:after="0" w:line="176" w:lineRule="exact"/>
              <w:rPr>
                <w:sz w:val="20"/>
                <w:szCs w:val="20"/>
                <w:color w:val="auto"/>
              </w:rPr>
            </w:pPr>
            <w:r>
              <w:rPr>
                <w:rFonts w:ascii="Arial" w:cs="Arial" w:eastAsia="Arial" w:hAnsi="Arial"/>
                <w:sz w:val="18"/>
                <w:szCs w:val="18"/>
                <w:color w:val="auto"/>
              </w:rPr>
              <w:t>TLC</w:t>
            </w:r>
          </w:p>
        </w:tc>
        <w:tc>
          <w:tcPr>
            <w:tcW w:w="4060" w:type="dxa"/>
            <w:vAlign w:val="bottom"/>
          </w:tcPr>
          <w:p>
            <w:pPr>
              <w:ind w:left="240"/>
              <w:spacing w:after="0" w:line="176" w:lineRule="exact"/>
              <w:rPr>
                <w:sz w:val="20"/>
                <w:szCs w:val="20"/>
                <w:color w:val="auto"/>
              </w:rPr>
            </w:pPr>
            <w:r>
              <w:rPr>
                <w:rFonts w:ascii="Arial" w:cs="Arial" w:eastAsia="Arial" w:hAnsi="Arial"/>
                <w:sz w:val="18"/>
                <w:szCs w:val="18"/>
                <w:color w:val="auto"/>
              </w:rPr>
              <w:t>Triple-Level Cell (three bits per cell)</w:t>
            </w:r>
          </w:p>
        </w:tc>
      </w:tr>
      <w:tr>
        <w:trPr>
          <w:trHeight w:val="175"/>
        </w:trPr>
        <w:tc>
          <w:tcPr>
            <w:tcW w:w="4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960" w:type="dxa"/>
            <w:vAlign w:val="bottom"/>
            <w:gridSpan w:val="3"/>
          </w:tcPr>
          <w:p>
            <w:pPr>
              <w:ind w:left="140"/>
              <w:spacing w:after="0" w:line="176" w:lineRule="exact"/>
              <w:rPr>
                <w:sz w:val="20"/>
                <w:szCs w:val="20"/>
                <w:color w:val="auto"/>
              </w:rPr>
            </w:pPr>
            <w:r>
              <w:rPr>
                <w:rFonts w:ascii="Arial" w:cs="Arial" w:eastAsia="Arial" w:hAnsi="Arial"/>
                <w:sz w:val="18"/>
                <w:szCs w:val="18"/>
                <w:color w:val="auto"/>
              </w:rPr>
              <w:t>technology optimized for memory-bandwidth</w:t>
            </w:r>
          </w:p>
        </w:tc>
        <w:tc>
          <w:tcPr>
            <w:tcW w:w="1560" w:type="dxa"/>
            <w:vAlign w:val="bottom"/>
          </w:tcPr>
          <w:p>
            <w:pPr>
              <w:spacing w:after="0"/>
              <w:rPr>
                <w:sz w:val="15"/>
                <w:szCs w:val="15"/>
                <w:color w:val="auto"/>
              </w:rPr>
            </w:pPr>
          </w:p>
        </w:tc>
        <w:tc>
          <w:tcPr>
            <w:tcW w:w="4060" w:type="dxa"/>
            <w:vAlign w:val="bottom"/>
          </w:tcPr>
          <w:p>
            <w:pPr>
              <w:spacing w:after="0"/>
              <w:rPr>
                <w:sz w:val="15"/>
                <w:szCs w:val="15"/>
                <w:color w:val="auto"/>
              </w:rPr>
            </w:pPr>
          </w:p>
        </w:tc>
      </w:tr>
      <w:tr>
        <w:trPr>
          <w:trHeight w:val="241"/>
        </w:trPr>
        <w:tc>
          <w:tcPr>
            <w:tcW w:w="4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intensive applications</w:t>
            </w:r>
          </w:p>
        </w:tc>
        <w:tc>
          <w:tcPr>
            <w:tcW w:w="156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232"/>
        </w:trPr>
        <w:tc>
          <w:tcPr>
            <w:tcW w:w="166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HBM2E</w:t>
            </w:r>
          </w:p>
        </w:tc>
        <w:tc>
          <w:tcPr>
            <w:tcW w:w="3960" w:type="dxa"/>
            <w:vAlign w:val="bottom"/>
            <w:gridSpan w:val="3"/>
            <w:shd w:val="clear" w:color="auto" w:fill="DBDBDB"/>
          </w:tcPr>
          <w:p>
            <w:pPr>
              <w:ind w:left="140"/>
              <w:spacing w:after="0"/>
              <w:rPr>
                <w:sz w:val="20"/>
                <w:szCs w:val="20"/>
                <w:color w:val="auto"/>
              </w:rPr>
            </w:pPr>
            <w:r>
              <w:rPr>
                <w:rFonts w:ascii="Arial" w:cs="Arial" w:eastAsia="Arial" w:hAnsi="Arial"/>
                <w:sz w:val="18"/>
                <w:szCs w:val="18"/>
                <w:color w:val="auto"/>
              </w:rPr>
              <w:t>Second generation HBM</w:t>
            </w:r>
          </w:p>
        </w:tc>
        <w:tc>
          <w:tcPr>
            <w:tcW w:w="1560" w:type="dxa"/>
            <w:vAlign w:val="bottom"/>
            <w:shd w:val="clear" w:color="auto" w:fill="DBDBDB"/>
          </w:tcPr>
          <w:p>
            <w:pPr>
              <w:spacing w:after="0"/>
              <w:rPr>
                <w:sz w:val="20"/>
                <w:szCs w:val="20"/>
                <w:color w:val="auto"/>
              </w:rPr>
            </w:pPr>
            <w:r>
              <w:rPr>
                <w:rFonts w:ascii="Arial" w:cs="Arial" w:eastAsia="Arial" w:hAnsi="Arial"/>
                <w:sz w:val="18"/>
                <w:szCs w:val="18"/>
                <w:color w:val="auto"/>
              </w:rPr>
              <w:t>UFS</w:t>
            </w:r>
          </w:p>
        </w:tc>
        <w:tc>
          <w:tcPr>
            <w:tcW w:w="4060" w:type="dxa"/>
            <w:vAlign w:val="bottom"/>
            <w:shd w:val="clear" w:color="auto" w:fill="DBDBDB"/>
          </w:tcPr>
          <w:p>
            <w:pPr>
              <w:ind w:left="240"/>
              <w:spacing w:after="0"/>
              <w:rPr>
                <w:sz w:val="20"/>
                <w:szCs w:val="20"/>
                <w:color w:val="auto"/>
              </w:rPr>
            </w:pPr>
            <w:r>
              <w:rPr>
                <w:rFonts w:ascii="Arial" w:cs="Arial" w:eastAsia="Arial" w:hAnsi="Arial"/>
                <w:sz w:val="18"/>
                <w:szCs w:val="18"/>
                <w:color w:val="auto"/>
              </w:rPr>
              <w:t>Universal Flash Storage</w:t>
            </w:r>
          </w:p>
        </w:tc>
      </w:tr>
      <w:tr>
        <w:trPr>
          <w:trHeight w:val="239"/>
        </w:trPr>
        <w:tc>
          <w:tcPr>
            <w:tcW w:w="460" w:type="dxa"/>
            <w:vAlign w:val="bottom"/>
          </w:tcPr>
          <w:p>
            <w:pPr>
              <w:ind w:left="20"/>
              <w:spacing w:after="0"/>
              <w:rPr>
                <w:sz w:val="20"/>
                <w:szCs w:val="20"/>
                <w:color w:val="auto"/>
              </w:rPr>
            </w:pPr>
            <w:r>
              <w:rPr>
                <w:rFonts w:ascii="Arial" w:cs="Arial" w:eastAsia="Arial" w:hAnsi="Arial"/>
                <w:sz w:val="18"/>
                <w:szCs w:val="18"/>
                <w:color w:val="auto"/>
                <w:w w:val="99"/>
              </w:rPr>
              <w:t>IMFT</w:t>
            </w:r>
          </w:p>
        </w:tc>
        <w:tc>
          <w:tcPr>
            <w:tcW w:w="120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Arial" w:cs="Arial" w:eastAsia="Arial" w:hAnsi="Arial"/>
                <w:sz w:val="18"/>
                <w:szCs w:val="18"/>
                <w:color w:val="auto"/>
              </w:rPr>
              <w:t>IM Flash Technologies, LLC</w:t>
            </w:r>
          </w:p>
        </w:tc>
        <w:tc>
          <w:tcPr>
            <w:tcW w:w="1560" w:type="dxa"/>
            <w:vAlign w:val="bottom"/>
          </w:tcPr>
          <w:p>
            <w:pPr>
              <w:spacing w:after="0"/>
              <w:rPr>
                <w:sz w:val="20"/>
                <w:szCs w:val="20"/>
                <w:color w:val="auto"/>
              </w:rPr>
            </w:pPr>
            <w:r>
              <w:rPr>
                <w:rFonts w:ascii="Arial" w:cs="Arial" w:eastAsia="Arial" w:hAnsi="Arial"/>
                <w:sz w:val="18"/>
                <w:szCs w:val="18"/>
                <w:color w:val="auto"/>
              </w:rPr>
              <w:t>uMCP</w:t>
            </w:r>
          </w:p>
        </w:tc>
        <w:tc>
          <w:tcPr>
            <w:tcW w:w="4060" w:type="dxa"/>
            <w:vAlign w:val="bottom"/>
          </w:tcPr>
          <w:p>
            <w:pPr>
              <w:ind w:left="240"/>
              <w:spacing w:after="0"/>
              <w:rPr>
                <w:sz w:val="20"/>
                <w:szCs w:val="20"/>
                <w:color w:val="auto"/>
              </w:rPr>
            </w:pPr>
            <w:r>
              <w:rPr>
                <w:rFonts w:ascii="Arial" w:cs="Arial" w:eastAsia="Arial" w:hAnsi="Arial"/>
                <w:sz w:val="18"/>
                <w:szCs w:val="18"/>
                <w:color w:val="auto"/>
              </w:rPr>
              <w:t>UFS-based MCP</w:t>
            </w:r>
          </w:p>
        </w:tc>
      </w:tr>
    </w:tbl>
    <w:p>
      <w:pPr>
        <w:spacing w:after="0" w:line="10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Micron, Crucial, any associated logos, and all other Micron trademarks are the property of Micron. Intel and 3D XPoint are trademarks of Intel Corporation or its subsidiaries. Other product names or trademarks that are not owned by Micron are for identification purposes only and may be the trademarks of their respective owners.</w:t>
      </w:r>
    </w:p>
    <w:p>
      <w:pPr>
        <w:spacing w:after="0" w:line="19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All period references are to our fiscal periods unless otherwise indicated. Our fiscal year is the 52 or 53-week period ending on the Thursday closest to August 31. Fiscal 2022 and 2021 contained 52 weeks and fiscal 2020 contained 53 weeks. Our fourth quarter of fiscal 2020 contained 14 weeks and all other fiscal quarters in the years presented contained 13 weeks.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Forward-Looking Statements</w:t>
      </w:r>
    </w:p>
    <w:p>
      <w:pPr>
        <w:spacing w:after="0" w:line="25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This Form 10-K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such as those made regarding plans to start ramping our 1ß DRAM in manufacturing; plans to implement EUV lithography; the impact of COVID-19 to our business; the expected decline in bit shipments and pricing for both DRAM and NAND in the first quarter of 2023; the expected decrease in our gross margin percentage in the first quarter of 2023; reductions in utilization of our manufacturing facilities; the impact of inflationary pressures on costs in the first quarter of 2023; potential increases in our effective tax rate; estimates of tax expense for 2023; the timing for construction and ramping of production for new memory manufacturing fabs in the United States; the receipt of government grants and investment tax credits, the sufficiency of our cash and investments; the payment of future cash dividends; capital spending in 2023; funding of sustainability-focused projects; and results of tax return examinations. Our actual results could differ materially from our historical results and those discussed in the forward-looking statements. Factors that could cause actual results to differ materially include, but are not limited to, those identified in “Part I – Item 1A. Risk Factors.”</w:t>
      </w:r>
    </w:p>
    <w:p>
      <w:pPr>
        <w:spacing w:after="0" w:line="339"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797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0"/>
          <w:szCs w:val="10"/>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 BUSINESS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w:t>
      </w:r>
    </w:p>
    <w:p>
      <w:pPr>
        <w:spacing w:after="0" w:line="25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research and development (“R&amp;D”), product engineering, human resources, procurement and supply chain. For our locations in Singapore and Taiwan, this is also a combination of bringing fabrication and back-end manufacturing together. We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21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face intense competition in the semiconductor memory and storage markets and to remain competitive we must continuously develop and implement new products and technologies and decrease manufacturing costs in spite of ongoing inflationary cost pressures.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Lehi, Utah Fab and 3D XPoint</w:t>
      </w:r>
    </w:p>
    <w:p>
      <w:pPr>
        <w:spacing w:after="0" w:line="24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0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In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We also recognized a charge of $49 million to cost of goods sold in 2021 to write down 3D XPoint inventory due to our decision to cease further development of this technology.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Impact of COVID-19 on Our Business</w:t>
      </w:r>
    </w:p>
    <w:p>
      <w:pPr>
        <w:spacing w:after="0" w:line="24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COVID-19 pandemic has had, and continues to have, a significant impact around the world, prompting governments and businesses to take measures such as restrictions on travel and business operations, temporary closures of businesses, and quarantine and shelter-in-place orders. The pandemic and efforts to address it have at times significantly curtailed global economic activity and caused volatility and disruption in global financial markets and may do so in the future. In addition, our workforce and operations, the operations of our customers, and those of our vendors and suppliers around the world have been impacted at times and may in the future be impacted by the pandemic and related measures to address it.</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Throughout the pandemic, we have implemented and updated our protocols and procedures in an effort to maintain a healthy and safe environment. We remain committed to the health and safety of our team members, contractors, suppliers, customers, distributors, and communities. We cannot predict how the pandemic or the steps we, our team members, government entities, suppliers, or customers take in response will ultimately impact our business, outlook, or results of operations.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Sales, Markets, and Products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Technologies</w:t>
      </w:r>
    </w:p>
    <w:p>
      <w:pPr>
        <w:spacing w:after="0" w:line="256"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product portfolio of memory and storage solutions, advanced solutions, and storage platforms is based on our high-performance semiconductor memory and storage technologies, including DRAM, NAND, and NOR. We sell our products into various markets through our business units in numerous forms, including components, modules, SSDs, managed NAND, MCPs, and wafers. Our system-level solutions, including SSDs and managed NAND, combine NAND, a controller, firmware, and in some cases DRAM.</w:t>
      </w:r>
    </w:p>
    <w:p>
      <w:pPr>
        <w:spacing w:after="0" w:line="203"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DRAM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DRAM products are dynamic random access memory semiconductor devices with low latency that provide high-speed data retrieval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variety of performance characteristics. DRAM products lose content when power is turned off (“volatile”) and are most commonly used in client, cloud server, enterprise, networking, graphics, industrial, and automotive markets. LPDRAM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6" w:lineRule="exact"/>
        <w:rPr>
          <w:sz w:val="20"/>
          <w:szCs w:val="20"/>
          <w:color w:val="auto"/>
        </w:rPr>
      </w:pPr>
    </w:p>
    <w:p>
      <w:pPr>
        <w:ind w:right="140"/>
        <w:spacing w:after="0" w:line="282" w:lineRule="auto"/>
        <w:rPr>
          <w:sz w:val="20"/>
          <w:szCs w:val="20"/>
          <w:color w:val="auto"/>
        </w:rPr>
      </w:pPr>
      <w:r>
        <w:rPr>
          <w:rFonts w:ascii="Arial" w:cs="Arial" w:eastAsia="Arial" w:hAnsi="Arial"/>
          <w:sz w:val="17"/>
          <w:szCs w:val="17"/>
          <w:b w:val="1"/>
          <w:bCs w:val="1"/>
          <w:i w:val="1"/>
          <w:iCs w:val="1"/>
          <w:color w:val="auto"/>
        </w:rPr>
        <w:t>NAND</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NAND products are non-volatile, re-writeable semiconductor storage devices that provide high-capacity, low-cost storage with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NOR</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NOR products are non-volatile re-writable semiconductor memory devices that provide fast read speeds. NOR is most commonly used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reliable code storage (e.g., boot, application, operating system, and execute-in-place code in an embedded system) and for frequently changing small data storage and is ideal for automotive, industrial, and consumer applications.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Products by Business Unit and Market</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 and Networking Business Unit (“CNBU”)</w:t>
      </w:r>
    </w:p>
    <w:p>
      <w:pPr>
        <w:spacing w:after="0" w:line="250"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CNBU includes memory products and solutions sold into client, cloud server, enterprise, graphics, and networking markets. CNBU reported revenue of $13.69 billion in 2022, $12.28 billion in 2021, and $9.18 billion in 2020. CNBU sales in 2022 consisted primarily of DRAM products produced on 1x, 1y, 1z, and 1α (1-alpha) technology nodes. In 2022, we ramped our industry-leading 1α DRAM node. Our newest node, 1ß (1-beta), is on track to ramp manufacturing of CNBU products in 2023.</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100"/>
        <w:spacing w:after="0"/>
        <w:rPr>
          <w:sz w:val="20"/>
          <w:szCs w:val="20"/>
          <w:color w:val="auto"/>
        </w:rPr>
      </w:pPr>
      <w:r>
        <w:rPr>
          <w:sz w:val="1"/>
          <w:szCs w:val="1"/>
          <w:color w:val="auto"/>
        </w:rPr>
        <w:drawing>
          <wp:inline distT="0" distB="0" distL="0" distR="0">
            <wp:extent cx="643255" cy="1803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0"/>
          <w:szCs w:val="10"/>
          <w:b w:val="1"/>
          <w:bCs w:val="1"/>
          <w:color w:val="auto"/>
        </w:rPr>
        <w:t xml:space="preserv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i w:val="1"/>
          <w:iCs w:val="1"/>
          <w:u w:val="single" w:color="auto"/>
          <w:color w:val="auto"/>
        </w:rPr>
        <w:t>Client</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client market in 2022 consisted primarily of DDR4, DDR5, LPDDR4, and LPDDR5 DRAM products.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sold to the client market support both commercial and consumer PC unit growth.</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u w:val="single" w:color="auto"/>
          <w:color w:val="auto"/>
        </w:rPr>
        <w:t>Cloud Server</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cloud market in 2022 consisted primarily of our DDR4 DRAM products. Additionally, we began high volume</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sales of our HBM2E product. Overall cloud growth continues to be driven by the shift of both infrastructure and workloads from on-premises to the cloud. Cloud-native workloads are drivers of growth through use-cases like intelligent edge devices capable of AI and augmented reality that store and access data in the cloud or rely on the cloud for compute capability. Cloud servers supporting AI and data-centric workloads require significantly increasing quantities of DRAM, HBM, and NAND as the task of turning data into insight becomes increasingly memory-centric. In 2022, we continued the enablement of DDR5 across the industry, especially with key cloud customers. The move to DDR5 memory enables an increase in memory bandwidth over DDR4. We expect that our new server DDR5 memory will be a key enabler of CPU core count growth and the bandwidth that DDR5 delivers will be central to unlocking overall server system performance gains for data-intensive workloads like AI and high-performance computing.</w:t>
      </w:r>
    </w:p>
    <w:p>
      <w:pPr>
        <w:spacing w:after="0" w:line="20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u w:val="single" w:color="auto"/>
          <w:color w:val="auto"/>
        </w:rPr>
        <w:t>Enterprise</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enterprise market in 2022 consisted primarily of our DDR4 and DDR5 DRAM products. In 2022, we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progress on our transition to DDR5, which nearly doubles bandwidth and reduces power consumption, and we are on track to support customers as they begin to introduce DDR5-enabled platforms in 2023. The enterprise market continues to grow beyond the mature OEM-sourced server consumption model with the further maturing of hybrid cloud and edge solutions as part of the digital transformation.</w:t>
      </w:r>
    </w:p>
    <w:p>
      <w:pPr>
        <w:spacing w:after="0" w:line="203"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u w:val="single" w:color="auto"/>
          <w:color w:val="auto"/>
        </w:rPr>
        <w:t>Graphics</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graphics market in 2022 consisted primarily of GDDR6 graphics products. The graphics market is driven by the</w:t>
      </w:r>
      <w:r>
        <w:rPr>
          <w:rFonts w:ascii="Arial" w:cs="Arial" w:eastAsia="Arial" w:hAnsi="Arial"/>
          <w:sz w:val="18"/>
          <w:szCs w:val="18"/>
          <w:i w:val="1"/>
          <w:iCs w:val="1"/>
          <w:color w:val="auto"/>
        </w:rPr>
        <w:t xml:space="preserve"> </w:t>
      </w:r>
      <w:r>
        <w:rPr>
          <w:rFonts w:ascii="Arial" w:cs="Arial" w:eastAsia="Arial" w:hAnsi="Arial"/>
          <w:sz w:val="18"/>
          <w:szCs w:val="18"/>
          <w:color w:val="auto"/>
        </w:rPr>
        <w:t>need for high-performance and HBM solutions. Our GDDR6 and GDDR6X DRAM graphics products are incorporated into gaming consoles, PC graphics cards, and graphics processing unit-based data center solutions, which are the driving force behind applications such as AI, virtual and augmented reality, 4K and 8K gaming, and professional design. In 2022, we announced volume shipments of our new 1z 16Gb GDDR6X, which features twice the capacity and up to 15% higher performance than the previous 1y generation. The 24Gb/s peak bandwidth capability of GDDR6X is made possible by our groundbreaking PAM4 signal transmission technology.</w:t>
      </w:r>
    </w:p>
    <w:p>
      <w:pPr>
        <w:spacing w:after="0" w:line="209"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u w:val="single" w:color="auto"/>
          <w:color w:val="auto"/>
        </w:rPr>
        <w:t>Networking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CNBU sales to the networking market in 2022 consisted primarily of DDR4 and DDR3 DRAM products. In 2022, demand was</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5G infrastructure deployments, data center networking growth, and increasing data transfer requirements across multiple industries.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p>
    <w:p>
      <w:pPr>
        <w:spacing w:after="0" w:line="25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MBU includes memory products sold into smartphone and other mobile-device markets including discrete NAND, DRAM, and managed NAND products. MBU managed NAND includes embedded multi-media controller (“e.MMC”) and universal flash storage (“UFS”) solutions, each of which combine high-capacity NAND with a high-speed controller and firmware, and eMCP/uMCP products, which combine an e.MMC/UFS solution with LPDRAM. MBU reported revenue of $7.26 billion in 2022, $ 7.20 billion in 2021, and $5.70 billion in 2020. In 2022, we continued to deliver key mobile customer qualifications and strong mobile product ramps on our leading nodes. We expanded our 1α LPDRAM leadership with our 1α LPDDR5. For the fourth quarter of 2022, 176-layer NAND comprised approximately 95% of our mobile NAND bit shipments and we began volume production of the world’s first 232-layer NAND.</w:t>
      </w:r>
    </w:p>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i w:val="1"/>
          <w:iCs w:val="1"/>
          <w:u w:val="single" w:color="auto"/>
          <w:color w:val="auto"/>
        </w:rPr>
        <w:t>Smartphone</w:t>
      </w:r>
      <w:r>
        <w:rPr>
          <w:rFonts w:ascii="Arial" w:cs="Arial" w:eastAsia="Arial" w:hAnsi="Arial"/>
          <w:sz w:val="18"/>
          <w:szCs w:val="18"/>
          <w:i w:val="1"/>
          <w:iCs w:val="1"/>
          <w:color w:val="auto"/>
        </w:rPr>
        <w:t xml:space="preserve">: </w:t>
      </w:r>
      <w:r>
        <w:rPr>
          <w:rFonts w:ascii="Arial" w:cs="Arial" w:eastAsia="Arial" w:hAnsi="Arial"/>
          <w:sz w:val="18"/>
          <w:szCs w:val="18"/>
          <w:color w:val="auto"/>
        </w:rPr>
        <w:t>MBU sales to the smartphone market in 2022 consisted primarily of LPDDR4, LPDDR5, and managed NAND solutions. 5G-enabled phones require higher DRAM and NAND content per device and the market penetration rate for 5G smartphones continued to increase. Our smartphone products are utilized by OEMs to enable AI, augmented reality, and life-like virtual reality capabilities into high-end phones, including facial and voice recognition, real-time translation, fast image search, and scene detection.</w:t>
      </w:r>
    </w:p>
    <w:p>
      <w:pPr>
        <w:spacing w:after="0" w:line="2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i w:val="1"/>
          <w:iCs w:val="1"/>
          <w:u w:val="single" w:color="auto"/>
          <w:color w:val="auto"/>
        </w:rPr>
        <w:t>Other</w:t>
      </w:r>
      <w:r>
        <w:rPr>
          <w:rFonts w:ascii="Arial" w:cs="Arial" w:eastAsia="Arial" w:hAnsi="Arial"/>
          <w:sz w:val="18"/>
          <w:szCs w:val="18"/>
          <w:i w:val="1"/>
          <w:iCs w:val="1"/>
          <w:color w:val="auto"/>
        </w:rPr>
        <w:t xml:space="preserve">: </w:t>
      </w:r>
      <w:r>
        <w:rPr>
          <w:rFonts w:ascii="Arial" w:cs="Arial" w:eastAsia="Arial" w:hAnsi="Arial"/>
          <w:sz w:val="18"/>
          <w:szCs w:val="18"/>
          <w:color w:val="auto"/>
        </w:rPr>
        <w:t>MBU sales in 2022 also included products sold into the feature and disposable phone markets, mobile PC, and tablet markets. Sales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consisted of LPDDR4 and managed NAND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EBU includes memory and storage products sold into industrial, automotive, and consumer markets and includes discrete and module DRAM, discrete NAND, managed NAND, SSDs, and NOR. EBU reported revenue of $5.24 billion in 2022, $4.21 billion in 2021, and $2.76 billion in 2020. The embedded market has traditionally been characterized by long life-cycle DRAM and non-volatile products manufactured on mature process technologies. Strong trends of digitization, connectivity, and intelligence in every device, are driving increasing demand in embedded markets for memory and storage products that incorporate leading process technologies. Our embedded products enable edge devices to store, connect, and transform information in the internet of things (“IoT”) market and are utilized in a diverse set of applications in the automotive, industrial, and consumer markets.</w:t>
      </w:r>
    </w:p>
    <w:p>
      <w:pPr>
        <w:spacing w:after="0" w:line="21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u w:val="single" w:color="auto"/>
          <w:color w:val="auto"/>
        </w:rPr>
        <w:t>Industrial</w:t>
      </w:r>
      <w:r>
        <w:rPr>
          <w:rFonts w:ascii="Arial" w:cs="Arial" w:eastAsia="Arial" w:hAnsi="Arial"/>
          <w:sz w:val="18"/>
          <w:szCs w:val="18"/>
          <w:color w:val="auto"/>
        </w:rPr>
        <w:t>: EBU sales to the industrial market in 2022 consisted primarily of DDR4 and DDR3 DRAM, LPDDR4 DRAM, SLC NAND, NAND</w:t>
      </w:r>
      <w:r>
        <w:rPr>
          <w:rFonts w:ascii="Arial" w:cs="Arial" w:eastAsia="Arial" w:hAnsi="Arial"/>
          <w:sz w:val="18"/>
          <w:szCs w:val="18"/>
          <w:i w:val="1"/>
          <w:iCs w:val="1"/>
          <w:color w:val="auto"/>
        </w:rPr>
        <w:t xml:space="preserve"> </w:t>
      </w:r>
      <w:r>
        <w:rPr>
          <w:rFonts w:ascii="Arial" w:cs="Arial" w:eastAsia="Arial" w:hAnsi="Arial"/>
          <w:sz w:val="18"/>
          <w:szCs w:val="18"/>
          <w:color w:val="auto"/>
        </w:rPr>
        <w:t>MCPs, and NOR. Our products enable applications in the growing industrial IoT market, including machine-to-machine communication, factory automation, transportation, surveillance, retail, and smart infrastructure.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u w:val="single" w:color="auto"/>
          <w:color w:val="auto"/>
        </w:rPr>
        <w:t>Automotive</w:t>
      </w:r>
      <w:r>
        <w:rPr>
          <w:rFonts w:ascii="Arial" w:cs="Arial" w:eastAsia="Arial" w:hAnsi="Arial"/>
          <w:sz w:val="18"/>
          <w:szCs w:val="18"/>
          <w:color w:val="auto"/>
        </w:rPr>
        <w:t>: EBU sales to the automotive market in 2022 consisted primarily of LPDDR4 DRAM, e.MMC managed NAND, DDR3 DRAM, and</w:t>
      </w:r>
      <w:r>
        <w:rPr>
          <w:rFonts w:ascii="Arial" w:cs="Arial" w:eastAsia="Arial" w:hAnsi="Arial"/>
          <w:sz w:val="18"/>
          <w:szCs w:val="18"/>
          <w:i w:val="1"/>
          <w:iCs w:val="1"/>
          <w:color w:val="auto"/>
        </w:rPr>
        <w:t xml:space="preserve"> </w:t>
      </w:r>
      <w:r>
        <w:rPr>
          <w:rFonts w:ascii="Arial" w:cs="Arial" w:eastAsia="Arial" w:hAnsi="Arial"/>
          <w:sz w:val="18"/>
          <w:szCs w:val="18"/>
          <w:color w:val="auto"/>
        </w:rPr>
        <w:t>LPDDR2 DRAM. In 2022, we received the first International Organization for Standardization (“ISO”) 26262 Automotive Safety Integrity Level (“ASIL”) D certification of memory for our LPDDR5 DRAM, which is based on our 1α process node. Advancements in autonomous driving, advanced driver-assistance systems, and in-vehicle infotainment systems continue to increase the requirements for high-performing memory and storage products, with higher reliability requirements for leading-edge products. Automotive memory and storage products enable connected, advanced infotainment systems with increasingly larger and higher definition displays and support improved voice and gesture control. In addition, our products enable increasingly advanced vision and sensor based automated systems to support driver assistance solutions and vehicle safety. Our comprehensive and expanding portfolio of DRAM, NAND, and NOR solutions to the automotive market, as well as our extensive customer support network, enable us to maintain our strong leadership position in this market.</w:t>
      </w:r>
    </w:p>
    <w:p>
      <w:pPr>
        <w:spacing w:after="0" w:line="208"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i w:val="1"/>
          <w:iCs w:val="1"/>
          <w:u w:val="single" w:color="auto"/>
          <w:color w:val="auto"/>
        </w:rPr>
        <w:t>Consumer</w:t>
      </w:r>
      <w:r>
        <w:rPr>
          <w:rFonts w:ascii="Arial" w:cs="Arial" w:eastAsia="Arial" w:hAnsi="Arial"/>
          <w:sz w:val="18"/>
          <w:szCs w:val="18"/>
          <w:color w:val="auto"/>
        </w:rPr>
        <w:t>: EBU sales to the consumer market in 2022 consisted primarily of our LPDDR4 DRAM, DDR3 DRAM, DDR4 DRAM, and SLC</w:t>
      </w:r>
      <w:r>
        <w:rPr>
          <w:rFonts w:ascii="Arial" w:cs="Arial" w:eastAsia="Arial" w:hAnsi="Arial"/>
          <w:sz w:val="18"/>
          <w:szCs w:val="18"/>
          <w:i w:val="1"/>
          <w:iCs w:val="1"/>
          <w:color w:val="auto"/>
        </w:rPr>
        <w:t xml:space="preserve"> </w:t>
      </w:r>
      <w:r>
        <w:rPr>
          <w:rFonts w:ascii="Arial" w:cs="Arial" w:eastAsia="Arial" w:hAnsi="Arial"/>
          <w:sz w:val="18"/>
          <w:szCs w:val="18"/>
          <w:color w:val="auto"/>
        </w:rPr>
        <w:t>NAND. These embedded memory and storage solutions are used in a diverse set of consumer products, including service provider and IP set-top boxes, digital home assistants, digital still and video cameras, home networking, ultra-high definition televisions, augmented reality and virtual reality (“AR/VR”) headsets, and many more applications. Our embedded memory and storage solutions enable edge devices in the consumer products market to store, connect, and transform information in the IoT.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Business Unit (“SBU”)</w:t>
      </w:r>
    </w:p>
    <w:p>
      <w:pPr>
        <w:spacing w:after="0" w:line="250" w:lineRule="exact"/>
        <w:rPr>
          <w:sz w:val="20"/>
          <w:szCs w:val="20"/>
          <w:color w:val="auto"/>
        </w:rPr>
      </w:pPr>
    </w:p>
    <w:p>
      <w:pPr>
        <w:ind w:right="80"/>
        <w:spacing w:after="0" w:line="278" w:lineRule="auto"/>
        <w:rPr>
          <w:sz w:val="20"/>
          <w:szCs w:val="20"/>
          <w:color w:val="auto"/>
        </w:rPr>
      </w:pPr>
      <w:r>
        <w:rPr>
          <w:rFonts w:ascii="Arial" w:cs="Arial" w:eastAsia="Arial" w:hAnsi="Arial"/>
          <w:sz w:val="17"/>
          <w:szCs w:val="17"/>
          <w:color w:val="auto"/>
        </w:rPr>
        <w:t>SBU includes SSDs and component-level solutions sold into enterprise and cloud, client, and consumer storage markets and discrete NAND sold in component and wafer forms for usage in various markets. SBU reported revenue of $4.55 billion in 2022, $ 3.97 billion in 2021, and $3.77 billion in 2020. In 2022, 176-layer NAND comprised the the largest portion of SBU’s NAND bit shipments. In 2022, we also began volume production of the world’s first 232-layer NAND. It features higher areal density and delivers higher capacity and improved energy efficiency over previous generations of our NAND, to enable best-in-class support of the most data-intensive use cases from client to cloud.</w:t>
      </w:r>
    </w:p>
    <w:p>
      <w:pPr>
        <w:spacing w:after="0" w:line="19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u w:val="single" w:color="auto"/>
          <w:color w:val="auto"/>
        </w:rPr>
        <w:t>SSDs</w:t>
      </w:r>
      <w:r>
        <w:rPr>
          <w:rFonts w:ascii="Arial" w:cs="Arial" w:eastAsia="Arial" w:hAnsi="Arial"/>
          <w:sz w:val="18"/>
          <w:szCs w:val="18"/>
          <w:i w:val="1"/>
          <w:iCs w:val="1"/>
          <w:color w:val="auto"/>
        </w:rPr>
        <w:t xml:space="preserve">: </w:t>
      </w:r>
      <w:r>
        <w:rPr>
          <w:rFonts w:ascii="Arial" w:cs="Arial" w:eastAsia="Arial" w:hAnsi="Arial"/>
          <w:sz w:val="18"/>
          <w:szCs w:val="18"/>
          <w:color w:val="auto"/>
        </w:rPr>
        <w:t>SSD storage products incorporate NAND, a controller, and firmware and offer significant performance and features over hard disk</w:t>
      </w:r>
      <w:r>
        <w:rPr>
          <w:rFonts w:ascii="Arial" w:cs="Arial" w:eastAsia="Arial" w:hAnsi="Arial"/>
          <w:sz w:val="18"/>
          <w:szCs w:val="18"/>
          <w:i w:val="1"/>
          <w:iCs w:val="1"/>
          <w:color w:val="auto"/>
        </w:rPr>
        <w:t xml:space="preserve"> </w:t>
      </w:r>
      <w:r>
        <w:rPr>
          <w:rFonts w:ascii="Arial" w:cs="Arial" w:eastAsia="Arial" w:hAnsi="Arial"/>
          <w:sz w:val="18"/>
          <w:szCs w:val="18"/>
          <w:color w:val="auto"/>
        </w:rPr>
        <w:t>drives, including smaller form factors, faster read and write speeds, higher reliability, and lower power consumption. We offer SSD solutions utilizing our NAND technology to the enterprise and cloud, client, and consumer markets.</w:t>
      </w:r>
    </w:p>
    <w:p>
      <w:pPr>
        <w:spacing w:after="0" w:line="19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Enterprise and Cloud SSDs: </w:t>
      </w:r>
      <w:r>
        <w:rPr>
          <w:rFonts w:ascii="Arial" w:cs="Arial" w:eastAsia="Arial" w:hAnsi="Arial"/>
          <w:sz w:val="18"/>
          <w:szCs w:val="18"/>
          <w:color w:val="auto"/>
        </w:rPr>
        <w:t>SBU sales to the enterprise and cloud SSD markets in 2022 consisted primarily of our 5300, 7400, and 9300</w:t>
      </w:r>
      <w:r>
        <w:rPr>
          <w:rFonts w:ascii="Arial" w:cs="Arial" w:eastAsia="Arial" w:hAnsi="Arial"/>
          <w:sz w:val="18"/>
          <w:szCs w:val="18"/>
          <w:i w:val="1"/>
          <w:iCs w:val="1"/>
          <w:color w:val="auto"/>
        </w:rPr>
        <w:t xml:space="preserve"> </w:t>
      </w:r>
      <w:r>
        <w:rPr>
          <w:rFonts w:ascii="Arial" w:cs="Arial" w:eastAsia="Arial" w:hAnsi="Arial"/>
          <w:sz w:val="18"/>
          <w:szCs w:val="18"/>
          <w:color w:val="auto"/>
        </w:rPr>
        <w:t>series SSDs. In 2022, we announced our 7400 and 7450 SSDs with NVMe, delivering industry-leading form factor flexibility, PCIe Gen4 performance, and leading-edge security to meet the storage needs of demanding data center workloads. With this portfolio, we are providing a broad selection of mainstream data center SSDs. The enterprise and cloud storage markets are driven by the growth of applications that store, access, and analyze data in the cloud. Applications such as machine learning servers require fast access to data with low latency, predictable performance, and high storage capacities.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i w:val="1"/>
          <w:iCs w:val="1"/>
          <w:color w:val="auto"/>
        </w:rPr>
        <w:t xml:space="preserve">Client SSDs: </w:t>
      </w:r>
      <w:r>
        <w:rPr>
          <w:rFonts w:ascii="Arial" w:cs="Arial" w:eastAsia="Arial" w:hAnsi="Arial"/>
          <w:sz w:val="18"/>
          <w:szCs w:val="18"/>
          <w:color w:val="auto"/>
        </w:rPr>
        <w:t>SBU sales to the client SSD market in 2022 consisted primarily of our 2450, 3400, and 2210 series client SSDs. In 2022, we</w:t>
      </w:r>
      <w:r>
        <w:rPr>
          <w:rFonts w:ascii="Arial" w:cs="Arial" w:eastAsia="Arial" w:hAnsi="Arial"/>
          <w:sz w:val="18"/>
          <w:szCs w:val="18"/>
          <w:i w:val="1"/>
          <w:iCs w:val="1"/>
          <w:color w:val="auto"/>
        </w:rPr>
        <w:t xml:space="preserve"> </w:t>
      </w:r>
      <w:r>
        <w:rPr>
          <w:rFonts w:ascii="Arial" w:cs="Arial" w:eastAsia="Arial" w:hAnsi="Arial"/>
          <w:sz w:val="18"/>
          <w:szCs w:val="18"/>
          <w:color w:val="auto"/>
        </w:rPr>
        <w:t>achieved record client SSD revenue. Our client SSDs, targeted for leading personal computer OEMs, have mostly replaced hard disk drives used in notebooks, desktops, workstations, and other consumer applications, and deliver high performance, power efficiency, security, and capacity. In 2022, we began volume shipments of SSDs with 176-layer QLC NAND that deliver the industry’s leading storage density and optimized performance for a broad range of data-rich applications. Designed for use cases spanning client and data center environments, our transformative new NAND technology is now available with the introduction of the 2400 SSD, the world’s first 176-layer PCIe Gen4 QLC SSD for client applications.</w:t>
      </w:r>
    </w:p>
    <w:p>
      <w:pPr>
        <w:spacing w:after="0" w:line="21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Consumer SSDs: </w:t>
      </w:r>
      <w:r>
        <w:rPr>
          <w:rFonts w:ascii="Arial" w:cs="Arial" w:eastAsia="Arial" w:hAnsi="Arial"/>
          <w:sz w:val="18"/>
          <w:szCs w:val="18"/>
          <w:color w:val="auto"/>
        </w:rPr>
        <w:t>SBU sales to the consumer SSD market in 2022 consisted primarily of our Crucial-branded MX500 and BX500 SATA SSDs</w:t>
      </w:r>
      <w:r>
        <w:rPr>
          <w:rFonts w:ascii="Arial" w:cs="Arial" w:eastAsia="Arial" w:hAnsi="Arial"/>
          <w:sz w:val="18"/>
          <w:szCs w:val="18"/>
          <w:i w:val="1"/>
          <w:iCs w:val="1"/>
          <w:color w:val="auto"/>
        </w:rPr>
        <w:t xml:space="preserve"> </w:t>
      </w:r>
      <w:r>
        <w:rPr>
          <w:rFonts w:ascii="Arial" w:cs="Arial" w:eastAsia="Arial" w:hAnsi="Arial"/>
          <w:sz w:val="18"/>
          <w:szCs w:val="18"/>
          <w:color w:val="auto"/>
        </w:rPr>
        <w:t>and our P2 PCIe SSD, which utilize our NAND QLC and TLC technologies. We had record consumer SSD revenue in 2022, assisted by the growth of our QLC SSDs, and we continued to transition our product line of consumer SSDs from SATA to NVMe. In 2022, we announced availability of two new consumer storage products, the Crucial P3 Plus Gen4 NVMe and Crucial P3 NVMe SSDs, as an expansion of our Crucial NVMe SSD product portfolio. Our consumer SSD solutions are replacing installed hard disk drives as end users and system builders and integrators seek the higher performance, power savings, and reliability of SSDs.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Components and Wafers</w:t>
      </w:r>
      <w:r>
        <w:rPr>
          <w:rFonts w:ascii="Arial" w:cs="Arial" w:eastAsia="Arial" w:hAnsi="Arial"/>
          <w:sz w:val="18"/>
          <w:szCs w:val="18"/>
          <w:i w:val="1"/>
          <w:iCs w:val="1"/>
          <w:color w:val="auto"/>
        </w:rPr>
        <w:t xml:space="preserve">: </w:t>
      </w:r>
      <w:r>
        <w:rPr>
          <w:rFonts w:ascii="Arial" w:cs="Arial" w:eastAsia="Arial" w:hAnsi="Arial"/>
          <w:sz w:val="18"/>
          <w:szCs w:val="18"/>
          <w:color w:val="auto"/>
        </w:rPr>
        <w:t>SBU sales of components in 2022 consisted primarily of our 176-layer and 96-layer TLC and QLC NAND products.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Marketing and Customers</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seek to build collaborative relationships with our customers to understand their unique opportunities and challenges. By engaging with our customers early in the product life-cycle to identify and design features and performance characteristics into our products, we are able to manufacture products that anticipate and address our customers’ changing needs. Collaborating with our customers on their design needs in changing end markets and meeting their timelines for qualifying new products, allows us to differentiate our memory and storage solutions, which provides greater value to our customers.</w:t>
      </w:r>
    </w:p>
    <w:p>
      <w:pPr>
        <w:spacing w:after="0" w:line="20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semiconductor memory and storage products are offered under our Micron and Crucial brand names and through private labels. We market our semiconductor memory and storage products primarily through our own direct sales force and maintain sales or representative offices to support our worldwide customer base. Our products are also offered through independent sales representatives, distributors, and retailers. Our independent sales representatives obtain orders, subject to final acceptance by us, and we then make shipments against these orders directly to customers or through our distributors. Our distributors carry our products in inventory and typically sell a variety of other semiconductor products, including our competitors’ products. We sell our Crucial-branded products through a web-based customer direct sales channel as well as through channel and distribution partners. We maintain inventory at locations in close proximity to certain key customers to facilitate rapid delivery of products.</w:t>
      </w:r>
    </w:p>
    <w:p>
      <w:pPr>
        <w:spacing w:after="0" w:line="21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Due to volatile industry conditions, our customers are generally reluctant to enter into long-term, fixed-price purchase contracts. We typically accept orders with acknowledgment that pricing, quantity, and other terms may be adjusted to reflect market conditions at the time of shipment.</w:t>
      </w:r>
    </w:p>
    <w:p>
      <w:pPr>
        <w:spacing w:after="0" w:line="198"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For other information regarding our concentrations and customers, see “Part II – Item 8. Financial Statements and Supplementary Data – Notes to Consolidated Financial Statements – Certain Concentrations.”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Competitive Conditions</w:t>
      </w:r>
    </w:p>
    <w:p>
      <w:pPr>
        <w:spacing w:after="0" w:line="24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Kioxia Holdings Corporation; Samsung Electronics Co., Ltd.; SK hynix Inc.; and Western Digital Corporation. Our competitors may use aggressive pricing to obtain market share.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such as Yangtze Memory Technologies Co., Ltd. (“YMTC”) and ChangXin Memory Technologies, Inc. (“CXMT”), that is intended to advance China’s stated national policy objectives. In addition, the Chinese government may restrict us from participating in the China market or may prevent us from competing effectively with Chinese companies.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Manufacturing</w:t>
      </w:r>
    </w:p>
    <w:p>
      <w:pPr>
        <w:spacing w:after="0" w:line="2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manufacture our products within our own facilities located in Taiwan, Singapore, Japan, the United States, Malaysia, and China, and also utilize subcontractors to perform certain manufacturing processes. Our products are manufactured on 300mm wafers in facilities that generally operate 24 hours per day, seven days per week. Semiconductor manufacturing is capital intensive, requiring large investments in sophisticated facilities and equipment. Our DRAM, NAND, and NOR products share a number of common manufacturing processes, enabling us to leverage our product and process technology and certain resources and manufacturing infrastructure across these product lines.</w:t>
      </w:r>
    </w:p>
    <w:p>
      <w:pPr>
        <w:spacing w:after="0" w:line="20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process for manufacturing semiconductor products is complex and involves numerous precise steps, including wafer fabrication, assembly, and test. Efficient production of semiconductor products requires utilization of advanced semiconductor manufacturing techniques and effectively deploying those techniques across multiple facilities. The primary determinants of manufacturing cost are process line-width, 3D non-volatile layers, NAND cell levels, process complexity (including the number of mask layers and fabrication steps), and manufacturing yield. Other factors include the cost and sophistication of manufacturing equipment, equipment utilization, cost of raw materials, labor productivity, package type, cleanliness of our manufacturing environment, and utilization of subcontractors to perform certain manufacturing processes. As we continue to increase our production of high value products and solutions, manufacturing costs are increasingly affected by the costs of application-specific integrated circuit (ASIC) controllers and other semiconductors, advanced and complex packaging configurations, and testing at progressively higher performance speeds and quality levels. We continuously enhance our production processes, increase bits per wafer, transition to higher density products, and utilize advanced testing and assembly processes.</w:t>
      </w:r>
    </w:p>
    <w:p>
      <w:pPr>
        <w:spacing w:after="0" w:line="2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Wafer fabrication occurs in a highly-controlled clean environment to minimize yield loss from contaminants. Despite stringent manufacturing controls, individual circuits may be nonfunctional or wafers may be scrapped due to equipment errors, minute impurities in materials, defects in photomasks, circuit design marginalities or defects, or contamination from airborne particles, among other factors. Success of our manufacturing operations depends largely on minimizing defects and improving process margin to maximize yield of high-quality circuits. In this regard, we employ rigorous quality controls throughout the manufacturing, screening, and testing processes. We continue to heighten quality control as our product offerings expand into higher-end segments that require increasing performance targets.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products are manufactured and sold in both packaged form and as unpackaged bare die. Our packaged products include packaged die, memory modules, and system-level solutions, such as SSDs, managed NAND, and MCPs. We assemble many products in-house and, in some cases, outsource assembly services for certain packaged die, memory modules, SSDs, and MCPs. We test our products at various stages in the manufacturing process, conduct numerous quality control inspections throughout the entire production flow, and perform high temperature burn-in on finished products. In addition, we use our proprietary AMBYX™ line of intelligent test and burn-in systems to perform simultaneous circuit tests of semiconductor die, capturing quality and reliability data and reducing testing time and cost.</w:t>
      </w:r>
    </w:p>
    <w:p>
      <w:pPr>
        <w:spacing w:after="0" w:line="2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recent years, we have produced an increasingly broad portfolio of products and system solutions, which enhances our ability to allocate resources to our most profitable products but also increases the complexity of our manufacturing and supply chain operations. Although our product lines generally use similar manufacturing processes, our costs can be affected by frequent conversions to new products; the allocation of manufacturing capacity to more complex, smaller-volume products; and the reallocation of manufacturing capacity across various product lines.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Resources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Supply Chain, Materials, and Third-Party Service Providers</w:t>
      </w:r>
    </w:p>
    <w:p>
      <w:pPr>
        <w:spacing w:after="0" w:line="24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and shortages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sanctions,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1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inability to source materials, supplies,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 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Patents and Licenses</w:t>
      </w:r>
    </w:p>
    <w:p>
      <w:pPr>
        <w:spacing w:after="0" w:line="243" w:lineRule="exact"/>
        <w:rPr>
          <w:sz w:val="20"/>
          <w:szCs w:val="20"/>
          <w:color w:val="auto"/>
        </w:rPr>
      </w:pPr>
    </w:p>
    <w:p>
      <w:pPr>
        <w:ind w:right="680"/>
        <w:spacing w:after="0" w:line="287" w:lineRule="auto"/>
        <w:rPr>
          <w:sz w:val="20"/>
          <w:szCs w:val="20"/>
          <w:color w:val="auto"/>
        </w:rPr>
      </w:pPr>
      <w:r>
        <w:rPr>
          <w:rFonts w:ascii="Arial" w:cs="Arial" w:eastAsia="Arial" w:hAnsi="Arial"/>
          <w:sz w:val="18"/>
          <w:szCs w:val="18"/>
          <w:color w:val="auto"/>
        </w:rPr>
        <w:t>As of September 1, 2022, we owned approximately 16,500 active U.S. patents and 8,100 active foreign patents. In addition, we have thousands of U.S. and foreign patent applications pending. Our patents have various terms expiring through 2042.</w:t>
      </w:r>
    </w:p>
    <w:p>
      <w:pPr>
        <w:spacing w:after="0" w:line="18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time to time, we sell and/or license our technology to other parties and continue to pursue opportunities to monetize our investments in our intellectual property through partnering and other arrangements. We have also jointly developed memory and storage product and process technology with third parties on a limited basis.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 number of patent and intellectual property license agreements and have, from time to time, licensed or sold our intellectual property to third parties. Some of these license agreements require us to make one-time or periodic payments while others have resulted in us receiving payments. We may need to obtain additional licenses or renew existing license agreements in the future, and we may enter into additional sales or licenses of intellectual property and partnering arrangements. We are unable to predict whether these license agreements can be obtained or renewed on terms acceptable to us.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Research and Development</w:t>
      </w:r>
    </w:p>
    <w:p>
      <w:pPr>
        <w:spacing w:after="0" w:line="25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R&amp;D efforts are focused primarily on development of memory and storage solutions, including our industry leading DRAM and NAND technology, that enable continuous improvement in performance and cost structure for our products. In DRAM, our 1α node was introduced several quarters ahead of the industry, and our newest node, 1ß, is on track to start ramping in manufacturing by the end of calendar 2022. We plan to implement EUV lithography on the DRAM node after 1ß. In NAND, the introduction of our 176-layer node was also ahead of the industry and we recently announced volume production of the world’s first 232-layer NAND. We are also focused on developing new fundamentally different memory structures, materials, and packages designed to facilitate our transition to next generation products. Additional R&amp;D efforts are concentrated on the enablement of advanced computing, storage, and mobile memory architectures and the investigation of new opportunities that leverage our core semiconductor expertise. Product design and development efforts include high-density DDR5, LPDDR5, HBM, Compute Express Link (“CXL”) based products, and advanced graphics DRAM; 3D NAND (including TLC and QLC technologies); mobile and storage solutions (including firmware and controllers); managed NAND; SSDs; and other memory technologies and systems.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To compete in the semiconductor memory and storage markets, we must continue to develop technologically advanced products and processes. The continued evolution of our semiconductor product offerings is necessary to meet expected customer requirements for memory and storage products and solutions. Our process, design, firmware, controller, package, and system development efforts occur at multiple locations across the world. Our primary R&amp;D centers are located in Boise, Idaho; India; Japan; China; Taiwan; Italy; Singapore; Germany; and other sites in the United States.</w:t>
      </w:r>
    </w:p>
    <w:p>
      <w:pPr>
        <w:spacing w:after="0" w:line="206" w:lineRule="exact"/>
        <w:rPr>
          <w:sz w:val="20"/>
          <w:szCs w:val="20"/>
          <w:color w:val="auto"/>
        </w:rPr>
      </w:pPr>
    </w:p>
    <w:p>
      <w:pPr>
        <w:ind w:right="120"/>
        <w:spacing w:after="0" w:line="278" w:lineRule="auto"/>
        <w:rPr>
          <w:sz w:val="20"/>
          <w:szCs w:val="20"/>
          <w:color w:val="auto"/>
        </w:rPr>
      </w:pPr>
      <w:r>
        <w:rPr>
          <w:rFonts w:ascii="Arial" w:cs="Arial" w:eastAsia="Arial" w:hAnsi="Arial"/>
          <w:sz w:val="17"/>
          <w:szCs w:val="17"/>
          <w:color w:val="auto"/>
        </w:rPr>
        <w:t>R&amp;D expenses vary primarily with the number of development and pre-qualification wafers processed and end-product solutions developed, personnel costs, and the cost of advanced equipment dedicated to new product and process development, such as investments in EUV lithography equipment.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Human Capital</w:t>
      </w:r>
    </w:p>
    <w:p>
      <w:pPr>
        <w:spacing w:after="0" w:line="257" w:lineRule="exact"/>
        <w:rPr>
          <w:sz w:val="20"/>
          <w:szCs w:val="20"/>
          <w:color w:val="auto"/>
        </w:rPr>
      </w:pPr>
    </w:p>
    <w:p>
      <w:pPr>
        <w:ind w:right="340"/>
        <w:spacing w:after="0" w:line="273" w:lineRule="auto"/>
        <w:rPr>
          <w:sz w:val="20"/>
          <w:szCs w:val="20"/>
          <w:color w:val="auto"/>
        </w:rPr>
      </w:pPr>
      <w:r>
        <w:rPr>
          <w:rFonts w:ascii="Arial" w:cs="Arial" w:eastAsia="Arial" w:hAnsi="Arial"/>
          <w:sz w:val="18"/>
          <w:szCs w:val="18"/>
          <w:color w:val="auto"/>
        </w:rPr>
        <w:t>We depend on a highly educated and experienced workforce to design, develop, and manufacture high-quality, cutting-edge memory and storage solutions. As of September 1, 2022, we had approximately 48,000 employees located in the following regions: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Region</w:t>
            </w:r>
          </w:p>
        </w:tc>
        <w:tc>
          <w:tcPr>
            <w:tcW w:w="166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Percent All</w:t>
            </w:r>
          </w:p>
        </w:tc>
        <w:tc>
          <w:tcPr>
            <w:tcW w:w="1680" w:type="dxa"/>
            <w:vAlign w:val="bottom"/>
            <w:tcBorders>
              <w:bottom w:val="single" w:sz="8" w:color="0090DA"/>
            </w:tcBorders>
          </w:tcPr>
          <w:p>
            <w:pPr>
              <w:jc w:val="right"/>
              <w:ind w:right="70"/>
              <w:spacing w:after="0"/>
              <w:rPr>
                <w:sz w:val="20"/>
                <w:szCs w:val="20"/>
                <w:color w:val="auto"/>
              </w:rPr>
            </w:pPr>
            <w:r>
              <w:rPr>
                <w:rFonts w:ascii="Arial" w:cs="Arial" w:eastAsia="Arial" w:hAnsi="Arial"/>
                <w:sz w:val="18"/>
                <w:szCs w:val="18"/>
                <w:b w:val="1"/>
                <w:bCs w:val="1"/>
                <w:color w:val="auto"/>
              </w:rPr>
              <w:t>Percent Women</w:t>
            </w:r>
          </w:p>
        </w:tc>
      </w:tr>
      <w:tr>
        <w:trPr>
          <w:trHeight w:val="34"/>
        </w:trPr>
        <w:tc>
          <w:tcPr>
            <w:tcW w:w="7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0"/>
        </w:trPr>
        <w:tc>
          <w:tcPr>
            <w:tcW w:w="7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Asia</w:t>
            </w:r>
          </w:p>
        </w:tc>
        <w:tc>
          <w:tcPr>
            <w:tcW w:w="16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77 %</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34 %</w:t>
            </w: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1660" w:type="dxa"/>
            <w:vAlign w:val="bottom"/>
          </w:tcPr>
          <w:p>
            <w:pPr>
              <w:jc w:val="right"/>
              <w:spacing w:after="0"/>
              <w:rPr>
                <w:sz w:val="20"/>
                <w:szCs w:val="20"/>
                <w:color w:val="auto"/>
              </w:rPr>
            </w:pPr>
            <w:r>
              <w:rPr>
                <w:rFonts w:ascii="Arial" w:cs="Arial" w:eastAsia="Arial" w:hAnsi="Arial"/>
                <w:sz w:val="18"/>
                <w:szCs w:val="18"/>
                <w:color w:val="auto"/>
              </w:rPr>
              <w:t>21 %</w:t>
            </w:r>
          </w:p>
        </w:tc>
        <w:tc>
          <w:tcPr>
            <w:tcW w:w="168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30"/>
        </w:trPr>
        <w:tc>
          <w:tcPr>
            <w:tcW w:w="7900" w:type="dxa"/>
            <w:vAlign w:val="bottom"/>
            <w:shd w:val="clear" w:color="auto" w:fill="DBDBDB"/>
          </w:tcPr>
          <w:p>
            <w:pPr>
              <w:ind w:left="20"/>
              <w:spacing w:after="0"/>
              <w:rPr>
                <w:sz w:val="20"/>
                <w:szCs w:val="20"/>
                <w:color w:val="auto"/>
              </w:rPr>
            </w:pPr>
            <w:r>
              <w:rPr>
                <w:rFonts w:ascii="Arial" w:cs="Arial" w:eastAsia="Arial" w:hAnsi="Arial"/>
                <w:sz w:val="18"/>
                <w:szCs w:val="18"/>
                <w:color w:val="auto"/>
              </w:rPr>
              <w:t>Europe</w:t>
            </w:r>
          </w:p>
        </w:tc>
        <w:tc>
          <w:tcPr>
            <w:tcW w:w="1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2 %</w:t>
            </w:r>
          </w:p>
        </w:tc>
        <w:tc>
          <w:tcPr>
            <w:tcW w:w="16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80" w:type="dxa"/>
            <w:vAlign w:val="bottom"/>
          </w:tcPr>
          <w:p>
            <w:pPr>
              <w:jc w:val="right"/>
              <w:spacing w:after="0"/>
              <w:rPr>
                <w:sz w:val="20"/>
                <w:szCs w:val="20"/>
                <w:color w:val="auto"/>
              </w:rPr>
            </w:pPr>
            <w:r>
              <w:rPr>
                <w:rFonts w:ascii="Arial" w:cs="Arial" w:eastAsia="Arial" w:hAnsi="Arial"/>
                <w:sz w:val="18"/>
                <w:szCs w:val="18"/>
                <w:color w:val="auto"/>
              </w:rPr>
              <w:t>31 %</w:t>
            </w:r>
          </w:p>
        </w:tc>
      </w:tr>
      <w:tr>
        <w:trPr>
          <w:trHeight w:val="21"/>
        </w:trPr>
        <w:tc>
          <w:tcPr>
            <w:tcW w:w="79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September 1, 2022, 31% of our global workforce were women, compared to 30% as of September 2, 2021 and 24% of our technical or engineering roles were held by women, as compared to 23% as of September 2, 2021. Women comprised 17% of our senior leaders as of September 1, 2022, as compared to 15% as of September 2, 2021.</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Board of Directors was comprised of four men and four women as of September 1, 2022. In addition, as of September 1, 2022, based on self-identification, one member of our Board of Directors is Asian, one member is African-American, and six members are White. One member of our Board of Directors is a veteran of the U.S. military.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Talent Acquisition, Engagement, and Retention</w:t>
      </w:r>
    </w:p>
    <w:p>
      <w:pPr>
        <w:spacing w:after="0" w:line="24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Finding and retaining the best and brightest people in an extremely competitive industry environment is a strategic imperative for our business. We have partnerships with colleges and universities worldwide and through this collaboration, we offer curricula and mentorship programs that reinforce awareness of and engagement with Micron among students and graduates. In addition, we use AI to reduce or eliminate the potential for bias from resumes, allowing us to focus on individual merit over personal characteristics.</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Periodically, we invite all team members to participate in our internal engagement survey, which covers questions that measure and provide insight into meaningfulness, availability, psychological safety, leadership, and inclusive behaviors. In March 2022, 89% of our team members participated in the survey. Management uses feedback from the survey to identify and implement continuous improvements to our culture and workplace practices.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Compensation and Benefits</w:t>
      </w:r>
    </w:p>
    <w:p>
      <w:pPr>
        <w:spacing w:after="0" w:line="243"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Our compensation programs are designed to support our team members’ financial and personal well-being by providing a valuable return for their contributions to the company. Our total compensation strategy includes base salary, annual bonuses, equity awards, a discounted stock purchase plan, and a comprehensive benefits package.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Diversity, Equality, and Inclusion</w:t>
      </w:r>
    </w:p>
    <w:p>
      <w:pPr>
        <w:spacing w:after="0" w:line="2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2021, we set six commitments, each with an executive sponsor, to advance diversity, equality, and inclusion (“DEI”) globally and at all levels of the company. By the end of 2021, we had met or exceeded our goals for the first four commitments below and we are on our way to achieving all six:</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Drive equitable pay and inclusive benefits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 our culture of inclusion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Engage with diverse financial institutions for cash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representation and spend with diverse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 representation of underrepresented groups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Advocate for racial and LGBTQ+ equality</w:t>
      </w:r>
    </w:p>
    <w:p>
      <w:pPr>
        <w:spacing w:after="0" w:line="23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 regular review of pay globally, including base pay and stock awards, to drive compensation equitably. We achieved comprehensive global pay equity for all underrepresented employees in total compensation across base pay, bonuses, and stock rewards in 2022 and 2021. We also continually assess our global leave, medical, and financial benefits to ensure inclusiveness. A pay equity analysis will continue to be conducted annually with our base pay merit review. In addition, a portion of our company-wide annual bonus program is based on the achievement of DEI-related goals.</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Health, Safety, and Wellbeing</w:t>
      </w:r>
    </w:p>
    <w:p>
      <w:pPr>
        <w:spacing w:after="0" w:line="2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Proactive efforts to prevent occupational illnesses and injuries allow us to maintain a safe, healthy, and secure workplace. Each of our sites have health and safety committees, which are designed to promote overall operations and communications regarding safety and to help lead and implement secure and compliant work areas. Our safety program creates a unified corporate safety culture by establishing a formal training structure and common safety practices across our global facilities. See “Item 1. Business – Overview – Impact of COVID-19 on Our Business.”</w:t>
      </w:r>
    </w:p>
    <w:p>
      <w:pPr>
        <w:spacing w:after="0" w:line="20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addition to our proactive efforts on safety, we have increased our focus on providing enhanced services to our team members including free mental health and counseling support, providing critical -incident stress management services and emotional support sessions, offering a work-from-home toolkit, and encouraging team members to earn incentives by participating in wellbeing challenges and measuring their personal progress.</w:t>
      </w:r>
    </w:p>
    <w:p>
      <w:pPr>
        <w:spacing w:after="0" w:line="20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a member of the Responsible Business Alliance (“RBA”), a group of leading companies focused on promoting responsible working conditions, ethical business practices, and environmental stewardship throughout our global supply chain. We strive to adhere to both our Code of Business Conduct and Ethics (available on our website, www.micron.com) and the RBA code of conduct, which is a demonstration of our commitment to integrity and responsible practices.</w:t>
      </w:r>
    </w:p>
    <w:p>
      <w:pPr>
        <w:spacing w:after="0" w:line="203" w:lineRule="exact"/>
        <w:rPr>
          <w:sz w:val="20"/>
          <w:szCs w:val="20"/>
          <w:color w:val="auto"/>
        </w:rPr>
      </w:pPr>
    </w:p>
    <w:p>
      <w:pPr>
        <w:jc w:val="both"/>
        <w:ind w:right="420"/>
        <w:spacing w:after="0" w:line="268" w:lineRule="auto"/>
        <w:rPr>
          <w:sz w:val="20"/>
          <w:szCs w:val="20"/>
          <w:color w:val="auto"/>
        </w:rPr>
      </w:pPr>
      <w:r>
        <w:rPr>
          <w:rFonts w:ascii="Arial" w:cs="Arial" w:eastAsia="Arial" w:hAnsi="Arial"/>
          <w:sz w:val="18"/>
          <w:szCs w:val="18"/>
          <w:color w:val="auto"/>
        </w:rPr>
        <w:t>Additional information about our human capital, including people development, wellbeing and benefits, DEI, and safety is included in our 2022 Sustainability Report and our 2021 DEI Annual Report, each available on our website. Information contained or referenced on our website is not incorporated by reference and does not form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Government Regulations</w:t>
      </w:r>
    </w:p>
    <w:p>
      <w:pPr>
        <w:spacing w:after="0" w:line="25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worldwide business activities are subject to various federal, state, local, and foreign laws and our products are governed by a number of rules and regulations. The efforts and expenditures needed to comply with these laws, rules, and regulations do not presently have a material impact on our results of operations, capital expenditures, or competitive position. Nevertheless, compliance with existing or future government laws, including, but not limited to, our operations, products, global trade, business acquisitions, employee health and safety, and taxes could have a material adverse effect on our future results of operations, capital expenditures, or competitive position. See “Item 1A. Risk Factors” for a discussion of these potential impacts.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Environmental Compliance</w:t>
      </w:r>
    </w:p>
    <w:p>
      <w:pPr>
        <w:spacing w:after="0" w:line="2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Manufacturing of our products is subject to extensive and evolving federal, state, local, and foreign environmental laws and regulations. We approach environmental compliance and sustainability proactively to ensure we meet applicable government regulations regarding use of raw materials, discharges, emissions, climate change and energy use, and waste disposal from our manufacturing processes and address the expectations of our investors, customers, team members, and other stakeholders. Compliance with the law and other obligations is a minimum environmental expectation at Micron. Our wafer fabrication facilities continued to conform to the requirements of the ISO 14001:2015 environmental management systems standard to ensure we are continuously improving our performance. As part of the ISO 14001 framework, we have established a global environmental policy and meet requirements, such as environmental aspects evaluation and control, compliance obligations, commitment, training, communication, document control, operational control, emergency preparedness and response, and management review. While we have not experienced any material adverse effects to our operations from environmental regulations, changes in regulations could necessitate additional capital expenditures, modification of our operations or chemical usage, or other compliance actions.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Trade Regulations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Sales of our memory and storage products, and the transfer of related technical information and know-how, including support, are subject to laws and regulations governing international trade, including, but not limited to, export control, customs, and sanctions regulations administered by U.S. government agencies such as the Bureau of Industry and Security (“BIS”) of the U.S. Department of Commerce and the Office of Foreign Asset Control of the U.S. Department of the Treasury. Other jurisdictions, such as the European Union or China, also maintain, or may implement, similar laws and regulations with which we must comply. Any such laws or regulations may require that we either obtain licenses or other authorizations to export certain of our products or sell them to certain countries, companies, or individuals, or, in the absence of such licenses or authorizations, not export or sell the applicable products or transfer the related technical information and know-how to the affected countries, companies, or individuals. In addition, increased tariffs imposed by the countries in which our products are sold can increase the cost of our product to our customers. The laws and regulations that govern international trade change frequently, sometimes without advance notice. See “Item 1A. Risk Factors – Risks Related to Laws and Regulations – Government actions and regulations, such as export restrictions, tariffs and trade protection measures, may limit our ability to sell our products to certain customers or markets, or could otherwise restrict our ability to conduct operations” and “ – Risks Related to Our Business, Operations, and Industry – We face geopolitical and other risks associated with our international operations that could materially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and/or our suppliers and service providers could be affected by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Lead times for the supply of materials have been extended in the past.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 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Information About Our Executive Officers</w:t>
      </w:r>
    </w:p>
    <w:p>
      <w:pPr>
        <w:spacing w:after="0" w:line="257"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Our executive officers are appointed annually by our Board of Directors and our directors are elected annually by our shareholders. All officers serve until their successors are duly chosen or elected and qualified, except in the case of earlier death, resignation, or removal.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presents information, as of September 1, 2022,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69348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6934835"/>
                    </a:xfrm>
                    <a:prstGeom prst="rect">
                      <a:avLst/>
                    </a:prstGeom>
                    <a:noFill/>
                  </pic:spPr>
                </pic:pic>
              </a:graphicData>
            </a:graphic>
          </wp:anchor>
        </w:drawing>
      </w:r>
    </w:p>
    <w:p>
      <w:pPr>
        <w:spacing w:after="0" w:line="82"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R. Allen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Corporate Vice President and Chief Accounting Officer</w:t>
      </w:r>
    </w:p>
    <w:p>
      <w:pPr>
        <w:spacing w:after="0" w:line="75" w:lineRule="exact"/>
        <w:rPr>
          <w:sz w:val="20"/>
          <w:szCs w:val="20"/>
          <w:color w:val="auto"/>
        </w:rPr>
      </w:pPr>
    </w:p>
    <w:p>
      <w:pPr>
        <w:ind w:left="2060" w:right="60"/>
        <w:spacing w:after="0" w:line="247" w:lineRule="auto"/>
        <w:rPr>
          <w:sz w:val="20"/>
          <w:szCs w:val="20"/>
          <w:color w:val="auto"/>
        </w:rPr>
      </w:pPr>
      <w:r>
        <w:rPr>
          <w:rFonts w:ascii="Arial" w:cs="Arial" w:eastAsia="Arial" w:hAnsi="Arial"/>
          <w:sz w:val="18"/>
          <w:szCs w:val="18"/>
          <w:color w:val="auto"/>
        </w:rPr>
        <w:t>Mr. Allen, 54, joined us in September 2020 as Corporate Vice President of Accounting. Mr. Allen was named Corporate Vice President and Chief Accounting Officer in October 2020. From August 2016 to September 2020, Mr. Allen held several executive roles at NetApp, Inc. including Senior Vice President, Chief Accounting Officer. Mr. Allen holds a Bachelor of Business Administration in Accounting from Siena College.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April S. Arnzen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and Chief People Officer</w:t>
      </w:r>
    </w:p>
    <w:p>
      <w:pPr>
        <w:spacing w:after="0" w:line="75" w:lineRule="exact"/>
        <w:rPr>
          <w:sz w:val="20"/>
          <w:szCs w:val="20"/>
          <w:color w:val="auto"/>
        </w:rPr>
      </w:pPr>
    </w:p>
    <w:p>
      <w:pPr>
        <w:ind w:left="2060" w:right="120"/>
        <w:spacing w:after="0" w:line="259" w:lineRule="auto"/>
        <w:rPr>
          <w:sz w:val="20"/>
          <w:szCs w:val="20"/>
          <w:color w:val="auto"/>
        </w:rPr>
      </w:pPr>
      <w:r>
        <w:rPr>
          <w:rFonts w:ascii="Arial" w:cs="Arial" w:eastAsia="Arial" w:hAnsi="Arial"/>
          <w:sz w:val="17"/>
          <w:szCs w:val="17"/>
          <w:color w:val="auto"/>
        </w:rPr>
        <w:t>Ms. Arnzen, 51, joined us in December 1996 and has served in various leadership positions since that time. Ms. Arnzen was named Senior Vice President, Human Resources in June 2017 and named Senior Vice President and</w:t>
      </w:r>
    </w:p>
    <w:p>
      <w:pPr>
        <w:spacing w:after="0" w:line="1" w:lineRule="exact"/>
        <w:rPr>
          <w:sz w:val="20"/>
          <w:szCs w:val="20"/>
          <w:color w:val="auto"/>
        </w:rPr>
      </w:pPr>
    </w:p>
    <w:p>
      <w:pPr>
        <w:ind w:left="2060" w:right="300"/>
        <w:spacing w:after="0" w:line="237" w:lineRule="auto"/>
        <w:rPr>
          <w:sz w:val="20"/>
          <w:szCs w:val="20"/>
          <w:color w:val="auto"/>
        </w:rPr>
      </w:pPr>
      <w:r>
        <w:rPr>
          <w:rFonts w:ascii="Arial" w:cs="Arial" w:eastAsia="Arial" w:hAnsi="Arial"/>
          <w:sz w:val="18"/>
          <w:szCs w:val="18"/>
          <w:color w:val="auto"/>
        </w:rPr>
        <w:t>Chief People Officer in October 2020. Ms. Arnzen holds a BS in Human Resource Management and Marketing from the University of Idaho and is a graduate of the Stanford Graduate School of Business Executive Program.</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Rob Beard</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General Counsel and Corporate Secretary</w:t>
      </w:r>
    </w:p>
    <w:p>
      <w:pPr>
        <w:spacing w:after="0" w:line="75" w:lineRule="exact"/>
        <w:rPr>
          <w:sz w:val="20"/>
          <w:szCs w:val="20"/>
          <w:color w:val="auto"/>
        </w:rPr>
      </w:pPr>
    </w:p>
    <w:p>
      <w:pPr>
        <w:ind w:left="2060" w:right="280"/>
        <w:spacing w:after="0" w:line="245" w:lineRule="auto"/>
        <w:rPr>
          <w:sz w:val="20"/>
          <w:szCs w:val="20"/>
          <w:color w:val="auto"/>
        </w:rPr>
      </w:pPr>
      <w:r>
        <w:rPr>
          <w:rFonts w:ascii="Arial" w:cs="Arial" w:eastAsia="Arial" w:hAnsi="Arial"/>
          <w:sz w:val="18"/>
          <w:szCs w:val="18"/>
          <w:color w:val="auto"/>
        </w:rPr>
        <w:t>Mr. Beard, 44, joined us in 2014 and has served in various leadership positions since that time. Prior to his appointment as Senior Vice President, General Counsel and Corporate Secretary in December 2021, he led the</w:t>
      </w:r>
    </w:p>
    <w:p>
      <w:pPr>
        <w:ind w:left="2060" w:right="520"/>
        <w:spacing w:after="0" w:line="237" w:lineRule="auto"/>
        <w:rPr>
          <w:sz w:val="20"/>
          <w:szCs w:val="20"/>
          <w:color w:val="auto"/>
        </w:rPr>
      </w:pPr>
      <w:r>
        <w:rPr>
          <w:rFonts w:ascii="Arial" w:cs="Arial" w:eastAsia="Arial" w:hAnsi="Arial"/>
          <w:sz w:val="18"/>
          <w:szCs w:val="18"/>
          <w:color w:val="auto"/>
        </w:rPr>
        <w:t>legal teams supporting Micron’s corporate and global operations functions. Mr. Beard earned a BS in political science from the University of Utah and a JD from the University of Illinois College of Law.</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Manish Bhatia</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Global Operations</w:t>
      </w:r>
    </w:p>
    <w:p>
      <w:pPr>
        <w:spacing w:after="0" w:line="75" w:lineRule="exact"/>
        <w:rPr>
          <w:sz w:val="20"/>
          <w:szCs w:val="20"/>
          <w:color w:val="auto"/>
        </w:rPr>
      </w:pPr>
    </w:p>
    <w:p>
      <w:pPr>
        <w:ind w:left="2060" w:right="220"/>
        <w:spacing w:after="0" w:line="245" w:lineRule="auto"/>
        <w:rPr>
          <w:sz w:val="20"/>
          <w:szCs w:val="20"/>
          <w:color w:val="auto"/>
        </w:rPr>
      </w:pPr>
      <w:r>
        <w:rPr>
          <w:rFonts w:ascii="Arial" w:cs="Arial" w:eastAsia="Arial" w:hAnsi="Arial"/>
          <w:sz w:val="18"/>
          <w:szCs w:val="18"/>
          <w:color w:val="auto"/>
        </w:rPr>
        <w:t>Mr. Bhatia, 50, joined us in October 2017 as our Executive Vice President, Global Operations. From May 2016 to October 2017, Mr. Bhatia served as the Executive Vice President of Silicon Operations at Western Digital</w:t>
      </w:r>
    </w:p>
    <w:p>
      <w:pPr>
        <w:ind w:left="2060" w:right="200"/>
        <w:spacing w:after="0"/>
        <w:rPr>
          <w:sz w:val="20"/>
          <w:szCs w:val="20"/>
          <w:color w:val="auto"/>
        </w:rPr>
      </w:pPr>
      <w:r>
        <w:rPr>
          <w:rFonts w:ascii="Arial" w:cs="Arial" w:eastAsia="Arial" w:hAnsi="Arial"/>
          <w:sz w:val="17"/>
          <w:szCs w:val="17"/>
          <w:color w:val="auto"/>
        </w:rPr>
        <w:t>Corporation. From March 2010 to May 2016, Mr. Bhatia held several executive roles at SanDisk Corporation including Executive Vice President of Worldwide Operations until it was acquired by Western Digital in May 2016.</w:t>
      </w:r>
    </w:p>
    <w:p>
      <w:pPr>
        <w:spacing w:after="0" w:line="1" w:lineRule="exact"/>
        <w:rPr>
          <w:sz w:val="20"/>
          <w:szCs w:val="20"/>
          <w:color w:val="auto"/>
        </w:rPr>
      </w:pPr>
    </w:p>
    <w:p>
      <w:pPr>
        <w:ind w:left="2060" w:right="240"/>
        <w:spacing w:after="0" w:line="237" w:lineRule="auto"/>
        <w:rPr>
          <w:sz w:val="20"/>
          <w:szCs w:val="20"/>
          <w:color w:val="auto"/>
        </w:rPr>
      </w:pPr>
      <w:r>
        <w:rPr>
          <w:rFonts w:ascii="Arial" w:cs="Arial" w:eastAsia="Arial" w:hAnsi="Arial"/>
          <w:sz w:val="18"/>
          <w:szCs w:val="18"/>
          <w:color w:val="auto"/>
        </w:rPr>
        <w:t>Mr. Bhatia holds a BS and MS in Mechanical Engineering and an MBA, each from the Massachusetts Institute of Technology.</w:t>
      </w:r>
    </w:p>
    <w:p>
      <w:pPr>
        <w:spacing w:after="0" w:line="233"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Michael W. Bokan</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Senior Vice President, Worldwide Sales</w:t>
      </w:r>
    </w:p>
    <w:p>
      <w:pPr>
        <w:spacing w:after="0" w:line="75" w:lineRule="exact"/>
        <w:rPr>
          <w:sz w:val="20"/>
          <w:szCs w:val="20"/>
          <w:color w:val="auto"/>
        </w:rPr>
      </w:pPr>
    </w:p>
    <w:p>
      <w:pPr>
        <w:ind w:left="2060" w:right="100"/>
        <w:spacing w:after="0" w:line="253" w:lineRule="auto"/>
        <w:rPr>
          <w:sz w:val="20"/>
          <w:szCs w:val="20"/>
          <w:color w:val="auto"/>
        </w:rPr>
      </w:pPr>
      <w:r>
        <w:rPr>
          <w:rFonts w:ascii="Arial" w:cs="Arial" w:eastAsia="Arial" w:hAnsi="Arial"/>
          <w:sz w:val="18"/>
          <w:szCs w:val="18"/>
          <w:color w:val="auto"/>
        </w:rPr>
        <w:t>Mr. Bokan, 61, joined us in 1996 and has served in various leadership positions since that time. Mr. Bokan was named Senior Vice President, Worldwide Sales in October 2018. Mr. Bokan holds a BS in Business Administration from Colorado State University.</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9" w:name="page20"/>
    <w:bookmarkEnd w:id="1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5606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5606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Scott J. DeBoer</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Technology &amp; Products</w:t>
      </w:r>
    </w:p>
    <w:p>
      <w:pPr>
        <w:spacing w:after="0" w:line="75"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Dr. DeBoer, 56, joined us in February 1995 and has served in various leadership positions since that time. Dr.</w:t>
      </w:r>
    </w:p>
    <w:p>
      <w:pPr>
        <w:spacing w:after="0" w:line="14" w:lineRule="exact"/>
        <w:rPr>
          <w:sz w:val="20"/>
          <w:szCs w:val="20"/>
          <w:color w:val="auto"/>
        </w:rPr>
      </w:pPr>
    </w:p>
    <w:p>
      <w:pPr>
        <w:ind w:left="2060" w:right="180"/>
        <w:spacing w:after="0"/>
        <w:rPr>
          <w:sz w:val="20"/>
          <w:szCs w:val="20"/>
          <w:color w:val="auto"/>
        </w:rPr>
      </w:pPr>
      <w:r>
        <w:rPr>
          <w:rFonts w:ascii="Arial" w:cs="Arial" w:eastAsia="Arial" w:hAnsi="Arial"/>
          <w:sz w:val="17"/>
          <w:szCs w:val="17"/>
          <w:color w:val="auto"/>
        </w:rPr>
        <w:t>DeBoer was named Executive Vice President, Technology Development in June 2017 and named Executive Vice President, Technology &amp; Products in September 2019. Dr. DeBoer holds a PhD in Electrical Engineering and an</w:t>
      </w:r>
    </w:p>
    <w:p>
      <w:pPr>
        <w:spacing w:after="0" w:line="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MS in Physics from Iowa State University. He completed his undergraduate degree at Hastings College.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Sanjay Mehrotra</w:t>
      </w:r>
    </w:p>
    <w:p>
      <w:pPr>
        <w:spacing w:after="0" w:line="89"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President, Chief Executive Officer, and Director</w:t>
      </w:r>
    </w:p>
    <w:p>
      <w:pPr>
        <w:spacing w:after="0" w:line="48" w:lineRule="exact"/>
        <w:rPr>
          <w:sz w:val="20"/>
          <w:szCs w:val="20"/>
          <w:color w:val="auto"/>
        </w:rPr>
      </w:pPr>
    </w:p>
    <w:p>
      <w:pPr>
        <w:ind w:left="2060" w:right="60"/>
        <w:spacing w:after="0" w:line="226" w:lineRule="auto"/>
        <w:rPr>
          <w:sz w:val="20"/>
          <w:szCs w:val="20"/>
          <w:color w:val="auto"/>
        </w:rPr>
      </w:pPr>
      <w:r>
        <w:rPr>
          <w:rFonts w:ascii="Arial" w:cs="Arial" w:eastAsia="Arial" w:hAnsi="Arial"/>
          <w:sz w:val="18"/>
          <w:szCs w:val="18"/>
          <w:color w:val="auto"/>
        </w:rPr>
        <w:t>Mr. Mehrotra, 64, joined us in May 2017 as our President, Chief Executive Officer, and Director. Mr. Mehrotra co-founded and led SanDisk Corporation as a start-up in 1988 until its eventual sale in May 2016, serving as its President and Chief Executive Officer from January 2011 to May 2016, and as a member of its Board of Directors from July 2010 to May 2016. Mr. Mehrotra served as a member of the Board of Directors for Cavium, Inc. from July 2009 until July 2018 and for Western Digital Corp. from May 2016 to February 2017 and currently serves as a member of the Board of Directors of CDW Corporation. Mr. Mehrotra holds a BS and an MS in Electrical Engineering and Computer Science from the University of California, Berkeley and is a graduate of the Stanford Graduate School of Business Executive Program.</w:t>
      </w:r>
    </w:p>
    <w:p>
      <w:pPr>
        <w:spacing w:after="0" w:line="153"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Mark J. Murphy</w:t>
      </w:r>
    </w:p>
    <w:p>
      <w:pPr>
        <w:spacing w:after="0" w:line="116"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Financial Officer</w:t>
      </w:r>
    </w:p>
    <w:p>
      <w:pPr>
        <w:spacing w:after="0" w:line="61" w:lineRule="exact"/>
        <w:rPr>
          <w:sz w:val="20"/>
          <w:szCs w:val="20"/>
          <w:color w:val="auto"/>
        </w:rPr>
      </w:pPr>
    </w:p>
    <w:p>
      <w:pPr>
        <w:ind w:left="2060" w:right="80"/>
        <w:spacing w:after="0" w:line="228" w:lineRule="auto"/>
        <w:rPr>
          <w:sz w:val="20"/>
          <w:szCs w:val="20"/>
          <w:color w:val="auto"/>
        </w:rPr>
      </w:pPr>
      <w:r>
        <w:rPr>
          <w:rFonts w:ascii="Arial" w:cs="Arial" w:eastAsia="Arial" w:hAnsi="Arial"/>
          <w:sz w:val="18"/>
          <w:szCs w:val="18"/>
          <w:color w:val="auto"/>
        </w:rPr>
        <w:t>Mr. Murphy, 54, joined us in April 2022 as Executive Vice President and Chief Financial Officer. From June 2016 to April 2022, Mr. Murphy served as the Chief Financial Officer of Qorvo, Inc. Prior to Qorvo, Mr. Murphy served as Executive Vice President and Chief Financial Officer of Delphi Automotive PLC, and prior to Delphi, held executive roles at Praxair, Inc. and MEMC Electronic Materials, Inc. Mr. Murphy currently serves on the Board of Directors of Albany International Corp. Mr. Murphy is a veteran of the U.S. Marine Corps and holds an MBA from Harvard University and BS in Business from Marquette University.</w:t>
      </w:r>
    </w:p>
    <w:p>
      <w:pPr>
        <w:spacing w:after="0" w:line="249" w:lineRule="exact"/>
        <w:rPr>
          <w:sz w:val="20"/>
          <w:szCs w:val="20"/>
          <w:color w:val="auto"/>
        </w:rPr>
      </w:pPr>
    </w:p>
    <w:p>
      <w:pPr>
        <w:ind w:left="2060"/>
        <w:spacing w:after="0"/>
        <w:rPr>
          <w:sz w:val="20"/>
          <w:szCs w:val="20"/>
          <w:color w:val="auto"/>
        </w:rPr>
      </w:pPr>
      <w:r>
        <w:rPr>
          <w:rFonts w:ascii="Arial" w:cs="Arial" w:eastAsia="Arial" w:hAnsi="Arial"/>
          <w:sz w:val="29"/>
          <w:szCs w:val="29"/>
          <w:b w:val="1"/>
          <w:bCs w:val="1"/>
          <w:color w:val="FFFFFF"/>
        </w:rPr>
        <w:t>Sumit Sadana</w:t>
      </w:r>
    </w:p>
    <w:p>
      <w:pPr>
        <w:spacing w:after="0" w:line="102" w:lineRule="exact"/>
        <w:rPr>
          <w:sz w:val="20"/>
          <w:szCs w:val="20"/>
          <w:color w:val="auto"/>
        </w:rPr>
      </w:pPr>
    </w:p>
    <w:p>
      <w:pPr>
        <w:ind w:left="2060"/>
        <w:spacing w:after="0"/>
        <w:rPr>
          <w:sz w:val="20"/>
          <w:szCs w:val="20"/>
          <w:color w:val="auto"/>
        </w:rPr>
      </w:pPr>
      <w:r>
        <w:rPr>
          <w:rFonts w:ascii="Arial" w:cs="Arial" w:eastAsia="Arial" w:hAnsi="Arial"/>
          <w:sz w:val="18"/>
          <w:szCs w:val="18"/>
          <w:b w:val="1"/>
          <w:bCs w:val="1"/>
          <w:i w:val="1"/>
          <w:iCs w:val="1"/>
          <w:color w:val="auto"/>
        </w:rPr>
        <w:t>Executive Vice President and Chief Business Officer</w:t>
      </w:r>
    </w:p>
    <w:p>
      <w:pPr>
        <w:spacing w:after="0" w:line="61" w:lineRule="exact"/>
        <w:rPr>
          <w:sz w:val="20"/>
          <w:szCs w:val="20"/>
          <w:color w:val="auto"/>
        </w:rPr>
      </w:pPr>
    </w:p>
    <w:p>
      <w:pPr>
        <w:ind w:left="2060" w:right="60"/>
        <w:spacing w:after="0" w:line="228" w:lineRule="auto"/>
        <w:rPr>
          <w:sz w:val="20"/>
          <w:szCs w:val="20"/>
          <w:color w:val="auto"/>
        </w:rPr>
      </w:pPr>
      <w:r>
        <w:rPr>
          <w:rFonts w:ascii="Arial" w:cs="Arial" w:eastAsia="Arial" w:hAnsi="Arial"/>
          <w:sz w:val="18"/>
          <w:szCs w:val="18"/>
          <w:color w:val="auto"/>
        </w:rPr>
        <w:t>Mr. Sadana, 53, joined us in June 2017 as our Executive Vice President and Chief Business Officer. From April 2010 to May 2016, Mr. Sadana served in various roles at SanDisk Corporation, including Executive Vice President, Chief Strategy Officer, and General Manager, Enterprise Solutions until it was acquired by Western Digital in May 2016. Mr. Sadana currently serves on the Board of Directors of Silicon Laboratories, Inc. Mr. Sadana holds a B.Tech. in Electrical Engineering from the Indian Institute of Technology, Kharagpur, India and an MS in Electrical Engineering from Stanford University.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Available Information</w:t>
      </w:r>
    </w:p>
    <w:p>
      <w:pPr>
        <w:spacing w:after="0" w:line="2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executive offices are located at 8000 South Federal Way, Boise, Idaho 83716 -9632 and our telephone number is (208) 368-4000. Information about us is available on our website, www.micron.com. Also available on our website are our Corporate Governance Guidelines, Governance and Sustainability Committee Charter, Compensation Committee Charter, Audit Committee Charter, Finance Committee Charter, Security Committee Charter, and Code of Business Conduct and Ethics. Any amendments or waivers of our Code of Business Conduct and Ethics will also be posted on our website within four business days of the amendment or waiver. Copies of these documents are available to shareholders upon request. Information contained or referenced on our website is not incorporated by reference and does not form a part of this Annual Report on Form 10-K.</w:t>
      </w:r>
    </w:p>
    <w:p>
      <w:pPr>
        <w:spacing w:after="0" w:line="2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Investors and others should note that we announce material financial information about our business and products through a variety of means, including our investor relations website (investors.micron.com), filings with the U.S. Securities and Exchange Commission (“SEC”), press releases, public conference calls, blog posts (micron.com/about/blog),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w:t>
      </w:r>
    </w:p>
    <w:p>
      <w:pPr>
        <w:spacing w:after="0" w:line="20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filings are available free of charge on our website as soon as reasonably practicable after they are electronically filed with, or furnished to, the SEC, including our annual and quarterly reports on Forms 10-K and 10-Q and current reports on Form 8-K, our proxy statements, and any amendments to those reports or statements. The SEC’s website, www.sec.gov,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1A. RISK FACTORS</w:t>
      </w:r>
    </w:p>
    <w:p>
      <w:pPr>
        <w:spacing w:after="0" w:line="2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factors discussed elsewhere in this Form 10-K,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20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 Factor Summary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Our Business, Operations, and Industry</w:t>
      </w:r>
    </w:p>
    <w:p>
      <w:pPr>
        <w:spacing w:after="0" w:line="2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volatility in average selling prices of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gross margins;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highly competitive nature of our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downturn in the worldwide economy;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and produce new and competitive memory and storage technologies and products;</w:t>
      </w:r>
    </w:p>
    <w:p>
      <w:pPr>
        <w:spacing w:after="0" w:line="9" w:lineRule="exact"/>
        <w:rPr>
          <w:rFonts w:ascii="Arial" w:cs="Arial" w:eastAsia="Arial" w:hAnsi="Arial"/>
          <w:sz w:val="18"/>
          <w:szCs w:val="18"/>
          <w:color w:val="auto"/>
        </w:rPr>
      </w:pPr>
    </w:p>
    <w:p>
      <w:pPr>
        <w:ind w:left="660" w:right="3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dependency on specific customers, concentration of revenue with a select number of customers, and customers who are located internationally;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international operations, including geopolitical risks;</w:t>
      </w:r>
    </w:p>
    <w:p>
      <w:pPr>
        <w:spacing w:after="0" w:line="9" w:lineRule="exact"/>
        <w:rPr>
          <w:rFonts w:ascii="Arial" w:cs="Arial" w:eastAsia="Arial" w:hAnsi="Arial"/>
          <w:sz w:val="18"/>
          <w:szCs w:val="18"/>
          <w:color w:val="auto"/>
        </w:rPr>
      </w:pPr>
    </w:p>
    <w:p>
      <w:pPr>
        <w:ind w:left="660" w:right="50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limited availability and quality of materials, supplies, and capital equipment and dependency on third-party service providers for ourselves and our customers;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products that fail to meet specifications, are defective, or are incompatible with end uses;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the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to our manufacturing process from operational issues, natural disasters, or other events;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breaches of our security systems or products, or those of our customers, suppliers, or business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attracting, retaining, and motivating highly skilled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realizing expected returns from capacity expansions;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achieving or maintaining certain performance obligations associated with incentives from various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acquisitions and/or alliances;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charges;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responsible sourcing requirements and related regulations;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social, and governance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Intellectual Property and Litigation</w:t>
      </w:r>
    </w:p>
    <w:p>
      <w:pPr>
        <w:spacing w:after="0" w:line="2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protecting our intellectual property and retaining key employees who are knowledgeable of and develop our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legal proceedings and claims; and</w:t>
      </w:r>
    </w:p>
    <w:p>
      <w:pPr>
        <w:spacing w:after="0" w:line="9" w:lineRule="exact"/>
        <w:rPr>
          <w:rFonts w:ascii="Arial" w:cs="Arial" w:eastAsia="Arial" w:hAnsi="Arial"/>
          <w:sz w:val="18"/>
          <w:szCs w:val="18"/>
          <w:color w:val="auto"/>
        </w:rPr>
      </w:pPr>
    </w:p>
    <w:p>
      <w:pPr>
        <w:ind w:left="660" w:right="60" w:hanging="328"/>
        <w:spacing w:after="0" w:line="26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claims that our products or manufacturing processes infringe or otherwise violate the intellectual property rights of others or failure to obtain or renew license agreements covering such intellectual property.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Laws and Regulations</w:t>
      </w:r>
    </w:p>
    <w:p>
      <w:pPr>
        <w:spacing w:after="0" w:line="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tariffs, trade restrictions, and/or trade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tax expense and tax laws in key jurisdictions;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laws, regulations, or industry standards, including ESG considerations.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Related to Capitalization and Financial Markets</w:t>
      </w:r>
    </w:p>
    <w:p>
      <w:pPr>
        <w:spacing w:after="0" w:line="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generate sufficient cash flows or obtain access to external financing;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debt obligations;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counterparty default risk;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volatility in the trading price of our common stock;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the amount and timing of our common stock repurchases and payment of cash dividends and resulting impacts.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Our Business, Operations, and Industry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Volatility in average selling prices for our semiconductor memory and storage products may adversely affect our business.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have experienced significant volatility in our average selling prices and may continue to experience such volatility in the future. For DRAM, annual percentage changes in average selling prices have ranged from plus or minus approximately 35% since 2017. For NAND, average selling prices have generally declined since 2017, with annual price declines ranging from approximately 10% to nearly 50%. In some prior periods, average selling prices for our products have been below our manufacturing costs and we may experience such circumstances in the future. Average selling prices for our products that decline faster than our costs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be unable to maintain or improve gross margins.</w:t>
      </w:r>
    </w:p>
    <w:p>
      <w:pPr>
        <w:spacing w:after="0" w:line="25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gross margins are dependent, in part, upon continuing decreases in per gigabit manufacturing costs achieved through improvements in our manufacturing processes and product designs. Factors that may limit our ability to reduce our per gigabit manufacturing costs at sufficient levels to maintain or improve gross margins include, but are not limited to:</w:t>
      </w:r>
    </w:p>
    <w:p>
      <w:pPr>
        <w:spacing w:after="0" w:line="19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strategic product diversification decisions affecting product mix;</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complexity of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transitioning to smaller line-width process technologies or additional 3D memory layers or NAND cell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process complexity including number of mask layers and fabrication steps;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manufacturing yield;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technological barriers;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process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products that may require relatively larger die sizes;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start-up or other costs associated with capacity expansions;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costs of goods and services due to inflationary pressures or market conditions.</w:t>
      </w:r>
    </w:p>
    <w:p>
      <w:pPr>
        <w:spacing w:after="0" w:line="23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Many factors may result in a reduction of our output or a delay in ramping production, which could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and corresponding increases in our per gigabit manufacturing costs may adversely affect our gross margins, business, results of operations, or financial condition.</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Consequently, we may incur charges in connection with obsolete or excess inventories or we may not fully recover our costs, which would reduce our gross margins. In addition, due to the customized nature of certain of the products we manufacture, we may be unable to sell certain finished goods inventories to alternative customers or manufacture in-process inventory to different specifications, which may result in excess and obsolescence charges in future periods.</w:t>
      </w:r>
    </w:p>
    <w:p>
      <w:pPr>
        <w:spacing w:after="0" w:line="212"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98"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Our inability to maintain or improve gross margins could have a material adverse effect on our business, results of operations, or financial condition.</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semiconductor memory and storage markets are highly competitive.</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face intense competition in the semiconductor memory and storage markets from a number of companies, including Intel; Kioxia Holdings Corporation; Samsung Electronics Co., Ltd.; SK hynix Inc.; and Western Digital Corporation. Our competitors may use aggressive pricing to obtain market share. Some of our competitors are large corporations or conglomerates that may have greater resources to invest in technology, capitalize on growth opportunities, and withstand downturns in the semiconductor markets in which we compete. Consolidation of industry competitors could put us at a competitive disadvantage as our competitors may benefit from increased manufacturing scale and a stronger product portfolio.</w:t>
      </w:r>
    </w:p>
    <w:p>
      <w:pPr>
        <w:spacing w:after="0" w:line="20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some governments may provide, or have provided and may continue to provide, significant assistance, financial or otherwise, to some of our competitors or to new entrants and may intervene in support of national industries and/or competitors. In particular, we face the threat of increasing competition as a result of significant investment in the semiconductor industry by the Chinese government and various state-owned or affiliated entities, such as YMTC and CXMT, that is intended to advance China’s stated national policy objectives. In addition, the Chinese government may restrict us from participating in the China market or may prevent us from competing effectively with Chinese companies.</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 our competitors generally seek to increase wafer output, improve yields, and reduce die size, which could result in significant increases in worldwide supply and downward pressure on prices. Increases in worldwide supply of semiconductor memory and storage also result from fabrication capacity expansions, either by way of new facilities, increased capacity utilization, or reallocation of other semiconductor production to semiconductor memory and storage production. Our competitors may increase capital expenditures resulting in future increases in worldwide supply. We, and some of our competitors, have plans to ramp, or are constructing or ramping, production at new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If competitors are more successful at developing or implementing new product or process technology, their products could have cost or performance advantages.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competitive nature of our industry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downturn in the worldwide economy may harm our business.</w:t>
      </w:r>
    </w:p>
    <w:p>
      <w:pPr>
        <w:spacing w:after="0" w:line="25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Downturns in the worldwide economy, due to inflation, geopolitics, major central bank policy actions including interest rate increases, public health crises, or other factors, have harmed our business in the past and future downturns could also adversely affect our business. Adverse economic conditions affect demand for devices that incorporate our products, such as personal computers, smartphones, automobiles, and servers. Reduced demand for these or other products could result in significant decreases in our average selling prices and product sales. In addition, to the extent our customers or distributors have elevated inventory levels, we may experience a decrease in short-term and/or long-term demand resulting in industry oversupply and declines in pricing for our products.</w:t>
      </w:r>
    </w:p>
    <w:p>
      <w:pPr>
        <w:spacing w:after="0" w:line="2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 deterioration of conditions in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As a result, downturns in the worldwide economy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80"/>
        <w:spacing w:after="0" w:line="296" w:lineRule="auto"/>
        <w:rPr>
          <w:sz w:val="20"/>
          <w:szCs w:val="20"/>
          <w:color w:val="auto"/>
        </w:rPr>
      </w:pPr>
      <w:r>
        <w:rPr>
          <w:rFonts w:ascii="Arial" w:cs="Arial" w:eastAsia="Arial" w:hAnsi="Arial"/>
          <w:sz w:val="18"/>
          <w:szCs w:val="18"/>
          <w:b w:val="1"/>
          <w:bCs w:val="1"/>
          <w:color w:val="0090DA"/>
        </w:rPr>
        <w:t>Our future success depends on our ability to develop and produce new and competitive memory and storage technologies and products.</w:t>
      </w:r>
    </w:p>
    <w:p>
      <w:pPr>
        <w:spacing w:after="0" w:line="16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key semiconductor memory and storage technologies face technological barriers to continue to meet long-term customer needs. These barriers include potential limitations on stacking additional 3D memory layers, increasing bits per cell (i.e., cell levels), meeting higher density requirements,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 As a result, our product demand forecasts may be impacted significantly by the strategic actions of our customers. In addition, our ability to successfully introduce new products often requires us to make product specification decisions multiple years in advance of when new products enter the market.</w:t>
      </w:r>
    </w:p>
    <w:p>
      <w:pPr>
        <w:spacing w:after="0" w:line="2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It is important that we deliver products in a timely manner with increasingly advanced performance characteristics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lead-times, requiring us to place orders up to a year in advance of anticipated demand. Such long lead-times increase the risk of excess inventory or loss of sales in the event our forecasts vary substantially from actual demand.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of the following:</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successful in developing competitive new semiconductor memory and storage technologies and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cost-effectively manufacture new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successfully market these technologies;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margins generated from sales of these products will allow us to recover costs of development efforts;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establish or maintain key relationships with customers, or that we will not be prohibited from working with certain customers, for specific chip set or design requirements;</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accurately predict and design products that meet our customers' specifications;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be able to introduce new products into the market and qualify them with our customers on a timely basis.</w:t>
      </w:r>
    </w:p>
    <w:p>
      <w:pPr>
        <w:spacing w:after="0" w:line="23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 significant portion of our revenue is concentrated with a select number of customers.</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each of the last three years, approximately one-half of our total revenue was from our top ten customers. A disruption in our relationship with any of these customers could adversely affect our business. We could experience fluctuations in our customer base or the mix of revenue by customer as markets and strategies evolve. Our customers’ demand for our products may fluctuate due to factors beyond our control. In addition, any consolidation of our customers could reduce the number of customers to whom our products may be sold. Our inability to meet our customers’ requirements or to qualify our products with them could adversely impact our revenue. A meaningful change in the inventory strategy of our customers could impact our industry bit demand growth outlook. The loss of, or restrictions on our ability to sell to, one or more of our major customers, or any significant reduction in orders from, or a shift in product mix by, customers could have a material adverse effect on our business, results of operations, or financial condition.</w:t>
      </w:r>
    </w:p>
    <w:p>
      <w:pPr>
        <w:spacing w:after="0" w:line="212" w:lineRule="exact"/>
        <w:rPr>
          <w:sz w:val="20"/>
          <w:szCs w:val="20"/>
          <w:color w:val="auto"/>
        </w:rPr>
      </w:pPr>
    </w:p>
    <w:p>
      <w:pPr>
        <w:ind w:right="780"/>
        <w:spacing w:after="0" w:line="296" w:lineRule="auto"/>
        <w:rPr>
          <w:sz w:val="20"/>
          <w:szCs w:val="20"/>
          <w:color w:val="auto"/>
        </w:rPr>
      </w:pPr>
      <w:r>
        <w:rPr>
          <w:rFonts w:ascii="Arial" w:cs="Arial" w:eastAsia="Arial" w:hAnsi="Arial"/>
          <w:sz w:val="18"/>
          <w:szCs w:val="18"/>
          <w:b w:val="1"/>
          <w:bCs w:val="1"/>
          <w:color w:val="0090DA"/>
        </w:rPr>
        <w:t>We face geopolitical and other risks associated with our international operations that could materially adversely affect our business, results of operations, or financial condition.</w:t>
      </w:r>
    </w:p>
    <w:p>
      <w:pPr>
        <w:spacing w:after="0" w:line="164" w:lineRule="exact"/>
        <w:rPr>
          <w:sz w:val="20"/>
          <w:szCs w:val="20"/>
          <w:color w:val="auto"/>
        </w:rPr>
      </w:pPr>
    </w:p>
    <w:p>
      <w:pPr>
        <w:jc w:val="both"/>
        <w:ind w:right="180"/>
        <w:spacing w:after="0" w:line="262" w:lineRule="auto"/>
        <w:rPr>
          <w:sz w:val="20"/>
          <w:szCs w:val="20"/>
          <w:color w:val="auto"/>
        </w:rPr>
      </w:pPr>
      <w:r>
        <w:rPr>
          <w:rFonts w:ascii="Arial" w:cs="Arial" w:eastAsia="Arial" w:hAnsi="Arial"/>
          <w:sz w:val="18"/>
          <w:szCs w:val="18"/>
          <w:color w:val="auto"/>
        </w:rPr>
        <w:t>In addition to our U.S. operations, a substantial portion of our operations are conducted in Taiwan, Singapore, Japan, Malaysia, China, and India, and many of our customers, suppliers, and vendors also operate internationally. In 2022, nearly half of our revenue was from sales to customers who have headquarters located outside the United States, while over 80% of our revenue in 2022 was from products shipped to customer locations outside the United States.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Our international operations are subject to a number of risks, including:</w:t>
      </w:r>
    </w:p>
    <w:p>
      <w:pPr>
        <w:spacing w:after="0" w:line="252" w:lineRule="exact"/>
        <w:rPr>
          <w:sz w:val="20"/>
          <w:szCs w:val="20"/>
          <w:color w:val="auto"/>
        </w:rPr>
      </w:pPr>
    </w:p>
    <w:p>
      <w:pPr>
        <w:ind w:left="660" w:right="100" w:hanging="328"/>
        <w:spacing w:after="0" w:line="25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export and import duties, changes to import and export regulations, customs regulations and processes, and restrictions on the transfer of funds, including currency controls in China, which could negatively affect the amount and timing of payments from certain of our customers and, as a result, our cash flows;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imposition of bans on sales of goods or services to one or more of our significant foreign customers;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issues;</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U.S. and international laws involving international operations, including the Foreign Corrupt Practices Act of 1977, as amended, sanctions and anti-corruption laws, export and import laws, and similar rules and regulations;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theft of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economic instability, including the effects of disputes between China and Taiwan and Russia’s invasion of Ukraine;</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actions or civil unrest preventing the flow of products and materials, including delays in shipping and obtaining products and materials, cancellation of orders, or loss or damage of products;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problems with the transportation or delivery of products and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issues arising from cultural or language differences and labor unrest;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longer payment cycles and greater difficulty in collecting accounts receivable;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compliance with trade, technical standards, and other laws in a variety of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contractual and regulatory limitations on the ability to maintain flexibility with staffing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to manufacturing or R&amp;D activities as a result of actions imposed by foreign governments;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economic policies of foreign governments;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international operations.</w:t>
      </w:r>
    </w:p>
    <w:p>
      <w:pPr>
        <w:spacing w:after="0" w:line="23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or our customers, suppliers, or vendors are impacted by any of these risks, it could have a material adverse effect on our business, results of operations, or financial condition. For example, political, economic, or other actions may adversely affect our operations in Taiwan. A majority of our DRAM production output in 2022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the U.S. government has in the past restricted American firms from selling products and software to certain of our customers and may in the future impose similar restrictions on one or more of our significant customers. These restrictions may not prohibit our competitors from selling similar products to our customers, which may result in our loss of sales and market share. Even when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209" w:lineRule="exact"/>
        <w:rPr>
          <w:sz w:val="20"/>
          <w:szCs w:val="20"/>
          <w:color w:val="auto"/>
        </w:rPr>
      </w:pPr>
    </w:p>
    <w:p>
      <w:pPr>
        <w:ind w:right="480"/>
        <w:spacing w:after="0" w:line="296" w:lineRule="auto"/>
        <w:rPr>
          <w:sz w:val="20"/>
          <w:szCs w:val="20"/>
          <w:color w:val="auto"/>
        </w:rPr>
      </w:pPr>
      <w:r>
        <w:rPr>
          <w:rFonts w:ascii="Arial" w:cs="Arial" w:eastAsia="Arial" w:hAnsi="Arial"/>
          <w:sz w:val="18"/>
          <w:szCs w:val="18"/>
          <w:b w:val="1"/>
          <w:bCs w:val="1"/>
          <w:color w:val="0090DA"/>
        </w:rPr>
        <w:t>Our business, results of operations, or financial condition could be adversely affected by the limited availability and quality of materials, supplies, and capital equipment, or dependency on third-party service providers.</w:t>
      </w:r>
    </w:p>
    <w:p>
      <w:pPr>
        <w:spacing w:after="0" w:line="164" w:lineRule="exact"/>
        <w:rPr>
          <w:sz w:val="20"/>
          <w:szCs w:val="20"/>
          <w:color w:val="auto"/>
        </w:rPr>
      </w:pPr>
    </w:p>
    <w:p>
      <w:pPr>
        <w:ind w:right="140"/>
        <w:spacing w:after="0" w:line="244" w:lineRule="auto"/>
        <w:rPr>
          <w:sz w:val="20"/>
          <w:szCs w:val="20"/>
          <w:color w:val="auto"/>
        </w:rPr>
      </w:pPr>
      <w:r>
        <w:rPr>
          <w:rFonts w:ascii="Arial" w:cs="Arial" w:eastAsia="Arial" w:hAnsi="Arial"/>
          <w:sz w:val="18"/>
          <w:szCs w:val="18"/>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 controllers,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Constraints within our supply chain for certain materials and integrated circuit components could limit our bit shipments, which could have a material adverse effect on our business, results of operations, or financial condition.</w:t>
      </w:r>
    </w:p>
    <w:p>
      <w:pPr>
        <w:spacing w:after="0" w:line="2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and shortages have increased, and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addition, if any of our suppliers was to cease operations or become insolvent, this could impact their ability to provide us with necessary supplies, and we may not be able to obtain the needed supply in a timely way or at all from other providers.</w:t>
      </w:r>
    </w:p>
    <w:p>
      <w:pPr>
        <w:spacing w:after="0" w:line="20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materials are primarily available in a limited number of countries, including rare earth elements, minerals, and metals. Trade disputes, geopolitical tensions, economic circumstances, political conditions, or public health issues, such as COVID-19, may limit our ability to obtain such materials. Although these rare earth and other materials are generally available from multiple suppliers, China is the predominant producer of certain of these materials. If China were to restrict or stop exporting these materials,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manufacturers who are able to obtain sufficient quantities of these materials from China.</w:t>
      </w:r>
    </w:p>
    <w:p>
      <w:pPr>
        <w:spacing w:after="0" w:line="21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and/or our suppliers and service providers could be affected by regional conflicts, sanctions, tariffs, embargoes, or other trade restrictions, as well as laws and regulations enacted in response to concerns regarding climate change, conflict minerals, responsible sourcing practices, public health crises, contagious disease outbreaks,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21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significant delays in completion of our construction projects and cost increases, which could have a material adverse effect on our business, results of operations, or financial condition.</w:t>
      </w:r>
    </w:p>
    <w:p>
      <w:pPr>
        <w:spacing w:after="0" w:line="20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20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189" w:lineRule="exact"/>
        <w:rPr>
          <w:sz w:val="20"/>
          <w:szCs w:val="20"/>
          <w:color w:val="auto"/>
        </w:rPr>
      </w:pPr>
    </w:p>
    <w:p>
      <w:pPr>
        <w:ind w:right="880"/>
        <w:spacing w:after="0" w:line="296" w:lineRule="auto"/>
        <w:rPr>
          <w:sz w:val="20"/>
          <w:szCs w:val="20"/>
          <w:color w:val="auto"/>
        </w:rPr>
      </w:pPr>
      <w:r>
        <w:rPr>
          <w:rFonts w:ascii="Arial" w:cs="Arial" w:eastAsia="Arial" w:hAnsi="Arial"/>
          <w:sz w:val="18"/>
          <w:szCs w:val="18"/>
          <w:b w:val="1"/>
          <w:bCs w:val="1"/>
          <w:color w:val="0090DA"/>
        </w:rPr>
        <w:t>The continued effects of the COVID-19 pandemic could adversely affect our business, results of operations, and financial condition.</w:t>
      </w:r>
    </w:p>
    <w:p>
      <w:pPr>
        <w:spacing w:after="0" w:line="164" w:lineRule="exact"/>
        <w:rPr>
          <w:sz w:val="20"/>
          <w:szCs w:val="20"/>
          <w:color w:val="auto"/>
        </w:rPr>
      </w:pPr>
    </w:p>
    <w:p>
      <w:pPr>
        <w:jc w:val="both"/>
        <w:ind w:right="60"/>
        <w:spacing w:after="0" w:line="268" w:lineRule="auto"/>
        <w:rPr>
          <w:sz w:val="20"/>
          <w:szCs w:val="20"/>
          <w:color w:val="auto"/>
        </w:rPr>
      </w:pPr>
      <w:r>
        <w:rPr>
          <w:rFonts w:ascii="Arial" w:cs="Arial" w:eastAsia="Arial" w:hAnsi="Arial"/>
          <w:sz w:val="18"/>
          <w:szCs w:val="18"/>
          <w:color w:val="auto"/>
        </w:rPr>
        <w:t>The ongoing effects of the public health crisis caused by the COVID-19 pandemic and the measures being taken to limit COVID-19’s impact on our business, results of operations, and financial condition are uncertain and difficult to predict, but may include, and in some cases, have included and may continue to include:</w:t>
      </w:r>
    </w:p>
    <w:p>
      <w:pPr>
        <w:spacing w:after="0" w:line="198" w:lineRule="exact"/>
        <w:rPr>
          <w:sz w:val="20"/>
          <w:szCs w:val="20"/>
          <w:color w:val="auto"/>
        </w:rPr>
      </w:pPr>
    </w:p>
    <w:p>
      <w:pPr>
        <w:ind w:left="660" w:right="620" w:hanging="328"/>
        <w:spacing w:after="0" w:line="26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to our supply chain and our operations, or those of our suppliers, especially as a result of public health measures, including zero-COVID policies in China or elsewhere;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Impacts to customer demand, resulting in industry oversupply and declines in pricing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impacts to our business activities and increased costs from our efforts to mitigate the impact of COVID-19;</w:t>
      </w:r>
    </w:p>
    <w:p>
      <w:pPr>
        <w:spacing w:after="0" w:line="9" w:lineRule="exact"/>
        <w:rPr>
          <w:rFonts w:ascii="Arial" w:cs="Arial" w:eastAsia="Arial" w:hAnsi="Arial"/>
          <w:sz w:val="18"/>
          <w:szCs w:val="18"/>
          <w:color w:val="auto"/>
        </w:rPr>
      </w:pPr>
    </w:p>
    <w:p>
      <w:pPr>
        <w:ind w:left="660" w:right="22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costs for, or unavailability of, transportation, raw materials, components, electricity and/or other energy sources, or other inputs necessary for the operation of our business;</w:t>
      </w:r>
    </w:p>
    <w:p>
      <w:pPr>
        <w:ind w:left="660" w:right="580" w:hanging="328"/>
        <w:spacing w:after="0" w:line="250"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Reductions in, or cessation of operations at one or more of our sites or those of our subcontractors or suppliers, resulting from government restrictions and/or our own measures to prevent and/or mitigate the spread of COVID-19; and</w:t>
      </w:r>
    </w:p>
    <w:p>
      <w:pPr>
        <w:ind w:left="660" w:right="26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impacts to our construction projects, which could hamper our ability to introduce new technologies, reduce costs, or meet customer demand.</w:t>
      </w:r>
    </w:p>
    <w:p>
      <w:pPr>
        <w:spacing w:after="0" w:line="19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These effects and other impacts of the pandemic, alone or taken together,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96" w:lineRule="auto"/>
        <w:rPr>
          <w:sz w:val="20"/>
          <w:szCs w:val="20"/>
          <w:color w:val="auto"/>
        </w:rPr>
      </w:pPr>
      <w:r>
        <w:rPr>
          <w:rFonts w:ascii="Arial" w:cs="Arial" w:eastAsia="Arial" w:hAnsi="Arial"/>
          <w:sz w:val="18"/>
          <w:szCs w:val="18"/>
          <w:b w:val="1"/>
          <w:bCs w:val="1"/>
          <w:color w:val="0090DA"/>
        </w:rPr>
        <w:t>Increases in sales of system solutions may increase our dependency upon specific customers and our costs to develop, qualify, and manufacture our system solutions.</w:t>
      </w:r>
    </w:p>
    <w:p>
      <w:pPr>
        <w:spacing w:after="0" w:line="16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development of system-level memory and storage products is dependent, in part, upon successfully identifying and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 system-level solutions at sufficient volumes and prices in a timely manner. If we fail to successfully develop and market system-level products, our business, results of operations, or financial condition may be materially adversely affected.</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Manufacturing system-level solutions, such as SSDs and managed NAND, typically results in higher per-unit manufacturing costs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9" w:lineRule="exact"/>
        <w:rPr>
          <w:sz w:val="20"/>
          <w:szCs w:val="20"/>
          <w:color w:val="auto"/>
        </w:rPr>
      </w:pPr>
    </w:p>
    <w:p>
      <w:pPr>
        <w:ind w:right="60"/>
        <w:spacing w:after="0" w:line="296" w:lineRule="auto"/>
        <w:rPr>
          <w:sz w:val="20"/>
          <w:szCs w:val="20"/>
          <w:color w:val="auto"/>
        </w:rPr>
      </w:pPr>
      <w:r>
        <w:rPr>
          <w:rFonts w:ascii="Arial" w:cs="Arial" w:eastAsia="Arial" w:hAnsi="Arial"/>
          <w:sz w:val="18"/>
          <w:szCs w:val="18"/>
          <w:b w:val="1"/>
          <w:bCs w:val="1"/>
          <w:color w:val="0090DA"/>
        </w:rPr>
        <w:t>Products that fail to meet specifications, are defective, or are otherwise incompatible with end uses could impose significant costs on us.</w:t>
      </w:r>
    </w:p>
    <w:p>
      <w:pPr>
        <w:spacing w:after="0" w:line="16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209" w:lineRule="exact"/>
        <w:rPr>
          <w:sz w:val="20"/>
          <w:szCs w:val="20"/>
          <w:color w:val="auto"/>
        </w:rPr>
      </w:pPr>
    </w:p>
    <w:p>
      <w:pPr>
        <w:ind w:left="660" w:right="100" w:hanging="328"/>
        <w:spacing w:after="0" w:line="26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be required or agree to compensate customers for costs incurred or damages caused by defective or incompatible products and to replace products;</w:t>
      </w:r>
    </w:p>
    <w:p>
      <w:pPr>
        <w:spacing w:after="0" w:line="1"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could incur a decrease in revenue or adjustment to pricing commensurate with the reimbursement of such costs or alleged damages; and</w:t>
      </w:r>
    </w:p>
    <w:p>
      <w:pPr>
        <w:ind w:left="660" w:right="220" w:hanging="328"/>
        <w:spacing w:after="0" w:line="26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encounter adverse publicity, which could cause a decrease in sales of our products or harm our reputation or relationships with existing or potential customers.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items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720"/>
        <w:spacing w:after="0" w:line="296" w:lineRule="auto"/>
        <w:rPr>
          <w:sz w:val="20"/>
          <w:szCs w:val="20"/>
          <w:color w:val="auto"/>
        </w:rPr>
      </w:pPr>
      <w:r>
        <w:rPr>
          <w:rFonts w:ascii="Arial" w:cs="Arial" w:eastAsia="Arial" w:hAnsi="Arial"/>
          <w:sz w:val="18"/>
          <w:szCs w:val="18"/>
          <w:b w:val="1"/>
          <w:bCs w:val="1"/>
          <w:color w:val="0090DA"/>
        </w:rPr>
        <w:t>If our manufacturing process is disrupted by operational issues, natural disasters, or other events, our business, results of operations, or financial condition could be materially adversely affected.</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and our subcontractors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maintain operations and continuously implement new product and process technology at manufacturing facilities, which are widely dispersed in multiple locations in several countries including the United States, Singapore, Taiwan, Japan, Malaysia, and China. As a result of the necessary interdependence within our network of manufacturing facilities, an operational disruption at one of our or a subcontractor’s facilities may have a disproportionate impact on our ability to produce many of our products.</w:t>
      </w:r>
    </w:p>
    <w:p>
      <w:pPr>
        <w:spacing w:after="0" w:line="21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From time to time, there have been disruptions in our manufacturing operations as a result of power outages, improperly functioning equipment,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like COVID-19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may occur in the future. As a result, in addition to disruptions to operations, our insurance premiums may increase or we may not be able to fully recover any sustained losses through insurance.</w:t>
      </w:r>
    </w:p>
    <w:p>
      <w:pPr>
        <w:spacing w:after="0" w:line="21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203" w:lineRule="exact"/>
        <w:rPr>
          <w:sz w:val="20"/>
          <w:szCs w:val="20"/>
          <w:color w:val="auto"/>
        </w:rPr>
      </w:pPr>
    </w:p>
    <w:p>
      <w:pPr>
        <w:ind w:right="460"/>
        <w:spacing w:after="0" w:line="296" w:lineRule="auto"/>
        <w:rPr>
          <w:sz w:val="20"/>
          <w:szCs w:val="20"/>
          <w:color w:val="auto"/>
        </w:rPr>
      </w:pPr>
      <w:r>
        <w:rPr>
          <w:rFonts w:ascii="Arial" w:cs="Arial" w:eastAsia="Arial" w:hAnsi="Arial"/>
          <w:sz w:val="18"/>
          <w:szCs w:val="18"/>
          <w:b w:val="1"/>
          <w:bCs w:val="1"/>
          <w:color w:val="0090DA"/>
        </w:rPr>
        <w:t>Breaches of our security systems or products, or those of our customers, suppliers, or business partners, could expose us to losses.</w:t>
      </w:r>
    </w:p>
    <w:p>
      <w:pPr>
        <w:spacing w:after="0" w:line="16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a system of controls over the physical security of our facilities. We also manage and store various proprietary information and sensitive or confidential data relating to our operations. In addition, we process, store, and transmit large amounts of data relating to our customers and employees, including sensitive personal information. Unauthorized persons, employees, former employees, or other third parties may gain access to our facilities or technology infrastructure and systems to steal trade secrets or other proprietary information, compromise confidential information, create system disruptions, or cause shutdowns. This risk is exacerbated as competitors for talent, particularly engineering talent, increasingly attempt to hire our employees. Through cyberattacks on technology infrastructure and systems, unauthorized parties may obtain access to computer systems, networks, and data, including cloud-based platforms. The technology infrastructure and systems of our suppliers, vendors, service providers, cloud solution providers, and partners have in the past experienced, and may in the future experience, such attacks, which could impact our operations. Cyberattacks can include ransomware, computer denial-of-service attacks, worms, supply chain attacks, social engineering,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attacks on our technology infrastructure and systems, or breaches or attacks on our customers, suppliers, or business partners who have confidential or sensitive information regarding us and our customers and suppliers, could result in significant losses and damage our reputation with customers and suppliers and may expose us to litigation if the confidential information of our customers, suppliers, or employees is compromised.</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color w:val="auto"/>
        </w:rPr>
        <w:t>Our products are also targets for cyberattacks, including those products utilized in cloud-based environments.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products contain sophisticated hardware and firmware and applications that may contain security vulnerabilities or defects in design or manufacture, including “bugs” and other problems that could interfere with the intended operation of our products. To the extent our products are hacked, or the encryption schemes are compromised or breached, this could harm our business by requiring us to employ additional resources to fix the errors or defects, exposing us to litigation, claims, and harm to our reputation.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Any of the foregoing security risks could have a material adverse effect on our business, results of operations, or 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must attract, retain, and motivate highly skilled employees.</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To remain competitive, we must attract, retain, and motivate executives and other highly skilled, diverse employees, as well as effectively manage succession for key employees. Competition for experienced employees in our industry is intense. Hiring and retaining qualified executives and other employees is critical to our business. If our total compensation programs, employment benefits, and workplace culture are not viewed as competitive and inclusive, our ability to attract, retain, and motivate employees could be compromised.</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times, we experience higher levels of attrition, increasing compensation costs, and more intense competition for talent across our industry. To the extent we experience significant attrition and are unable to timely replace employees, we could experience a loss of critical skills and reduced employee morale, potentially resulting in business disruptions or increased expenses to address any disruptions. Additionally, changes to immigration policies in the countries in which we operate, as well as restrictions on travel due to public health crises or other causes, may limit our ability to hire and/or retain talent in, or transfer talent to, specific locations.</w:t>
      </w:r>
    </w:p>
    <w:p>
      <w:pPr>
        <w:spacing w:after="0" w:line="20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Our inability to attract, retain, and motivate executives and other employees or effectively manage succession of key roles may inhibit our ability to maintain or expand our business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may not be able to achieve expected returns from capacity expansions.</w:t>
      </w:r>
    </w:p>
    <w:p>
      <w:pPr>
        <w:spacing w:after="0" w:line="252"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We have announced our intent to expand our DRAM production capacity in the United States and we also make capital investments in projects outside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expansions involve several risks including the following:</w:t>
      </w:r>
    </w:p>
    <w:p>
      <w:pPr>
        <w:spacing w:after="0" w:line="252" w:lineRule="exact"/>
        <w:rPr>
          <w:sz w:val="20"/>
          <w:szCs w:val="20"/>
          <w:color w:val="auto"/>
        </w:rPr>
      </w:pPr>
    </w:p>
    <w:p>
      <w:pPr>
        <w:ind w:left="660" w:right="320" w:hanging="328"/>
        <w:spacing w:after="0" w:line="26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 expenditure requirements for capacity expansions during periods of relatively low free cash flow generation, resulting from challenging memory and storage industry conditions;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necessary funding, which may include external sources;</w:t>
      </w:r>
    </w:p>
    <w:p>
      <w:pPr>
        <w:spacing w:after="0" w:line="9" w:lineRule="exact"/>
        <w:rPr>
          <w:rFonts w:ascii="Arial" w:cs="Arial" w:eastAsia="Arial" w:hAnsi="Arial"/>
          <w:sz w:val="18"/>
          <w:szCs w:val="18"/>
          <w:color w:val="auto"/>
        </w:rPr>
      </w:pPr>
    </w:p>
    <w:p>
      <w:pPr>
        <w:ind w:left="660" w:right="340" w:hanging="328"/>
        <w:spacing w:after="0" w:line="250"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realize expected grants, investment tax credits, and other government incentives, including through the U.S. CHIPS and Science Act of 2022 (“CHIPS Act”) and foreign, state, and local grants;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changes in laws or provisions of grants, investment tax credits, and other government incentives;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restrictions on expanding in certain geographies;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equipment and construction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complete construction as scheduled and within budget;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availability of the necessary workforce;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timely ramp production in a cost-effective manner;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increases to our cost structure until new production is ramped to adequate scale;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sufficient growth in customer demand to meet our increased output.</w:t>
      </w:r>
    </w:p>
    <w:p>
      <w:pPr>
        <w:spacing w:after="0" w:line="23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Delays in completion and ramping of new production facilities, or failure to optimize our investment choices, could significantly impact our ability to realize expected returns on our capital expenditures.</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Any of the above factors could have a material adverse effect on our business, results of operations, or financial condition.</w:t>
      </w:r>
    </w:p>
    <w:p>
      <w:pPr>
        <w:spacing w:after="0" w:line="252" w:lineRule="exact"/>
        <w:rPr>
          <w:sz w:val="20"/>
          <w:szCs w:val="20"/>
          <w:color w:val="auto"/>
        </w:rPr>
      </w:pPr>
    </w:p>
    <w:p>
      <w:pPr>
        <w:ind w:right="200"/>
        <w:spacing w:after="0" w:line="296" w:lineRule="auto"/>
        <w:rPr>
          <w:sz w:val="20"/>
          <w:szCs w:val="20"/>
          <w:color w:val="auto"/>
        </w:rPr>
      </w:pPr>
      <w:r>
        <w:rPr>
          <w:rFonts w:ascii="Arial" w:cs="Arial" w:eastAsia="Arial" w:hAnsi="Arial"/>
          <w:sz w:val="18"/>
          <w:szCs w:val="18"/>
          <w:b w:val="1"/>
          <w:bCs w:val="1"/>
          <w:color w:val="0090DA"/>
        </w:rPr>
        <w:t>Our incentives from various governments are conditional upon achieving or maintaining certain performance obligations and are subject to reduction, termination, or clawback.</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received, and may in the future continue to receive, benefits and incentives from national, state, and local governments in various regions of the world designed to encourage us to establish, maintain, or increase investment, workforce, or production in those regions. These incentives may take various forms, including grants, loan subsidies, and tax arrangements, and typically require us to achieve or maintain certain levels of investment, capital spending, employment, technology deployment, or research and development activities to qualify for such incentives or could restrict us from undertaking certain activities. We may be unable to obtain significant future incentives to continue to fund a portion of our capital expenditures and operating costs, without which our cost structure would be adversely impacted. We also cannot guarantee that we will successfully achieve performance obligations required to qualify for these incentives or that the granting agencies will provide such funding. These incentive arrangements typically provide the granting agencies with rights to audit our compliance with their terms and obligations. Such audits could result in modifications to, or termination of, the applicable incentive program. The incentives we receive could be subject to reduction, termination, or clawback, and any decrease or clawback of government incentives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Acquisitions and/or alliances involve numerous risks.</w:t>
      </w:r>
    </w:p>
    <w:p>
      <w:pPr>
        <w:spacing w:after="0" w:line="25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Acquisitions and the formation or operation of alliances, such as joint ventures and other partnering arrangements, involve numerous risks, including the following:</w:t>
      </w:r>
    </w:p>
    <w:p>
      <w:pPr>
        <w:spacing w:after="0" w:line="18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integrating the operations, technologies, and products of acquired or newly formed entities into our operations;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 capital expenditures to upgrade and maintain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debt levels;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assumption of unknown or underestimated liabilities;</w:t>
      </w:r>
    </w:p>
    <w:p>
      <w:pPr>
        <w:spacing w:after="0" w:line="9" w:lineRule="exact"/>
        <w:rPr>
          <w:rFonts w:ascii="Arial" w:cs="Arial" w:eastAsia="Arial" w:hAnsi="Arial"/>
          <w:sz w:val="18"/>
          <w:szCs w:val="18"/>
          <w:color w:val="auto"/>
        </w:rPr>
      </w:pPr>
    </w:p>
    <w:p>
      <w:pPr>
        <w:ind w:left="660" w:right="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use of cash to finance a transaction, which may reduce the availability of cash to fund working capital, capital expenditures, R&amp;D expenditures, and other business activities;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diverting management’s attention from daily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managing larger or more complex operations and facilities and employees in separate and diverse geographic areas;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hiring and retaining key employees;</w:t>
      </w:r>
    </w:p>
    <w:p>
      <w:pPr>
        <w:spacing w:after="0" w:line="9" w:lineRule="exact"/>
        <w:rPr>
          <w:rFonts w:ascii="Arial" w:cs="Arial" w:eastAsia="Arial" w:hAnsi="Arial"/>
          <w:sz w:val="18"/>
          <w:szCs w:val="18"/>
          <w:color w:val="auto"/>
        </w:rPr>
      </w:pPr>
    </w:p>
    <w:p>
      <w:pPr>
        <w:ind w:left="660" w:right="58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requirements imposed by government authorities in connection with the regulatory review of a transaction, which may include, among other things, divestitures or restrictions on the conduct of our business or the acquired business;</w:t>
      </w:r>
    </w:p>
    <w:p>
      <w:pPr>
        <w:ind w:left="660" w:right="920" w:hanging="328"/>
        <w:spacing w:after="0" w:line="250"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underestimating the costs or overestimating the benefits, including product, revenue, cost and other synergies and growth opportunities that we expect to realize, and we may not achieve those benefits;</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to maintain customer, vendor, and other relationships;</w:t>
      </w:r>
    </w:p>
    <w:p>
      <w:pPr>
        <w:spacing w:after="0" w:line="9" w:lineRule="exact"/>
        <w:rPr>
          <w:rFonts w:ascii="Arial" w:cs="Arial" w:eastAsia="Arial" w:hAnsi="Arial"/>
          <w:sz w:val="18"/>
          <w:szCs w:val="18"/>
          <w:color w:val="auto"/>
        </w:rPr>
      </w:pPr>
    </w:p>
    <w:p>
      <w:pPr>
        <w:ind w:left="660" w:right="200" w:hanging="328"/>
        <w:spacing w:after="0" w:line="265" w:lineRule="auto"/>
        <w:tabs>
          <w:tab w:leader="none" w:pos="6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inadequacy or ineffectiveness of an acquired company’s internal financial controls, disclosure controls and procedures, compliance programs, and/or environmental, health and safety, anti-corruption, human resource, or other policies or practices; and</w:t>
      </w:r>
    </w:p>
    <w:p>
      <w:pPr>
        <w:ind w:left="660" w:right="540" w:hanging="328"/>
        <w:spacing w:after="0" w:line="26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acquired intangible assets, goodwill, or other assets as a result of changing business conditions or technological advancements.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including the risks pertaining to funding, assumption of liabilities, integration challenges, and increases in debt that may accompany such transactions. Acquisitions of, or alliances with, technology companies are inherently risky and may not be successful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660"/>
        <w:spacing w:after="0" w:line="296" w:lineRule="auto"/>
        <w:rPr>
          <w:sz w:val="20"/>
          <w:szCs w:val="20"/>
          <w:color w:val="auto"/>
        </w:rPr>
      </w:pPr>
      <w:r>
        <w:rPr>
          <w:rFonts w:ascii="Arial" w:cs="Arial" w:eastAsia="Arial" w:hAnsi="Arial"/>
          <w:sz w:val="18"/>
          <w:szCs w:val="18"/>
          <w:b w:val="1"/>
          <w:bCs w:val="1"/>
          <w:color w:val="0090DA"/>
        </w:rPr>
        <w:t>We may incur restructure charges in future periods and may not realize expected savings or other benefits from restructure activities.</w:t>
      </w:r>
    </w:p>
    <w:p>
      <w:pPr>
        <w:spacing w:after="0" w:line="16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From time to time, we have, and may in the future, enter into restructure initiatives in order to, among other items, streamline our operations, respond to changes in business conditions, our markets, or product offerings, or to centralize certain key functions. We may not realize expected savings or other benefits from our restructure activities and may incur additional restructure charges or other losses in future periods associated with other initiatives. In connection with any restructure initiatives, we could incur restructure charges, loss of production output, loss of key personnel, disruptions in our operations, and difficulties in the timely delivery of products, which could have a material adverse effect on our business, results of operations, or financial condition.</w:t>
      </w:r>
    </w:p>
    <w:p>
      <w:pPr>
        <w:spacing w:after="0" w:line="209" w:lineRule="exact"/>
        <w:rPr>
          <w:sz w:val="20"/>
          <w:szCs w:val="20"/>
          <w:color w:val="auto"/>
        </w:rPr>
      </w:pPr>
    </w:p>
    <w:p>
      <w:pPr>
        <w:ind w:right="300"/>
        <w:spacing w:after="0" w:line="273" w:lineRule="auto"/>
        <w:rPr>
          <w:sz w:val="20"/>
          <w:szCs w:val="20"/>
          <w:color w:val="auto"/>
        </w:rPr>
      </w:pPr>
      <w:r>
        <w:rPr>
          <w:rFonts w:ascii="Arial" w:cs="Arial" w:eastAsia="Arial" w:hAnsi="Arial"/>
          <w:sz w:val="18"/>
          <w:szCs w:val="18"/>
          <w:b w:val="1"/>
          <w:bCs w:val="1"/>
          <w:color w:val="0090DA"/>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and many of our customers have adopted responsible sourcing programs that require us to meet certain ESG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 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222" w:lineRule="exact"/>
        <w:rPr>
          <w:sz w:val="20"/>
          <w:szCs w:val="20"/>
          <w:color w:val="auto"/>
        </w:rPr>
      </w:pPr>
    </w:p>
    <w:p>
      <w:pPr>
        <w:ind w:right="980"/>
        <w:spacing w:after="0" w:line="296" w:lineRule="auto"/>
        <w:rPr>
          <w:sz w:val="20"/>
          <w:szCs w:val="20"/>
          <w:color w:val="auto"/>
        </w:rPr>
      </w:pPr>
      <w:r>
        <w:rPr>
          <w:rFonts w:ascii="Arial" w:cs="Arial" w:eastAsia="Arial" w:hAnsi="Arial"/>
          <w:sz w:val="18"/>
          <w:szCs w:val="18"/>
          <w:b w:val="1"/>
          <w:bCs w:val="1"/>
          <w:color w:val="0090DA"/>
        </w:rPr>
        <w:t>Failure to meet ESG expectations or standards or achieve our ESG goals could adversely affect our business, results of operations, financial condition, or stock price.</w:t>
      </w:r>
    </w:p>
    <w:p>
      <w:pPr>
        <w:spacing w:after="0" w:line="164"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In recent years, there has been an increased focus from stakeholders on ESG matters, including greenhouse gas emissions and climate-related risks, renewable energy, water stewardship, waste management, diversity, equality and inclusion, responsible sourcing and supply chain, human rights, and social responsibility. Given our commitment to ESG, we actively manage these issues and have established and publicly announced certain goals, commitments, and targets which we may refine or even expand further in the future. These goals, commitments, and targets reflect our current plans and aspirations and are not guarantees that we will be able to achieve them.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risks and uncertainties include:</w:t>
      </w:r>
    </w:p>
    <w:p>
      <w:pPr>
        <w:spacing w:after="0" w:line="25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reputational harm, including damage to our relationships with customers, suppliers, investors, governments, or other stakeholders;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impacts on our ability to sell and manufacture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risk of litigation, investigations, or regulatory enforcement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ESG ratings or investor sentiment;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resources and increased costs to control, assess, and report on ESG 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achieve our goals, commitments, and targets within timeframes announced;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costs to achieve our goals, commitments, and targets;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unforeseen operational and technological difficulties;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access to and increased cost of capital;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impacts on our stock price.</w:t>
      </w:r>
    </w:p>
    <w:p>
      <w:pPr>
        <w:spacing w:after="0" w:line="234"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Any failure, or perceived failure, to meet evolving stakeholder expectations and industry standards or achieve our ESG goals, commitments, and targets could have an adverse effect on our business, results of operations, financial condition, or stock price.</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Intellectual Property and Litigation</w:t>
      </w:r>
    </w:p>
    <w:p>
      <w:pPr>
        <w:spacing w:after="0" w:line="257" w:lineRule="exact"/>
        <w:rPr>
          <w:sz w:val="20"/>
          <w:szCs w:val="20"/>
          <w:color w:val="auto"/>
        </w:rPr>
      </w:pPr>
    </w:p>
    <w:p>
      <w:pPr>
        <w:ind w:right="840"/>
        <w:spacing w:after="0" w:line="296" w:lineRule="auto"/>
        <w:rPr>
          <w:sz w:val="20"/>
          <w:szCs w:val="20"/>
          <w:color w:val="auto"/>
        </w:rPr>
      </w:pPr>
      <w:r>
        <w:rPr>
          <w:rFonts w:ascii="Arial" w:cs="Arial" w:eastAsia="Arial" w:hAnsi="Arial"/>
          <w:sz w:val="18"/>
          <w:szCs w:val="18"/>
          <w:b w:val="1"/>
          <w:bCs w:val="1"/>
          <w:color w:val="0090DA"/>
        </w:rPr>
        <w:t>We may be unable to protect our intellectual property or retain key employees who are knowledgeable of and develop our intellectual property.</w:t>
      </w:r>
    </w:p>
    <w:p>
      <w:pPr>
        <w:spacing w:after="0" w:line="16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20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Our inability to protect our intellectual property or retain key employees who are knowledgeable of and develop our intellectual property could have a material adverse effect on our business, results of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Legal proceedings and claims could have a material adverse effect on our business, results of operations, or financial condition.</w:t>
      </w:r>
    </w:p>
    <w:p>
      <w:pPr>
        <w:spacing w:after="0" w:line="25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From time to time, we are subject to various legal proceedings and claims that arise out of the ordinary conduct of our business or otherwise, both domestically and internationally. Such claims include, but are not limited to, allegations of anticompetitive conduct and infringement of intellectual property. See “Part II – Item 8. Financial Statements and Supplementary Data – Notes to Consolidated Financial Statements – Contingencies.”</w:t>
      </w:r>
    </w:p>
    <w:p>
      <w:pPr>
        <w:spacing w:after="0" w:line="20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Any claim, with or without merit, could result in significant legal fees that could negatively impact our financial results, disrupt our operations, and require significant attention from our management. We may be associated with and subject to litigation, claims, or arbitration disputes arising from, or as a result of:</w:t>
      </w:r>
    </w:p>
    <w:p>
      <w:pPr>
        <w:spacing w:after="0" w:line="198" w:lineRule="exact"/>
        <w:rPr>
          <w:sz w:val="20"/>
          <w:szCs w:val="20"/>
          <w:color w:val="auto"/>
        </w:rPr>
      </w:pPr>
    </w:p>
    <w:p>
      <w:pPr>
        <w:ind w:left="660" w:right="520" w:hanging="328"/>
        <w:spacing w:after="0" w:line="26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relationships with vendors or customers, supply agreements, or contractual obligations with our subcontractors or business partners;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actions of our vendors, subcontractors, or business partners;</w:t>
      </w:r>
    </w:p>
    <w:p>
      <w:pPr>
        <w:spacing w:after="0" w:line="9" w:lineRule="exact"/>
        <w:rPr>
          <w:rFonts w:ascii="Arial" w:cs="Arial" w:eastAsia="Arial" w:hAnsi="Arial"/>
          <w:sz w:val="18"/>
          <w:szCs w:val="18"/>
          <w:color w:val="auto"/>
        </w:rPr>
      </w:pPr>
    </w:p>
    <w:p>
      <w:pPr>
        <w:ind w:left="660" w:right="380"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indemnification obligations, including obligations to defend our customers against third-party claims asserting infringement of certain intellectual property rights, which may include patents, trademarks, copyrights, or trade secrets; and</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our product warranties or from product liability claims.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we continue to focus on developing system solutions with manufacturers of consumer products, including autonomous driving, augmented reality, and others, we may be exposed to greater potential for personal liability claims against us as a result of consumers’ use of those products. We, our officers, or our directors could also be subject to claims of alleged violations of securities laws. There can be no assurance that we are adequately insured to protect against all claims and potential liabilities, and we may elect to self-insure with respect to certain matters. Exposures to various legal proceedings and claims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210"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b w:val="1"/>
          <w:bCs w:val="1"/>
          <w:color w:val="0090DA"/>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206"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significant monetary damages, fines, royalties, or penalties;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license or settlement agreements covering such intellectual property rights;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material changes to or redesign our products and/or manufacturing processes; and/or</w:t>
      </w:r>
    </w:p>
    <w:p>
      <w:pPr>
        <w:spacing w:after="0" w:line="9" w:lineRule="exact"/>
        <w:rPr>
          <w:rFonts w:ascii="Arial" w:cs="Arial" w:eastAsia="Arial" w:hAnsi="Arial"/>
          <w:sz w:val="18"/>
          <w:szCs w:val="18"/>
          <w:color w:val="auto"/>
        </w:rPr>
      </w:pPr>
    </w:p>
    <w:p>
      <w:pPr>
        <w:ind w:left="660" w:right="20" w:hanging="328"/>
        <w:spacing w:after="0" w:line="266"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cease manufacturing, having made, selling, offering for sale, importing, marketing, or using products and/or manufacturing processes in certain jurisdictions.</w:t>
      </w:r>
    </w:p>
    <w:p>
      <w:pPr>
        <w:spacing w:after="0" w:line="19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may not be able to take any of the actions described above on commercially reasonable terms and any of the foregoing results could have a material adverse effect on our business, results of operations, or financial condition. See “Part II – Item 8. Financial Statements and Supplementary Data – Notes to Consolidated Financial Statements – Contingencies.”</w:t>
      </w:r>
    </w:p>
    <w:p>
      <w:pPr>
        <w:spacing w:after="0" w:line="198"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20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Laws and Regulations</w:t>
      </w:r>
    </w:p>
    <w:p>
      <w:pPr>
        <w:spacing w:after="0" w:line="257" w:lineRule="exact"/>
        <w:rPr>
          <w:sz w:val="20"/>
          <w:szCs w:val="20"/>
          <w:color w:val="auto"/>
        </w:rPr>
      </w:pPr>
    </w:p>
    <w:p>
      <w:pPr>
        <w:ind w:right="20"/>
        <w:spacing w:after="0" w:line="296" w:lineRule="auto"/>
        <w:rPr>
          <w:sz w:val="20"/>
          <w:szCs w:val="20"/>
          <w:color w:val="auto"/>
        </w:rPr>
      </w:pPr>
      <w:r>
        <w:rPr>
          <w:rFonts w:ascii="Arial" w:cs="Arial" w:eastAsia="Arial" w:hAnsi="Arial"/>
          <w:sz w:val="18"/>
          <w:szCs w:val="18"/>
          <w:b w:val="1"/>
          <w:bCs w:val="1"/>
          <w:color w:val="0090DA"/>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International trade disputes, geopolitical tensions, and military conflicts have led, and continue to lead, to new and increasing export restrictions, trade barriers, tariffs, and other trade measures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Increasing protectionism, economic nationalism, and national security concerns may lead to further changes in trade policy, domestic sourcing initiatives, or other formal and informal measures that could make it more difficult to sell our products in, or restrict our access to, some markets and/or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cannot predict what further actions may ultimately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or inhibit our ability to sell products or purchase necessary equipment and supplies. Such changes may also result in reputational harm to us, the development or adoption of technologies that compete with our products, long-term changes in global trade and technology supply chains, or negative impacts on our customers’ products which incorporate our solutions. Any of the effects described in this risk factor could have a material adverse effect on our business, results of operations, or financial condition.</w:t>
      </w:r>
    </w:p>
    <w:p>
      <w:pPr>
        <w:spacing w:after="0" w:line="20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technology industry is subject to intense media, political, and regulatory scrutiny, which can increase our exposure to government investigations,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Tax-related matters could have a material adverse effect on our business, results of operations, or financial condition.</w:t>
      </w:r>
    </w:p>
    <w:p>
      <w:pPr>
        <w:spacing w:after="0" w:line="25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mandatory capitalization of R&amp;D expenses beginning in 2023, challenges by tax authorities to our tax positions and intercompany transfer pricing arrangements, failure to meet performance obligations with respect to tax incentive agreements, expanding our operations in various countries, fluctuations in foreign currency exchange rates, adverse resolution of audits and examinations of previously filed tax returns, and changes in tax laws and regulations.</w:t>
      </w:r>
    </w:p>
    <w:p>
      <w:pPr>
        <w:spacing w:after="0" w:line="209"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Beginning in 2024, the Inflation Reduction Act of 2022 imposes a 15% book minimum tax on corporations with three-year average annual adjusted financial statement income exceeding $ 1 billion. We are in the process of assessing whether the book minimum tax would impact our effective tax rate. Further changes in the tax laws of foreign jurisdictions could arise as a result of the base erosion and profit shifting project undertaken by the Organisation for Economic Co-operation and Development. If implemented by taxing authorities in countries where we do business, such changes, could have a material adverse effect on our business, results of operations, or financial condition.</w:t>
      </w:r>
    </w:p>
    <w:p>
      <w:pPr>
        <w:spacing w:after="0" w:line="212" w:lineRule="exact"/>
        <w:rPr>
          <w:sz w:val="20"/>
          <w:szCs w:val="20"/>
          <w:color w:val="auto"/>
        </w:rPr>
      </w:pPr>
    </w:p>
    <w:p>
      <w:pPr>
        <w:ind w:right="280"/>
        <w:spacing w:after="0" w:line="296" w:lineRule="auto"/>
        <w:rPr>
          <w:sz w:val="20"/>
          <w:szCs w:val="20"/>
          <w:color w:val="auto"/>
        </w:rPr>
      </w:pPr>
      <w:r>
        <w:rPr>
          <w:rFonts w:ascii="Arial" w:cs="Arial" w:eastAsia="Arial" w:hAnsi="Arial"/>
          <w:sz w:val="18"/>
          <w:szCs w:val="18"/>
          <w:b w:val="1"/>
          <w:bCs w:val="1"/>
          <w:color w:val="0090DA"/>
        </w:rPr>
        <w:t>We and others are subject to a variety of laws, regulations, or industry standards, including with respect to ESG considerations, which may have a material adverse effect on our business, results of operations, or financial condition.</w:t>
      </w:r>
    </w:p>
    <w:p>
      <w:pPr>
        <w:spacing w:after="0" w:line="16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manufacture of our products requires the use of facilities, equipment, and materials that are subject to a broad array of laws and regulations in numerous jurisdictions in which we operate.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New ESG considerations, including those related to climate change and the potential resulting environmental impact, may result in new laws, regulations, or industry standards that may affect us, our suppliers, and our customers. Such laws, regulations, or industry standards could cause us to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 items detailed in this risk factor, we could experience the following:</w:t>
      </w:r>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suspension of production or sales of our products;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remediation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compliance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alteration of our manufacturing processes;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penalties, fines, and legal liabilities;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challenges.</w:t>
      </w:r>
    </w:p>
    <w:p>
      <w:pPr>
        <w:spacing w:after="0" w:line="23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Risks Related to Capitalization and Financial Markets</w:t>
      </w:r>
    </w:p>
    <w:p>
      <w:pPr>
        <w:spacing w:after="0" w:line="257" w:lineRule="exact"/>
        <w:rPr>
          <w:sz w:val="20"/>
          <w:szCs w:val="20"/>
          <w:color w:val="auto"/>
        </w:rPr>
      </w:pPr>
    </w:p>
    <w:p>
      <w:pPr>
        <w:ind w:right="80"/>
        <w:spacing w:after="0" w:line="296" w:lineRule="auto"/>
        <w:rPr>
          <w:sz w:val="20"/>
          <w:szCs w:val="20"/>
          <w:color w:val="auto"/>
        </w:rPr>
      </w:pPr>
      <w:r>
        <w:rPr>
          <w:rFonts w:ascii="Arial" w:cs="Arial" w:eastAsia="Arial" w:hAnsi="Arial"/>
          <w:sz w:val="18"/>
          <w:szCs w:val="18"/>
          <w:b w:val="1"/>
          <w:bCs w:val="1"/>
          <w:color w:val="0090DA"/>
        </w:rPr>
        <w:t>We may be unable to generate sufficient cash flows or obtain access to external financing necessary to fund our operations, make scheduled debt payments, pay our dividend, and make adequate capital investments.</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cash flows from operations depend primarily on the volume of semiconductor memory and storage products sold, average selling prices, and manufacturing costs. To develop new product and process technology, support future growth, achieve operating efficiencies, and maintain product quality, we must make significant capital investments in manufacturing technology, capital equipment, facilities, R&amp;D, and product and process technology. We estimate capital expenditures in 2023 for property, plant, and equipment, net of partner contributions, will be around $8 billion.</w:t>
      </w:r>
    </w:p>
    <w:p>
      <w:pPr>
        <w:spacing w:after="0" w:line="20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the past we have utilized external sources of financing when needed. As a result of our debt levels, expected debt amortization, and general capital market and other economic conditions, it may be difficult for us to obtain financing on terms acceptable to us or at all. We have experienced volatility in our cash flows and operating results and may continue to experience such volatility in the future, which may negatively affect our credit rating. Our credit rating may also be affected by our liquidity, financial results, economic risk, or other factors, which may increase the cost of future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Debt obligations could adversely affect our financial condition.</w:t>
      </w:r>
    </w:p>
    <w:p>
      <w:pPr>
        <w:spacing w:after="0" w:line="25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have incurred in the past, and expect to incur in the future, debt to finance our capital investments, business acquisitions, and to realign our capital structure. As of September 1, 2022, we had debt with a carrying value of $ 6.91 billion and may incur additional debt, including under our $2.50 billion Revolving Credit Facility. Our debt obligations could adversely impact us as follows:</w:t>
      </w:r>
    </w:p>
    <w:p>
      <w:pPr>
        <w:spacing w:after="0" w:line="198" w:lineRule="exact"/>
        <w:rPr>
          <w:sz w:val="20"/>
          <w:szCs w:val="20"/>
          <w:color w:val="auto"/>
        </w:rPr>
      </w:pPr>
    </w:p>
    <w:p>
      <w:pPr>
        <w:ind w:left="660" w:right="420" w:hanging="328"/>
        <w:spacing w:after="0" w:line="260"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us to use a large portion of our cash flow to pay principal and interest on debt, which will reduce the amount of cash flow available to fund our business activities;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adversely impact our credit rating, which could increase future borrowing costs;</w:t>
      </w:r>
    </w:p>
    <w:p>
      <w:pPr>
        <w:spacing w:after="0" w:line="9" w:lineRule="exact"/>
        <w:rPr>
          <w:rFonts w:ascii="Arial" w:cs="Arial" w:eastAsia="Arial" w:hAnsi="Arial"/>
          <w:sz w:val="18"/>
          <w:szCs w:val="18"/>
          <w:color w:val="auto"/>
        </w:rPr>
      </w:pPr>
    </w:p>
    <w:p>
      <w:pPr>
        <w:ind w:left="660" w:right="80" w:hanging="328"/>
        <w:spacing w:after="0" w:line="26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limit our future ability to raise funds for capital expenditures, strategic acquisitions or business opportunities, R&amp;D, and other general corporate requirements;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 our ability to incur specified indebtedness, create or incur certain liens, and enter into sale-leaseback financing transactions;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vulnerability to adverse economic and industry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our exposure to rising interest rates from variable rate indebtedness; and</w:t>
      </w:r>
    </w:p>
    <w:p>
      <w:pPr>
        <w:spacing w:after="0" w:line="9" w:lineRule="exact"/>
        <w:rPr>
          <w:rFonts w:ascii="Arial" w:cs="Arial" w:eastAsia="Arial" w:hAnsi="Arial"/>
          <w:sz w:val="18"/>
          <w:szCs w:val="18"/>
          <w:color w:val="auto"/>
        </w:rPr>
      </w:pPr>
    </w:p>
    <w:p>
      <w:pPr>
        <w:ind w:left="660" w:right="140" w:hanging="328"/>
        <w:spacing w:after="0" w:line="26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 in certain of our debt instruments becoming immediately due and payable or being deemed to be in default if applicable cross default, cross-acceleration and/or similar provisions are triggered.</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we may need to refinance or restructure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208" w:lineRule="exact"/>
        <w:rPr>
          <w:sz w:val="20"/>
          <w:szCs w:val="20"/>
          <w:color w:val="auto"/>
        </w:rPr>
      </w:pPr>
    </w:p>
    <w:p>
      <w:pPr>
        <w:ind w:right="500"/>
        <w:spacing w:after="0" w:line="296" w:lineRule="auto"/>
        <w:rPr>
          <w:sz w:val="20"/>
          <w:szCs w:val="20"/>
          <w:color w:val="auto"/>
        </w:rPr>
      </w:pPr>
      <w:r>
        <w:rPr>
          <w:rFonts w:ascii="Arial" w:cs="Arial" w:eastAsia="Arial" w:hAnsi="Arial"/>
          <w:sz w:val="18"/>
          <w:szCs w:val="18"/>
          <w:b w:val="1"/>
          <w:bCs w:val="1"/>
          <w:color w:val="0090DA"/>
        </w:rPr>
        <w:t>Changes in foreign currency exchange rates could materially adversely affect our business, results of operations, or financial condition.</w:t>
      </w:r>
    </w:p>
    <w:p>
      <w:pPr>
        <w:spacing w:after="0" w:line="1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Across our global operations, significant transactions and balances are denominated in currencies other than the U.S. dollar (our reporting currency), primarily the euro, Malaysian ringgit, Singapore dollar, New Taiwan dollar, and yen. In addition, a significant portion of our manufacturing costs are denominated in foreign currencies.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We are subject to counterparty default risks.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 trading price of our common stock has been and may continue to be volatile.</w:t>
      </w:r>
    </w:p>
    <w:p>
      <w:pPr>
        <w:spacing w:after="0" w:line="25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or financial or other market estimates and ratings by securities and other analysts, changes in our capital structure, including issuance of additional debt or equity to the public, interest rate changes, regulatory changes, news regarding our products or products of our competitors, and broad market and industry fluctuations.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203" w:lineRule="exact"/>
        <w:rPr>
          <w:sz w:val="20"/>
          <w:szCs w:val="20"/>
          <w:color w:val="auto"/>
        </w:rPr>
      </w:pPr>
    </w:p>
    <w:p>
      <w:pPr>
        <w:jc w:val="both"/>
        <w:ind w:right="320"/>
        <w:spacing w:after="0" w:line="273" w:lineRule="auto"/>
        <w:rPr>
          <w:sz w:val="20"/>
          <w:szCs w:val="20"/>
          <w:color w:val="auto"/>
        </w:rPr>
      </w:pPr>
      <w:r>
        <w:rPr>
          <w:rFonts w:ascii="Arial" w:cs="Arial" w:eastAsia="Arial" w:hAnsi="Arial"/>
          <w:sz w:val="18"/>
          <w:szCs w:val="18"/>
          <w:b w:val="1"/>
          <w:bCs w:val="1"/>
          <w:color w:val="0090DA"/>
        </w:rPr>
        <w:t>The amount and frequency of our share repurchases may fluctuate, and we cannot guarantee that we will fully consummate our share repurchase authorization, or that it will enhance long-term shareholder value. Share repurchases could also increase the volatility of the trading price of our stock and will diminish our cash reserves.</w:t>
      </w:r>
    </w:p>
    <w:p>
      <w:pPr>
        <w:spacing w:after="0" w:line="18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amount, timing, and execution of our share repurchases pursuant to our share repurchase authorization may fluctuate based on our operating results, cash flows, and priorities for the use of cash for other purposes. Our expenditures for share repurchases were $2.43 billion in 2022, $1.20 billion in 2021, $176 million in 2020, and $ 2.66 billion in 2019. These other purposes include, but are not limited to, operational spending, capital spending, acquisitions, and repayment of debt. Other factors, including changes in tax laws, could also impact our share repurchases. Although our Board of Directors has authorized share repurchases of up to $10 billion of our outstanding common stock, the authorization does not obligate us to repurchase any common stock.</w:t>
      </w:r>
    </w:p>
    <w:p>
      <w:pPr>
        <w:spacing w:after="0" w:line="20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cannot guarantee that our share repurchase authorization will be fully consummated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will diminish our cash reserves.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0090DA"/>
        </w:rPr>
        <w:t>There can be no assurance that we will continue to declare cash dividends in any particular amounts or at all.</w:t>
      </w:r>
    </w:p>
    <w:p>
      <w:pPr>
        <w:spacing w:after="0" w:line="25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1B. UNRESOLVED STAFF COMMENTS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39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2. PROPERTIES</w:t>
      </w:r>
    </w:p>
    <w:p>
      <w:pPr>
        <w:spacing w:after="0" w:line="25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corporate headquarters are located in Boise, Idaho. In addition to our principal facilities described below, we own or lease numerous other facilities in locations throughout the world used for design, R&amp;D, and sales and marketing activities. The following is a summary of our principal facilities as of September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863590" cy="3086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6359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6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Location</w:t>
            </w:r>
          </w:p>
        </w:tc>
        <w:tc>
          <w:tcPr>
            <w:tcW w:w="9560" w:type="dxa"/>
            <w:vAlign w:val="bottom"/>
            <w:tcBorders>
              <w:bottom w:val="single" w:sz="8" w:color="0090DA"/>
            </w:tcBorders>
          </w:tcPr>
          <w:p>
            <w:pPr>
              <w:ind w:left="580"/>
              <w:spacing w:after="0"/>
              <w:rPr>
                <w:sz w:val="20"/>
                <w:szCs w:val="20"/>
                <w:color w:val="auto"/>
              </w:rPr>
            </w:pPr>
            <w:r>
              <w:rPr>
                <w:rFonts w:ascii="Arial" w:cs="Arial" w:eastAsia="Arial" w:hAnsi="Arial"/>
                <w:sz w:val="18"/>
                <w:szCs w:val="18"/>
                <w:b w:val="1"/>
                <w:bCs w:val="1"/>
                <w:color w:val="auto"/>
              </w:rPr>
              <w:t>Principal Operations</w:t>
            </w:r>
          </w:p>
        </w:tc>
      </w:tr>
      <w:tr>
        <w:trPr>
          <w:trHeight w:val="34"/>
        </w:trPr>
        <w:tc>
          <w:tcPr>
            <w:tcW w:w="1680" w:type="dxa"/>
            <w:vAlign w:val="bottom"/>
          </w:tcPr>
          <w:p>
            <w:pPr>
              <w:spacing w:after="0"/>
              <w:rPr>
                <w:sz w:val="2"/>
                <w:szCs w:val="2"/>
                <w:color w:val="auto"/>
              </w:rPr>
            </w:pPr>
          </w:p>
        </w:tc>
        <w:tc>
          <w:tcPr>
            <w:tcW w:w="9560" w:type="dxa"/>
            <w:vAlign w:val="bottom"/>
          </w:tcPr>
          <w:p>
            <w:pPr>
              <w:spacing w:after="0"/>
              <w:rPr>
                <w:sz w:val="2"/>
                <w:szCs w:val="2"/>
                <w:color w:val="auto"/>
              </w:rPr>
            </w:pP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29"/>
        </w:trPr>
        <w:tc>
          <w:tcPr>
            <w:tcW w:w="1680" w:type="dxa"/>
            <w:vAlign w:val="bottom"/>
          </w:tcPr>
          <w:p>
            <w:pPr>
              <w:ind w:left="20"/>
              <w:spacing w:after="0"/>
              <w:rPr>
                <w:sz w:val="20"/>
                <w:szCs w:val="20"/>
                <w:color w:val="auto"/>
              </w:rPr>
            </w:pPr>
            <w:r>
              <w:rPr>
                <w:rFonts w:ascii="Arial" w:cs="Arial" w:eastAsia="Arial" w:hAnsi="Arial"/>
                <w:sz w:val="18"/>
                <w:szCs w:val="18"/>
                <w:color w:val="auto"/>
              </w:rPr>
              <w:t>Singapore</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component assembly and test, module assembly and test</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R&amp;D, wafer fabrication</w:t>
            </w:r>
          </w:p>
        </w:tc>
      </w:tr>
      <w:tr>
        <w:trPr>
          <w:trHeight w:val="230"/>
        </w:trPr>
        <w:tc>
          <w:tcPr>
            <w:tcW w:w="16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9560" w:type="dxa"/>
            <w:vAlign w:val="bottom"/>
          </w:tcPr>
          <w:p>
            <w:pPr>
              <w:ind w:left="580"/>
              <w:spacing w:after="0"/>
              <w:rPr>
                <w:sz w:val="20"/>
                <w:szCs w:val="20"/>
                <w:color w:val="auto"/>
              </w:rPr>
            </w:pPr>
            <w:r>
              <w:rPr>
                <w:rFonts w:ascii="Arial" w:cs="Arial" w:eastAsia="Arial" w:hAnsi="Arial"/>
                <w:sz w:val="18"/>
                <w:szCs w:val="18"/>
                <w:color w:val="auto"/>
              </w:rPr>
              <w:t>R&amp;D, wafer fabrication, reticle manufacturing</w:t>
            </w:r>
          </w:p>
        </w:tc>
      </w:tr>
      <w:tr>
        <w:trPr>
          <w:trHeight w:val="230"/>
        </w:trPr>
        <w:tc>
          <w:tcPr>
            <w:tcW w:w="16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95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r>
        <w:trPr>
          <w:trHeight w:val="239"/>
        </w:trPr>
        <w:tc>
          <w:tcPr>
            <w:tcW w:w="1680" w:type="dxa"/>
            <w:vAlign w:val="bottom"/>
          </w:tcPr>
          <w:p>
            <w:pPr>
              <w:ind w:left="20"/>
              <w:spacing w:after="0"/>
              <w:rPr>
                <w:sz w:val="20"/>
                <w:szCs w:val="20"/>
                <w:color w:val="auto"/>
              </w:rPr>
            </w:pPr>
            <w:r>
              <w:rPr>
                <w:rFonts w:ascii="Arial" w:cs="Arial" w:eastAsia="Arial" w:hAnsi="Arial"/>
                <w:sz w:val="18"/>
                <w:szCs w:val="18"/>
                <w:color w:val="auto"/>
              </w:rPr>
              <w:t>China</w:t>
            </w:r>
          </w:p>
        </w:tc>
        <w:tc>
          <w:tcPr>
            <w:tcW w:w="9560" w:type="dxa"/>
            <w:vAlign w:val="bottom"/>
          </w:tcPr>
          <w:p>
            <w:pPr>
              <w:ind w:left="580"/>
              <w:spacing w:after="0"/>
              <w:rPr>
                <w:sz w:val="20"/>
                <w:szCs w:val="20"/>
                <w:color w:val="auto"/>
              </w:rPr>
            </w:pPr>
            <w:r>
              <w:rPr>
                <w:rFonts w:ascii="Arial" w:cs="Arial" w:eastAsia="Arial" w:hAnsi="Arial"/>
                <w:sz w:val="18"/>
                <w:szCs w:val="18"/>
                <w:color w:val="auto"/>
              </w:rPr>
              <w:t>Component assembly and test, module assembly and test</w:t>
            </w:r>
          </w:p>
        </w:tc>
      </w:tr>
    </w:tbl>
    <w:p>
      <w:pPr>
        <w:spacing w:after="0" w:line="30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We generally utilize all of our manufacturing capacity; however, a portion of our MTU facility was underutilized for 2022, 2021, and 2020. Our MTU facility was sold in the first quarter of 2022.</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is expected to begin in calendar 2023 with DRAM production targeted to start in calendar 2025. In addition, in October 2022, we announced plans to build a second leading-edge DRAM manufacturing fab in Clay, New York. We plan to start site preparation work in calendar 2023 and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w:t>
      </w:r>
    </w:p>
    <w:p>
      <w:pPr>
        <w:spacing w:after="0" w:line="21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believe that our existing facilities are suitable and adequate for our present purposes. We do not identify or allocate assets by operating segment, other than goodwill. See “Part II – Item 8. Financial Statements and Supplementary Data – Notes to Consolidated Financial Statements – Lehi, Utah Fab and 3D XPoint” and “ – Geographic Information.”</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3. LEGAL PROCEEDINGS</w:t>
      </w:r>
    </w:p>
    <w:p>
      <w:pPr>
        <w:spacing w:after="0" w:line="258"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For a discussion of legal proceedings, see “Part II – Item 8. Financial Statements and Supplementary Data – Notes to Consolidated Financial Statements – Contingencies” and “Item 1A. Risk Factors” of this Annual Report on Form 10-K.</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4. MINE SAFETY DISCLOSURES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w:t>
      </w:r>
    </w:p>
    <w:p>
      <w:pPr>
        <w:spacing w:after="0" w:line="257" w:lineRule="exact"/>
        <w:rPr>
          <w:sz w:val="20"/>
          <w:szCs w:val="20"/>
          <w:color w:val="auto"/>
        </w:rPr>
      </w:pPr>
    </w:p>
    <w:p>
      <w:pPr>
        <w:ind w:right="1120"/>
        <w:spacing w:after="0" w:line="309" w:lineRule="auto"/>
        <w:rPr>
          <w:sz w:val="20"/>
          <w:szCs w:val="20"/>
          <w:color w:val="auto"/>
        </w:rPr>
      </w:pPr>
      <w:r>
        <w:rPr>
          <w:rFonts w:ascii="Arial" w:cs="Arial" w:eastAsia="Arial" w:hAnsi="Arial"/>
          <w:sz w:val="25"/>
          <w:szCs w:val="25"/>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Market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trading symbol “MU.”</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Holders of Record</w:t>
      </w:r>
    </w:p>
    <w:p>
      <w:pPr>
        <w:spacing w:after="0" w:line="27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As of September 30, 2022, there were approximately 1,768 shareholders of record of our common stock. A substantially greater number of holders of our common stock are "street name" or beneficial holders, whose shares are held of record by banks, brokers, and other financial institutions.</w:t>
      </w:r>
    </w:p>
    <w:p>
      <w:pPr>
        <w:spacing w:after="0" w:line="19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Dividends</w:t>
      </w:r>
    </w:p>
    <w:p>
      <w:pPr>
        <w:spacing w:after="0" w:line="257"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On September 29, 2022, we announced that our Board of Directors had declared a quarterly dividend of $0.115 per share, payable in cash on October 26, 2022, to shareholders of record as of the close of business on October 11, 2022.</w:t>
      </w:r>
    </w:p>
    <w:p>
      <w:pPr>
        <w:spacing w:after="0" w:line="18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currently expect quarterly dividends to continue in future periods and aim to grow our dividend payments over time. However, the declaration and payment of any future cash dividends are at the discretion and subject to the approval of our Board of Directors. Our Board of Directors' decisions regarding the amount and payment of dividends will depend on many factors, such as our financial condition, results of operations, capital requirements, business conditions, debt service obligations, contractual restrictions, industry practice, legal requirements, regulatory constraints, and other factors that our Board of Directors may deem relevant. We cannot guarantee that we will continue to pay a dividend in any future period.</w:t>
      </w:r>
    </w:p>
    <w:p>
      <w:pPr>
        <w:spacing w:after="0" w:line="20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Compensation Plan Information</w:t>
      </w:r>
    </w:p>
    <w:p>
      <w:pPr>
        <w:spacing w:after="0" w:line="25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information required by this item is incorporated by reference from the information to be included in our 2022 Proxy Statement under the section entitled “Equity Compensation Plan Information,” which will be filed with the SEC within 120 days after September 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Issuer Purchase of Equity Securities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Common Stock Repurchase Authorization</w:t>
      </w:r>
    </w:p>
    <w:p>
      <w:pPr>
        <w:spacing w:after="0" w:line="243"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 May 2018, we announced that our Board of Directors authorized the discretionary repurchase of up to $ 10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w:t>
      </w:r>
    </w:p>
    <w:tbl>
      <w:tblPr>
        <w:tblLayout w:type="fixed"/>
        <w:tblInd w:w="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w:t>
            </w:r>
          </w:p>
        </w:tc>
        <w:tc>
          <w:tcPr>
            <w:tcW w:w="120" w:type="dxa"/>
            <w:vAlign w:val="bottom"/>
          </w:tcPr>
          <w:p>
            <w:pPr>
              <w:spacing w:after="0"/>
              <w:rPr>
                <w:sz w:val="16"/>
                <w:szCs w:val="16"/>
                <w:color w:val="auto"/>
              </w:rPr>
            </w:pPr>
          </w:p>
        </w:tc>
        <w:tc>
          <w:tcPr>
            <w:tcW w:w="86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Average</w:t>
            </w:r>
          </w:p>
        </w:tc>
        <w:tc>
          <w:tcPr>
            <w:tcW w:w="22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Total number of shares</w:t>
            </w:r>
          </w:p>
        </w:tc>
        <w:tc>
          <w:tcPr>
            <w:tcW w:w="346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Approximate dollar value of shares that</w:t>
            </w:r>
          </w:p>
        </w:tc>
        <w:tc>
          <w:tcPr>
            <w:tcW w:w="0" w:type="dxa"/>
            <w:vAlign w:val="bottom"/>
          </w:tcPr>
          <w:p>
            <w:pPr>
              <w:spacing w:after="0"/>
              <w:rPr>
                <w:sz w:val="1"/>
                <w:szCs w:val="1"/>
                <w:color w:val="auto"/>
              </w:rPr>
            </w:pPr>
          </w:p>
        </w:tc>
      </w:tr>
      <w:tr>
        <w:trPr>
          <w:trHeight w:val="181"/>
        </w:trPr>
        <w:tc>
          <w:tcPr>
            <w:tcW w:w="12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222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9"/>
              </w:rPr>
              <w:t>purchased as part of</w:t>
            </w:r>
          </w:p>
        </w:tc>
        <w:tc>
          <w:tcPr>
            <w:tcW w:w="346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rPr>
              <w:t>may yet be purchased under publicly</w:t>
            </w:r>
          </w:p>
        </w:tc>
        <w:tc>
          <w:tcPr>
            <w:tcW w:w="0" w:type="dxa"/>
            <w:vAlign w:val="bottom"/>
          </w:tcPr>
          <w:p>
            <w:pPr>
              <w:spacing w:after="0"/>
              <w:rPr>
                <w:sz w:val="1"/>
                <w:szCs w:val="1"/>
                <w:color w:val="auto"/>
              </w:rPr>
            </w:pPr>
          </w:p>
        </w:tc>
      </w:tr>
      <w:tr>
        <w:trPr>
          <w:trHeight w:val="175"/>
        </w:trPr>
        <w:tc>
          <w:tcPr>
            <w:tcW w:w="1280" w:type="dxa"/>
            <w:vAlign w:val="bottom"/>
          </w:tcPr>
          <w:p>
            <w:pPr>
              <w:spacing w:after="0"/>
              <w:rPr>
                <w:sz w:val="15"/>
                <w:szCs w:val="15"/>
                <w:color w:val="auto"/>
              </w:rPr>
            </w:pPr>
          </w:p>
        </w:tc>
        <w:tc>
          <w:tcPr>
            <w:tcW w:w="1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Period</w:t>
            </w:r>
          </w:p>
        </w:tc>
        <w:tc>
          <w:tcPr>
            <w:tcW w:w="1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of shares</w:t>
            </w:r>
          </w:p>
        </w:tc>
        <w:tc>
          <w:tcPr>
            <w:tcW w:w="98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8"/>
              </w:rPr>
              <w:t>price paid</w:t>
            </w:r>
          </w:p>
        </w:tc>
        <w:tc>
          <w:tcPr>
            <w:tcW w:w="2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34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 xml:space="preserve">announced plans or programs </w:t>
            </w:r>
            <w:r>
              <w:rPr>
                <w:rFonts w:ascii="Arial" w:cs="Arial" w:eastAsia="Arial" w:hAnsi="Arial"/>
                <w:sz w:val="18"/>
                <w:szCs w:val="18"/>
                <w:color w:val="auto"/>
                <w:w w:val="99"/>
              </w:rPr>
              <w:t>(in</w:t>
            </w:r>
          </w:p>
        </w:tc>
        <w:tc>
          <w:tcPr>
            <w:tcW w:w="0" w:type="dxa"/>
            <w:vAlign w:val="bottom"/>
          </w:tcPr>
          <w:p>
            <w:pPr>
              <w:spacing w:after="0"/>
              <w:rPr>
                <w:sz w:val="1"/>
                <w:szCs w:val="1"/>
                <w:color w:val="auto"/>
              </w:rPr>
            </w:pPr>
          </w:p>
        </w:tc>
      </w:tr>
      <w:tr>
        <w:trPr>
          <w:trHeight w:val="230"/>
        </w:trPr>
        <w:tc>
          <w:tcPr>
            <w:tcW w:w="1280" w:type="dxa"/>
            <w:vAlign w:val="bottom"/>
            <w:tcBorders>
              <w:bottom w:val="single" w:sz="8" w:color="0090DA"/>
            </w:tcBorders>
          </w:tcPr>
          <w:p>
            <w:pPr>
              <w:spacing w:after="0"/>
              <w:rPr>
                <w:sz w:val="19"/>
                <w:szCs w:val="19"/>
                <w:color w:val="auto"/>
              </w:rPr>
            </w:pPr>
          </w:p>
        </w:tc>
        <w:tc>
          <w:tcPr>
            <w:tcW w:w="1960" w:type="dxa"/>
            <w:vAlign w:val="bottom"/>
            <w:tcBorders>
              <w:bottom w:val="single" w:sz="8" w:color="0090DA"/>
            </w:tcBorders>
            <w:vMerge w:val="continue"/>
          </w:tcPr>
          <w:p>
            <w:pPr>
              <w:spacing w:after="0"/>
              <w:rPr>
                <w:sz w:val="19"/>
                <w:szCs w:val="19"/>
                <w:color w:val="auto"/>
              </w:rPr>
            </w:pPr>
          </w:p>
        </w:tc>
        <w:tc>
          <w:tcPr>
            <w:tcW w:w="134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rPr>
              <w:t>purchased</w:t>
            </w:r>
          </w:p>
        </w:tc>
        <w:tc>
          <w:tcPr>
            <w:tcW w:w="9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8"/>
              </w:rPr>
              <w:t>per share</w:t>
            </w:r>
          </w:p>
        </w:tc>
        <w:tc>
          <w:tcPr>
            <w:tcW w:w="2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9"/>
              </w:rPr>
              <w:t>plans or programs</w:t>
            </w:r>
          </w:p>
        </w:tc>
        <w:tc>
          <w:tcPr>
            <w:tcW w:w="3460" w:type="dxa"/>
            <w:vAlign w:val="bottom"/>
            <w:tcBorders>
              <w:bottom w:val="single" w:sz="8" w:color="0090DA"/>
            </w:tcBorders>
          </w:tcPr>
          <w:p>
            <w:pPr>
              <w:jc w:val="center"/>
              <w:spacing w:after="0"/>
              <w:rPr>
                <w:sz w:val="20"/>
                <w:szCs w:val="20"/>
                <w:color w:val="auto"/>
              </w:rPr>
            </w:pPr>
            <w:r>
              <w:rPr>
                <w:rFonts w:ascii="Arial" w:cs="Arial" w:eastAsia="Arial" w:hAnsi="Arial"/>
                <w:sz w:val="18"/>
                <w:szCs w:val="18"/>
                <w:color w:val="auto"/>
                <w:w w:val="99"/>
              </w:rPr>
              <w:t>millions)</w:t>
            </w:r>
          </w:p>
        </w:tc>
        <w:tc>
          <w:tcPr>
            <w:tcW w:w="0" w:type="dxa"/>
            <w:vAlign w:val="bottom"/>
          </w:tcPr>
          <w:p>
            <w:pPr>
              <w:spacing w:after="0"/>
              <w:rPr>
                <w:sz w:val="1"/>
                <w:szCs w:val="1"/>
                <w:color w:val="auto"/>
              </w:rPr>
            </w:pPr>
          </w:p>
        </w:tc>
      </w:tr>
      <w:tr>
        <w:trPr>
          <w:trHeight w:val="34"/>
        </w:trPr>
        <w:tc>
          <w:tcPr>
            <w:tcW w:w="1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June 3, 2022</w:t>
            </w:r>
          </w:p>
        </w:tc>
        <w:tc>
          <w:tcPr>
            <w:tcW w:w="1960" w:type="dxa"/>
            <w:vAlign w:val="bottom"/>
            <w:shd w:val="clear" w:color="auto" w:fill="D1D2D4"/>
          </w:tcPr>
          <w:p>
            <w:pPr>
              <w:ind w:left="80"/>
              <w:spacing w:after="0"/>
              <w:rPr>
                <w:sz w:val="20"/>
                <w:szCs w:val="20"/>
                <w:color w:val="auto"/>
              </w:rPr>
            </w:pPr>
            <w:r>
              <w:rPr>
                <w:rFonts w:ascii="Arial" w:cs="Arial" w:eastAsia="Arial" w:hAnsi="Arial"/>
                <w:sz w:val="18"/>
                <w:szCs w:val="18"/>
                <w:color w:val="auto"/>
              </w:rPr>
              <w:t>– July 7, 2022</w:t>
            </w:r>
          </w:p>
        </w:tc>
        <w:tc>
          <w:tcPr>
            <w:tcW w:w="13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4,038,489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58.69</w:t>
            </w:r>
          </w:p>
        </w:tc>
        <w:tc>
          <w:tcPr>
            <w:tcW w:w="2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4,038,489</w:t>
            </w:r>
          </w:p>
        </w:tc>
        <w:tc>
          <w:tcPr>
            <w:tcW w:w="34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80" w:type="dxa"/>
            <w:vAlign w:val="bottom"/>
          </w:tcPr>
          <w:p>
            <w:pPr>
              <w:ind w:left="20"/>
              <w:spacing w:after="0"/>
              <w:rPr>
                <w:sz w:val="20"/>
                <w:szCs w:val="20"/>
                <w:color w:val="auto"/>
              </w:rPr>
            </w:pPr>
            <w:r>
              <w:rPr>
                <w:rFonts w:ascii="Arial" w:cs="Arial" w:eastAsia="Arial" w:hAnsi="Arial"/>
                <w:sz w:val="18"/>
                <w:szCs w:val="18"/>
                <w:color w:val="auto"/>
              </w:rPr>
              <w:t>July 8, 2022</w:t>
            </w:r>
          </w:p>
        </w:tc>
        <w:tc>
          <w:tcPr>
            <w:tcW w:w="1960" w:type="dxa"/>
            <w:vAlign w:val="bottom"/>
          </w:tcPr>
          <w:p>
            <w:pPr>
              <w:ind w:left="80"/>
              <w:spacing w:after="0"/>
              <w:rPr>
                <w:sz w:val="20"/>
                <w:szCs w:val="20"/>
                <w:color w:val="auto"/>
              </w:rPr>
            </w:pPr>
            <w:r>
              <w:rPr>
                <w:rFonts w:ascii="Arial" w:cs="Arial" w:eastAsia="Arial" w:hAnsi="Arial"/>
                <w:sz w:val="18"/>
                <w:szCs w:val="18"/>
                <w:color w:val="auto"/>
              </w:rPr>
              <w:t>– August 4, 2022</w:t>
            </w:r>
          </w:p>
        </w:tc>
        <w:tc>
          <w:tcPr>
            <w:tcW w:w="1340" w:type="dxa"/>
            <w:vAlign w:val="bottom"/>
          </w:tcPr>
          <w:p>
            <w:pPr>
              <w:jc w:val="right"/>
              <w:spacing w:after="0"/>
              <w:rPr>
                <w:sz w:val="20"/>
                <w:szCs w:val="20"/>
                <w:color w:val="auto"/>
              </w:rPr>
            </w:pPr>
            <w:r>
              <w:rPr>
                <w:rFonts w:ascii="Arial" w:cs="Arial" w:eastAsia="Arial" w:hAnsi="Arial"/>
                <w:sz w:val="18"/>
                <w:szCs w:val="18"/>
                <w:color w:val="auto"/>
              </w:rPr>
              <w:t>8,643,182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59.15</w:t>
            </w:r>
          </w:p>
        </w:tc>
        <w:tc>
          <w:tcPr>
            <w:tcW w:w="2220" w:type="dxa"/>
            <w:vAlign w:val="bottom"/>
          </w:tcPr>
          <w:p>
            <w:pPr>
              <w:jc w:val="right"/>
              <w:spacing w:after="0"/>
              <w:rPr>
                <w:sz w:val="20"/>
                <w:szCs w:val="20"/>
                <w:color w:val="auto"/>
              </w:rPr>
            </w:pPr>
            <w:r>
              <w:rPr>
                <w:rFonts w:ascii="Arial" w:cs="Arial" w:eastAsia="Arial" w:hAnsi="Arial"/>
                <w:sz w:val="18"/>
                <w:szCs w:val="18"/>
                <w:color w:val="auto"/>
              </w:rPr>
              <w:t>8,643,182</w:t>
            </w:r>
          </w:p>
        </w:tc>
        <w:tc>
          <w:tcPr>
            <w:tcW w:w="3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August 5, 2022</w:t>
            </w:r>
          </w:p>
        </w:tc>
        <w:tc>
          <w:tcPr>
            <w:tcW w:w="1960" w:type="dxa"/>
            <w:vAlign w:val="bottom"/>
            <w:shd w:val="clear" w:color="auto" w:fill="D1D2D4"/>
          </w:tcPr>
          <w:p>
            <w:pPr>
              <w:ind w:left="80"/>
              <w:spacing w:after="0"/>
              <w:rPr>
                <w:sz w:val="20"/>
                <w:szCs w:val="20"/>
                <w:color w:val="auto"/>
              </w:rPr>
            </w:pPr>
            <w:r>
              <w:rPr>
                <w:rFonts w:ascii="Arial" w:cs="Arial" w:eastAsia="Arial" w:hAnsi="Arial"/>
                <w:sz w:val="18"/>
                <w:szCs w:val="18"/>
                <w:color w:val="auto"/>
              </w:rPr>
              <w:t>– September 1, 2022</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575,794</w:t>
            </w:r>
          </w:p>
        </w:tc>
        <w:tc>
          <w:tcPr>
            <w:tcW w:w="12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62.53</w:t>
            </w:r>
          </w:p>
        </w:tc>
        <w:tc>
          <w:tcPr>
            <w:tcW w:w="2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575,794</w:t>
            </w:r>
          </w:p>
        </w:tc>
        <w:tc>
          <w:tcPr>
            <w:tcW w:w="34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13,257,465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59.16</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13,257,465</w:t>
            </w:r>
          </w:p>
        </w:tc>
        <w:tc>
          <w:tcPr>
            <w:tcW w:w="3460" w:type="dxa"/>
            <w:vAlign w:val="bottom"/>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Shares of common stock withheld as payment of withholding taxes and exercise prices in connection with the vesting or exercise of equity awards are also treated as common stock repurchases. Those withheld shares of common stock are not required to be disclosed under Item 703 of Regulation S-K and accordingly are excluded from the amounts in the table above.</w:t>
      </w:r>
    </w:p>
    <w:p>
      <w:pPr>
        <w:spacing w:after="0" w:line="196"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Performance Graph</w:t>
      </w:r>
    </w:p>
    <w:p>
      <w:pPr>
        <w:spacing w:after="0" w:line="25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following graph illustrates a five-year comparison of cumulative total returns for our common stock, the S&amp;P 500 Composite Index, and the Philadelphia Semiconductor Index (SOX) from August 31, 2017, through August 31, 2022. We operate on a 52 or 53-week fiscal year which ends on the Thursday closest to August 31. Accordingly, the last day of our fiscal year varies. For consistent presentation and comparison to the industry indices shown herein, we have calculated our stock performance graph assuming an August 31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5709285" cy="26231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09285"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00"/>
        <w:spacing w:after="0" w:line="285" w:lineRule="auto"/>
        <w:rPr>
          <w:sz w:val="20"/>
          <w:szCs w:val="20"/>
          <w:color w:val="auto"/>
        </w:rPr>
      </w:pPr>
      <w:r>
        <w:rPr>
          <w:rFonts w:ascii="Arial" w:cs="Arial" w:eastAsia="Arial" w:hAnsi="Arial"/>
          <w:sz w:val="18"/>
          <w:szCs w:val="18"/>
          <w:i w:val="1"/>
          <w:iCs w:val="1"/>
          <w:color w:val="auto"/>
        </w:rPr>
        <w:t>Note: Management cautions that the stock price performance information shown in the graph above may not be indicative of current stock price levels or future stock price performance.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color w:val="auto"/>
        </w:rPr>
        <w:t>The performance graph above assumes $100 was invested on August 31, 2017 in common stock of Micron Technology, Inc., the S&amp;P 500 Composite Index, and the Philadelphia Semiconductor Index (SOX). Any dividends paid during the period presented were assumed to be reinvested. The performance was plotted using the following data:</w:t>
      </w:r>
    </w:p>
    <w:tbl>
      <w:tblPr>
        <w:tblLayout w:type="fixed"/>
        <w:tblInd w:w="0" w:type="dxa"/>
        <w:tblCellMar>
          <w:top w:w="0" w:type="dxa"/>
          <w:left w:w="0" w:type="dxa"/>
          <w:bottom w:w="0" w:type="dxa"/>
          <w:right w:w="0" w:type="dxa"/>
        </w:tblCellMar>
      </w:tblPr>
      <w:tr>
        <w:trPr>
          <w:trHeight w:val="235"/>
        </w:trPr>
        <w:tc>
          <w:tcPr>
            <w:tcW w:w="394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6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0090DA"/>
            </w:tcBorders>
          </w:tcPr>
          <w:p>
            <w:pPr>
              <w:spacing w:after="0"/>
              <w:rPr>
                <w:sz w:val="20"/>
                <w:szCs w:val="20"/>
                <w:color w:val="auto"/>
              </w:rPr>
            </w:pPr>
          </w:p>
        </w:tc>
        <w:tc>
          <w:tcPr>
            <w:tcW w:w="84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0090DA"/>
            </w:tcBorders>
          </w:tcPr>
          <w:p>
            <w:pPr>
              <w:spacing w:after="0"/>
              <w:rPr>
                <w:sz w:val="20"/>
                <w:szCs w:val="20"/>
                <w:color w:val="auto"/>
              </w:rPr>
            </w:pPr>
          </w:p>
        </w:tc>
        <w:tc>
          <w:tcPr>
            <w:tcW w:w="860" w:type="dxa"/>
            <w:vAlign w:val="bottom"/>
            <w:tcBorders>
              <w:bottom w:val="single" w:sz="8" w:color="0090DA"/>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90DA"/>
            </w:tcBorders>
          </w:tcPr>
          <w:p>
            <w:pPr>
              <w:spacing w:after="0"/>
              <w:rPr>
                <w:sz w:val="20"/>
                <w:szCs w:val="20"/>
                <w:color w:val="auto"/>
              </w:rPr>
            </w:pPr>
          </w:p>
        </w:tc>
        <w:tc>
          <w:tcPr>
            <w:tcW w:w="880" w:type="dxa"/>
            <w:vAlign w:val="bottom"/>
            <w:tcBorders>
              <w:bottom w:val="single" w:sz="8" w:color="0090DA"/>
            </w:tcBorders>
          </w:tcPr>
          <w:p>
            <w:pPr>
              <w:jc w:val="right"/>
              <w:ind w:right="270"/>
              <w:spacing w:after="0"/>
              <w:rPr>
                <w:sz w:val="20"/>
                <w:szCs w:val="20"/>
                <w:color w:val="auto"/>
              </w:rPr>
            </w:pPr>
            <w:r>
              <w:rPr>
                <w:rFonts w:ascii="Arial" w:cs="Arial" w:eastAsia="Arial" w:hAnsi="Arial"/>
                <w:sz w:val="18"/>
                <w:szCs w:val="18"/>
                <w:b w:val="1"/>
                <w:bCs w:val="1"/>
                <w:color w:val="auto"/>
              </w:rPr>
              <w:t>2022</w:t>
            </w:r>
          </w:p>
        </w:tc>
      </w:tr>
      <w:tr>
        <w:trPr>
          <w:trHeight w:val="34"/>
        </w:trPr>
        <w:tc>
          <w:tcPr>
            <w:tcW w:w="3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Inc.</w:t>
            </w:r>
          </w:p>
        </w:tc>
        <w:tc>
          <w:tcPr>
            <w:tcW w:w="8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28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3940" w:type="dxa"/>
            <w:vAlign w:val="bottom"/>
          </w:tcPr>
          <w:p>
            <w:pPr>
              <w:ind w:left="20"/>
              <w:spacing w:after="0"/>
              <w:rPr>
                <w:sz w:val="20"/>
                <w:szCs w:val="20"/>
                <w:color w:val="auto"/>
              </w:rPr>
            </w:pPr>
            <w:r>
              <w:rPr>
                <w:rFonts w:ascii="Arial" w:cs="Arial" w:eastAsia="Arial" w:hAnsi="Arial"/>
                <w:sz w:val="18"/>
                <w:szCs w:val="18"/>
                <w:color w:val="auto"/>
              </w:rPr>
              <w:t>S&amp;P 500 Composite Index</w:t>
            </w:r>
          </w:p>
        </w:tc>
        <w:tc>
          <w:tcPr>
            <w:tcW w:w="8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w:t>
            </w: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3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Philadelphia Semiconductor Index (SOX)</w:t>
            </w:r>
          </w:p>
        </w:tc>
        <w:tc>
          <w:tcPr>
            <w:tcW w:w="8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6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D1D2D4"/>
          </w:tcPr>
          <w:p>
            <w:pPr>
              <w:spacing w:after="0"/>
              <w:rPr>
                <w:sz w:val="19"/>
                <w:szCs w:val="19"/>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w:t>
            </w:r>
          </w:p>
        </w:tc>
        <w:tc>
          <w:tcPr>
            <w:tcW w:w="280" w:type="dxa"/>
            <w:vAlign w:val="bottom"/>
            <w:shd w:val="clear" w:color="auto" w:fill="D1D2D4"/>
          </w:tcPr>
          <w:p>
            <w:pPr>
              <w:spacing w:after="0"/>
              <w:rPr>
                <w:sz w:val="19"/>
                <w:szCs w:val="19"/>
                <w:color w:val="auto"/>
              </w:rPr>
            </w:pPr>
          </w:p>
        </w:tc>
        <w:tc>
          <w:tcPr>
            <w:tcW w:w="8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260" w:type="dxa"/>
            <w:vAlign w:val="bottom"/>
            <w:shd w:val="clear" w:color="auto" w:fill="D1D2D4"/>
          </w:tcPr>
          <w:p>
            <w:pPr>
              <w:spacing w:after="0"/>
              <w:rPr>
                <w:sz w:val="19"/>
                <w:szCs w:val="19"/>
                <w:color w:val="auto"/>
              </w:rPr>
            </w:pPr>
          </w:p>
        </w:tc>
        <w:tc>
          <w:tcPr>
            <w:tcW w:w="8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w:t>
            </w: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6. [RESERVED]</w:t>
      </w:r>
    </w:p>
    <w:p>
      <w:pPr>
        <w:spacing w:after="0" w:line="200" w:lineRule="exact"/>
        <w:rPr>
          <w:sz w:val="20"/>
          <w:szCs w:val="20"/>
          <w:color w:val="auto"/>
        </w:rPr>
      </w:pPr>
    </w:p>
    <w:p>
      <w:pPr>
        <w:spacing w:after="0" w:line="296" w:lineRule="exact"/>
        <w:rPr>
          <w:sz w:val="20"/>
          <w:szCs w:val="20"/>
          <w:color w:val="auto"/>
        </w:rPr>
      </w:pPr>
    </w:p>
    <w:p>
      <w:pPr>
        <w:ind w:right="700"/>
        <w:spacing w:after="0" w:line="298" w:lineRule="auto"/>
        <w:rPr>
          <w:sz w:val="20"/>
          <w:szCs w:val="20"/>
          <w:color w:val="auto"/>
        </w:rPr>
      </w:pPr>
      <w:r>
        <w:rPr>
          <w:rFonts w:ascii="Arial" w:cs="Arial" w:eastAsia="Arial" w:hAnsi="Arial"/>
          <w:sz w:val="25"/>
          <w:szCs w:val="25"/>
          <w:b w:val="1"/>
          <w:bCs w:val="1"/>
          <w:color w:val="auto"/>
        </w:rPr>
        <w:t>ITEM 7. MANAGEMENT’S DISCUSSION AND ANALYSIS OF FINANCIAL CONDITION AND RESULTS OF OPERATIONS</w:t>
      </w:r>
    </w:p>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This discussion should be read in conjunction with the consolidated financial statements and accompanying notes for the year ended September 1, 2022. All period references are to our fiscal periods unless otherwise indicated. Our fiscal year is the 52 or 53-week period ending on the Thursday closest to August 31. Fiscal 2022 and 2021 contained 52 weeks and fiscal 2020 contained 53 weeks. Our fourth quarter of fiscal 2020 contained 14 weeks and all other fiscal quarters in the years presented contained 13 weeks</w:t>
      </w:r>
      <w:r>
        <w:rPr>
          <w:rFonts w:ascii="Arial" w:cs="Arial" w:eastAsia="Arial" w:hAnsi="Arial"/>
          <w:sz w:val="18"/>
          <w:szCs w:val="18"/>
          <w:color w:val="auto"/>
        </w:rPr>
        <w:t>.</w:t>
      </w:r>
      <w:r>
        <w:rPr>
          <w:rFonts w:ascii="Arial" w:cs="Arial" w:eastAsia="Arial" w:hAnsi="Arial"/>
          <w:sz w:val="18"/>
          <w:szCs w:val="18"/>
          <w:i w:val="1"/>
          <w:iCs w:val="1"/>
          <w:color w:val="auto"/>
        </w:rPr>
        <w:t xml:space="preserve"> All tabular dollar amounts are in millions, except per share amounts.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For an overview of our business and certain related trends, see “Part I – Item 1. Business – Overview.”</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Consolidated Results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62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80"/>
              <w:spacing w:after="0"/>
              <w:rPr>
                <w:sz w:val="20"/>
                <w:szCs w:val="20"/>
                <w:color w:val="auto"/>
              </w:rPr>
            </w:pPr>
            <w:r>
              <w:rPr>
                <w:rFonts w:ascii="Arial" w:cs="Arial" w:eastAsia="Arial" w:hAnsi="Arial"/>
                <w:sz w:val="18"/>
                <w:szCs w:val="18"/>
                <w:b w:val="1"/>
                <w:bCs w:val="1"/>
                <w:color w:val="auto"/>
              </w:rPr>
              <w:t>2020</w:t>
            </w:r>
          </w:p>
        </w:tc>
        <w:tc>
          <w:tcPr>
            <w:tcW w:w="620" w:type="dxa"/>
            <w:vAlign w:val="bottom"/>
            <w:tcBorders>
              <w:bottom w:val="single" w:sz="8" w:color="0090DA"/>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28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100 %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58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55 %</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280" w:type="dxa"/>
            <w:vAlign w:val="bottom"/>
            <w:tcBorders>
              <w:bottom w:val="single" w:sz="8" w:color="D1D2D4"/>
            </w:tcBorders>
          </w:tcPr>
          <w:p>
            <w:pPr>
              <w:spacing w:after="0"/>
              <w:rPr>
                <w:sz w:val="19"/>
                <w:szCs w:val="19"/>
                <w:color w:val="auto"/>
              </w:rPr>
            </w:pPr>
          </w:p>
        </w:tc>
        <w:tc>
          <w:tcPr>
            <w:tcW w:w="64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62 %</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300" w:type="dxa"/>
            <w:vAlign w:val="bottom"/>
            <w:tcBorders>
              <w:bottom w:val="single" w:sz="8" w:color="D1D2D4"/>
            </w:tcBorders>
          </w:tcPr>
          <w:p>
            <w:pPr>
              <w:spacing w:after="0"/>
              <w:rPr>
                <w:sz w:val="19"/>
                <w:szCs w:val="19"/>
                <w:color w:val="auto"/>
              </w:rPr>
            </w:pPr>
          </w:p>
        </w:tc>
        <w:tc>
          <w:tcPr>
            <w:tcW w:w="6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69 %</w:t>
            </w:r>
          </w:p>
        </w:tc>
      </w:tr>
      <w:tr>
        <w:trPr>
          <w:trHeight w:val="223"/>
        </w:trPr>
        <w:tc>
          <w:tcPr>
            <w:tcW w:w="5820" w:type="dxa"/>
            <w:vAlign w:val="bottom"/>
            <w:shd w:val="clear" w:color="auto" w:fill="D1D2D4"/>
          </w:tcPr>
          <w:p>
            <w:pPr>
              <w:ind w:left="36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31 %</w:t>
            </w:r>
          </w:p>
        </w:tc>
      </w:tr>
      <w:tr>
        <w:trPr>
          <w:trHeight w:val="256"/>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1,066</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894</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881</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Other operating (income) 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280" w:type="dxa"/>
            <w:vAlign w:val="bottom"/>
          </w:tcPr>
          <w:p>
            <w:pPr>
              <w:spacing w:after="0"/>
              <w:rPr>
                <w:sz w:val="19"/>
                <w:szCs w:val="19"/>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Borders>
              <w:top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32 %</w:t>
            </w:r>
          </w:p>
        </w:tc>
        <w:tc>
          <w:tcPr>
            <w:tcW w:w="20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280" w:type="dxa"/>
            <w:vAlign w:val="bottom"/>
            <w:tcBorders>
              <w:top w:val="single" w:sz="8" w:color="D1D2D4"/>
            </w:tcBorders>
            <w:shd w:val="clear" w:color="auto" w:fill="D1D2D4"/>
          </w:tcPr>
          <w:p>
            <w:pPr>
              <w:spacing w:after="0"/>
              <w:rPr>
                <w:sz w:val="19"/>
                <w:szCs w:val="19"/>
                <w:color w:val="auto"/>
              </w:rPr>
            </w:pPr>
          </w:p>
        </w:tc>
        <w:tc>
          <w:tcPr>
            <w:tcW w:w="64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23 %</w:t>
            </w:r>
          </w:p>
        </w:tc>
        <w:tc>
          <w:tcPr>
            <w:tcW w:w="180" w:type="dxa"/>
            <w:vAlign w:val="bottom"/>
            <w:tcBorders>
              <w:top w:val="single" w:sz="8" w:color="auto"/>
            </w:tcBorders>
            <w:shd w:val="clear" w:color="auto" w:fill="D1D2D4"/>
          </w:tcPr>
          <w:p>
            <w:pPr>
              <w:spacing w:after="0"/>
              <w:rPr>
                <w:sz w:val="19"/>
                <w:szCs w:val="19"/>
                <w:color w:val="auto"/>
              </w:rPr>
            </w:pPr>
          </w:p>
        </w:tc>
        <w:tc>
          <w:tcPr>
            <w:tcW w:w="700" w:type="dxa"/>
            <w:vAlign w:val="bottom"/>
            <w:tcBorders>
              <w:top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300" w:type="dxa"/>
            <w:vAlign w:val="bottom"/>
            <w:tcBorders>
              <w:top w:val="single" w:sz="8" w:color="D1D2D4"/>
            </w:tcBorders>
            <w:shd w:val="clear" w:color="auto" w:fill="D1D2D4"/>
          </w:tcPr>
          <w:p>
            <w:pPr>
              <w:spacing w:after="0"/>
              <w:rPr>
                <w:sz w:val="19"/>
                <w:szCs w:val="19"/>
                <w:color w:val="auto"/>
              </w:rPr>
            </w:pPr>
          </w:p>
        </w:tc>
        <w:tc>
          <w:tcPr>
            <w:tcW w:w="620" w:type="dxa"/>
            <w:vAlign w:val="bottom"/>
            <w:tcBorders>
              <w:top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14 %</w:t>
            </w:r>
          </w:p>
        </w:tc>
      </w:tr>
      <w:tr>
        <w:trPr>
          <w:trHeight w:val="257"/>
        </w:trPr>
        <w:tc>
          <w:tcPr>
            <w:tcW w:w="5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 (expense), net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w:t>
            </w:r>
          </w:p>
        </w:tc>
        <w:tc>
          <w:tcPr>
            <w:tcW w:w="300" w:type="dxa"/>
            <w:vAlign w:val="bottom"/>
            <w:shd w:val="clear" w:color="auto" w:fill="D1D2D4"/>
          </w:tcPr>
          <w:p>
            <w:pPr>
              <w:spacing w:after="0"/>
              <w:rPr>
                <w:sz w:val="19"/>
                <w:szCs w:val="19"/>
                <w:color w:val="auto"/>
              </w:rPr>
            </w:pP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(146)</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non-operating income (expense), net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(394)</w:t>
            </w:r>
          </w:p>
        </w:tc>
        <w:tc>
          <w:tcPr>
            <w:tcW w:w="28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82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8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80" w:type="dxa"/>
            <w:vAlign w:val="bottom"/>
            <w:shd w:val="clear" w:color="auto" w:fill="D1D2D4"/>
          </w:tcPr>
          <w:p>
            <w:pPr>
              <w:spacing w:after="0"/>
              <w:rPr>
                <w:sz w:val="19"/>
                <w:szCs w:val="19"/>
                <w:color w:val="auto"/>
              </w:rPr>
            </w:pPr>
          </w:p>
        </w:tc>
        <w:tc>
          <w:tcPr>
            <w:tcW w:w="1000" w:type="dxa"/>
            <w:vAlign w:val="bottom"/>
            <w:gridSpan w:val="2"/>
            <w:shd w:val="clear" w:color="auto" w:fill="D1D2D4"/>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980" w:type="dxa"/>
            <w:vAlign w:val="bottom"/>
            <w:gridSpan w:val="2"/>
            <w:shd w:val="clear" w:color="auto" w:fill="D1D2D4"/>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D1D2D4"/>
          </w:tcPr>
          <w:p>
            <w:pPr>
              <w:spacing w:after="0"/>
              <w:rPr>
                <w:sz w:val="19"/>
                <w:szCs w:val="19"/>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Pr>
          <w:p>
            <w:pPr>
              <w:ind w:left="400"/>
              <w:spacing w:after="0"/>
              <w:rPr>
                <w:sz w:val="20"/>
                <w:szCs w:val="20"/>
                <w:color w:val="auto"/>
              </w:rPr>
            </w:pPr>
            <w:r>
              <w:rPr>
                <w:rFonts w:ascii="Arial" w:cs="Arial" w:eastAsia="Arial" w:hAnsi="Arial"/>
                <w:sz w:val="18"/>
                <w:szCs w:val="18"/>
                <w:color w:val="auto"/>
              </w:rPr>
              <w:t>Net income attributable to Micron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28 %</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5,861</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2,687</w:t>
            </w: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Total revenue for 2022 increased 11% as compared to 2021 primarily due to increases in sales of both DRAM and NAND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w:t>
      </w:r>
    </w:p>
    <w:p>
      <w:pPr>
        <w:spacing w:after="0" w:line="18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DRAM products increased 12% primarily due to increases in bit shipments of slightly over 10%.</w:t>
      </w:r>
    </w:p>
    <w:p>
      <w:pPr>
        <w:spacing w:after="0" w:line="27" w:lineRule="exact"/>
        <w:rPr>
          <w:rFonts w:ascii="Arial" w:cs="Arial" w:eastAsia="Arial" w:hAnsi="Arial"/>
          <w:sz w:val="18"/>
          <w:szCs w:val="18"/>
          <w:color w:val="auto"/>
        </w:rPr>
      </w:pPr>
    </w:p>
    <w:p>
      <w:pPr>
        <w:ind w:left="660" w:right="260" w:hanging="328"/>
        <w:spacing w:after="0" w:line="26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NAND products increased 11% primarily due to a high-single-digit percent increase in bit shipments and a low-single-digit percent increase in average selling prices.</w:t>
      </w:r>
    </w:p>
    <w:p>
      <w:pPr>
        <w:spacing w:after="0" w:line="19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fourth quarter of 2022, the memory and storage industry environment deteriorated sharply due to global and macroeconomic challenges combined with downward inventory adjustments by customers, leading to significant reductions in bit shipments and average selling prices for both DRAM and NAND resulting in a 23% decline in revenue as compared to the third quarter of 2022. For the first quarter of 2023, continuation of these challenging conditions and inventory adjustments by customers have resulted in further reductions in near-term demand for both DRAM and NAND and we expect bit shipments and pricing to decline as compared to the fourth quarter of 2022.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Total revenue for 2021 increased 29% as compared to 2020 primarily due to increases in sales of both DRAM and NAND products.</w:t>
      </w:r>
    </w:p>
    <w:p>
      <w:pPr>
        <w:spacing w:after="0" w:line="252" w:lineRule="exact"/>
        <w:rPr>
          <w:sz w:val="20"/>
          <w:szCs w:val="20"/>
          <w:color w:val="auto"/>
        </w:rPr>
      </w:pPr>
    </w:p>
    <w:p>
      <w:pPr>
        <w:ind w:left="660" w:right="600" w:hanging="328"/>
        <w:spacing w:after="0" w:line="260"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Sales of DRAM products increased 38% primarily due to growth in bit shipments in the high-20% range and a high single-digit percent increase in average selling prices.</w:t>
      </w:r>
    </w:p>
    <w:p>
      <w:pPr>
        <w:spacing w:after="0" w:line="1" w:lineRule="exact"/>
        <w:rPr>
          <w:rFonts w:ascii="Arial" w:cs="Arial" w:eastAsia="Arial" w:hAnsi="Arial"/>
          <w:sz w:val="18"/>
          <w:szCs w:val="18"/>
          <w:b w:val="1"/>
          <w:bCs w:val="1"/>
          <w:i w:val="1"/>
          <w:iCs w:val="1"/>
          <w:color w:val="auto"/>
        </w:rPr>
      </w:pPr>
    </w:p>
    <w:p>
      <w:pPr>
        <w:ind w:left="660" w:right="600" w:hanging="328"/>
        <w:spacing w:after="0" w:line="266" w:lineRule="auto"/>
        <w:tabs>
          <w:tab w:leader="none" w:pos="655"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color w:val="auto"/>
        </w:rPr>
        <w:t>Sales of NAND products increased 14% primarily due to increases in bit shipments in the high-20% range, partially offset by a decline in average selling prices of slightly over 10%.</w:t>
      </w:r>
    </w:p>
    <w:p>
      <w:pPr>
        <w:spacing w:after="0" w:line="19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Consolidated Gross Margin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consolidated gross margin percentage increased to 45% for 2022 from 38% for 2021, as a result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in margins for both DRAM and NAND products, primarily due to reductions in manufacturing costs. Manufacturing cost reductions were driven by strong execution in ramping our 1α DRAM and 176-layer NAND technology nodes. Our consolidated gross margin percentage declined to 39% in the fourth quarter of 2022 from 47% in the third quarter of 2022 and we expect that in the first quarter of 2023 the percentage will decline further due to decreases in average selling prices as a result of the challenging industry environment for memory and storage products. To address our elevated inventory levels and reduce supply growth, in the first quarter of 2023, we are selectively reducing facility utilization in both DRAM and NAND. We also expect that inflationary pressure will continue to be a headwind to costs in the first quarter of 2023.</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consolidated gross margin percentage increased to 38% for 2021 from 31% for 2020, primarily due to the increases in DRAM average selling prices and cost reductions resulting from strong execution in delivering products featuring advanced technologies, partially offset by declines in NAND average selling prices. Our gross margins included the impact of underutilization costs at MTU of $335 million for 2021 and $557 million for 2020. Underutilization costs at MTU declined in 2021 primarily due to the plan to sell MTU’s Lehi facility and classification of assets as held for sale at the end of the second quarter of 2021, which resulted in the cessation of depreciation on those assets. See “Item 8. Financial Statements and Supplementary Data – Notes to Consolidated Financial Statements – Lehi, Utah Fab and 3D XPoint.”</w:t>
      </w:r>
    </w:p>
    <w:p>
      <w:pPr>
        <w:spacing w:after="0" w:line="19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first-in, first-out (“FIFO”). Concurrently, as of the beginning of the second quarter of 2021, we modified our inventory cost absorption processes used to estimate inventory values, which affects the timing of when costs are recognized. These changes resulted in a one-time increase to cost of goods sold of approximately $293 million in 2021.</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80" w:type="dxa"/>
            <w:vAlign w:val="bottom"/>
            <w:tcBorders>
              <w:bottom w:val="single" w:sz="8" w:color="0090DA"/>
            </w:tcBorders>
          </w:tcPr>
          <w:p>
            <w:pPr>
              <w:spacing w:after="0"/>
              <w:rPr>
                <w:sz w:val="20"/>
                <w:szCs w:val="20"/>
                <w:color w:val="auto"/>
              </w:rPr>
            </w:pPr>
          </w:p>
        </w:tc>
        <w:tc>
          <w:tcPr>
            <w:tcW w:w="106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gridSpan w:val="2"/>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580" w:type="dxa"/>
            <w:vAlign w:val="bottom"/>
            <w:tcBorders>
              <w:bottom w:val="single" w:sz="8" w:color="0090DA"/>
            </w:tcBorders>
          </w:tcPr>
          <w:p>
            <w:pPr>
              <w:spacing w:after="0"/>
              <w:rPr>
                <w:sz w:val="20"/>
                <w:szCs w:val="20"/>
                <w:color w:val="auto"/>
              </w:rPr>
            </w:pPr>
          </w:p>
        </w:tc>
      </w:tr>
      <w:tr>
        <w:trPr>
          <w:trHeight w:val="34"/>
        </w:trPr>
        <w:tc>
          <w:tcPr>
            <w:tcW w:w="5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30"/>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13,693</w:t>
            </w:r>
          </w:p>
        </w:tc>
        <w:tc>
          <w:tcPr>
            <w:tcW w:w="3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45 %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12,280</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44 %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9,184</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MBU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7,260</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7,203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5,702</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5,235</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17 %</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4,209</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15 %</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2,759</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SBU</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15 %</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3,973</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14 %</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3,765</w:t>
            </w:r>
          </w:p>
        </w:tc>
        <w:tc>
          <w:tcPr>
            <w:tcW w:w="3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229"/>
        </w:trPr>
        <w:tc>
          <w:tcPr>
            <w:tcW w:w="58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36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D1D2D4"/>
          </w:tcPr>
          <w:p>
            <w:pPr>
              <w:spacing w:after="0"/>
              <w:rPr>
                <w:sz w:val="19"/>
                <w:szCs w:val="19"/>
                <w:color w:val="auto"/>
              </w:rPr>
            </w:pPr>
          </w:p>
        </w:tc>
        <w:tc>
          <w:tcPr>
            <w:tcW w:w="76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D1D2D4"/>
          </w:tcPr>
          <w:p>
            <w:pPr>
              <w:spacing w:after="0"/>
              <w:rPr>
                <w:sz w:val="19"/>
                <w:szCs w:val="19"/>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58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30,758</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21,435</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of total revenue may not total 100% due to rounding.</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2022 as compared to 2021 were as follows:</w:t>
      </w:r>
    </w:p>
    <w:p>
      <w:pPr>
        <w:spacing w:after="0" w:line="25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CNBU revenue increased 12% primarily due to increases in bit shipments to cloud, enterprise, and networking markets.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MBU revenue was relatively unchanged as both DRAM and NAND revenue was relatively flat.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EBU revenue increased 24% primarily due to strong demand growth in industrial and automotive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SBU revenue increased 15% primarily due to higher average selling prices and increases in shipments of SSD products.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Changes in revenue for each business unit for 2021 as compared to 2020 were as follows:</w:t>
      </w:r>
    </w:p>
    <w:p>
      <w:pPr>
        <w:spacing w:after="0" w:line="252" w:lineRule="exact"/>
        <w:rPr>
          <w:sz w:val="20"/>
          <w:szCs w:val="20"/>
          <w:color w:val="auto"/>
        </w:rPr>
      </w:pPr>
    </w:p>
    <w:p>
      <w:pPr>
        <w:ind w:left="660" w:right="240" w:hanging="328"/>
        <w:spacing w:after="0" w:line="26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CNBU revenue increased 34% primarily due to broad-based increases in bit shipments across markets and higher average selling prices for DRAM.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MBU revenue increased 26% primarily due to increases in bit shipments for high-value mobile MCP products.</w:t>
      </w:r>
    </w:p>
    <w:p>
      <w:pPr>
        <w:spacing w:after="0" w:line="9" w:lineRule="exact"/>
        <w:rPr>
          <w:rFonts w:ascii="Arial" w:cs="Arial" w:eastAsia="Arial" w:hAnsi="Arial"/>
          <w:sz w:val="18"/>
          <w:szCs w:val="18"/>
          <w:color w:val="auto"/>
        </w:rPr>
      </w:pPr>
    </w:p>
    <w:p>
      <w:pPr>
        <w:ind w:left="660" w:right="260" w:hanging="328"/>
        <w:spacing w:after="0" w:line="250"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EBU revenue increased 53% primarily due to increases in bit shipments driven by strong demand growth in automotive, industrial, and consumer markets and improved pricing in industrial and consumer markets.</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SBU revenue increased 6% as increases in bit shipments for NAND products outpaced declines in average selling prices.</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Income (Loss) by Business Unit</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8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0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000" w:type="dxa"/>
            <w:vAlign w:val="bottom"/>
            <w:tcBorders>
              <w:bottom w:val="single" w:sz="8" w:color="0090DA"/>
            </w:tcBorders>
            <w:gridSpan w:val="2"/>
          </w:tcPr>
          <w:p>
            <w:pPr>
              <w:jc w:val="right"/>
              <w:ind w:right="14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0090DA"/>
            </w:tcBorders>
          </w:tcPr>
          <w:p>
            <w:pPr>
              <w:spacing w:after="0"/>
              <w:rPr>
                <w:sz w:val="20"/>
                <w:szCs w:val="20"/>
                <w:color w:val="auto"/>
              </w:rPr>
            </w:pPr>
          </w:p>
        </w:tc>
      </w:tr>
      <w:tr>
        <w:trPr>
          <w:trHeight w:val="34"/>
        </w:trPr>
        <w:tc>
          <w:tcPr>
            <w:tcW w:w="5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230"/>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5,844</w:t>
            </w:r>
          </w:p>
        </w:tc>
        <w:tc>
          <w:tcPr>
            <w:tcW w:w="34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43 %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4,295</w:t>
            </w:r>
          </w:p>
        </w:tc>
        <w:tc>
          <w:tcPr>
            <w:tcW w:w="36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30"/>
              <w:spacing w:after="0"/>
              <w:rPr>
                <w:sz w:val="20"/>
                <w:szCs w:val="20"/>
                <w:color w:val="auto"/>
              </w:rPr>
            </w:pPr>
            <w:r>
              <w:rPr>
                <w:rFonts w:ascii="Arial" w:cs="Arial" w:eastAsia="Arial" w:hAnsi="Arial"/>
                <w:sz w:val="18"/>
                <w:szCs w:val="18"/>
                <w:color w:val="auto"/>
              </w:rPr>
              <w:t>35 % $</w:t>
            </w: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2,010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MBU</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2,160</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2,173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1,074</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19 %</w:t>
            </w:r>
          </w:p>
        </w:tc>
      </w:tr>
      <w:tr>
        <w:trPr>
          <w:trHeight w:val="230"/>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1,752</w:t>
            </w:r>
          </w:p>
        </w:tc>
        <w:tc>
          <w:tcPr>
            <w:tcW w:w="3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1,006</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24 %</w:t>
            </w:r>
          </w:p>
        </w:tc>
        <w:tc>
          <w:tcPr>
            <w:tcW w:w="240" w:type="dxa"/>
            <w:vAlign w:val="bottom"/>
            <w:shd w:val="clear" w:color="auto" w:fill="D1D2D4"/>
          </w:tcPr>
          <w:p>
            <w:pPr>
              <w:spacing w:after="0"/>
              <w:rPr>
                <w:sz w:val="19"/>
                <w:szCs w:val="19"/>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301</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5840" w:type="dxa"/>
            <w:vAlign w:val="bottom"/>
          </w:tcPr>
          <w:p>
            <w:pPr>
              <w:ind w:left="20"/>
              <w:spacing w:after="0"/>
              <w:rPr>
                <w:sz w:val="20"/>
                <w:szCs w:val="20"/>
                <w:color w:val="auto"/>
              </w:rPr>
            </w:pPr>
            <w:r>
              <w:rPr>
                <w:rFonts w:ascii="Arial" w:cs="Arial" w:eastAsia="Arial" w:hAnsi="Arial"/>
                <w:sz w:val="18"/>
                <w:szCs w:val="18"/>
                <w:color w:val="auto"/>
              </w:rPr>
              <w:t>SBU</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513</w:t>
            </w:r>
          </w:p>
        </w:tc>
        <w:tc>
          <w:tcPr>
            <w:tcW w:w="3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4 %</w:t>
            </w: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3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8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71 %</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50 %</w:t>
            </w:r>
          </w:p>
        </w:tc>
        <w:tc>
          <w:tcPr>
            <w:tcW w:w="240" w:type="dxa"/>
            <w:vAlign w:val="bottom"/>
            <w:tcBorders>
              <w:bottom w:val="single" w:sz="8" w:color="auto"/>
            </w:tcBorders>
            <w:shd w:val="clear" w:color="auto" w:fill="D1D2D4"/>
          </w:tcPr>
          <w:p>
            <w:pPr>
              <w:spacing w:after="0"/>
              <w:rPr>
                <w:sz w:val="19"/>
                <w:szCs w:val="19"/>
                <w:color w:val="auto"/>
              </w:rPr>
            </w:pPr>
          </w:p>
        </w:tc>
        <w:tc>
          <w:tcPr>
            <w:tcW w:w="6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D1D2D4"/>
          </w:tcPr>
          <w:p>
            <w:pPr>
              <w:spacing w:after="0"/>
              <w:rPr>
                <w:sz w:val="19"/>
                <w:szCs w:val="19"/>
                <w:color w:val="auto"/>
              </w:rPr>
            </w:pPr>
          </w:p>
        </w:tc>
        <w:tc>
          <w:tcPr>
            <w:tcW w:w="5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8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10,281</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Percentages reflect operating income (loss) as a percentage of revenue for each business unit.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2022 as compared to 2021 were as follows:</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CNBU operating income increased primarily due to higher bit shipments and manufacturing cost reductions.</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MBU operating income was relatively unchanged as slight increases in gross margins were offset by higher operating expenses.</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EBU operating income increased primarily due to manufacturing cost reductions from an increasing mix of leading-edge bits, higher bit shipments, and improved DRAM pricing in industrial and consumer markets, partially offset by higher R&amp;D expenses.</w:t>
      </w:r>
    </w:p>
    <w:p>
      <w:pPr>
        <w:ind w:left="660" w:right="40" w:hanging="328"/>
        <w:spacing w:after="0" w:line="26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SBU operating income increased primarily due to improved product mix driving increases in average selling prices, increases in SSD shipments, and manufacturing cost reductions, partially offset by higher R&amp;D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income or loss for each business unit for 2021 as compared to 2020 were as follows:</w:t>
      </w:r>
    </w:p>
    <w:p>
      <w:pPr>
        <w:spacing w:after="0" w:line="252" w:lineRule="exact"/>
        <w:rPr>
          <w:sz w:val="20"/>
          <w:szCs w:val="20"/>
          <w:color w:val="auto"/>
        </w:rPr>
      </w:pPr>
    </w:p>
    <w:p>
      <w:pPr>
        <w:ind w:left="660" w:right="400" w:hanging="328"/>
        <w:spacing w:after="0" w:line="26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CNBU operating income increased primarily due to increases in bit shipments, higher average selling prices, manufacturing cost reductions, and lower MTU underutilization costs.</w:t>
      </w:r>
    </w:p>
    <w:p>
      <w:pPr>
        <w:spacing w:after="0" w:line="1" w:lineRule="exact"/>
        <w:rPr>
          <w:rFonts w:ascii="Arial" w:cs="Arial" w:eastAsia="Arial" w:hAnsi="Arial"/>
          <w:sz w:val="18"/>
          <w:szCs w:val="18"/>
          <w:color w:val="auto"/>
        </w:rPr>
      </w:pPr>
    </w:p>
    <w:p>
      <w:pPr>
        <w:ind w:left="660" w:right="14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MBU operating income increased primarily due to increases in sales of high-value MCP products, manufacturing cost reductions for low-power DRAM, and increases in DRAM bit shipments.</w:t>
      </w:r>
    </w:p>
    <w:p>
      <w:pPr>
        <w:ind w:left="660" w:right="50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EBU operating income increased primarily due to improved pricing in industrial and consumer markets, cost reductions from an increasing mix of leading-edge bits, and higher bit shipments.</w:t>
      </w:r>
    </w:p>
    <w:p>
      <w:pPr>
        <w:ind w:left="660" w:right="620" w:hanging="328"/>
        <w:spacing w:after="0" w:line="26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SBU operating income increased primarily due to lower manufacturing costs and increases in bit shipments, partially offset by decreases in selling prices and higher R&amp;D costs.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Operating Expenses and Other</w:t>
      </w:r>
    </w:p>
    <w:p>
      <w:pPr>
        <w:spacing w:after="0" w:line="2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expenses vary primarily with the number of development and pre-qualification wafers processed,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advanced equipment dedicated to new product and process development, and personnel costs. Because of the lead times necessary to manufacture our products, we typically begin to process wafers before completion of performance and reliability testing. Development of a product is deemed complete when it is qualified through internal reviews and tests for performance and reliability. R&amp;D expenses can vary significantly depending on the timing of product qualification.</w:t>
      </w:r>
    </w:p>
    <w:p>
      <w:pPr>
        <w:spacing w:after="0" w:line="206"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R&amp;D expenses for 2022 increased 17% as compared to 2021 primarily due to higher employee compensation from increases in headcount, higher volumes of development and prequalification wafers, and higher depreciation expense. R&amp;D expenses for 2021 increased 2% as compared to 2020 primarily due to increases in employee compensation and depreciation expense resulting from higher capital spending, partially offset by lower volumes of development and prequalification wafers.</w:t>
      </w:r>
    </w:p>
    <w:p>
      <w:pPr>
        <w:spacing w:after="0" w:line="203"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 xml:space="preserve">Selling, General, and Administrative: </w:t>
      </w:r>
      <w:r>
        <w:rPr>
          <w:rFonts w:ascii="Arial" w:cs="Arial" w:eastAsia="Arial" w:hAnsi="Arial"/>
          <w:sz w:val="18"/>
          <w:szCs w:val="18"/>
          <w:color w:val="auto"/>
        </w:rPr>
        <w:t>SG&amp;A expenses for 2022 were 19% higher as compared to 2021 primarily due to increases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compensation, professional services, and legal fees. SG&amp;A expenses for 2021 were relatively unchanged as compared to 2020.</w:t>
      </w:r>
    </w:p>
    <w:p>
      <w:pPr>
        <w:spacing w:after="0" w:line="18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i w:val="1"/>
          <w:iCs w:val="1"/>
          <w:color w:val="auto"/>
        </w:rPr>
        <w:t xml:space="preserve">Restructure and Asset Impairments: </w:t>
      </w:r>
      <w:r>
        <w:rPr>
          <w:rFonts w:ascii="Arial" w:cs="Arial" w:eastAsia="Arial" w:hAnsi="Arial"/>
          <w:sz w:val="18"/>
          <w:szCs w:val="18"/>
          <w:color w:val="auto"/>
        </w:rPr>
        <w:t>In the first quarter of 2022, we sold our Lehi, Utah facility to TI. In 2021, the Lehi facility was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held for sale and we recognized a restructure charge of $435 million to write down the assets held for sale to the expected consideration to be received under our agreement with TI. For further discussion see “Item 8. Financial Statements and Supplementary Data – Notes to Consolidated Financial Statements – Lehi, Utah Fab and 3D XPoint.”</w:t>
      </w:r>
    </w:p>
    <w:p>
      <w:pPr>
        <w:spacing w:after="0" w:line="203"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Interest Income (Expense)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interest expense for 2022 decreased by $53 million as compared to 2021 primarily due to an increase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$59 million in interest income as a result of increases in interest rates on our cash and investments. Net interest expense for 2021 increased by $66 million as compared to 2020 primarily due to a decrease of $77 million in interest income as a result of decreases in interest rates on our cash and investments.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6340" w:type="dxa"/>
            <w:vAlign w:val="bottom"/>
          </w:tcPr>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Our income tax (provision) benefit consisted of the following:</w:t>
            </w:r>
          </w:p>
        </w:tc>
        <w:tc>
          <w:tcPr>
            <w:tcW w:w="5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5"/>
        </w:trPr>
        <w:tc>
          <w:tcPr>
            <w:tcW w:w="63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560" w:type="dxa"/>
            <w:vAlign w:val="bottom"/>
            <w:tcBorders>
              <w:bottom w:val="single" w:sz="8" w:color="0090DA"/>
            </w:tcBorders>
          </w:tcPr>
          <w:p>
            <w:pPr>
              <w:spacing w:after="0"/>
              <w:rPr>
                <w:sz w:val="21"/>
                <w:szCs w:val="21"/>
                <w:color w:val="auto"/>
              </w:rPr>
            </w:pPr>
          </w:p>
        </w:tc>
        <w:tc>
          <w:tcPr>
            <w:tcW w:w="120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2020</w:t>
            </w:r>
          </w:p>
        </w:tc>
      </w:tr>
      <w:tr>
        <w:trPr>
          <w:trHeight w:val="34"/>
        </w:trPr>
        <w:tc>
          <w:tcPr>
            <w:tcW w:w="6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before taxes</w:t>
            </w:r>
          </w:p>
        </w:tc>
        <w:tc>
          <w:tcPr>
            <w:tcW w:w="5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9,571</w:t>
            </w:r>
          </w:p>
        </w:tc>
        <w:tc>
          <w:tcPr>
            <w:tcW w:w="36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6,218</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ind w:right="150"/>
              <w:spacing w:after="0"/>
              <w:rPr>
                <w:sz w:val="20"/>
                <w:szCs w:val="20"/>
                <w:color w:val="auto"/>
              </w:rPr>
            </w:pPr>
            <w:r>
              <w:rPr>
                <w:rFonts w:ascii="Arial" w:cs="Arial" w:eastAsia="Arial" w:hAnsi="Arial"/>
                <w:sz w:val="18"/>
                <w:szCs w:val="18"/>
                <w:color w:val="auto"/>
              </w:rPr>
              <w:t>2,983</w:t>
            </w:r>
          </w:p>
        </w:tc>
      </w:tr>
      <w:tr>
        <w:trPr>
          <w:trHeight w:val="230"/>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560" w:type="dxa"/>
            <w:vAlign w:val="bottom"/>
          </w:tcPr>
          <w:p>
            <w:pPr>
              <w:spacing w:after="0"/>
              <w:rPr>
                <w:sz w:val="19"/>
                <w:szCs w:val="19"/>
                <w:color w:val="auto"/>
              </w:rPr>
            </w:pPr>
          </w:p>
        </w:tc>
        <w:tc>
          <w:tcPr>
            <w:tcW w:w="1200" w:type="dxa"/>
            <w:vAlign w:val="bottom"/>
          </w:tcPr>
          <w:p>
            <w:pPr>
              <w:jc w:val="right"/>
              <w:ind w:right="90"/>
              <w:spacing w:after="0"/>
              <w:rPr>
                <w:sz w:val="20"/>
                <w:szCs w:val="20"/>
                <w:color w:val="auto"/>
              </w:rPr>
            </w:pPr>
            <w:r>
              <w:rPr>
                <w:rFonts w:ascii="Arial" w:cs="Arial" w:eastAsia="Arial" w:hAnsi="Arial"/>
                <w:sz w:val="18"/>
                <w:szCs w:val="18"/>
                <w:color w:val="auto"/>
              </w:rPr>
              <w:t>(888)</w:t>
            </w:r>
          </w:p>
        </w:tc>
        <w:tc>
          <w:tcPr>
            <w:tcW w:w="36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9"/>
                <w:szCs w:val="19"/>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(280)</w:t>
            </w:r>
          </w:p>
        </w:tc>
      </w:tr>
      <w:tr>
        <w:trPr>
          <w:trHeight w:val="230"/>
        </w:trPr>
        <w:tc>
          <w:tcPr>
            <w:tcW w:w="63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Effective tax rate</w:t>
            </w:r>
          </w:p>
        </w:tc>
        <w:tc>
          <w:tcPr>
            <w:tcW w:w="56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9.3 %</w:t>
            </w:r>
          </w:p>
        </w:tc>
        <w:tc>
          <w:tcPr>
            <w:tcW w:w="36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6.3 %</w:t>
            </w:r>
          </w:p>
        </w:tc>
        <w:tc>
          <w:tcPr>
            <w:tcW w:w="34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9.4 %</w:t>
            </w:r>
          </w:p>
        </w:tc>
      </w:tr>
    </w:tbl>
    <w:p>
      <w:pPr>
        <w:spacing w:after="0" w:line="31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Our effective tax rate increased in 2022 as compared to 2021 primarily due to the geographic mix of our earnings and a valuation allowance recorded against our Idaho deferred tax assets of $189 million, partially offset by tax impacts of changes in foreign currency exchange rates. Our effective tax rate decreased in 2021 as compared to 2020 primarily as a result of a $104 million tax benefit recorded for the discrete $435 million charge to write down the Lehi assets held for sale.</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$1.12 billion (benefiting our diluted earnings per share by $1.00) for 2022, by $758 million ($0.66 per diluted share) for 2021, and by $215 million ($0.19 per diluted share) for 2020.</w:t>
      </w:r>
    </w:p>
    <w:p>
      <w:pPr>
        <w:spacing w:after="0" w:line="20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Beginning in 2023, provisions in the Tax Cuts and Jobs Act of 2017 will require us to capitalize and amortize R&amp;D expenditures rather than deducting the costs as incurred. Unless the effective date is deferred or the law is repealed, we expect an increase to our effective tax rate for several years. In addition, the mix of our income, together with U.S. and foreign tax rules, results in taxes becoming more fixed at lower profitability levels. As a result of these factors, we estimate tax expense of at least $300 million for 2023. Beyond this level, our actual tax expense will depend on the level of operating income through the year.</w:t>
      </w:r>
    </w:p>
    <w:p>
      <w:pPr>
        <w:spacing w:after="0" w:line="206" w:lineRule="exact"/>
        <w:rPr>
          <w:sz w:val="20"/>
          <w:szCs w:val="20"/>
          <w:color w:val="auto"/>
        </w:rPr>
      </w:pPr>
    </w:p>
    <w:p>
      <w:pPr>
        <w:jc w:val="both"/>
        <w:ind w:right="240"/>
        <w:spacing w:after="0" w:line="268" w:lineRule="auto"/>
        <w:rPr>
          <w:sz w:val="20"/>
          <w:szCs w:val="20"/>
          <w:color w:val="auto"/>
        </w:rPr>
      </w:pPr>
      <w:r>
        <w:rPr>
          <w:rFonts w:ascii="Arial" w:cs="Arial" w:eastAsia="Arial" w:hAnsi="Arial"/>
          <w:sz w:val="18"/>
          <w:szCs w:val="18"/>
          <w:color w:val="auto"/>
        </w:rPr>
        <w:t>Beginning in 2024, the Inflation Reduction Act of 2022 imposes a 15% book minimum tax on corporations with three-year average annual adjusted financial statement income exceeding $1 billion. We are in the process of assessing whether the book minimum tax would impact our effective tax rate.</w:t>
      </w:r>
    </w:p>
    <w:p>
      <w:pPr>
        <w:spacing w:after="0" w:line="198" w:lineRule="exact"/>
        <w:rPr>
          <w:sz w:val="20"/>
          <w:szCs w:val="20"/>
          <w:color w:val="auto"/>
        </w:rPr>
      </w:pPr>
    </w:p>
    <w:p>
      <w:pPr>
        <w:jc w:val="both"/>
        <w:ind w:right="60"/>
        <w:spacing w:after="0" w:line="318" w:lineRule="auto"/>
        <w:rPr>
          <w:sz w:val="20"/>
          <w:szCs w:val="20"/>
          <w:color w:val="auto"/>
        </w:rPr>
      </w:pPr>
      <w:r>
        <w:rPr>
          <w:rFonts w:ascii="Arial" w:cs="Arial" w:eastAsia="Arial" w:hAnsi="Arial"/>
          <w:sz w:val="17"/>
          <w:szCs w:val="17"/>
          <w:color w:val="auto"/>
        </w:rPr>
        <w:t>Various tax reforms are being considered in multiple jurisdictions that, if enacted, contain provisions that could increase our tax expense. We continue to monitor the potential impact of these various tax reform proposals to our overall global effective tax rate and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Income Taxes.”</w:t>
      </w:r>
    </w:p>
    <w:p>
      <w:pPr>
        <w:spacing w:after="0" w:line="25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 xml:space="preserve">Other: </w:t>
      </w:r>
      <w:r>
        <w:rPr>
          <w:rFonts w:ascii="Arial" w:cs="Arial" w:eastAsia="Arial" w:hAnsi="Arial"/>
          <w:sz w:val="18"/>
          <w:szCs w:val="18"/>
          <w:color w:val="auto"/>
        </w:rPr>
        <w:t>Further information can be found in “Item 8. Financial Statements and Supplementary Data – Notes to Consolidated Financial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 Other Operating (Income) Expense, Net”; “ – Other Non-Operating Income (Expense), Net”; and other notes to the financial statements.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Liquidity and Capital Resources</w:t>
      </w:r>
    </w:p>
    <w:p>
      <w:pPr>
        <w:spacing w:after="0" w:line="25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$10.98 billion as of September 1, 2022, and $10.40 billion as of September 2, 2021.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September 1, 2022, $3.79 billion of our cash and marketable investments was held by our foreign subsidiaries.</w:t>
      </w:r>
    </w:p>
    <w:p>
      <w:pPr>
        <w:spacing w:after="0" w:line="21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continuously evaluating alternatives for efficiently funding our capital expenditures and ongoing operations. We expect, from time to time, to engage in a variety of financing transactions for such purposes, including the issuance of securities. As of September 1, 2022, $2.50 billion was available to draw under our Revolving Credit Facility. Funding of certain significant capital projects is also dependent on the receipt of government incentives, which are subject to conditions and may not be obtained.</w:t>
      </w:r>
    </w:p>
    <w:p>
      <w:pPr>
        <w:spacing w:after="0" w:line="20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To develop new product and process technology, support future growth, achieve operating efficiencies, and maintain product quality, we must continue to invest in manufacturing technologies, facilities and equipment, and R&amp;D. We estimate capital expenditures in 2023 for property, plant, and equipment, net of partner contributions, to be around $8 billion. Actual amounts for 2023 will vary depending on market conditions. As of September 1, 2022, we had purchase obligations of approximately $4.04 billion for the acquisition of property, plant, and equipment, of which approximately $2.97 billion is expected to be paid within one year. For a description of other contractual obligations, such as debt, leases, and purchase obligations, see “Item 8. Financial Statements and Supplementary Data – Notes to Consolidated Financial Statements – Debt,” “ – Leases,” and “ – Commitments.”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To support expected memory demand in the second half of the decade, we will need to add new DRAM wafer capacity. Following the enactment of the CHIPS Act in 2022, we announced plans to invest in two leading-edge memory manufacturing fabs in the United States, contingent on CHIPS Act support through grants and investment tax credits. As part of this plan, in September 2022, we broke ground on a leading-edge memory manufacturing fab in Boise, Idaho. Construction of the fab is expected to begin in calendar 2023 with DRAM production targeted to start in calendar 2025. In addition, in October 2022, we announced plans to build a second leading-edge DRAM manufacturing fab in Clay, New York. We plan to start site preparation work in calendar 2023 and expect construction to begin in calendar 2024, with production anticipated to ramp in the latter half of the decade. We expect these new fabs to fulfill our requirements for additional wafer capacity starting in the second half of the decade and beyond, in line with industry demand trends.</w:t>
      </w:r>
    </w:p>
    <w:p>
      <w:pPr>
        <w:spacing w:after="0" w:line="21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On November 1, 2021, we issued $1 billion in aggregate principal amount of unsecured 2032 Green Bonds. Over time, we plan to allocate an amount equal to the net proceeds to fund eligible sustainability-focused projects involving renewable energy, green buildings, energy efficiency, water management, waste abatement, and a circular economy.</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Through September 1, 2022, we have repurchased an aggregate of $6.47 billion of the authorized amount. See “Item 8. Financial Statements and Supplementary Data – Notes to Consolidated Financial Statements – Equity.”</w:t>
      </w:r>
    </w:p>
    <w:p>
      <w:pPr>
        <w:spacing w:after="0" w:line="209"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September 29, 2022, our Board of Directors declared a quarterly dividend of $0.115 per share, payable in cash on October 26, 2022, to shareholders of record as of the close of business on October 11, 2022.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20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We expect that our cash and investments, cash flows from operations, and available financing will be sufficient to meet our requirements at least through the next 12 months and thereafter for the foreseeable future.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Cash Flows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15,181</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cash provided by (used for) investing activities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(11,585)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(10,589)</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cash provided by (used for) financing activities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(2,980)</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(1,781)</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84"/>
        </w:trPr>
        <w:tc>
          <w:tcPr>
            <w:tcW w:w="6900" w:type="dxa"/>
            <w:vAlign w:val="bottom"/>
          </w:tcPr>
          <w:p>
            <w:pPr>
              <w:ind w:left="20"/>
              <w:spacing w:after="0" w:line="183" w:lineRule="exact"/>
              <w:rPr>
                <w:sz w:val="20"/>
                <w:szCs w:val="20"/>
                <w:color w:val="auto"/>
              </w:rPr>
            </w:pPr>
            <w:r>
              <w:rPr>
                <w:rFonts w:ascii="Arial" w:cs="Arial" w:eastAsia="Arial" w:hAnsi="Arial"/>
                <w:sz w:val="18"/>
                <w:szCs w:val="18"/>
                <w:color w:val="auto"/>
              </w:rPr>
              <w:t>Effect of changes in currency exchange rates on cash, cash equivalents, and</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139</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i w:val="1"/>
          <w:iCs w:val="1"/>
          <w:u w:val="single" w:color="auto"/>
          <w:color w:val="auto"/>
        </w:rPr>
        <w:t>Operating Activities</w:t>
      </w:r>
      <w:r>
        <w:rPr>
          <w:rFonts w:ascii="Arial" w:cs="Arial" w:eastAsia="Arial" w:hAnsi="Arial"/>
          <w:sz w:val="18"/>
          <w:szCs w:val="18"/>
          <w:color w:val="auto"/>
        </w:rPr>
        <w:t>: Cash provided by operating activities reflects net income adjusted for certain non-cash items, including depreciation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amortization of intangible assets, asset impairments, and stock-based compensation, and the effects of changes in operating assets and liabilities. The increase in cash provided by operating activities for 2022 as compared to 2021 was primarily due to higher net income adjusted for non-cash items and the effect of lower receivables, partially offset by an increase in inventories.</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increase in cash provided by operating activities for 2021 as compared to 2020 was primarily due to higher net income adjusted for non-cash items and the effect of lower inventories, partially offset by an increase in receivables due to a higher level of sales.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u w:val="single" w:color="auto"/>
          <w:color w:val="auto"/>
        </w:rPr>
        <w:t>Investing Activities</w:t>
      </w:r>
      <w:r>
        <w:rPr>
          <w:rFonts w:ascii="Arial" w:cs="Arial" w:eastAsia="Arial" w:hAnsi="Arial"/>
          <w:sz w:val="18"/>
          <w:szCs w:val="18"/>
          <w:color w:val="auto"/>
        </w:rPr>
        <w:t>: For 2022, net cash used for investing activities consisted primarily of $12.07 billion of expenditures for property, plant,</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inflows of $115 million of partner contributions for capital expenditures; $888 million of net inflows from the sale of the Lehi, Utah fab; and $155 million of net outflows from purchases, sales, and maturities of available-for-sale securities.</w:t>
      </w:r>
    </w:p>
    <w:p>
      <w:pPr>
        <w:spacing w:after="0" w:line="198"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2021, net cash used for investing activities consisted primarily of $10.03 billion of expenditures for property, plant, and equipment, partially offset by inflows of $502 million of partner contributions for capital expenditures, and $1.06 billion of net outflows from purchases, sales, and maturities of available-for-sale securities.</w:t>
      </w:r>
    </w:p>
    <w:p>
      <w:pPr>
        <w:spacing w:after="0" w:line="1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2020, net cash used for investing activities consisted primarily of $8.22 billion of expenditures for property, plant, and equipment, partially offset by inflows of $272 million of partner contributions for capital expenditures, and $415 million of net inflows from purchases, sales, and maturities of available-for-sale securities.</w:t>
      </w:r>
    </w:p>
    <w:p>
      <w:pPr>
        <w:spacing w:after="0" w:line="19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u w:val="single" w:color="auto"/>
          <w:color w:val="auto"/>
        </w:rPr>
        <w:t>Financing Activities</w:t>
      </w:r>
      <w:r>
        <w:rPr>
          <w:rFonts w:ascii="Arial" w:cs="Arial" w:eastAsia="Arial" w:hAnsi="Arial"/>
          <w:sz w:val="18"/>
          <w:szCs w:val="18"/>
          <w:color w:val="auto"/>
        </w:rPr>
        <w:t>: For 2022, net cash used for financing activities included $2.43 billion for the acquisition of 35.4 million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under our share repurchase authorization, $2.03 billion of repayments of debt primarily to redeem the 2023 Notes and 2024 Notes, $ 461 million of cash payments of dividends to shareholders, and $141 million of payments on equipment purchase contracts. Cash used for financing activities was partially offset by aggregate proceeds of $2.00 billion from the issuance of the unsecured 2032 Green Bonds, 2041 Notes, and 2051 Notes.</w:t>
      </w:r>
    </w:p>
    <w:p>
      <w:pPr>
        <w:spacing w:after="0" w:line="20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For 2021, net cash used for financing activities consisted primarily of $1.20 billion for the acquisition of 15.6 million shares of our common stock under our share repurchase authorization, $295 million of payments on equipment purchase contracts, $185 million of cash payments to settle conversions of our 2032D Notes, and $147 million of repayments of finance leases and other debt. In addition, we received proceeds of $1.19 billion under an unsecured 2024 Term Loan A and used the proceeds to repay the $1.19 billion Extinguished 2024 Term Loan 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For 2020, net cash used for financing activities consisted primarily of $4.37 billion of cash payments to reduce our debt, including $2.50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billion to pay down borrowings under our Revolving Credit Facility, $621 million for repayments of IMFT’s debt obligations to Intel,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$534 million to prepay our 2025 Notes, $266 million to settle conversions of notes, and $248 million for scheduled repayment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leases; $744 million for the acquisition of Intel’s noncontrolling interest in IMFT; and $176 million for the acquisition of 3.6 million shares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under our share repurchase authorization. Cash used for financing activities was partially offset by proceeds of $2.50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billion from our Revolving Credit Facility, $1.25 billion from the 2023 Notes, and $1.25 billion from the Extinguished 2024 Term Loan 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 Notes to Consolidated Financial Statements – Debt.”</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Critical Accounting Estimates</w:t>
      </w:r>
    </w:p>
    <w:p>
      <w:pPr>
        <w:spacing w:after="0" w:line="25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vary under different assumptions or conditions and involve a significant level of uncertainty. We evaluate our estimates and judgments on an ongoing basis. Our management believes the accounting policies below are critical in the portrayal of our financial condition and results of operations and require management’s most difficult, subjective, or complex judgments.</w:t>
      </w:r>
    </w:p>
    <w:p>
      <w:pPr>
        <w:spacing w:after="0" w:line="200" w:lineRule="exact"/>
        <w:rPr>
          <w:sz w:val="20"/>
          <w:szCs w:val="20"/>
          <w:color w:val="auto"/>
        </w:rPr>
      </w:pP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Contingencies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subject to the possibility of losses from various contingencies. Significant judgment is necessary to estimate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probability and amount of a loss, if any, from such contingencies. An accrual is made when it is probable that a liability has been incurred or an asset has been impaired, and the amount of loss can be reasonably estimated. In accounting for the resolution of contingencies, significant judgment may be necessary to estimate amounts pertaining to periods prior to the resolution that are charged to operations in the period of resolution and amounts related to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49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test goodwill for impairment in our fourth quarter each year, or more frequently if indicators of an impairment exist,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whether it is more likely than not that the fair value of the reporting unit with goodwill is less than its carrying value. For reporting units for which this assessment concludes that it is more likely than not that the fair value is more than its carrying value, goodwill is considered not impaired, and we are not required to perform the goodwill impairment test. Qualitative factors considered in this assessment include industry and market considerations, overall financial performance, and other relevant events and factors affecting the fair value of the reporting unit. For reporting units for which this assessment concludes that it is more likely than not that the fair value is below the carrying value, goodwill is tested for impairment by determining the fair value of each reporting unit and comparing it to the carrying value of the net assets assigned to the reporting unit. If the fair value of the reporting unit exceeds its carrying value, goodwill is considered not impaired. If the carrying value of the reporting unit exceeds its fair value, we would record an impairment loss up to the difference between the carrying value and implied fair value. Our qualitative assessment for the current year indicated that the fair value for all of our reporting units substantially exceeded their carrying value and that a quantitative assessment was unnecessary.</w:t>
      </w:r>
    </w:p>
    <w:p>
      <w:pPr>
        <w:spacing w:after="0" w:line="2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Determining when to test for impairment, the reporting units, the assets and liabilities of the reporting unit, and the fair value of the reporting unit requires significant judgment and involves the use of significant estimates and assumptions. These estimates and assumptions include revenue growth rates, forecasted manufacturing costs, and other expenses and are developed as part of our long-range planning process. The same estimates are used in business planning, forecasting, and capital budgeting as part of our long-term manufacturing capacity analysis. We test the reasonableness of the output of our long-range planning process by calculating an implied value per share and comparing that to current stock prices, analysts’ consensus pricing, and management’s expectations. These estimates and assumptions are used to calculate projected future cash flows for the reporting unit, which are discounted using a risk-adjusted rate to estimate a fair value. The discount rate requires determination of appropriate market comparables. We base fair value estimates on assumptions we believe to be reasonable but that are unpredictable and inherently uncertain. Actual future results may differ from those estimates.</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required to estimate our provision for income taxes and amounts ultimately payable or recoverable in numerous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jurisdictions around the world. These estimates involve significant judgment and interpretations of regulations and are inherently complex. Resolution of income tax treatments in individual jurisdictions may not be known for many years after completion of the applicable year. We are also required to evaluate the realizability of our deferred tax assets on an ongoing basis in accordance with U.S. GAAP, which requires the assessment of our performance and other relevant factors. Realization of deferred tax assets is dependent on our ability to generate future taxable income. Our income tax provision or benefit is dependent, in part, on our ability to forecast future taxable income in Japan, the United States, Malaysia, and other jurisdictions. Such forecasts are inherently difficult and involve significant judgments including, among others, projecting future average selling prices and sales volumes, manufacturing and overhead costs, levels of capital spending, and other factors that significantly impact our analyses of the amount of net deferred tax assets that are more likely than not to be realized.</w:t>
      </w:r>
    </w:p>
    <w:p>
      <w:pPr>
        <w:spacing w:after="0" w:line="20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are stated at the lower of cost or net realizable value, with cost being determined on a FIFO basis. Effective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beginning of the second quarter of 2021, we changed our method of inventory costing from average cost to FIFO. Cost includes depreciation, labor, material, and overhead costs, including product and process technology costs. Determining net realizable value of inventories involves significant judgments, including projecting future average selling prices and future sales volumes. To project average selling prices and sales volumes, we review recent sales volumes, existing customer orders, current contract prices, industry analyses of supply and demand, seasonal factors, general economic trends, and other information. Actual selling prices and volumes may vary significantly from projected prices and volumes due to the volatile nature of the semiconductor memory and storage markets. When these analyses reflect estimated net realizable values below our manufacturing costs, we record a charge to cost of goods sold in advance of when inventories are actually sold. As a result, the timing of when product costs are charged to costs of goods sold can vary</w:t>
      </w:r>
    </w:p>
    <w:p>
      <w:pPr>
        <w:spacing w:after="0" w:line="6"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significantly. Differences in forecasted average selling prices used in calculating lower of cost or net realizable value adjustments can result in significant changes in the estimated net realizable value of product inventories and accordingly the amount of write-down recorded. For example, a 5% variance in the estimated selling prices would have changed the estimated net realizable value of our inventory by approximately $337 million as of September 1, 2022. Due to the volatile nature of the semiconductor memory and storage markets, actual selling prices and volumes often vary significantly from projected prices and volumes; as a result, the timing of when product costs are charged to operations can vary significantly.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U.S. GAAP provides for products to be grouped into categories in order to compare costs to net realizable values. The amount of any inventory write-down can vary significantly depending on the determination of inventory categories. We review the major characteristics of product type and markets in determining the unit of account for which we perform the lower of average cost or net realizable value analysis and categorize all inventories (including DRAM, NAND, and other memory) as a single group.</w:t>
      </w:r>
    </w:p>
    <w:p>
      <w:pPr>
        <w:spacing w:after="0" w:line="20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Property, plant, and equipment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periodically assess the estimated useful lives of our property, plant, and equipment based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node transitions, capital spending, and equipment re-use rates. We also review the carrying value of property, plant, and equipment for impairment when events and circumstances indicate that the carrying value of an asset or group of assets may not be recoverable from the estimated future cash flows expected to result from its use and/or disposition. In cases where undiscounted expected future cash flows are less than the carrying value, an impairment loss is recognized equal to the amount by which the carrying value exceeds the estimated fair value of the assets. The estimate of future cash flows involves numerous assumptions which require significant judgment by us, including, but not limited to, future use of the assets for our operations versus sale or disposal of the assets, future selling prices for our products, and future production and sales volumes. In addition, significant judgment is required in determining the groups of assets for which impairment tests are separately performed.</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is primarily recognized at a point in time when control of the promised goods is transferred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Adopted Accounting Standards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Recently Issued Accounting Standards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 material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7A. QUANTITATIVE AND QUALITATIVE DISCLOSURES ABOUT MARKET RISK</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Interest Rate Risk</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exposed to interest rate risk related to our indebtedness and our investment portfolio. As of September 1, 2022 and September 2, 2021, we had fixed-rate debt with an aggregate carrying value of $4.03 billion and $3.89 billion, respectively, and as a result, the fair value of our debt fluctuates with changes in market interest rates. In 2022, we issued new debt and repaid other debt, which significantly increased the average remaining maturity of our fixed-rate debt resulting in increased variability of its fair value from interest rate changes. We estimate that, as of September 1, 2022 and September 2, 2021, a hypothetical 1% decrease in market interest rates would increase the fair value of our fixed-rate debt by approximately $275 million and $200 million, respectively.</w:t>
      </w:r>
    </w:p>
    <w:p>
      <w:pPr>
        <w:spacing w:after="0" w:line="20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Interest rate risk related to our investment portfolio is managed by primarily investing in shorter term securities. As of September 1, 2022, a hypothetical 1% increase in interest rates would decrease the fair value of our portfolio by approximately $30 million. Such impact would only be realized if investments were sold prior to maturity.</w:t>
      </w:r>
    </w:p>
    <w:p>
      <w:pPr>
        <w:spacing w:after="0" w:line="19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of September 1, 2022 and September 2, 2021, we had floating-rate debt and fixed-rate debt that is swapped to floating-rate debt with an aggregate principal amount of $2.09 billion. A hypothetical 1% increase in the interest rates of this floating-rate debt would result in an increase in annual interest expense of approximately $21 million as of September 1, 2022 and September 2, 2021.</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Foreign Currency Exchange Rate Risk</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in this section should be read in conjunction with the information related to changes in the currency exchange rates in “Part I</w:t>
      </w:r>
    </w:p>
    <w:p>
      <w:pPr>
        <w:spacing w:after="0" w:line="27" w:lineRule="exact"/>
        <w:rPr>
          <w:sz w:val="20"/>
          <w:szCs w:val="20"/>
          <w:color w:val="auto"/>
        </w:rPr>
      </w:pPr>
    </w:p>
    <w:p>
      <w:pPr>
        <w:ind w:right="760"/>
        <w:spacing w:after="0" w:line="266" w:lineRule="auto"/>
        <w:rPr>
          <w:sz w:val="20"/>
          <w:szCs w:val="20"/>
          <w:color w:val="auto"/>
        </w:rPr>
      </w:pPr>
      <w:r>
        <w:rPr>
          <w:rFonts w:ascii="Arial" w:cs="Arial" w:eastAsia="Arial" w:hAnsi="Arial"/>
          <w:sz w:val="18"/>
          <w:szCs w:val="18"/>
          <w:color w:val="auto"/>
        </w:rPr>
        <w:t>– Item 1A. Risk Factors.” Changes in currency exchange rates could materially adversely affect our results of operations or financial condition.</w:t>
      </w:r>
    </w:p>
    <w:p>
      <w:pPr>
        <w:spacing w:after="0" w:line="19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functional currency for all of our operations is the U.S. dollar. The substantial majority of our sales are transacted in the U.S. dollar; however, significant amounts of our operating expenditures and capital purchases, and certain assets and liabilities, are incurred in or exposed to other currencies, primarily the euro, Malaysian ringgit, New Taiwan dollar, Singapore dollar, and yen. We have established currency risk management programs for our monetary assets and liabilities denominated in foreign currencies to hedge against fluctuations in the fair value and volatility of future cash flows caused by changes in currency exchange rates. We generally utilize currency forward contracts in these hedging programs, which reduce, but do not always entirely eliminate, the impact of currency exchange rate movements. We do not use derivative financial instruments for trading or speculative purposes.</w:t>
      </w:r>
    </w:p>
    <w:p>
      <w:pPr>
        <w:spacing w:after="0" w:line="210"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Based on monetary assets and liabilities denominated in foreign currencies, we estimate that a hypothetical 10% adverse change in exchange rates versus the U.S. dollar would result in losses of approximately $ 186 million as of September 1, 2022 and $122 million as of September 2, 2021. We hedge our exposure to changes in currency exchange rates by utilizing a rolling hedge strategy for our primary currency exposures with currency forward contracts that generally mature within three months. The effectiveness of our hedges is dependent, among other factors, upon our ability to accurately measure exposures on a timely basis. To hedge the exposure of changes in cash flows from changes in currency exchange rates for certain capital expenditures and manufacturing costs, we may utilize currency forward contracts that generally mature within two years. See “Item 8. Financial Statements and Supplementary Data – Notes to Consolidated Financial Statements – Derivative Instruments.”</w:t>
      </w:r>
    </w:p>
    <w:p>
      <w:pPr>
        <w:spacing w:after="0" w:line="200" w:lineRule="exact"/>
        <w:rPr>
          <w:sz w:val="20"/>
          <w:szCs w:val="20"/>
          <w:color w:val="auto"/>
        </w:rPr>
      </w:pPr>
    </w:p>
    <w:p>
      <w:pPr>
        <w:spacing w:after="0" w:line="21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4"/>
        </w:trPr>
        <w:tc>
          <w:tcPr>
            <w:tcW w:w="9040" w:type="dxa"/>
            <w:vAlign w:val="bottom"/>
          </w:tcPr>
          <w:p>
            <w:pPr>
              <w:spacing w:after="0"/>
              <w:rPr>
                <w:sz w:val="16"/>
                <w:szCs w:val="16"/>
                <w:color w:val="auto"/>
              </w:rPr>
            </w:pPr>
          </w:p>
        </w:tc>
        <w:tc>
          <w:tcPr>
            <w:tcW w:w="2200" w:type="dxa"/>
            <w:vAlign w:val="bottom"/>
            <w:gridSpan w:val="2"/>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952"/>
        </w:trPr>
        <w:tc>
          <w:tcPr>
            <w:tcW w:w="9040" w:type="dxa"/>
            <w:vAlign w:val="bottom"/>
          </w:tcPr>
          <w:p>
            <w:pPr>
              <w:spacing w:after="0"/>
              <w:rPr>
                <w:sz w:val="20"/>
                <w:szCs w:val="20"/>
                <w:color w:val="auto"/>
              </w:rPr>
            </w:pPr>
            <w:r>
              <w:rPr>
                <w:rFonts w:ascii="Arial" w:cs="Arial" w:eastAsia="Arial" w:hAnsi="Arial"/>
                <w:sz w:val="25"/>
                <w:szCs w:val="25"/>
                <w:b w:val="1"/>
                <w:bCs w:val="1"/>
                <w:color w:val="auto"/>
              </w:rPr>
              <w:t>ITEM 8. FINANCIAL STATEMENTS AND SUPPLEMENTARY DATA</w:t>
            </w:r>
          </w:p>
        </w:tc>
        <w:tc>
          <w:tcPr>
            <w:tcW w:w="84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r>
      <w:tr>
        <w:trPr>
          <w:trHeight w:val="729"/>
        </w:trPr>
        <w:tc>
          <w:tcPr>
            <w:tcW w:w="9040" w:type="dxa"/>
            <w:vAlign w:val="bottom"/>
            <w:tcBorders>
              <w:bottom w:val="single" w:sz="8" w:color="0090DA"/>
            </w:tcBorders>
          </w:tcPr>
          <w:p>
            <w:pPr>
              <w:spacing w:after="0"/>
              <w:rPr>
                <w:sz w:val="20"/>
                <w:szCs w:val="20"/>
                <w:color w:val="auto"/>
              </w:rPr>
            </w:pPr>
            <w:r>
              <w:rPr>
                <w:rFonts w:ascii="Arial" w:cs="Arial" w:eastAsia="Arial" w:hAnsi="Arial"/>
                <w:sz w:val="40"/>
                <w:szCs w:val="40"/>
                <w:b w:val="1"/>
                <w:bCs w:val="1"/>
                <w:color w:val="auto"/>
              </w:rPr>
              <w:t>Index to Consolidated Financial Statements</w:t>
            </w:r>
          </w:p>
        </w:tc>
        <w:tc>
          <w:tcPr>
            <w:tcW w:w="840" w:type="dxa"/>
            <w:vAlign w:val="bottom"/>
            <w:tcBorders>
              <w:bottom w:val="single" w:sz="8" w:color="0090DA"/>
            </w:tcBorders>
          </w:tcPr>
          <w:p>
            <w:pPr>
              <w:spacing w:after="0"/>
              <w:rPr>
                <w:sz w:val="24"/>
                <w:szCs w:val="24"/>
                <w:color w:val="auto"/>
              </w:rPr>
            </w:pPr>
          </w:p>
        </w:tc>
        <w:tc>
          <w:tcPr>
            <w:tcW w:w="1360" w:type="dxa"/>
            <w:vAlign w:val="bottom"/>
            <w:tcBorders>
              <w:bottom w:val="single" w:sz="8" w:color="0090DA"/>
            </w:tcBorders>
          </w:tcPr>
          <w:p>
            <w:pPr>
              <w:spacing w:after="0"/>
              <w:rPr>
                <w:sz w:val="24"/>
                <w:szCs w:val="24"/>
                <w:color w:val="auto"/>
              </w:rPr>
            </w:pPr>
          </w:p>
        </w:tc>
      </w:tr>
      <w:tr>
        <w:trPr>
          <w:trHeight w:val="34"/>
        </w:trPr>
        <w:tc>
          <w:tcPr>
            <w:tcW w:w="9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Statements of Operations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54</w:t>
            </w:r>
          </w:p>
        </w:tc>
      </w:tr>
      <w:tr>
        <w:trPr>
          <w:trHeight w:val="230"/>
        </w:trPr>
        <w:tc>
          <w:tcPr>
            <w:tcW w:w="9040" w:type="dxa"/>
            <w:vAlign w:val="bottom"/>
          </w:tcPr>
          <w:p>
            <w:pPr>
              <w:ind w:left="20"/>
              <w:spacing w:after="0"/>
              <w:rPr>
                <w:sz w:val="20"/>
                <w:szCs w:val="20"/>
                <w:color w:val="auto"/>
              </w:rPr>
            </w:pPr>
            <w:r>
              <w:rPr>
                <w:rFonts w:ascii="Arial" w:cs="Arial" w:eastAsia="Arial" w:hAnsi="Arial"/>
                <w:sz w:val="18"/>
                <w:szCs w:val="18"/>
                <w:color w:val="auto"/>
              </w:rPr>
              <w:t>Consolidated Statements of Comprehensive Income</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r>
      <w:tr>
        <w:trPr>
          <w:trHeight w:val="229"/>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Balance Sheets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56</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Consolidated Statements of Changes in Equity</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r>
      <w:tr>
        <w:trPr>
          <w:trHeight w:val="230"/>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Consolidated Statements of Cash Flows</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58</w:t>
            </w:r>
          </w:p>
        </w:tc>
      </w:tr>
      <w:tr>
        <w:trPr>
          <w:trHeight w:val="229"/>
        </w:trPr>
        <w:tc>
          <w:tcPr>
            <w:tcW w:w="9040" w:type="dxa"/>
            <w:vAlign w:val="bottom"/>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22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r>
      <w:tr>
        <w:trPr>
          <w:trHeight w:val="229"/>
        </w:trPr>
        <w:tc>
          <w:tcPr>
            <w:tcW w:w="904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220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80"/>
        </w:trPr>
        <w:tc>
          <w:tcPr>
            <w:tcW w:w="690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40" w:type="dxa"/>
            <w:vAlign w:val="bottom"/>
            <w:gridSpan w:val="3"/>
          </w:tcPr>
          <w:p>
            <w:pPr>
              <w:spacing w:after="0"/>
              <w:rPr>
                <w:sz w:val="20"/>
                <w:szCs w:val="20"/>
                <w:color w:val="auto"/>
              </w:rPr>
            </w:pPr>
            <w:r>
              <w:rPr>
                <w:rFonts w:ascii="Arial" w:cs="Arial" w:eastAsia="Arial" w:hAnsi="Arial"/>
                <w:sz w:val="40"/>
                <w:szCs w:val="40"/>
                <w:b w:val="1"/>
                <w:bCs w:val="1"/>
                <w:color w:val="auto"/>
              </w:rPr>
              <w:t>Consolidated Statements of Operations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(In millions, except per share amounts)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7"/>
                <w:szCs w:val="17"/>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September 1,</w:t>
            </w:r>
          </w:p>
        </w:tc>
        <w:tc>
          <w:tcPr>
            <w:tcW w:w="1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35"/>
        </w:trPr>
        <w:tc>
          <w:tcPr>
            <w:tcW w:w="690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20"/>
                <w:szCs w:val="20"/>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16,860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17,282</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14,883</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13,898</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10,423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3,116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2,663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operating (income) expense, net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57"/>
        </w:trPr>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6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9,571</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2,983</w:t>
            </w:r>
          </w:p>
        </w:tc>
        <w:tc>
          <w:tcPr>
            <w:tcW w:w="0" w:type="dxa"/>
            <w:vAlign w:val="bottom"/>
          </w:tcPr>
          <w:p>
            <w:pPr>
              <w:spacing w:after="0"/>
              <w:rPr>
                <w:sz w:val="1"/>
                <w:szCs w:val="1"/>
                <w:color w:val="auto"/>
              </w:rPr>
            </w:pPr>
          </w:p>
        </w:tc>
      </w:tr>
      <w:tr>
        <w:trPr>
          <w:trHeight w:val="256"/>
        </w:trPr>
        <w:tc>
          <w:tcPr>
            <w:tcW w:w="69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(888)</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9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8,687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5,861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56"/>
        </w:trPr>
        <w:tc>
          <w:tcPr>
            <w:tcW w:w="69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140" w:type="dxa"/>
            <w:vAlign w:val="bottom"/>
            <w:shd w:val="clear" w:color="auto" w:fill="D1D2D4"/>
          </w:tcPr>
          <w:p>
            <w:pPr>
              <w:spacing w:after="0"/>
              <w:rPr>
                <w:sz w:val="22"/>
                <w:szCs w:val="22"/>
                <w:color w:val="auto"/>
              </w:rPr>
            </w:pPr>
          </w:p>
        </w:tc>
        <w:tc>
          <w:tcPr>
            <w:tcW w:w="1320" w:type="dxa"/>
            <w:vAlign w:val="bottom"/>
            <w:shd w:val="clear" w:color="auto" w:fill="D1D2D4"/>
          </w:tcPr>
          <w:p>
            <w:pPr>
              <w:spacing w:after="0"/>
              <w:rPr>
                <w:sz w:val="22"/>
                <w:szCs w:val="22"/>
                <w:color w:val="auto"/>
              </w:rPr>
            </w:pPr>
          </w:p>
        </w:tc>
        <w:tc>
          <w:tcPr>
            <w:tcW w:w="80" w:type="dxa"/>
            <w:vAlign w:val="bottom"/>
            <w:shd w:val="clear" w:color="auto" w:fill="D1D2D4"/>
          </w:tcPr>
          <w:p>
            <w:pPr>
              <w:spacing w:after="0"/>
              <w:rPr>
                <w:sz w:val="22"/>
                <w:szCs w:val="22"/>
                <w:color w:val="auto"/>
              </w:rPr>
            </w:pPr>
          </w:p>
        </w:tc>
        <w:tc>
          <w:tcPr>
            <w:tcW w:w="60" w:type="dxa"/>
            <w:vAlign w:val="bottom"/>
            <w:shd w:val="clear" w:color="auto" w:fill="D1D2D4"/>
          </w:tcPr>
          <w:p>
            <w:pPr>
              <w:spacing w:after="0"/>
              <w:rPr>
                <w:sz w:val="22"/>
                <w:szCs w:val="22"/>
                <w:color w:val="auto"/>
              </w:rPr>
            </w:pPr>
          </w:p>
        </w:tc>
        <w:tc>
          <w:tcPr>
            <w:tcW w:w="1300" w:type="dxa"/>
            <w:vAlign w:val="bottom"/>
            <w:shd w:val="clear" w:color="auto" w:fill="D1D2D4"/>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1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6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7.81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5.23</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56"/>
        </w:trPr>
        <w:tc>
          <w:tcPr>
            <w:tcW w:w="6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1,110</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4" w:name="page55"/>
    <w:bookmarkEnd w:id="54"/>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Comprehensive Income</w:t>
      </w: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69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9"/>
              </w:rPr>
              <w:t>September 1,</w:t>
            </w:r>
          </w:p>
        </w:tc>
        <w:tc>
          <w:tcPr>
            <w:tcW w:w="120" w:type="dxa"/>
            <w:vAlign w:val="bottom"/>
          </w:tcPr>
          <w:p>
            <w:pPr>
              <w:spacing w:after="0"/>
              <w:rPr>
                <w:sz w:val="16"/>
                <w:szCs w:val="16"/>
                <w:color w:val="auto"/>
              </w:rPr>
            </w:pPr>
          </w:p>
        </w:tc>
        <w:tc>
          <w:tcPr>
            <w:tcW w:w="1300" w:type="dxa"/>
            <w:vAlign w:val="bottom"/>
          </w:tcPr>
          <w:p>
            <w:pPr>
              <w:jc w:val="right"/>
              <w:ind w:right="50"/>
              <w:spacing w:after="0" w:line="189" w:lineRule="exact"/>
              <w:rPr>
                <w:sz w:val="20"/>
                <w:szCs w:val="20"/>
                <w:color w:val="auto"/>
              </w:rPr>
            </w:pPr>
            <w:r>
              <w:rPr>
                <w:rFonts w:ascii="Arial" w:cs="Arial" w:eastAsia="Arial" w:hAnsi="Arial"/>
                <w:sz w:val="18"/>
                <w:szCs w:val="18"/>
                <w:b w:val="1"/>
                <w:bCs w:val="1"/>
                <w:color w:val="auto"/>
              </w:rPr>
              <w:t>September 2,</w:t>
            </w:r>
          </w:p>
        </w:tc>
        <w:tc>
          <w:tcPr>
            <w:tcW w:w="140" w:type="dxa"/>
            <w:vAlign w:val="bottom"/>
          </w:tcPr>
          <w:p>
            <w:pPr>
              <w:spacing w:after="0"/>
              <w:rPr>
                <w:sz w:val="16"/>
                <w:szCs w:val="16"/>
                <w:color w:val="auto"/>
              </w:rPr>
            </w:pPr>
          </w:p>
        </w:tc>
        <w:tc>
          <w:tcPr>
            <w:tcW w:w="1300" w:type="dxa"/>
            <w:vAlign w:val="bottom"/>
          </w:tcPr>
          <w:p>
            <w:pPr>
              <w:jc w:val="right"/>
              <w:ind w:right="70"/>
              <w:spacing w:after="0" w:line="189" w:lineRule="exact"/>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35"/>
        </w:trPr>
        <w:tc>
          <w:tcPr>
            <w:tcW w:w="694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57"/>
        </w:trPr>
        <w:tc>
          <w:tcPr>
            <w:tcW w:w="6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140"/>
              <w:spacing w:after="0"/>
              <w:rPr>
                <w:sz w:val="20"/>
                <w:szCs w:val="20"/>
                <w:color w:val="auto"/>
              </w:rPr>
            </w:pPr>
            <w:r>
              <w:rPr>
                <w:rFonts w:ascii="Arial" w:cs="Arial" w:eastAsia="Arial" w:hAnsi="Arial"/>
                <w:sz w:val="18"/>
                <w:szCs w:val="18"/>
                <w:color w:val="auto"/>
              </w:rPr>
              <w:t>Gains (losses) on derivative instruments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Gains (losses) on investments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6940" w:type="dxa"/>
            <w:vAlign w:val="bottom"/>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4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Pension liability adjustments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694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3"/>
        </w:trPr>
        <w:tc>
          <w:tcPr>
            <w:tcW w:w="6940" w:type="dxa"/>
            <w:vAlign w:val="bottom"/>
            <w:shd w:val="clear" w:color="auto" w:fill="D1D2D4"/>
          </w:tcPr>
          <w:p>
            <w:pPr>
              <w:ind w:left="20"/>
              <w:spacing w:after="0"/>
              <w:rPr>
                <w:sz w:val="20"/>
                <w:szCs w:val="20"/>
                <w:color w:val="auto"/>
              </w:rPr>
            </w:pPr>
            <w:r>
              <w:rPr>
                <w:rFonts w:ascii="Arial" w:cs="Arial" w:eastAsia="Arial" w:hAnsi="Arial"/>
                <w:sz w:val="18"/>
                <w:szCs w:val="18"/>
                <w:color w:val="auto"/>
              </w:rPr>
              <w:t>Total comprehensive income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8,125</w:t>
            </w:r>
          </w:p>
        </w:tc>
        <w:tc>
          <w:tcPr>
            <w:tcW w:w="12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5,792</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2,772</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Comprehensive income attributable to Micron</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8,125</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5,792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0"/>
        </w:trPr>
        <w:tc>
          <w:tcPr>
            <w:tcW w:w="6940" w:type="dxa"/>
            <w:vAlign w:val="bottom"/>
            <w:tcBorders>
              <w:top w:val="single" w:sz="8" w:color="D1D2D4"/>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30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80"/>
        </w:trPr>
        <w:tc>
          <w:tcPr>
            <w:tcW w:w="83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60" w:type="dxa"/>
            <w:vAlign w:val="bottom"/>
          </w:tcPr>
          <w:p>
            <w:pPr>
              <w:spacing w:after="0"/>
              <w:rPr>
                <w:sz w:val="20"/>
                <w:szCs w:val="20"/>
                <w:color w:val="auto"/>
              </w:rPr>
            </w:pPr>
            <w:r>
              <w:rPr>
                <w:rFonts w:ascii="Arial" w:cs="Arial" w:eastAsia="Arial" w:hAnsi="Arial"/>
                <w:sz w:val="40"/>
                <w:szCs w:val="40"/>
                <w:b w:val="1"/>
                <w:bCs w:val="1"/>
                <w:color w:val="auto"/>
              </w:rPr>
              <w:t>Consolidated Balance Sheets</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8360" w:type="dxa"/>
            <w:vAlign w:val="bottom"/>
          </w:tcPr>
          <w:p>
            <w:pPr>
              <w:spacing w:after="0"/>
              <w:rPr>
                <w:sz w:val="20"/>
                <w:szCs w:val="20"/>
                <w:color w:val="auto"/>
              </w:rPr>
            </w:pPr>
            <w:r>
              <w:rPr>
                <w:rFonts w:ascii="Arial" w:cs="Arial" w:eastAsia="Arial" w:hAnsi="Arial"/>
                <w:sz w:val="18"/>
                <w:szCs w:val="18"/>
                <w:color w:val="auto"/>
              </w:rPr>
              <w:t>(In millions, except par value amounts)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2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vMerge w:val="continue"/>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8,262</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6,663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Assets held for sale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644</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21,781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19,907</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marketable investments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1,647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38,549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33,213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678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421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702</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1,277</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66,283</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6,090</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Current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1,346</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360" w:type="dxa"/>
            <w:vAlign w:val="bottom"/>
          </w:tcPr>
          <w:p>
            <w:pPr>
              <w:ind w:left="2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6,424</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6,803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6,621</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16,376</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14,916</w:t>
            </w:r>
          </w:p>
        </w:tc>
        <w:tc>
          <w:tcPr>
            <w:tcW w:w="0" w:type="dxa"/>
            <w:vAlign w:val="bottom"/>
          </w:tcPr>
          <w:p>
            <w:pPr>
              <w:spacing w:after="0"/>
              <w:rPr>
                <w:sz w:val="1"/>
                <w:szCs w:val="1"/>
                <w:color w:val="auto"/>
              </w:rPr>
            </w:pPr>
          </w:p>
        </w:tc>
      </w:tr>
      <w:tr>
        <w:trPr>
          <w:trHeight w:val="236"/>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360" w:type="dxa"/>
            <w:vAlign w:val="bottom"/>
          </w:tcPr>
          <w:p>
            <w:pPr>
              <w:ind w:left="220"/>
              <w:spacing w:after="0" w:line="183" w:lineRule="exact"/>
              <w:rPr>
                <w:sz w:val="20"/>
                <w:szCs w:val="20"/>
                <w:color w:val="auto"/>
              </w:rPr>
            </w:pPr>
            <w:r>
              <w:rPr>
                <w:rFonts w:ascii="Arial" w:cs="Arial" w:eastAsia="Arial" w:hAnsi="Arial"/>
                <w:sz w:val="18"/>
                <w:szCs w:val="18"/>
                <w:color w:val="auto"/>
              </w:rPr>
              <w:t>Common stock, $0.10 par value, 3,000 shares authorized, 1,226 shares issued and 1,094</w:t>
            </w:r>
          </w:p>
        </w:tc>
        <w:tc>
          <w:tcPr>
            <w:tcW w:w="12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5"/>
        </w:trPr>
        <w:tc>
          <w:tcPr>
            <w:tcW w:w="8360" w:type="dxa"/>
            <w:vAlign w:val="bottom"/>
          </w:tcPr>
          <w:p>
            <w:pPr>
              <w:ind w:left="220"/>
              <w:spacing w:after="0"/>
              <w:rPr>
                <w:sz w:val="20"/>
                <w:szCs w:val="20"/>
                <w:color w:val="auto"/>
              </w:rPr>
            </w:pPr>
            <w:r>
              <w:rPr>
                <w:rFonts w:ascii="Arial" w:cs="Arial" w:eastAsia="Arial" w:hAnsi="Arial"/>
                <w:sz w:val="18"/>
                <w:szCs w:val="18"/>
                <w:color w:val="auto"/>
              </w:rPr>
              <w:t>outstanding (1,216 shares issued and 1,119 outstanding as of September 2, 2021)</w:t>
            </w:r>
          </w:p>
        </w:tc>
        <w:tc>
          <w:tcPr>
            <w:tcW w:w="12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Additional capital</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10,197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47,274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39,051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Treasury stock, 132 shares held (97 shares as of September 2, 2021)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(7,127)</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(4,695)</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360"/>
              <w:spacing w:after="0"/>
              <w:rPr>
                <w:sz w:val="20"/>
                <w:szCs w:val="20"/>
                <w:color w:val="auto"/>
              </w:rPr>
            </w:pPr>
            <w:r>
              <w:rPr>
                <w:rFonts w:ascii="Arial" w:cs="Arial" w:eastAsia="Arial" w:hAnsi="Arial"/>
                <w:sz w:val="18"/>
                <w:szCs w:val="18"/>
                <w:color w:val="auto"/>
              </w:rPr>
              <w:t>Total equity</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49,907</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0" w:type="dxa"/>
            <w:vAlign w:val="bottom"/>
          </w:tcPr>
          <w:p>
            <w:pPr>
              <w:spacing w:after="0"/>
              <w:rPr>
                <w:sz w:val="1"/>
                <w:szCs w:val="1"/>
                <w:color w:val="auto"/>
              </w:rPr>
            </w:pPr>
          </w:p>
        </w:tc>
      </w:tr>
      <w:tr>
        <w:trPr>
          <w:trHeight w:val="223"/>
        </w:trPr>
        <w:tc>
          <w:tcPr>
            <w:tcW w:w="8360" w:type="dxa"/>
            <w:vAlign w:val="bottom"/>
          </w:tcPr>
          <w:p>
            <w:pPr>
              <w:ind w:left="480"/>
              <w:spacing w:after="0"/>
              <w:rPr>
                <w:sz w:val="20"/>
                <w:szCs w:val="20"/>
                <w:color w:val="auto"/>
              </w:rPr>
            </w:pPr>
            <w:r>
              <w:rPr>
                <w:rFonts w:ascii="Arial" w:cs="Arial" w:eastAsia="Arial" w:hAnsi="Arial"/>
                <w:sz w:val="18"/>
                <w:szCs w:val="18"/>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66,283</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58,849</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5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Consolidated Statements of Changes in Equity</w:t>
      </w:r>
    </w:p>
    <w:p>
      <w:pPr>
        <w:spacing w:after="0"/>
        <w:rPr>
          <w:sz w:val="20"/>
          <w:szCs w:val="20"/>
          <w:color w:val="auto"/>
        </w:rPr>
      </w:pPr>
      <w:r>
        <w:rPr>
          <w:rFonts w:ascii="Arial" w:cs="Arial" w:eastAsia="Arial" w:hAnsi="Arial"/>
          <w:sz w:val="18"/>
          <w:szCs w:val="18"/>
          <w:color w:val="auto"/>
        </w:rPr>
        <w:t>(In millions, except per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60" w:type="dxa"/>
            <w:vAlign w:val="bottom"/>
          </w:tcPr>
          <w:p>
            <w:pPr>
              <w:spacing w:after="0"/>
              <w:rPr>
                <w:sz w:val="18"/>
                <w:szCs w:val="18"/>
                <w:color w:val="auto"/>
              </w:rPr>
            </w:pPr>
          </w:p>
        </w:tc>
        <w:tc>
          <w:tcPr>
            <w:tcW w:w="700" w:type="dxa"/>
            <w:vAlign w:val="bottom"/>
            <w:tcBorders>
              <w:bottom w:val="single" w:sz="8" w:color="0090DA"/>
            </w:tcBorders>
          </w:tcPr>
          <w:p>
            <w:pPr>
              <w:spacing w:after="0"/>
              <w:rPr>
                <w:sz w:val="18"/>
                <w:szCs w:val="18"/>
                <w:color w:val="auto"/>
              </w:rPr>
            </w:pPr>
          </w:p>
        </w:tc>
        <w:tc>
          <w:tcPr>
            <w:tcW w:w="240" w:type="dxa"/>
            <w:vAlign w:val="bottom"/>
            <w:tcBorders>
              <w:bottom w:val="single" w:sz="8" w:color="0090DA"/>
            </w:tcBorders>
          </w:tcPr>
          <w:p>
            <w:pPr>
              <w:spacing w:after="0"/>
              <w:rPr>
                <w:sz w:val="18"/>
                <w:szCs w:val="18"/>
                <w:color w:val="auto"/>
              </w:rPr>
            </w:pPr>
          </w:p>
        </w:tc>
        <w:tc>
          <w:tcPr>
            <w:tcW w:w="520" w:type="dxa"/>
            <w:vAlign w:val="bottom"/>
            <w:tcBorders>
              <w:bottom w:val="single" w:sz="8" w:color="0090DA"/>
            </w:tcBorders>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spacing w:after="0"/>
              <w:rPr>
                <w:sz w:val="18"/>
                <w:szCs w:val="18"/>
                <w:color w:val="auto"/>
              </w:rPr>
            </w:pPr>
          </w:p>
        </w:tc>
        <w:tc>
          <w:tcPr>
            <w:tcW w:w="1720" w:type="dxa"/>
            <w:vAlign w:val="bottom"/>
            <w:tcBorders>
              <w:bottom w:val="single" w:sz="8" w:color="0090DA"/>
            </w:tcBorders>
            <w:gridSpan w:val="3"/>
          </w:tcPr>
          <w:p>
            <w:pPr>
              <w:jc w:val="right"/>
              <w:spacing w:after="0"/>
              <w:rPr>
                <w:sz w:val="20"/>
                <w:szCs w:val="20"/>
                <w:color w:val="auto"/>
              </w:rPr>
            </w:pPr>
            <w:r>
              <w:rPr>
                <w:rFonts w:ascii="Arial" w:cs="Arial" w:eastAsia="Arial" w:hAnsi="Arial"/>
                <w:sz w:val="16"/>
                <w:szCs w:val="16"/>
                <w:b w:val="1"/>
                <w:bCs w:val="1"/>
                <w:color w:val="auto"/>
              </w:rPr>
              <w:t>Micron Shareholders</w:t>
            </w:r>
          </w:p>
        </w:tc>
        <w:tc>
          <w:tcPr>
            <w:tcW w:w="1160" w:type="dxa"/>
            <w:vAlign w:val="bottom"/>
            <w:tcBorders>
              <w:bottom w:val="single" w:sz="8" w:color="0090DA"/>
            </w:tcBorders>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860" w:type="dxa"/>
            <w:vAlign w:val="bottom"/>
          </w:tcPr>
          <w:p>
            <w:pPr>
              <w:spacing w:after="0"/>
              <w:rPr>
                <w:sz w:val="20"/>
                <w:szCs w:val="20"/>
                <w:color w:val="auto"/>
              </w:rPr>
            </w:pPr>
          </w:p>
        </w:tc>
        <w:tc>
          <w:tcPr>
            <w:tcW w:w="1460" w:type="dxa"/>
            <w:vAlign w:val="bottom"/>
            <w:tcBorders>
              <w:bottom w:val="single" w:sz="8" w:color="0090DA"/>
            </w:tcBorders>
            <w:gridSpan w:val="3"/>
          </w:tcPr>
          <w:p>
            <w:pPr>
              <w:jc w:val="right"/>
              <w:ind w:right="5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restart"/>
          </w:tcPr>
          <w:p>
            <w:pPr>
              <w:jc w:val="center"/>
              <w:ind w:right="31"/>
              <w:spacing w:after="0"/>
              <w:rPr>
                <w:sz w:val="20"/>
                <w:szCs w:val="20"/>
                <w:color w:val="auto"/>
              </w:rPr>
            </w:pPr>
            <w:r>
              <w:rPr>
                <w:rFonts w:ascii="Arial" w:cs="Arial" w:eastAsia="Arial" w:hAnsi="Arial"/>
                <w:sz w:val="16"/>
                <w:szCs w:val="16"/>
                <w:b w:val="1"/>
                <w:bCs w:val="1"/>
                <w:color w:val="auto"/>
                <w:w w:val="99"/>
              </w:rPr>
              <w:t>Accumulated</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700" w:type="dxa"/>
            <w:vAlign w:val="bottom"/>
            <w:vMerge w:val="restart"/>
          </w:tcPr>
          <w:p>
            <w:pPr>
              <w:jc w:val="center"/>
              <w:spacing w:after="0" w:line="183" w:lineRule="exact"/>
              <w:rPr>
                <w:sz w:val="20"/>
                <w:szCs w:val="20"/>
                <w:color w:val="auto"/>
              </w:rPr>
            </w:pPr>
            <w:r>
              <w:rPr>
                <w:rFonts w:ascii="Arial" w:cs="Arial" w:eastAsia="Arial" w:hAnsi="Arial"/>
                <w:sz w:val="16"/>
                <w:szCs w:val="16"/>
                <w:b w:val="1"/>
                <w:bCs w:val="1"/>
                <w:color w:val="auto"/>
              </w:rPr>
              <w:t>Number</w:t>
            </w: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vMerge w:val="restart"/>
          </w:tcPr>
          <w:p>
            <w:pPr>
              <w:jc w:val="right"/>
              <w:ind w:right="11"/>
              <w:spacing w:after="0" w:line="183" w:lineRule="exact"/>
              <w:rPr>
                <w:sz w:val="20"/>
                <w:szCs w:val="20"/>
                <w:color w:val="auto"/>
              </w:rPr>
            </w:pPr>
            <w:r>
              <w:rPr>
                <w:rFonts w:ascii="Arial" w:cs="Arial" w:eastAsia="Arial" w:hAnsi="Arial"/>
                <w:sz w:val="16"/>
                <w:szCs w:val="16"/>
                <w:b w:val="1"/>
                <w:bCs w:val="1"/>
                <w:color w:val="auto"/>
                <w:w w:val="98"/>
              </w:rPr>
              <w:t>Total Micron</w:t>
            </w:r>
          </w:p>
        </w:tc>
        <w:tc>
          <w:tcPr>
            <w:tcW w:w="1220" w:type="dxa"/>
            <w:vAlign w:val="bottom"/>
            <w:gridSpan w:val="2"/>
            <w:vMerge w:val="restart"/>
          </w:tcPr>
          <w:p>
            <w:pPr>
              <w:ind w:left="40"/>
              <w:spacing w:after="0" w:line="183" w:lineRule="exact"/>
              <w:rPr>
                <w:sz w:val="20"/>
                <w:szCs w:val="20"/>
                <w:color w:val="auto"/>
              </w:rPr>
            </w:pPr>
            <w:r>
              <w:rPr>
                <w:rFonts w:ascii="Arial" w:cs="Arial" w:eastAsia="Arial" w:hAnsi="Arial"/>
                <w:sz w:val="16"/>
                <w:szCs w:val="16"/>
                <w:b w:val="1"/>
                <w:bCs w:val="1"/>
                <w:color w:val="auto"/>
              </w:rPr>
              <w:t>Noncontrolling</w:t>
            </w: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8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31"/>
              <w:spacing w:after="0" w:line="162" w:lineRule="exact"/>
              <w:rPr>
                <w:sz w:val="20"/>
                <w:szCs w:val="20"/>
                <w:color w:val="auto"/>
              </w:rPr>
            </w:pPr>
            <w:r>
              <w:rPr>
                <w:rFonts w:ascii="Arial" w:cs="Arial" w:eastAsia="Arial" w:hAnsi="Arial"/>
                <w:sz w:val="16"/>
                <w:szCs w:val="16"/>
                <w:b w:val="1"/>
                <w:bCs w:val="1"/>
                <w:color w:val="auto"/>
              </w:rPr>
              <w:t>Other</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76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14"/>
                <w:szCs w:val="14"/>
                <w:color w:val="auto"/>
              </w:rPr>
            </w:pPr>
          </w:p>
        </w:tc>
        <w:tc>
          <w:tcPr>
            <w:tcW w:w="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of</w:t>
            </w:r>
          </w:p>
        </w:tc>
        <w:tc>
          <w:tcPr>
            <w:tcW w:w="7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4940" w:type="dxa"/>
            <w:vAlign w:val="bottom"/>
            <w:gridSpan w:val="8"/>
          </w:tcPr>
          <w:p>
            <w:pPr>
              <w:jc w:val="right"/>
              <w:spacing w:after="0" w:line="162" w:lineRule="exact"/>
              <w:rPr>
                <w:sz w:val="20"/>
                <w:szCs w:val="20"/>
                <w:color w:val="auto"/>
              </w:rPr>
            </w:pPr>
            <w:r>
              <w:rPr>
                <w:rFonts w:ascii="Arial" w:cs="Arial" w:eastAsia="Arial" w:hAnsi="Arial"/>
                <w:sz w:val="16"/>
                <w:szCs w:val="16"/>
                <w:b w:val="1"/>
                <w:bCs w:val="1"/>
                <w:color w:val="auto"/>
              </w:rPr>
              <w:t>Additional  Retained  Treasury Comprehensive Shareholders’</w:t>
            </w:r>
          </w:p>
        </w:tc>
        <w:tc>
          <w:tcPr>
            <w:tcW w:w="140" w:type="dxa"/>
            <w:vAlign w:val="bottom"/>
          </w:tcPr>
          <w:p>
            <w:pPr>
              <w:spacing w:after="0"/>
              <w:rPr>
                <w:sz w:val="14"/>
                <w:szCs w:val="14"/>
                <w:color w:val="auto"/>
              </w:rPr>
            </w:pPr>
          </w:p>
        </w:tc>
        <w:tc>
          <w:tcPr>
            <w:tcW w:w="1080" w:type="dxa"/>
            <w:vAlign w:val="bottom"/>
          </w:tcPr>
          <w:p>
            <w:pPr>
              <w:ind w:left="40"/>
              <w:spacing w:after="0" w:line="162" w:lineRule="exact"/>
              <w:rPr>
                <w:sz w:val="20"/>
                <w:szCs w:val="20"/>
                <w:color w:val="auto"/>
              </w:rPr>
            </w:pPr>
            <w:r>
              <w:rPr>
                <w:rFonts w:ascii="Arial" w:cs="Arial" w:eastAsia="Arial" w:hAnsi="Arial"/>
                <w:sz w:val="16"/>
                <w:szCs w:val="16"/>
                <w:b w:val="1"/>
                <w:bCs w:val="1"/>
                <w:color w:val="auto"/>
              </w:rPr>
              <w:t>Interests in</w:t>
            </w: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860" w:type="dxa"/>
            <w:vAlign w:val="bottom"/>
            <w:tcBorders>
              <w:bottom w:val="single" w:sz="8" w:color="0090DA"/>
            </w:tcBorders>
          </w:tcPr>
          <w:p>
            <w:pPr>
              <w:spacing w:after="0"/>
              <w:rPr>
                <w:sz w:val="18"/>
                <w:szCs w:val="18"/>
                <w:color w:val="auto"/>
              </w:rPr>
            </w:pPr>
          </w:p>
        </w:tc>
        <w:tc>
          <w:tcPr>
            <w:tcW w:w="700" w:type="dxa"/>
            <w:vAlign w:val="bottom"/>
            <w:tcBorders>
              <w:bottom w:val="single" w:sz="8" w:color="0090DA"/>
            </w:tcBorders>
          </w:tcPr>
          <w:p>
            <w:pPr>
              <w:jc w:val="center"/>
              <w:spacing w:after="0"/>
              <w:rPr>
                <w:sz w:val="20"/>
                <w:szCs w:val="20"/>
                <w:color w:val="auto"/>
              </w:rPr>
            </w:pPr>
            <w:r>
              <w:rPr>
                <w:rFonts w:ascii="Arial" w:cs="Arial" w:eastAsia="Arial" w:hAnsi="Arial"/>
                <w:sz w:val="16"/>
                <w:szCs w:val="16"/>
                <w:b w:val="1"/>
                <w:bCs w:val="1"/>
                <w:color w:val="auto"/>
              </w:rPr>
              <w:t>Shares</w:t>
            </w:r>
          </w:p>
        </w:tc>
        <w:tc>
          <w:tcPr>
            <w:tcW w:w="760" w:type="dxa"/>
            <w:vAlign w:val="bottom"/>
            <w:tcBorders>
              <w:bottom w:val="single" w:sz="8" w:color="0090DA"/>
            </w:tcBorders>
            <w:gridSpan w:val="2"/>
            <w:vMerge w:val="continue"/>
          </w:tcPr>
          <w:p>
            <w:pPr>
              <w:spacing w:after="0"/>
              <w:rPr>
                <w:sz w:val="18"/>
                <w:szCs w:val="18"/>
                <w:color w:val="auto"/>
              </w:rPr>
            </w:pPr>
          </w:p>
        </w:tc>
        <w:tc>
          <w:tcPr>
            <w:tcW w:w="140" w:type="dxa"/>
            <w:vAlign w:val="bottom"/>
            <w:tcBorders>
              <w:bottom w:val="single" w:sz="8" w:color="0090DA"/>
            </w:tcBorders>
          </w:tcPr>
          <w:p>
            <w:pPr>
              <w:spacing w:after="0"/>
              <w:rPr>
                <w:sz w:val="18"/>
                <w:szCs w:val="18"/>
                <w:color w:val="auto"/>
              </w:rPr>
            </w:pPr>
          </w:p>
        </w:tc>
        <w:tc>
          <w:tcPr>
            <w:tcW w:w="740" w:type="dxa"/>
            <w:vAlign w:val="bottom"/>
            <w:tcBorders>
              <w:bottom w:val="single" w:sz="8" w:color="0090DA"/>
            </w:tcBorders>
          </w:tcPr>
          <w:p>
            <w:pPr>
              <w:jc w:val="right"/>
              <w:ind w:right="70"/>
              <w:spacing w:after="0"/>
              <w:rPr>
                <w:sz w:val="20"/>
                <w:szCs w:val="20"/>
                <w:color w:val="auto"/>
              </w:rPr>
            </w:pPr>
            <w:r>
              <w:rPr>
                <w:rFonts w:ascii="Arial" w:cs="Arial" w:eastAsia="Arial" w:hAnsi="Arial"/>
                <w:sz w:val="16"/>
                <w:szCs w:val="16"/>
                <w:b w:val="1"/>
                <w:bCs w:val="1"/>
                <w:color w:val="auto"/>
              </w:rPr>
              <w:t>Capital</w:t>
            </w:r>
          </w:p>
        </w:tc>
        <w:tc>
          <w:tcPr>
            <w:tcW w:w="82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780" w:type="dxa"/>
            <w:vAlign w:val="bottom"/>
            <w:tcBorders>
              <w:bottom w:val="single" w:sz="8" w:color="0090DA"/>
            </w:tcBorders>
          </w:tcPr>
          <w:p>
            <w:pPr>
              <w:jc w:val="right"/>
              <w:ind w:right="90"/>
              <w:spacing w:after="0"/>
              <w:rPr>
                <w:sz w:val="20"/>
                <w:szCs w:val="20"/>
                <w:color w:val="auto"/>
              </w:rPr>
            </w:pPr>
            <w:r>
              <w:rPr>
                <w:rFonts w:ascii="Arial" w:cs="Arial" w:eastAsia="Arial" w:hAnsi="Arial"/>
                <w:sz w:val="16"/>
                <w:szCs w:val="16"/>
                <w:b w:val="1"/>
                <w:bCs w:val="1"/>
                <w:color w:val="auto"/>
              </w:rPr>
              <w:t>Stock</w:t>
            </w:r>
          </w:p>
        </w:tc>
        <w:tc>
          <w:tcPr>
            <w:tcW w:w="1280" w:type="dxa"/>
            <w:vAlign w:val="bottom"/>
            <w:tcBorders>
              <w:bottom w:val="single" w:sz="8" w:color="0090DA"/>
            </w:tcBorders>
            <w:gridSpan w:val="2"/>
          </w:tcPr>
          <w:p>
            <w:pPr>
              <w:jc w:val="center"/>
              <w:spacing w:after="0"/>
              <w:rPr>
                <w:sz w:val="20"/>
                <w:szCs w:val="20"/>
                <w:color w:val="auto"/>
              </w:rPr>
            </w:pPr>
            <w:r>
              <w:rPr>
                <w:rFonts w:ascii="Arial" w:cs="Arial" w:eastAsia="Arial" w:hAnsi="Arial"/>
                <w:sz w:val="16"/>
                <w:szCs w:val="16"/>
                <w:b w:val="1"/>
                <w:bCs w:val="1"/>
                <w:color w:val="auto"/>
                <w:w w:val="99"/>
              </w:rPr>
              <w:t>Income (Loss)</w:t>
            </w:r>
          </w:p>
        </w:tc>
        <w:tc>
          <w:tcPr>
            <w:tcW w:w="120" w:type="dxa"/>
            <w:vAlign w:val="bottom"/>
            <w:tcBorders>
              <w:bottom w:val="single" w:sz="8" w:color="0090DA"/>
            </w:tcBorders>
          </w:tcPr>
          <w:p>
            <w:pPr>
              <w:spacing w:after="0"/>
              <w:rPr>
                <w:sz w:val="18"/>
                <w:szCs w:val="18"/>
                <w:color w:val="auto"/>
              </w:rPr>
            </w:pPr>
          </w:p>
        </w:tc>
        <w:tc>
          <w:tcPr>
            <w:tcW w:w="1060" w:type="dxa"/>
            <w:vAlign w:val="bottom"/>
            <w:tcBorders>
              <w:bottom w:val="single" w:sz="8" w:color="0090DA"/>
            </w:tcBorders>
          </w:tcPr>
          <w:p>
            <w:pPr>
              <w:jc w:val="right"/>
              <w:ind w:right="251"/>
              <w:spacing w:after="0"/>
              <w:rPr>
                <w:sz w:val="20"/>
                <w:szCs w:val="20"/>
                <w:color w:val="auto"/>
              </w:rPr>
            </w:pPr>
            <w:r>
              <w:rPr>
                <w:rFonts w:ascii="Arial" w:cs="Arial" w:eastAsia="Arial" w:hAnsi="Arial"/>
                <w:sz w:val="16"/>
                <w:szCs w:val="16"/>
                <w:b w:val="1"/>
                <w:bCs w:val="1"/>
                <w:color w:val="auto"/>
              </w:rPr>
              <w:t>Equity</w:t>
            </w:r>
          </w:p>
        </w:tc>
        <w:tc>
          <w:tcPr>
            <w:tcW w:w="140" w:type="dxa"/>
            <w:vAlign w:val="bottom"/>
            <w:tcBorders>
              <w:bottom w:val="single" w:sz="8" w:color="0090DA"/>
            </w:tcBorders>
          </w:tcPr>
          <w:p>
            <w:pPr>
              <w:spacing w:after="0"/>
              <w:rPr>
                <w:sz w:val="18"/>
                <w:szCs w:val="18"/>
                <w:color w:val="auto"/>
              </w:rPr>
            </w:pPr>
          </w:p>
        </w:tc>
        <w:tc>
          <w:tcPr>
            <w:tcW w:w="1080" w:type="dxa"/>
            <w:vAlign w:val="bottom"/>
            <w:tcBorders>
              <w:bottom w:val="single" w:sz="8" w:color="0090DA"/>
            </w:tcBorders>
          </w:tcPr>
          <w:p>
            <w:pPr>
              <w:spacing w:after="0"/>
              <w:rPr>
                <w:sz w:val="20"/>
                <w:szCs w:val="20"/>
                <w:color w:val="auto"/>
              </w:rPr>
            </w:pPr>
            <w:r>
              <w:rPr>
                <w:rFonts w:ascii="Arial" w:cs="Arial" w:eastAsia="Arial" w:hAnsi="Arial"/>
                <w:sz w:val="16"/>
                <w:szCs w:val="16"/>
                <w:b w:val="1"/>
                <w:bCs w:val="1"/>
                <w:color w:val="auto"/>
              </w:rPr>
              <w:t>Subsidiaries</w:t>
            </w:r>
          </w:p>
        </w:tc>
        <w:tc>
          <w:tcPr>
            <w:tcW w:w="760" w:type="dxa"/>
            <w:vAlign w:val="bottom"/>
            <w:tcBorders>
              <w:bottom w:val="single" w:sz="8" w:color="0090DA"/>
            </w:tcBorders>
          </w:tcPr>
          <w:p>
            <w:pPr>
              <w:jc w:val="right"/>
              <w:ind w:right="51"/>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34"/>
        </w:trPr>
        <w:tc>
          <w:tcPr>
            <w:tcW w:w="28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August 29, 2019</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1,182</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8,214</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$ 30,761</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(3,221)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35,881</w:t>
            </w:r>
          </w:p>
        </w:tc>
        <w:tc>
          <w:tcPr>
            <w:tcW w:w="1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889</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$36,770</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2,687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2,687</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760" w:type="dxa"/>
            <w:vAlign w:val="bottom"/>
          </w:tcPr>
          <w:p>
            <w:pPr>
              <w:jc w:val="right"/>
              <w:spacing w:after="0"/>
              <w:rPr>
                <w:sz w:val="20"/>
                <w:szCs w:val="20"/>
                <w:color w:val="auto"/>
              </w:rPr>
            </w:pPr>
            <w:r>
              <w:rPr>
                <w:rFonts w:ascii="Arial" w:cs="Arial" w:eastAsia="Arial" w:hAnsi="Arial"/>
                <w:sz w:val="18"/>
                <w:szCs w:val="18"/>
                <w:color w:val="auto"/>
              </w:rPr>
              <w:t>2,702</w:t>
            </w:r>
          </w:p>
        </w:tc>
        <w:tc>
          <w:tcPr>
            <w:tcW w:w="0" w:type="dxa"/>
            <w:vAlign w:val="bottom"/>
          </w:tcPr>
          <w:p>
            <w:pPr>
              <w:spacing w:after="0"/>
              <w:rPr>
                <w:sz w:val="1"/>
                <w:szCs w:val="1"/>
                <w:color w:val="auto"/>
              </w:rPr>
            </w:pPr>
          </w:p>
        </w:tc>
      </w:tr>
      <w:tr>
        <w:trPr>
          <w:trHeight w:val="162"/>
        </w:trPr>
        <w:tc>
          <w:tcPr>
            <w:tcW w:w="2860" w:type="dxa"/>
            <w:vAlign w:val="bottom"/>
            <w:shd w:val="clear" w:color="auto" w:fill="D1D2D4"/>
          </w:tcPr>
          <w:p>
            <w:pPr>
              <w:ind w:left="20"/>
              <w:spacing w:after="0" w:line="162"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4"/>
                <w:szCs w:val="14"/>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4"/>
                <w:szCs w:val="14"/>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D1D2D4"/>
          </w:tcPr>
          <w:p>
            <w:pPr>
              <w:spacing w:after="0"/>
              <w:rPr>
                <w:sz w:val="14"/>
                <w:szCs w:val="14"/>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140" w:type="dxa"/>
            <w:vAlign w:val="bottom"/>
            <w:shd w:val="clear" w:color="auto" w:fill="D1D2D4"/>
          </w:tcPr>
          <w:p>
            <w:pPr>
              <w:spacing w:after="0"/>
              <w:rPr>
                <w:sz w:val="14"/>
                <w:szCs w:val="14"/>
                <w:color w:val="auto"/>
              </w:rPr>
            </w:pPr>
          </w:p>
        </w:tc>
        <w:tc>
          <w:tcPr>
            <w:tcW w:w="108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78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Repurchase of stock - repurchase</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14"/>
                <w:szCs w:val="14"/>
                <w:color w:val="auto"/>
              </w:rPr>
            </w:pPr>
          </w:p>
        </w:tc>
        <w:tc>
          <w:tcPr>
            <w:tcW w:w="108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program</w:t>
            </w: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D1D2D4"/>
          </w:tcPr>
          <w:p>
            <w:pPr>
              <w:ind w:left="20"/>
              <w:spacing w:after="0" w:line="162" w:lineRule="exact"/>
              <w:rPr>
                <w:sz w:val="20"/>
                <w:szCs w:val="20"/>
                <w:color w:val="auto"/>
              </w:rPr>
            </w:pPr>
            <w:r>
              <w:rPr>
                <w:rFonts w:ascii="Arial" w:cs="Arial" w:eastAsia="Arial" w:hAnsi="Arial"/>
                <w:sz w:val="16"/>
                <w:szCs w:val="16"/>
                <w:color w:val="auto"/>
              </w:rPr>
              <w:t>Repurchase of stock - withholdings on</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1D2D4"/>
          </w:tcPr>
          <w:p>
            <w:pPr>
              <w:spacing w:after="0"/>
              <w:rPr>
                <w:sz w:val="14"/>
                <w:szCs w:val="14"/>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4"/>
                <w:szCs w:val="14"/>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(64)</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D1D2D4"/>
          </w:tcPr>
          <w:p>
            <w:pPr>
              <w:spacing w:after="0"/>
              <w:rPr>
                <w:sz w:val="14"/>
                <w:szCs w:val="14"/>
                <w:color w:val="auto"/>
              </w:rPr>
            </w:pPr>
          </w:p>
        </w:tc>
        <w:tc>
          <w:tcPr>
            <w:tcW w:w="108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employee equity awards</w:t>
            </w:r>
          </w:p>
        </w:tc>
        <w:tc>
          <w:tcPr>
            <w:tcW w:w="70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78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Settlement of capped calls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Acquisitions of noncontrolling interest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ind w:left="640"/>
              <w:spacing w:after="0"/>
              <w:rPr>
                <w:sz w:val="20"/>
                <w:szCs w:val="20"/>
                <w:color w:val="auto"/>
              </w:rPr>
            </w:pPr>
            <w:r>
              <w:rPr>
                <w:rFonts w:ascii="Arial" w:cs="Arial" w:eastAsia="Arial" w:hAnsi="Arial"/>
                <w:sz w:val="18"/>
                <w:szCs w:val="18"/>
                <w:color w:val="auto"/>
                <w:w w:val="99"/>
              </w:rPr>
              <w:t>(904)</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29"/>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Cash settlement of convertible notes</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3, 2020</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1,194</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8,917</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$ 33,384</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(3,495)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38,996</w:t>
            </w:r>
          </w:p>
        </w:tc>
        <w:tc>
          <w:tcPr>
            <w:tcW w:w="1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D1D2D4"/>
          </w:tcPr>
          <w:p>
            <w:pPr>
              <w:ind w:left="820"/>
              <w:spacing w:after="0"/>
              <w:rPr>
                <w:sz w:val="20"/>
                <w:szCs w:val="20"/>
                <w:color w:val="auto"/>
              </w:rPr>
            </w:pPr>
            <w:r>
              <w:rPr>
                <w:rFonts w:ascii="Arial" w:cs="Arial" w:eastAsia="Arial" w:hAnsi="Arial"/>
                <w:sz w:val="18"/>
                <w:szCs w:val="18"/>
                <w:color w:val="auto"/>
              </w:rPr>
              <w:t>— $38,996</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5,861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5,861</w:t>
            </w:r>
          </w:p>
        </w:tc>
        <w:tc>
          <w:tcPr>
            <w:tcW w:w="1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162"/>
        </w:trPr>
        <w:tc>
          <w:tcPr>
            <w:tcW w:w="2860" w:type="dxa"/>
            <w:vAlign w:val="bottom"/>
            <w:shd w:val="clear" w:color="auto" w:fill="D1D2D4"/>
          </w:tcPr>
          <w:p>
            <w:pPr>
              <w:ind w:left="20"/>
              <w:spacing w:after="0" w:line="162"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4"/>
                <w:szCs w:val="14"/>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4"/>
                <w:szCs w:val="14"/>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D1D2D4"/>
          </w:tcPr>
          <w:p>
            <w:pPr>
              <w:spacing w:after="0"/>
              <w:rPr>
                <w:sz w:val="14"/>
                <w:szCs w:val="14"/>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140" w:type="dxa"/>
            <w:vAlign w:val="bottom"/>
            <w:shd w:val="clear" w:color="auto" w:fill="D1D2D4"/>
          </w:tcPr>
          <w:p>
            <w:pPr>
              <w:spacing w:after="0"/>
              <w:rPr>
                <w:sz w:val="14"/>
                <w:szCs w:val="14"/>
                <w:color w:val="auto"/>
              </w:rPr>
            </w:pPr>
          </w:p>
        </w:tc>
        <w:tc>
          <w:tcPr>
            <w:tcW w:w="108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78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w:t>
            </w:r>
          </w:p>
        </w:tc>
        <w:tc>
          <w:tcPr>
            <w:tcW w:w="1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Repurchase of stock - repurchase</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(1,200)</w:t>
            </w:r>
          </w:p>
        </w:tc>
        <w:tc>
          <w:tcPr>
            <w:tcW w:w="140" w:type="dxa"/>
            <w:vAlign w:val="bottom"/>
          </w:tcPr>
          <w:p>
            <w:pPr>
              <w:spacing w:after="0"/>
              <w:rPr>
                <w:sz w:val="14"/>
                <w:szCs w:val="14"/>
                <w:color w:val="auto"/>
              </w:rPr>
            </w:pPr>
          </w:p>
        </w:tc>
        <w:tc>
          <w:tcPr>
            <w:tcW w:w="108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program</w:t>
            </w: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D1D2D4"/>
          </w:tcPr>
          <w:p>
            <w:pPr>
              <w:ind w:left="20"/>
              <w:spacing w:after="0" w:line="162" w:lineRule="exact"/>
              <w:rPr>
                <w:sz w:val="20"/>
                <w:szCs w:val="20"/>
                <w:color w:val="auto"/>
              </w:rPr>
            </w:pPr>
            <w:r>
              <w:rPr>
                <w:rFonts w:ascii="Arial" w:cs="Arial" w:eastAsia="Arial" w:hAnsi="Arial"/>
                <w:sz w:val="16"/>
                <w:szCs w:val="16"/>
                <w:color w:val="auto"/>
              </w:rPr>
              <w:t>Repurchase of stock - withholdings on</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1D2D4"/>
          </w:tcPr>
          <w:p>
            <w:pPr>
              <w:spacing w:after="0"/>
              <w:rPr>
                <w:sz w:val="14"/>
                <w:szCs w:val="14"/>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4"/>
                <w:szCs w:val="14"/>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780" w:type="dxa"/>
            <w:vAlign w:val="bottom"/>
            <w:shd w:val="clear" w:color="auto" w:fill="D1D2D4"/>
          </w:tcPr>
          <w:p>
            <w:pPr>
              <w:spacing w:after="0"/>
              <w:rPr>
                <w:sz w:val="14"/>
                <w:szCs w:val="14"/>
                <w:color w:val="auto"/>
              </w:rPr>
            </w:pPr>
          </w:p>
        </w:tc>
        <w:tc>
          <w:tcPr>
            <w:tcW w:w="120" w:type="dxa"/>
            <w:vAlign w:val="bottom"/>
            <w:shd w:val="clear" w:color="auto" w:fill="D1D2D4"/>
          </w:tcPr>
          <w:p>
            <w:pPr>
              <w:spacing w:after="0"/>
              <w:rPr>
                <w:sz w:val="14"/>
                <w:szCs w:val="14"/>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D1D2D4"/>
          </w:tcPr>
          <w:p>
            <w:pPr>
              <w:spacing w:after="0"/>
              <w:rPr>
                <w:sz w:val="14"/>
                <w:szCs w:val="14"/>
                <w:color w:val="auto"/>
              </w:rPr>
            </w:pPr>
          </w:p>
        </w:tc>
        <w:tc>
          <w:tcPr>
            <w:tcW w:w="108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employee equity awards</w:t>
            </w:r>
          </w:p>
        </w:tc>
        <w:tc>
          <w:tcPr>
            <w:tcW w:w="70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78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for convertible notes</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settlement of convertible notes</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Dividends and dividend equivalents</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140" w:type="dxa"/>
            <w:vAlign w:val="bottom"/>
          </w:tcPr>
          <w:p>
            <w:pPr>
              <w:spacing w:after="0"/>
              <w:rPr>
                <w:sz w:val="14"/>
                <w:szCs w:val="14"/>
                <w:color w:val="auto"/>
              </w:rPr>
            </w:pPr>
          </w:p>
        </w:tc>
        <w:tc>
          <w:tcPr>
            <w:tcW w:w="108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declared ($0.10 per share)</w:t>
            </w:r>
          </w:p>
        </w:tc>
        <w:tc>
          <w:tcPr>
            <w:tcW w:w="7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2, 2021</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1,216</w:t>
            </w:r>
          </w:p>
        </w:tc>
        <w:tc>
          <w:tcPr>
            <w:tcW w:w="240" w:type="dxa"/>
            <w:vAlign w:val="bottom"/>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122</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9,453</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$ 39,051</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(4,695)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43,933</w:t>
            </w:r>
          </w:p>
        </w:tc>
        <w:tc>
          <w:tcPr>
            <w:tcW w:w="140" w:type="dxa"/>
            <w:vAlign w:val="bottom"/>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gridSpan w:val="2"/>
            <w:shd w:val="clear" w:color="auto" w:fill="D1D2D4"/>
          </w:tcPr>
          <w:p>
            <w:pPr>
              <w:ind w:left="820"/>
              <w:spacing w:after="0"/>
              <w:rPr>
                <w:sz w:val="20"/>
                <w:szCs w:val="20"/>
                <w:color w:val="auto"/>
              </w:rPr>
            </w:pPr>
            <w:r>
              <w:rPr>
                <w:rFonts w:ascii="Arial" w:cs="Arial" w:eastAsia="Arial" w:hAnsi="Arial"/>
                <w:sz w:val="18"/>
                <w:szCs w:val="18"/>
                <w:color w:val="auto"/>
              </w:rPr>
              <w:t>— $43,933</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8,687</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8,687</w:t>
            </w:r>
          </w:p>
        </w:tc>
        <w:tc>
          <w:tcPr>
            <w:tcW w:w="1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8,687</w:t>
            </w:r>
          </w:p>
        </w:tc>
        <w:tc>
          <w:tcPr>
            <w:tcW w:w="0" w:type="dxa"/>
            <w:vAlign w:val="bottom"/>
          </w:tcPr>
          <w:p>
            <w:pPr>
              <w:spacing w:after="0"/>
              <w:rPr>
                <w:sz w:val="1"/>
                <w:szCs w:val="1"/>
                <w:color w:val="auto"/>
              </w:rPr>
            </w:pPr>
          </w:p>
        </w:tc>
      </w:tr>
      <w:tr>
        <w:trPr>
          <w:trHeight w:val="162"/>
        </w:trPr>
        <w:tc>
          <w:tcPr>
            <w:tcW w:w="2860" w:type="dxa"/>
            <w:vAlign w:val="bottom"/>
            <w:shd w:val="clear" w:color="auto" w:fill="D1D2D4"/>
          </w:tcPr>
          <w:p>
            <w:pPr>
              <w:ind w:left="20"/>
              <w:spacing w:after="0" w:line="162" w:lineRule="exact"/>
              <w:rPr>
                <w:sz w:val="20"/>
                <w:szCs w:val="20"/>
                <w:color w:val="auto"/>
              </w:rPr>
            </w:pPr>
            <w:r>
              <w:rPr>
                <w:rFonts w:ascii="Arial" w:cs="Arial" w:eastAsia="Arial" w:hAnsi="Arial"/>
                <w:sz w:val="16"/>
                <w:szCs w:val="16"/>
                <w:color w:val="auto"/>
              </w:rPr>
              <w:t>Other comprehensive income (loss),</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4"/>
                <w:szCs w:val="14"/>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4"/>
                <w:szCs w:val="14"/>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D1D2D4"/>
          </w:tcPr>
          <w:p>
            <w:pPr>
              <w:spacing w:after="0"/>
              <w:rPr>
                <w:sz w:val="14"/>
                <w:szCs w:val="14"/>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D1D2D4"/>
          </w:tcPr>
          <w:p>
            <w:pPr>
              <w:spacing w:after="0"/>
              <w:rPr>
                <w:sz w:val="14"/>
                <w:szCs w:val="14"/>
                <w:color w:val="auto"/>
              </w:rPr>
            </w:pPr>
          </w:p>
        </w:tc>
        <w:tc>
          <w:tcPr>
            <w:tcW w:w="108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70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78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Arial" w:cs="Arial" w:eastAsia="Arial" w:hAnsi="Arial"/>
                <w:sz w:val="16"/>
                <w:szCs w:val="16"/>
                <w:color w:val="auto"/>
              </w:rPr>
              <w:t>Stock issued under stock plans</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19"/>
                <w:szCs w:val="19"/>
                <w:color w:val="auto"/>
              </w:rPr>
            </w:pPr>
          </w:p>
        </w:tc>
        <w:tc>
          <w:tcPr>
            <w:tcW w:w="1080" w:type="dxa"/>
            <w:vAlign w:val="bottom"/>
          </w:tcPr>
          <w:p>
            <w:pPr>
              <w:ind w:left="8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9"/>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D1D2D4"/>
          </w:tcPr>
          <w:p>
            <w:pPr>
              <w:spacing w:after="0"/>
              <w:rPr>
                <w:sz w:val="19"/>
                <w:szCs w:val="19"/>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D1D2D4"/>
          </w:tcPr>
          <w:p>
            <w:pPr>
              <w:spacing w:after="0"/>
              <w:rPr>
                <w:sz w:val="19"/>
                <w:szCs w:val="19"/>
                <w:color w:val="auto"/>
              </w:rPr>
            </w:pPr>
          </w:p>
        </w:tc>
        <w:tc>
          <w:tcPr>
            <w:tcW w:w="1080" w:type="dxa"/>
            <w:vAlign w:val="bottom"/>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Repurchase of stock - repurchase</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14"/>
                <w:szCs w:val="14"/>
                <w:color w:val="auto"/>
              </w:rPr>
            </w:pPr>
          </w:p>
        </w:tc>
        <w:tc>
          <w:tcPr>
            <w:tcW w:w="108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6"/>
                <w:szCs w:val="16"/>
                <w:color w:val="auto"/>
              </w:rPr>
              <w:t>program</w:t>
            </w:r>
          </w:p>
        </w:tc>
        <w:tc>
          <w:tcPr>
            <w:tcW w:w="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60" w:type="dxa"/>
            <w:vAlign w:val="bottom"/>
            <w:shd w:val="clear" w:color="auto" w:fill="D1D2D4"/>
          </w:tcPr>
          <w:p>
            <w:pPr>
              <w:ind w:left="20"/>
              <w:spacing w:after="0" w:line="162" w:lineRule="exact"/>
              <w:rPr>
                <w:sz w:val="20"/>
                <w:szCs w:val="20"/>
                <w:color w:val="auto"/>
              </w:rPr>
            </w:pPr>
            <w:r>
              <w:rPr>
                <w:rFonts w:ascii="Arial" w:cs="Arial" w:eastAsia="Arial" w:hAnsi="Arial"/>
                <w:sz w:val="16"/>
                <w:szCs w:val="16"/>
                <w:color w:val="auto"/>
              </w:rPr>
              <w:t>Repurchase of stock - withholdings on</w:t>
            </w: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D1D2D4"/>
          </w:tcPr>
          <w:p>
            <w:pPr>
              <w:spacing w:after="0"/>
              <w:rPr>
                <w:sz w:val="14"/>
                <w:szCs w:val="14"/>
                <w:color w:val="auto"/>
              </w:rPr>
            </w:pPr>
          </w:p>
        </w:tc>
        <w:tc>
          <w:tcPr>
            <w:tcW w:w="5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4"/>
                <w:szCs w:val="14"/>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(112)</w:t>
            </w: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4"/>
                <w:szCs w:val="14"/>
                <w:color w:val="auto"/>
              </w:rPr>
            </w:pPr>
          </w:p>
        </w:tc>
        <w:tc>
          <w:tcPr>
            <w:tcW w:w="10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D1D2D4"/>
          </w:tcPr>
          <w:p>
            <w:pPr>
              <w:spacing w:after="0"/>
              <w:rPr>
                <w:sz w:val="14"/>
                <w:szCs w:val="14"/>
                <w:color w:val="auto"/>
              </w:rPr>
            </w:pPr>
          </w:p>
        </w:tc>
        <w:tc>
          <w:tcPr>
            <w:tcW w:w="1080" w:type="dxa"/>
            <w:vAlign w:val="bottom"/>
            <w:vMerge w:val="restart"/>
            <w:shd w:val="clear" w:color="auto" w:fill="D1D2D4"/>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8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employee equity awards</w:t>
            </w:r>
          </w:p>
        </w:tc>
        <w:tc>
          <w:tcPr>
            <w:tcW w:w="70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52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vMerge w:val="continue"/>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78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16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0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080" w:type="dxa"/>
            <w:vAlign w:val="bottom"/>
            <w:vMerge w:val="continue"/>
            <w:shd w:val="clear" w:color="auto" w:fill="D1D2D4"/>
          </w:tcPr>
          <w:p>
            <w:pPr>
              <w:spacing w:after="0"/>
              <w:rPr>
                <w:sz w:val="18"/>
                <w:szCs w:val="18"/>
                <w:color w:val="auto"/>
              </w:rPr>
            </w:pPr>
          </w:p>
        </w:tc>
        <w:tc>
          <w:tcPr>
            <w:tcW w:w="76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860" w:type="dxa"/>
            <w:vAlign w:val="bottom"/>
          </w:tcPr>
          <w:p>
            <w:pPr>
              <w:ind w:left="20"/>
              <w:spacing w:after="0" w:line="162" w:lineRule="exact"/>
              <w:rPr>
                <w:sz w:val="20"/>
                <w:szCs w:val="20"/>
                <w:color w:val="auto"/>
              </w:rPr>
            </w:pPr>
            <w:r>
              <w:rPr>
                <w:rFonts w:ascii="Arial" w:cs="Arial" w:eastAsia="Arial" w:hAnsi="Arial"/>
                <w:sz w:val="16"/>
                <w:szCs w:val="16"/>
                <w:color w:val="auto"/>
              </w:rPr>
              <w:t>Dividends and dividend equivalents</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4"/>
                <w:szCs w:val="14"/>
                <w:color w:val="auto"/>
              </w:rPr>
            </w:pPr>
          </w:p>
        </w:tc>
        <w:tc>
          <w:tcPr>
            <w:tcW w:w="1080" w:type="dxa"/>
            <w:vAlign w:val="bottom"/>
            <w:vMerge w:val="restart"/>
          </w:tcPr>
          <w:p>
            <w:pPr>
              <w:ind w:left="82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declared ($0.315 per share)</w:t>
            </w:r>
          </w:p>
        </w:tc>
        <w:tc>
          <w:tcPr>
            <w:tcW w:w="70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at September 1, 2022</w:t>
            </w: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1,226</w:t>
            </w:r>
          </w:p>
        </w:tc>
        <w:tc>
          <w:tcPr>
            <w:tcW w:w="240" w:type="dxa"/>
            <w:vAlign w:val="bottom"/>
            <w:tcBorders>
              <w:bottom w:val="single" w:sz="8" w:color="auto"/>
            </w:tcBorders>
            <w:shd w:val="clear" w:color="auto" w:fill="D1D2D4"/>
          </w:tcPr>
          <w:p>
            <w:pPr>
              <w:jc w:val="right"/>
              <w:ind w:right="32"/>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10,197</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$ 47,274</w:t>
            </w:r>
          </w:p>
        </w:tc>
        <w:tc>
          <w:tcPr>
            <w:tcW w:w="7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 (7,127)</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(560)</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49,907</w:t>
            </w:r>
          </w:p>
        </w:tc>
        <w:tc>
          <w:tcPr>
            <w:tcW w:w="140" w:type="dxa"/>
            <w:vAlign w:val="bottom"/>
            <w:tcBorders>
              <w:bottom w:val="single" w:sz="8" w:color="auto"/>
            </w:tcBorders>
            <w:shd w:val="clear" w:color="auto" w:fill="D1D2D4"/>
          </w:tcPr>
          <w:p>
            <w:pPr>
              <w:ind w:left="2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gridSpan w:val="2"/>
            <w:shd w:val="clear" w:color="auto" w:fill="D1D2D4"/>
          </w:tcPr>
          <w:p>
            <w:pPr>
              <w:ind w:left="820"/>
              <w:spacing w:after="0"/>
              <w:rPr>
                <w:sz w:val="20"/>
                <w:szCs w:val="20"/>
                <w:color w:val="auto"/>
              </w:rPr>
            </w:pPr>
            <w:r>
              <w:rPr>
                <w:rFonts w:ascii="Arial" w:cs="Arial" w:eastAsia="Arial" w:hAnsi="Arial"/>
                <w:sz w:val="18"/>
                <w:szCs w:val="18"/>
                <w:color w:val="auto"/>
              </w:rPr>
              <w:t>— $49,907</w:t>
            </w:r>
          </w:p>
        </w:tc>
        <w:tc>
          <w:tcPr>
            <w:tcW w:w="0" w:type="dxa"/>
            <w:vAlign w:val="bottom"/>
          </w:tcPr>
          <w:p>
            <w:pPr>
              <w:spacing w:after="0"/>
              <w:rPr>
                <w:sz w:val="1"/>
                <w:szCs w:val="1"/>
                <w:color w:val="auto"/>
              </w:rPr>
            </w:pPr>
          </w:p>
        </w:tc>
      </w:tr>
      <w:tr>
        <w:trPr>
          <w:trHeight w:val="20"/>
        </w:trPr>
        <w:tc>
          <w:tcPr>
            <w:tcW w:w="2860" w:type="dxa"/>
            <w:vAlign w:val="bottom"/>
            <w:tcBorders>
              <w:top w:val="single" w:sz="8" w:color="D1D2D4"/>
            </w:tcBorders>
          </w:tcPr>
          <w:p>
            <w:pPr>
              <w:spacing w:after="0" w:line="20" w:lineRule="exact"/>
              <w:rPr>
                <w:sz w:val="1"/>
                <w:szCs w:val="1"/>
                <w:color w:val="auto"/>
              </w:rPr>
            </w:pPr>
          </w:p>
        </w:tc>
        <w:tc>
          <w:tcPr>
            <w:tcW w:w="70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74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7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7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080"/>
        </w:trPr>
        <w:tc>
          <w:tcPr>
            <w:tcW w:w="690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8340" w:type="dxa"/>
            <w:vAlign w:val="bottom"/>
            <w:gridSpan w:val="3"/>
          </w:tcPr>
          <w:p>
            <w:pPr>
              <w:spacing w:after="0"/>
              <w:rPr>
                <w:sz w:val="20"/>
                <w:szCs w:val="20"/>
                <w:color w:val="auto"/>
              </w:rPr>
            </w:pPr>
            <w:r>
              <w:rPr>
                <w:rFonts w:ascii="Arial" w:cs="Arial" w:eastAsia="Arial" w:hAnsi="Arial"/>
                <w:sz w:val="40"/>
                <w:szCs w:val="40"/>
                <w:b w:val="1"/>
                <w:bCs w:val="1"/>
                <w:color w:val="auto"/>
              </w:rPr>
              <w:t>Consolidated Statements of Cash Flows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900" w:type="dxa"/>
            <w:vAlign w:val="bottom"/>
          </w:tcPr>
          <w:p>
            <w:pPr>
              <w:spacing w:after="0"/>
              <w:rPr>
                <w:sz w:val="20"/>
                <w:szCs w:val="20"/>
                <w:color w:val="auto"/>
              </w:rPr>
            </w:pPr>
            <w:r>
              <w:rPr>
                <w:rFonts w:ascii="Arial" w:cs="Arial" w:eastAsia="Arial" w:hAnsi="Arial"/>
                <w:sz w:val="18"/>
                <w:szCs w:val="18"/>
                <w:color w:val="auto"/>
              </w:rPr>
              <w:t>(In millions)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9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40" w:type="dxa"/>
            <w:vAlign w:val="bottom"/>
          </w:tcPr>
          <w:p>
            <w:pPr>
              <w:spacing w:after="0"/>
              <w:rPr>
                <w:sz w:val="17"/>
                <w:szCs w:val="17"/>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b w:val="1"/>
                <w:bCs w:val="1"/>
                <w:color w:val="auto"/>
              </w:rPr>
              <w:t>September 1,</w:t>
            </w:r>
          </w:p>
        </w:tc>
        <w:tc>
          <w:tcPr>
            <w:tcW w:w="140" w:type="dxa"/>
            <w:vAlign w:val="bottom"/>
          </w:tcPr>
          <w:p>
            <w:pPr>
              <w:spacing w:after="0"/>
              <w:rPr>
                <w:sz w:val="17"/>
                <w:szCs w:val="17"/>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b w:val="1"/>
                <w:bCs w:val="1"/>
                <w:color w:val="auto"/>
              </w:rPr>
              <w:t>September 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3,</w:t>
            </w:r>
          </w:p>
        </w:tc>
        <w:tc>
          <w:tcPr>
            <w:tcW w:w="0" w:type="dxa"/>
            <w:vAlign w:val="bottom"/>
          </w:tcPr>
          <w:p>
            <w:pPr>
              <w:spacing w:after="0"/>
              <w:rPr>
                <w:sz w:val="1"/>
                <w:szCs w:val="1"/>
                <w:color w:val="auto"/>
              </w:rPr>
            </w:pPr>
          </w:p>
        </w:tc>
      </w:tr>
      <w:tr>
        <w:trPr>
          <w:trHeight w:val="235"/>
        </w:trPr>
        <w:tc>
          <w:tcPr>
            <w:tcW w:w="6900" w:type="dxa"/>
            <w:vAlign w:val="bottom"/>
            <w:tcBorders>
              <w:bottom w:val="single" w:sz="8" w:color="0090DA"/>
            </w:tcBorders>
            <w:vMerge w:val="continue"/>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0090DA"/>
            </w:tcBorders>
          </w:tcPr>
          <w:p>
            <w:pPr>
              <w:spacing w:after="0"/>
              <w:rPr>
                <w:sz w:val="20"/>
                <w:szCs w:val="20"/>
                <w:color w:val="auto"/>
              </w:rPr>
            </w:pPr>
          </w:p>
        </w:tc>
        <w:tc>
          <w:tcPr>
            <w:tcW w:w="13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0090DA"/>
            </w:tcBorders>
          </w:tcPr>
          <w:p>
            <w:pPr>
              <w:spacing w:after="0"/>
              <w:rPr>
                <w:sz w:val="20"/>
                <w:szCs w:val="20"/>
                <w:color w:val="auto"/>
              </w:rPr>
            </w:pPr>
          </w:p>
        </w:tc>
        <w:tc>
          <w:tcPr>
            <w:tcW w:w="60" w:type="dxa"/>
            <w:vAlign w:val="bottom"/>
            <w:tcBorders>
              <w:bottom w:val="single" w:sz="8" w:color="0090DA"/>
            </w:tcBorders>
          </w:tcPr>
          <w:p>
            <w:pPr>
              <w:spacing w:after="0"/>
              <w:rPr>
                <w:sz w:val="20"/>
                <w:szCs w:val="20"/>
                <w:color w:val="auto"/>
              </w:rPr>
            </w:pPr>
          </w:p>
        </w:tc>
        <w:tc>
          <w:tcPr>
            <w:tcW w:w="130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8,687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5,861</w:t>
            </w: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7,116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6,214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378</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900" w:type="dxa"/>
            <w:vAlign w:val="bottom"/>
          </w:tcPr>
          <w:p>
            <w:pPr>
              <w:ind w:left="220"/>
              <w:spacing w:after="0"/>
              <w:rPr>
                <w:sz w:val="20"/>
                <w:szCs w:val="20"/>
                <w:color w:val="auto"/>
              </w:rPr>
            </w:pPr>
            <w:r>
              <w:rPr>
                <w:rFonts w:ascii="Arial" w:cs="Arial" w:eastAsia="Arial" w:hAnsi="Arial"/>
                <w:sz w:val="18"/>
                <w:szCs w:val="18"/>
                <w:color w:val="auto"/>
              </w:rPr>
              <w:t>(Gain) loss on debt repurchases and conversions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40"/>
              <w:spacing w:after="0"/>
              <w:rPr>
                <w:sz w:val="20"/>
                <w:szCs w:val="20"/>
                <w:color w:val="auto"/>
              </w:rPr>
            </w:pPr>
            <w:r>
              <w:rPr>
                <w:rFonts w:ascii="Arial" w:cs="Arial" w:eastAsia="Arial" w:hAnsi="Arial"/>
                <w:sz w:val="18"/>
                <w:szCs w:val="18"/>
                <w:color w:val="auto"/>
              </w:rPr>
              <w:t>Restructure and asset impairments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454</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6900" w:type="dxa"/>
            <w:vAlign w:val="bottom"/>
          </w:tcPr>
          <w:p>
            <w:pPr>
              <w:ind w:left="240"/>
              <w:spacing w:after="0"/>
              <w:rPr>
                <w:sz w:val="20"/>
                <w:szCs w:val="20"/>
                <w:color w:val="auto"/>
              </w:rPr>
            </w:pPr>
            <w:r>
              <w:rPr>
                <w:rFonts w:ascii="Arial" w:cs="Arial" w:eastAsia="Arial" w:hAnsi="Arial"/>
                <w:sz w:val="18"/>
                <w:szCs w:val="18"/>
                <w:color w:val="auto"/>
              </w:rPr>
              <w:t>Change in operating assets and liabilities: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(1,446)</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(2,179)</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15,181</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12,468</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(12,067)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(10,030)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(8,223)</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(1,770)</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(3,163)</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(1,857)</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Proceeds from maturities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sale of Lehi, Utah fab</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Proceeds from sales of available-for-sale securities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government incentives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(11,585)</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(10,589)</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(7,589)</w:t>
            </w:r>
          </w:p>
        </w:tc>
        <w:tc>
          <w:tcPr>
            <w:tcW w:w="0" w:type="dxa"/>
            <w:vAlign w:val="bottom"/>
          </w:tcPr>
          <w:p>
            <w:pPr>
              <w:spacing w:after="0"/>
              <w:rPr>
                <w:sz w:val="1"/>
                <w:szCs w:val="1"/>
                <w:color w:val="auto"/>
              </w:rPr>
            </w:pPr>
          </w:p>
        </w:tc>
      </w:tr>
      <w:tr>
        <w:trPr>
          <w:trHeight w:val="196"/>
        </w:trPr>
        <w:tc>
          <w:tcPr>
            <w:tcW w:w="6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Repurchases of common stock - repurchase program</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(2,432)</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Repayments of debt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(2,032)</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(4,366)</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Payments of dividends to shareholders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(141)</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Repurchases of common stock - withholdings on employee equity awards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Acquisition of noncontrolling interest in IMFT</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Proceeds from issuance of debt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140</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w:t>
            </w: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196"/>
        </w:trPr>
        <w:tc>
          <w:tcPr>
            <w:tcW w:w="690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140" w:type="dxa"/>
            <w:vAlign w:val="bottom"/>
            <w:shd w:val="clear" w:color="auto" w:fill="D1D2D4"/>
          </w:tcPr>
          <w:p>
            <w:pPr>
              <w:spacing w:after="0"/>
              <w:rPr>
                <w:sz w:val="17"/>
                <w:szCs w:val="17"/>
                <w:color w:val="auto"/>
              </w:rPr>
            </w:pPr>
          </w:p>
        </w:tc>
        <w:tc>
          <w:tcPr>
            <w:tcW w:w="1320" w:type="dxa"/>
            <w:vAlign w:val="bottom"/>
            <w:shd w:val="clear" w:color="auto" w:fill="D1D2D4"/>
          </w:tcPr>
          <w:p>
            <w:pPr>
              <w:spacing w:after="0"/>
              <w:rPr>
                <w:sz w:val="17"/>
                <w:szCs w:val="17"/>
                <w:color w:val="auto"/>
              </w:rPr>
            </w:pPr>
          </w:p>
        </w:tc>
        <w:tc>
          <w:tcPr>
            <w:tcW w:w="80" w:type="dxa"/>
            <w:vAlign w:val="bottom"/>
            <w:shd w:val="clear" w:color="auto" w:fill="D1D2D4"/>
          </w:tcPr>
          <w:p>
            <w:pPr>
              <w:spacing w:after="0"/>
              <w:rPr>
                <w:sz w:val="17"/>
                <w:szCs w:val="17"/>
                <w:color w:val="auto"/>
              </w:rPr>
            </w:pPr>
          </w:p>
        </w:tc>
        <w:tc>
          <w:tcPr>
            <w:tcW w:w="60" w:type="dxa"/>
            <w:vAlign w:val="bottom"/>
            <w:shd w:val="clear" w:color="auto" w:fill="D1D2D4"/>
          </w:tcPr>
          <w:p>
            <w:pPr>
              <w:spacing w:after="0"/>
              <w:rPr>
                <w:sz w:val="17"/>
                <w:szCs w:val="17"/>
                <w:color w:val="auto"/>
              </w:rPr>
            </w:pPr>
          </w:p>
        </w:tc>
        <w:tc>
          <w:tcPr>
            <w:tcW w:w="130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900" w:type="dxa"/>
            <w:vAlign w:val="bottom"/>
          </w:tcPr>
          <w:p>
            <w:pPr>
              <w:ind w:left="20"/>
              <w:spacing w:after="0" w:line="183" w:lineRule="exact"/>
              <w:rPr>
                <w:sz w:val="20"/>
                <w:szCs w:val="20"/>
                <w:color w:val="auto"/>
              </w:rPr>
            </w:pPr>
            <w:r>
              <w:rPr>
                <w:rFonts w:ascii="Arial" w:cs="Arial" w:eastAsia="Arial" w:hAnsi="Arial"/>
                <w:sz w:val="18"/>
                <w:szCs w:val="18"/>
                <w:color w:val="auto"/>
              </w:rPr>
              <w:t>Effect of changes in currency exchange rates on cash, cash equivalents, and</w:t>
            </w:r>
          </w:p>
        </w:tc>
        <w:tc>
          <w:tcPr>
            <w:tcW w:w="14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690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3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32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60" w:type="dxa"/>
            <w:vAlign w:val="bottom"/>
            <w:shd w:val="clear" w:color="auto" w:fill="D1D2D4"/>
          </w:tcPr>
          <w:p>
            <w:pPr>
              <w:spacing w:after="0"/>
              <w:rPr>
                <w:sz w:val="18"/>
                <w:szCs w:val="18"/>
                <w:color w:val="auto"/>
              </w:rPr>
            </w:pPr>
          </w:p>
        </w:tc>
        <w:tc>
          <w:tcPr>
            <w:tcW w:w="130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7,829</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7,690</w:t>
            </w:r>
          </w:p>
        </w:tc>
        <w:tc>
          <w:tcPr>
            <w:tcW w:w="80" w:type="dxa"/>
            <w:vAlign w:val="bottom"/>
            <w:tcBorders>
              <w:bottom w:val="single" w:sz="8" w:color="auto"/>
            </w:tcBorders>
            <w:shd w:val="clear" w:color="auto" w:fill="D1D2D4"/>
          </w:tcPr>
          <w:p>
            <w:pPr>
              <w:spacing w:after="0"/>
              <w:rPr>
                <w:sz w:val="19"/>
                <w:szCs w:val="19"/>
                <w:color w:val="auto"/>
              </w:rPr>
            </w:pPr>
          </w:p>
        </w:tc>
        <w:tc>
          <w:tcPr>
            <w:tcW w:w="6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23"/>
        </w:trPr>
        <w:tc>
          <w:tcPr>
            <w:tcW w:w="69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w:t>
            </w:r>
          </w:p>
        </w:tc>
        <w:tc>
          <w:tcPr>
            <w:tcW w:w="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7,690</w:t>
            </w:r>
          </w:p>
        </w:tc>
        <w:tc>
          <w:tcPr>
            <w:tcW w:w="0" w:type="dxa"/>
            <w:vAlign w:val="bottom"/>
          </w:tcPr>
          <w:p>
            <w:pPr>
              <w:spacing w:after="0"/>
              <w:rPr>
                <w:sz w:val="1"/>
                <w:szCs w:val="1"/>
                <w:color w:val="auto"/>
              </w:rPr>
            </w:pP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0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30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1320" w:type="dxa"/>
            <w:vAlign w:val="bottom"/>
            <w:shd w:val="clear" w:color="auto" w:fill="D1D2D4"/>
          </w:tcPr>
          <w:p>
            <w:pPr>
              <w:spacing w:after="0"/>
              <w:rPr>
                <w:sz w:val="15"/>
                <w:szCs w:val="15"/>
                <w:color w:val="auto"/>
              </w:rPr>
            </w:pPr>
          </w:p>
        </w:tc>
        <w:tc>
          <w:tcPr>
            <w:tcW w:w="80" w:type="dxa"/>
            <w:vAlign w:val="bottom"/>
            <w:shd w:val="clear" w:color="auto" w:fill="D1D2D4"/>
          </w:tcPr>
          <w:p>
            <w:pPr>
              <w:spacing w:after="0"/>
              <w:rPr>
                <w:sz w:val="15"/>
                <w:szCs w:val="15"/>
                <w:color w:val="auto"/>
              </w:rPr>
            </w:pPr>
          </w:p>
        </w:tc>
        <w:tc>
          <w:tcPr>
            <w:tcW w:w="60" w:type="dxa"/>
            <w:vAlign w:val="bottom"/>
            <w:shd w:val="clear" w:color="auto" w:fill="D1D2D4"/>
          </w:tcPr>
          <w:p>
            <w:pPr>
              <w:spacing w:after="0"/>
              <w:rPr>
                <w:sz w:val="15"/>
                <w:szCs w:val="15"/>
                <w:color w:val="auto"/>
              </w:rPr>
            </w:pPr>
          </w:p>
        </w:tc>
        <w:tc>
          <w:tcPr>
            <w:tcW w:w="130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disclosures</w:t>
            </w: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taxes paid, net</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(361)</w:t>
            </w:r>
          </w:p>
        </w:tc>
        <w:tc>
          <w:tcPr>
            <w:tcW w:w="14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Interest paid, net of amounts capitalized</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(154)</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Noncash equipment acquisitions on contracts payable</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289</w:t>
            </w:r>
          </w:p>
        </w:tc>
        <w:tc>
          <w:tcPr>
            <w:tcW w:w="80" w:type="dxa"/>
            <w:vAlign w:val="bottom"/>
            <w:shd w:val="clear" w:color="auto" w:fill="D1D2D4"/>
          </w:tcPr>
          <w:p>
            <w:pPr>
              <w:spacing w:after="0"/>
              <w:rPr>
                <w:sz w:val="19"/>
                <w:szCs w:val="19"/>
                <w:color w:val="auto"/>
              </w:rPr>
            </w:pPr>
          </w:p>
        </w:tc>
        <w:tc>
          <w:tcPr>
            <w:tcW w:w="6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bl>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NOTES TO CONSOLIDATED FINANCIAL STATEMENTS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millions, except per share amounts)</w:t>
      </w:r>
    </w:p>
    <w:p>
      <w:pPr>
        <w:spacing w:after="0" w:line="23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Significant Accounting Policies</w:t>
      </w: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Basis of Presentation</w:t>
      </w:r>
    </w:p>
    <w:p>
      <w:pPr>
        <w:spacing w:after="0" w:line="2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and 5G applications that unleash opportunities — from the data center to the intelligent edge and across the client and mobile user experience.</w:t>
      </w:r>
    </w:p>
    <w:p>
      <w:pPr>
        <w:spacing w:after="0" w:line="20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Micron Technology, Inc. and our consolidated subsidiaries and have been prepared in accordance with accounting principles generally accepted in the United States of America. Intercompany balances and transactions have been eliminated in consolidation. Certain reclassifications have been made to prior period amounts to conform to current period presentation. See</w:t>
      </w:r>
    </w:p>
    <w:p>
      <w:pPr>
        <w:spacing w:after="0" w:line="2" w:lineRule="exact"/>
        <w:rPr>
          <w:sz w:val="20"/>
          <w:szCs w:val="20"/>
          <w:color w:val="auto"/>
        </w:rPr>
      </w:pPr>
    </w:p>
    <w:p>
      <w:pPr>
        <w:ind w:right="2560"/>
        <w:spacing w:after="0" w:line="266" w:lineRule="auto"/>
        <w:rPr>
          <w:sz w:val="20"/>
          <w:szCs w:val="20"/>
          <w:color w:val="auto"/>
        </w:rPr>
      </w:pPr>
      <w:r>
        <w:rPr>
          <w:rFonts w:ascii="Arial" w:cs="Arial" w:eastAsia="Arial" w:hAnsi="Arial"/>
          <w:sz w:val="18"/>
          <w:szCs w:val="18"/>
          <w:color w:val="auto"/>
        </w:rPr>
        <w:t>“Inventories” below for changes to our significant accounting policies, and the “Inventories” note for additional information.</w:t>
      </w:r>
    </w:p>
    <w:p>
      <w:pPr>
        <w:spacing w:after="0" w:line="19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Our fiscal year is the 52 or 53-week period ending on the Thursday closest to August 31. Fiscal 2022 and 2021 each contained 52 weeks and fiscal 2020 contained 53 weeks. Our fourth quarter of fiscal 2020 contained 14 weeks and all other fiscal quarters in the years presented contained 13 weeks. All period references are to our fiscal periods unless otherwise indicated.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and Hedging Instruments</w:t>
      </w:r>
    </w:p>
    <w:p>
      <w:pPr>
        <w:spacing w:after="0" w:line="24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use derivative instruments to manage our exposure to changes in currency exchange rates from (1) our monetary assets and liabilities denominated in currencies other than the U.S. dollar and (2) forecasted cash flows for certain capital expenditures and manufacturing costs. We also use derivative instruments to manage our exposure to changes in commodity prices for manufacturing supplies and to minimize certain exposures to changes in the fair value of fixed-rate debt that result from fluctuations in benchmark interest rates. Derivative instruments are measured at their fair values and recognized as either assets or liabilities.</w:t>
      </w:r>
    </w:p>
    <w:p>
      <w:pPr>
        <w:spacing w:after="0" w:line="20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accounting for changes in the fair value of derivative instruments is based on the intended use of the derivative and the resulting designation. For derivative instruments that are not designated for hedge accounting, gains or losses from changes in fair values are recognized in other non-operating income (expense). For derivative instruments designated as cash flow hedges, gains or losses are included as a component of accumulated other comprehensive income and reclassified into earnings in the same line items and in the same periods in which the underlying transactions affect earnings. For derivative instruments designated as cash flow hedges, time value is excluded from the assessment of effectiveness and the gains and losses attributable to time value are recognized in earnings. For derivative instruments designated as fair value hedges, changes in the fair values of the derivative instruments and the offsetting changes in the fair values of the underlying hedged items are both recognized in earnings.</w:t>
      </w:r>
    </w:p>
    <w:p>
      <w:pPr>
        <w:spacing w:after="0" w:line="21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enter into master netting arrangements with our counterparties to mitigate credit risk in derivative hedge transactions. These master netting arrangements allow us and our counterparties to net settle amounts owed to each other. Derivative assets and liabilities that can be net settled with each counterparty have been presented in our consolidated balance sheet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59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Financial Instruments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Cash equivalents include highly liquid short-term investments with original maturities to us of three months or less that are readily convertible to known amounts of cash. Other investments with remaining maturities of less than one year are included in short-term investments. Investments with remaining maturities greater than one year are included in long-term marketable investments. The carrying value of investment securities sold is determined using the specific identification method.</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Functional Currency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U.S. dollar is the functional currency for us and all of our consolidated subsidiaries.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Goodwill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perform an annual impairment assessment for goodwill in our fourth quarter each year.</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Government Incentives</w:t>
      </w:r>
    </w:p>
    <w:p>
      <w:pPr>
        <w:spacing w:after="0" w:line="24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receive incentives from governmental entities related to expenses, assets, and other activities. Our government incentives may require that we meet or maintain specified spending levels and other operational metrics and may be subject to reimbursement if such conditions are not met or maintained. Government incentives are recorded in the financial statements in accordance with their purpose: as a reduction of expenses, a reduction of asset costs, or other income. Incentives related to specific operating activities are offset against the related expense in the period the expense is incurred. Incentives related to the acquisition or construction of fixed assets are recognized as a reduction in the carrying amounts of the related assets and reduce depreciation expense over the useful lives of the assets. Other incentives are recognized as other operating income. Government incentives received prior to being earned are recognized in current or noncurrent deferred income or restricted cash, whereas government incentives earned prior to being received are recognized in current or noncurrent receivables. Cash received from government incentives related to operating expenses is included as an operating activity in the statement of cash flows, whereas cash received from incentives related to the acquisition of property, plant, and equipment is included as an investing activity.</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Inventories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Effective as of the beginning of the second quarter of 2021, we changed the method of inventory costing from average cost to FIFO. The difference between average cost and FIFO was not material to any previously reported financial statements. Therefore, we have recognized the cumulative effect of the change as a reduction of inventories and a charge to cost of goods sold of $133 million as of the beginning of the second quarter of 2021.</w:t>
      </w:r>
    </w:p>
    <w:p>
      <w:pPr>
        <w:spacing w:after="0" w:line="20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Inventories are stated at the lower of cost or net realizable value, with cost being determined on a FIFO basis. Cost includes depreciation, labor, material, and overhead costs, including product and process technology costs. When net realizable value (which requires projecting future average selling prices, sales volumes, and costs to complete products in work in process inventories) is below cost, we record a charge to cost of goods sold to write down inventories to their estimated net realizable value in advance of when inventories are actually sold. We review the major characteristics of product type and markets in determining the unit of account for which we perform the lower of cost or net realizable value analysis and categorize all inventories (including DRAM, NAND, and other memory) as a single group. We remove amounts from inventory and charge such amounts to cost of goods sold on a FIFO basis.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Leases</w:t>
      </w:r>
    </w:p>
    <w:p>
      <w:pPr>
        <w:spacing w:after="0" w:line="229" w:lineRule="exact"/>
        <w:rPr>
          <w:sz w:val="20"/>
          <w:szCs w:val="20"/>
          <w:color w:val="auto"/>
        </w:rPr>
      </w:pPr>
    </w:p>
    <w:p>
      <w:pPr>
        <w:ind w:right="360"/>
        <w:spacing w:after="0" w:line="244" w:lineRule="auto"/>
        <w:rPr>
          <w:sz w:val="20"/>
          <w:szCs w:val="20"/>
          <w:color w:val="auto"/>
        </w:rPr>
      </w:pPr>
      <w:r>
        <w:rPr>
          <w:rFonts w:ascii="Arial" w:cs="Arial" w:eastAsia="Arial" w:hAnsi="Arial"/>
          <w:sz w:val="18"/>
          <w:szCs w:val="18"/>
          <w:color w:val="auto"/>
        </w:rPr>
        <w:t>We determine if an arrangement is a lease, or contains a lease, at the inception of the arrangement and evaluate whether the lease is an operating lease or a finance lease at the commencement date. We recognize right-of-use assets and lease liabilities for operating and finance leases with terms greater than 12 months. Right-of-use assets represent our right to use an asset for the lease term, while lease liabilities represent our obligation to make lease payments. We do not separate lease and non-lease components for real-estate and gas plant leases. Sublease income is included within lease expense.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and Process Technology</w:t>
      </w:r>
    </w:p>
    <w:p>
      <w:pPr>
        <w:spacing w:after="0" w:line="243"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Costs incurred to (1) acquire product and process technology, (2) patent technology, and (3) maintain patent technology, are capitalized and amortized on a straight-line basis over periods ranging up to 12.5 years. We capitalize a portion of costs incurred to patent technology based on historical data of patents issued as a percent of patents we file. Product and process technology costs are amortized over the shorter of</w:t>
      </w:r>
    </w:p>
    <w:p>
      <w:pPr>
        <w:spacing w:after="0" w:line="1" w:lineRule="exact"/>
        <w:rPr>
          <w:sz w:val="20"/>
          <w:szCs w:val="20"/>
          <w:color w:val="auto"/>
        </w:rPr>
      </w:pPr>
    </w:p>
    <w:p>
      <w:pPr>
        <w:ind w:right="300" w:firstLine="8"/>
        <w:spacing w:after="0" w:line="266" w:lineRule="auto"/>
        <w:tabs>
          <w:tab w:leader="none" w:pos="2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useful life of the technology, (2) the patent term, or (3) the term of the technology agreement. Fully-amortized assets are removed from product and process technology and accumulated amortization.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Product Warranty</w:t>
      </w:r>
    </w:p>
    <w:p>
      <w:pPr>
        <w:spacing w:after="0" w:line="243"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generally provide a limited warranty that our products are in compliance with applicable specifications existing at the time of delivery. Under our standard terms and conditions of sale, liability for certain failures of product during a stated warranty period is usually limited to repair or replacement of defective items or return of, or a credit with respect to, amounts paid for such items. Under certain circumstances, we provide more extensive limited warranty coverage than that provided under our standard terms and conditions. Our warranty obligations are not material.</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Property, Plant, and Equipment</w:t>
      </w:r>
    </w:p>
    <w:p>
      <w:pPr>
        <w:spacing w:after="0" w:line="243"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Property, plant, and equipment is stated at cost and depreciated using the straight-line method over estimated useful lives of generally 10 to 30 years for buildings, 5 to 7 years for equipment, and 3 to 5 years for software. Assets held for sale are carried at the lower of estimated fair value or carrying value and are included in current assets. When property, plant, or equipment is retired or otherwise disposed, the net book value is removed and we recognize any gain or loss in results of operations.</w:t>
      </w:r>
    </w:p>
    <w:p>
      <w:pPr>
        <w:spacing w:after="0" w:line="203"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We capitalize interest on borrowings during the period of time we carry out the activities necessary to bring assets to the condition of their intended use and location. Capitalized interest becomes part of the cost of assets.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Research and Development</w:t>
      </w:r>
    </w:p>
    <w:p>
      <w:pPr>
        <w:spacing w:after="0" w:line="25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Costs related to the conceptual formulation and design of products and processes are charged to R&amp;D expense as incurred. Development of a product is deemed complete when it is qualified through reviews and tests for performance and reliability. Subsequent to product qualification, product costs are included in cost of goods sold. Amounts from cost-sharing arrangements are reflected as a reduction of R&amp;D expense.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Recognition</w:t>
      </w:r>
    </w:p>
    <w:p>
      <w:pPr>
        <w:spacing w:after="0" w:line="24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Contracts with our customers are generally short-term in duration at fixed, negotiated prices with payment generally due shortly after delivery. We estimate a liability for returns using the expected value method based on historical returns. In addition, we generally offer price protection to our distributors, which is a form of variable consideration that decreases the transaction price. We use the expected value method, based on historical price adjustments and current pricing trends, to estimate the amount of revenue recognized from sales to distributors. Differences between the estimated and actual amounts are recognized as adjustments to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w:t>
      </w:r>
    </w:p>
    <w:p>
      <w:pPr>
        <w:spacing w:after="0" w:line="24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Stock-based compensation is measured at the grant date, based on the fair value of the award, and recognized as expense under the straight-line attribution method over the requisite service period. We account for forfeitures as they occur. We issue new shares upon the exercise of stock options, conversion of share units, or issuance of shares under our ESPP.</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Treasury Stock</w:t>
      </w:r>
    </w:p>
    <w:p>
      <w:pPr>
        <w:spacing w:after="0" w:line="243"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Treasury stock is carried at cost. When we retire our treasury stock, any excess of the repurchase price paid over par value is allocated between additional capital and retained earnings.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Use of Estimates</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our management to make estimates and judgments that affect the reported amounts of assets, liabilities, revenues, expenses, and related disclosures. Estimates and judgments are based on historical experience, forecasted events, and various other assumptions that we believe to be reasonable under the circumstances. Estimates and judgments may differ under different assumptions or conditions. We evaluate our estimates and judgments on an ongoing basis. Actual results could differ from estimates.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Lehi, Utah Fab and 3D XPoint</w:t>
      </w:r>
    </w:p>
    <w:p>
      <w:pPr>
        <w:spacing w:after="0" w:line="2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second quarter of 2021, we updated our portfolio strategy to further strengthen our focus on memory and storage innovations for the data center market. In connection therewith, we determined that there was insufficient market validation to justify the ongoing investments required to commercialize 3D XPoint at scale. Accordingly, we ceased development of 3D XPoint technology and engaged in discussions with potential buyers for the sale of our facility located in Lehi, Utah that was dedicated to 3D XPoint production. As a result, we classified the property, plant, and equipment as held for sale as of the second quarter of 2021 and ceased depreciating the assets. On June 30, 2021, we announced a definitive agreement to sell our Lehi facility to TI and closed the sale on October 22, 2021.</w:t>
      </w:r>
    </w:p>
    <w:p>
      <w:pPr>
        <w:spacing w:after="0" w:line="2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2022, we received $893 million from TI for the sale of the Lehi facility and disposed of $918 million of net assets, consisting primarily of property, plant, and equipment of $ 921 million; $55 million of other assets, consisting primarily of a receivable for reimbursement of property taxes, equipment spare parts, and raw materials; and $58 million of liabilities, consisting primarily of a finance lease obligation. As a result of the disposition of the Lehi facility and other related adjustments, we recognized a loss of $23 million included in restructure and asset impairments in the first quarter of 2022.</w:t>
      </w:r>
    </w:p>
    <w:p>
      <w:pPr>
        <w:spacing w:after="0" w:line="206"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2021, we recognized a charge of $435 million included in restructure and asset impairments in connection with the definitive agreement with TI (and a tax benefit of $104 million included in income tax (provision) benefit) to write down the assets held for sale to the expected consideration, net of estimated selling costs. The impairment charge was based on Level 3 inputs including expected consideration and the composition of assets included in the sale, which were derived from the agreement with TI. We also recognized a charge of $49 million to cost of goods sold in 2021 to write down 3D XPoint inventory due to our decision to cease further development of this technology. Our 3D XPoint technology development and Lehi facility operations were primarily included in our CNBU segment results.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 2021, the significant balances of assets held for sale in connection with our Lehi facility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7"/>
                <w:szCs w:val="17"/>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September 2,</w:t>
            </w:r>
          </w:p>
        </w:tc>
        <w:tc>
          <w:tcPr>
            <w:tcW w:w="0" w:type="dxa"/>
            <w:vAlign w:val="bottom"/>
          </w:tcPr>
          <w:p>
            <w:pPr>
              <w:spacing w:after="0"/>
              <w:rPr>
                <w:sz w:val="1"/>
                <w:szCs w:val="1"/>
                <w:color w:val="auto"/>
              </w:rPr>
            </w:pPr>
          </w:p>
        </w:tc>
      </w:tr>
      <w:tr>
        <w:trPr>
          <w:trHeight w:val="243"/>
        </w:trPr>
        <w:tc>
          <w:tcPr>
            <w:tcW w:w="9800" w:type="dxa"/>
            <w:vAlign w:val="bottom"/>
            <w:tcBorders>
              <w:bottom w:val="single" w:sz="8" w:color="0090DA"/>
            </w:tcBorders>
            <w:vMerge w:val="continue"/>
          </w:tcPr>
          <w:p>
            <w:pPr>
              <w:spacing w:after="0"/>
              <w:rPr>
                <w:sz w:val="21"/>
                <w:szCs w:val="21"/>
                <w:color w:val="auto"/>
              </w:rPr>
            </w:pPr>
          </w:p>
        </w:tc>
        <w:tc>
          <w:tcPr>
            <w:tcW w:w="140" w:type="dxa"/>
            <w:vAlign w:val="bottom"/>
            <w:tcBorders>
              <w:bottom w:val="single" w:sz="8" w:color="00A3E1"/>
            </w:tcBorders>
          </w:tcPr>
          <w:p>
            <w:pPr>
              <w:spacing w:after="0"/>
              <w:rPr>
                <w:sz w:val="21"/>
                <w:szCs w:val="21"/>
                <w:color w:val="auto"/>
              </w:rPr>
            </w:pPr>
          </w:p>
        </w:tc>
        <w:tc>
          <w:tcPr>
            <w:tcW w:w="1300" w:type="dxa"/>
            <w:vAlign w:val="bottom"/>
            <w:tcBorders>
              <w:bottom w:val="single" w:sz="8" w:color="00A3E1"/>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9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29"/>
        </w:trPr>
        <w:tc>
          <w:tcPr>
            <w:tcW w:w="980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23"/>
        </w:trPr>
        <w:tc>
          <w:tcPr>
            <w:tcW w:w="9800" w:type="dxa"/>
            <w:vAlign w:val="bottom"/>
          </w:tcPr>
          <w:p>
            <w:pPr>
              <w:ind w:left="240"/>
              <w:spacing w:after="0"/>
              <w:rPr>
                <w:sz w:val="20"/>
                <w:szCs w:val="20"/>
                <w:color w:val="auto"/>
              </w:rPr>
            </w:pPr>
            <w:r>
              <w:rPr>
                <w:rFonts w:ascii="Arial" w:cs="Arial" w:eastAsia="Arial" w:hAnsi="Arial"/>
                <w:sz w:val="18"/>
                <w:szCs w:val="18"/>
                <w:color w:val="auto"/>
              </w:rPr>
              <w:t>Lehi assets held for sale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
        </w:trPr>
        <w:tc>
          <w:tcPr>
            <w:tcW w:w="9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of September 2, 2021, we also had a $50 million finance lease obligation included in the current portion of long-term debt and $11 million of other liabilities that were subsequently transferred with the sale. As of September 2, 2021, the carrying value of the Lehi assets held for sale approximated the expected cash consideration, net of estimated selling expenses.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Variable Interest Entities</w:t>
      </w:r>
    </w:p>
    <w:p>
      <w:pPr>
        <w:spacing w:after="0" w:line="25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have interests in entities that are variable interest entities (“VIEs”). If we are the primary beneficiary of a VIE, we are required to consolidate it. To determine if we are the primary beneficiary, we evaluate whether we have the power to direct the activities that most significantly impact the VIE’s economic performance and the obligation to absorb losses or the right to receive benefits of the VIE that could potentially be significant to the VIE. Our evaluation includes identification of significant activities and an assessment of our ability to direct those activities based on governance provisions and arrangements to provide or receive product and process technology, product supply, operations services, equity funding, financing, and other applicable agreements and circumstances. Our assessments of whether we are the primary beneficiary of our VIEs require significant assumptions and judgments.</w:t>
      </w:r>
    </w:p>
    <w:p>
      <w:pPr>
        <w:spacing w:after="0" w:line="21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Through the first quarter of 2020, IMFT, which operated a facility in Lehi, Utah, was a VIE because all of its costs were passed to us and its other member, Intel, through product purchase agreements and because IMFT was dependent upon us or Intel for additional cash requirements. The primary activities of IMFT were driven by the constant introduction of product and process technology. Because we performed a significant majority of the technology development, we had the power to direct its key activities. We consolidated IMFT due to this power and our obligation to absorb losses and the right to receive benefits from IMFT that could have been potentially significant to it.</w:t>
      </w:r>
    </w:p>
    <w:p>
      <w:pPr>
        <w:spacing w:after="0" w:line="20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the first quarter of 2020, we paid $1.25 billion to acquire Intel’s noncontrolling interest in IMFT and settle IMFT’s debt obligations to Intel, at which time IMFT became a wholly-owned subsidiary. In connection therewith, we recognized a $160 million adjustment to equity for the difference between the $744 million of cash consideration allocated to Intel’s noncontrolling interest and its $904 million carrying value.</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IMFT manufactured semiconductor products exclusively for its members under a long-term supply agreement at prices approximating cost. In 2020, IMFT manufactured 3D XPoint memory and its sales to Intel were $158 million through the date of our purchase of Intel’s noncontrolling interest.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Cash and Investments</w:t>
      </w:r>
    </w:p>
    <w:p>
      <w:pPr>
        <w:spacing w:after="0" w:line="257" w:lineRule="exact"/>
        <w:rPr>
          <w:sz w:val="20"/>
          <w:szCs w:val="20"/>
          <w:color w:val="auto"/>
        </w:rPr>
      </w:pPr>
    </w:p>
    <w:p>
      <w:pPr>
        <w:ind w:right="260"/>
        <w:spacing w:after="0" w:line="273" w:lineRule="auto"/>
        <w:rPr>
          <w:sz w:val="20"/>
          <w:szCs w:val="20"/>
          <w:color w:val="auto"/>
        </w:rPr>
      </w:pPr>
      <w:r>
        <w:rPr>
          <w:rFonts w:ascii="Arial" w:cs="Arial" w:eastAsia="Arial" w:hAnsi="Arial"/>
          <w:sz w:val="18"/>
          <w:szCs w:val="18"/>
          <w:color w:val="auto"/>
        </w:rPr>
        <w:t>All of our marketable debt investments were classified as available-for-sale as of the dates noted below. Cash and equivalents and the fair values of our available-for-sale investments, which approximated amortized costs,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14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26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20" w:type="dxa"/>
            <w:vAlign w:val="bottom"/>
          </w:tcPr>
          <w:p>
            <w:pPr>
              <w:spacing w:after="0"/>
              <w:rPr>
                <w:sz w:val="15"/>
                <w:szCs w:val="15"/>
                <w:color w:val="auto"/>
              </w:rPr>
            </w:pPr>
          </w:p>
        </w:tc>
        <w:tc>
          <w:tcPr>
            <w:tcW w:w="1140" w:type="dxa"/>
            <w:vAlign w:val="bottom"/>
          </w:tcPr>
          <w:p>
            <w:pPr>
              <w:jc w:val="center"/>
              <w:ind w:right="70"/>
              <w:spacing w:after="0" w:line="177" w:lineRule="exact"/>
              <w:rPr>
                <w:sz w:val="20"/>
                <w:szCs w:val="20"/>
                <w:color w:val="auto"/>
              </w:rPr>
            </w:pPr>
            <w:r>
              <w:rPr>
                <w:rFonts w:ascii="Arial" w:cs="Arial" w:eastAsia="Arial" w:hAnsi="Arial"/>
                <w:sz w:val="18"/>
                <w:szCs w:val="18"/>
                <w:b w:val="1"/>
                <w:bCs w:val="1"/>
                <w:color w:val="auto"/>
              </w:rPr>
              <w:t>Long-term</w:t>
            </w:r>
          </w:p>
        </w:tc>
        <w:tc>
          <w:tcPr>
            <w:tcW w:w="1020" w:type="dxa"/>
            <w:vAlign w:val="bottom"/>
            <w:gridSpan w:val="3"/>
            <w:vMerge w:val="restart"/>
          </w:tcPr>
          <w:p>
            <w:pPr>
              <w:jc w:val="center"/>
              <w:ind w:right="80"/>
              <w:spacing w:after="0"/>
              <w:rPr>
                <w:sz w:val="20"/>
                <w:szCs w:val="20"/>
                <w:color w:val="auto"/>
              </w:rPr>
            </w:pPr>
            <w:r>
              <w:rPr>
                <w:rFonts w:ascii="Arial" w:cs="Arial" w:eastAsia="Arial" w:hAnsi="Arial"/>
                <w:sz w:val="18"/>
                <w:szCs w:val="18"/>
                <w:b w:val="1"/>
                <w:bCs w:val="1"/>
                <w:color w:val="auto"/>
                <w:w w:val="96"/>
              </w:rPr>
              <w:t>Total Fair</w:t>
            </w:r>
          </w:p>
        </w:tc>
        <w:tc>
          <w:tcPr>
            <w:tcW w:w="140" w:type="dxa"/>
            <w:vAlign w:val="bottom"/>
          </w:tcPr>
          <w:p>
            <w:pPr>
              <w:spacing w:after="0"/>
              <w:rPr>
                <w:sz w:val="15"/>
                <w:szCs w:val="15"/>
                <w:color w:val="auto"/>
              </w:rPr>
            </w:pPr>
          </w:p>
        </w:tc>
        <w:tc>
          <w:tcPr>
            <w:tcW w:w="9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8"/>
              </w:rPr>
              <w:t>Cash and</w:t>
            </w:r>
          </w:p>
        </w:tc>
        <w:tc>
          <w:tcPr>
            <w:tcW w:w="120" w:type="dxa"/>
            <w:vAlign w:val="bottom"/>
          </w:tcPr>
          <w:p>
            <w:pPr>
              <w:spacing w:after="0"/>
              <w:rPr>
                <w:sz w:val="15"/>
                <w:szCs w:val="15"/>
                <w:color w:val="auto"/>
              </w:rPr>
            </w:pPr>
          </w:p>
        </w:tc>
        <w:tc>
          <w:tcPr>
            <w:tcW w:w="10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Short-term</w:t>
            </w:r>
          </w:p>
        </w:tc>
        <w:tc>
          <w:tcPr>
            <w:tcW w:w="220" w:type="dxa"/>
            <w:vAlign w:val="bottom"/>
          </w:tcPr>
          <w:p>
            <w:pPr>
              <w:spacing w:after="0"/>
              <w:rPr>
                <w:sz w:val="15"/>
                <w:szCs w:val="15"/>
                <w:color w:val="auto"/>
              </w:rPr>
            </w:pPr>
          </w:p>
        </w:tc>
        <w:tc>
          <w:tcPr>
            <w:tcW w:w="1160" w:type="dxa"/>
            <w:vAlign w:val="bottom"/>
          </w:tcPr>
          <w:p>
            <w:pPr>
              <w:jc w:val="center"/>
              <w:ind w:right="90"/>
              <w:spacing w:after="0" w:line="177" w:lineRule="exact"/>
              <w:rPr>
                <w:sz w:val="20"/>
                <w:szCs w:val="20"/>
                <w:color w:val="auto"/>
              </w:rPr>
            </w:pPr>
            <w:r>
              <w:rPr>
                <w:rFonts w:ascii="Arial" w:cs="Arial" w:eastAsia="Arial" w:hAnsi="Arial"/>
                <w:sz w:val="18"/>
                <w:szCs w:val="18"/>
                <w:b w:val="1"/>
                <w:bCs w:val="1"/>
                <w:color w:val="auto"/>
              </w:rPr>
              <w:t>Long-term</w:t>
            </w:r>
          </w:p>
        </w:tc>
        <w:tc>
          <w:tcPr>
            <w:tcW w:w="9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Total Fair</w:t>
            </w:r>
          </w:p>
        </w:tc>
        <w:tc>
          <w:tcPr>
            <w:tcW w:w="0" w:type="dxa"/>
            <w:vAlign w:val="bottom"/>
          </w:tcPr>
          <w:p>
            <w:pPr>
              <w:spacing w:after="0"/>
              <w:rPr>
                <w:sz w:val="1"/>
                <w:szCs w:val="1"/>
                <w:color w:val="auto"/>
              </w:rPr>
            </w:pPr>
          </w:p>
        </w:tc>
      </w:tr>
      <w:tr>
        <w:trPr>
          <w:trHeight w:val="181"/>
        </w:trPr>
        <w:tc>
          <w:tcPr>
            <w:tcW w:w="2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Marketable</w:t>
            </w:r>
          </w:p>
        </w:tc>
        <w:tc>
          <w:tcPr>
            <w:tcW w:w="10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Marketable</w:t>
            </w:r>
          </w:p>
        </w:tc>
        <w:tc>
          <w:tcPr>
            <w:tcW w:w="9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20" w:type="dxa"/>
            <w:vAlign w:val="bottom"/>
            <w:vMerge w:val="continue"/>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6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5"/>
              </w:rPr>
              <w:t>Investments</w:t>
            </w:r>
            <w:r>
              <w:rPr>
                <w:rFonts w:ascii="Arial" w:cs="Arial" w:eastAsia="Arial" w:hAnsi="Arial"/>
                <w:sz w:val="23"/>
                <w:szCs w:val="23"/>
                <w:color w:val="auto"/>
                <w:w w:val="95"/>
                <w:vertAlign w:val="superscript"/>
              </w:rPr>
              <w:t>(1)</w:t>
            </w:r>
          </w:p>
        </w:tc>
        <w:tc>
          <w:tcPr>
            <w:tcW w:w="200" w:type="dxa"/>
            <w:vAlign w:val="bottom"/>
          </w:tcPr>
          <w:p>
            <w:pPr>
              <w:spacing w:after="0"/>
              <w:rPr>
                <w:sz w:val="19"/>
                <w:szCs w:val="19"/>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Value</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Equivalents</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Investments</w:t>
            </w:r>
          </w:p>
        </w:tc>
        <w:tc>
          <w:tcPr>
            <w:tcW w:w="1380" w:type="dxa"/>
            <w:vAlign w:val="bottom"/>
            <w:gridSpan w:val="2"/>
          </w:tcPr>
          <w:p>
            <w:pPr>
              <w:jc w:val="center"/>
              <w:spacing w:after="0" w:line="230" w:lineRule="exact"/>
              <w:rPr>
                <w:sz w:val="20"/>
                <w:szCs w:val="20"/>
                <w:color w:val="auto"/>
              </w:rPr>
            </w:pPr>
            <w:r>
              <w:rPr>
                <w:rFonts w:ascii="Arial" w:cs="Arial" w:eastAsia="Arial" w:hAnsi="Arial"/>
                <w:sz w:val="18"/>
                <w:szCs w:val="18"/>
                <w:b w:val="1"/>
                <w:bCs w:val="1"/>
                <w:color w:val="auto"/>
                <w:w w:val="96"/>
              </w:rPr>
              <w:t>Investments</w:t>
            </w:r>
            <w:r>
              <w:rPr>
                <w:rFonts w:ascii="Arial" w:cs="Arial" w:eastAsia="Arial" w:hAnsi="Arial"/>
                <w:sz w:val="23"/>
                <w:szCs w:val="23"/>
                <w:color w:val="auto"/>
                <w:w w:val="96"/>
                <w:vertAlign w:val="superscript"/>
              </w:rPr>
              <w:t>(1)</w:t>
            </w:r>
          </w:p>
        </w:tc>
        <w:tc>
          <w:tcPr>
            <w:tcW w:w="180" w:type="dxa"/>
            <w:vAlign w:val="bottom"/>
          </w:tcPr>
          <w:p>
            <w:pPr>
              <w:spacing w:after="0"/>
              <w:rPr>
                <w:sz w:val="19"/>
                <w:szCs w:val="19"/>
                <w:color w:val="auto"/>
              </w:rPr>
            </w:pPr>
          </w:p>
        </w:tc>
        <w:tc>
          <w:tcPr>
            <w:tcW w:w="720" w:type="dxa"/>
            <w:vAlign w:val="bottom"/>
          </w:tcPr>
          <w:p>
            <w:pPr>
              <w:jc w:val="right"/>
              <w:ind w:right="11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34"/>
        </w:trPr>
        <w:tc>
          <w:tcPr>
            <w:tcW w:w="2020" w:type="dxa"/>
            <w:vAlign w:val="bottom"/>
            <w:tcBorders>
              <w:top w:val="single" w:sz="8" w:color="0090DA"/>
            </w:tcBorders>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4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104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6,055</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5,796</w:t>
            </w:r>
          </w:p>
        </w:tc>
        <w:tc>
          <w:tcPr>
            <w:tcW w:w="0" w:type="dxa"/>
            <w:vAlign w:val="bottom"/>
          </w:tcPr>
          <w:p>
            <w:pPr>
              <w:spacing w:after="0"/>
              <w:rPr>
                <w:sz w:val="1"/>
                <w:szCs w:val="1"/>
                <w:color w:val="auto"/>
              </w:rPr>
            </w:pPr>
          </w:p>
        </w:tc>
      </w:tr>
      <w:tr>
        <w:trPr>
          <w:trHeight w:val="229"/>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1</w:t>
            </w:r>
            <w:r>
              <w:rPr>
                <w:rFonts w:ascii="Arial" w:cs="Arial" w:eastAsia="Arial" w:hAnsi="Arial"/>
                <w:sz w:val="23"/>
                <w:szCs w:val="23"/>
                <w:color w:val="auto"/>
                <w:vertAlign w:val="superscript"/>
              </w:rPr>
              <w:t>(2)</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1,196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20" w:type="dxa"/>
            <w:vAlign w:val="bottom"/>
          </w:tcPr>
          <w:p>
            <w:pPr>
              <w:ind w:left="20"/>
              <w:spacing w:after="0" w:line="230" w:lineRule="exact"/>
              <w:rPr>
                <w:sz w:val="20"/>
                <w:szCs w:val="20"/>
                <w:color w:val="auto"/>
              </w:rPr>
            </w:pPr>
            <w:r>
              <w:rPr>
                <w:rFonts w:ascii="Arial" w:cs="Arial" w:eastAsia="Arial" w:hAnsi="Arial"/>
                <w:sz w:val="18"/>
                <w:szCs w:val="18"/>
                <w:color w:val="auto"/>
              </w:rPr>
              <w:t>Level 2</w:t>
            </w:r>
            <w:r>
              <w:rPr>
                <w:rFonts w:ascii="Arial" w:cs="Arial" w:eastAsia="Arial" w:hAnsi="Arial"/>
                <w:sz w:val="23"/>
                <w:szCs w:val="23"/>
                <w:color w:val="auto"/>
                <w:vertAlign w:val="superscript"/>
              </w:rPr>
              <w:t>(3)</w:t>
            </w: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Certificates of deposits</w:t>
            </w: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1,026</w:t>
            </w:r>
          </w:p>
        </w:tc>
        <w:tc>
          <w:tcPr>
            <w:tcW w:w="12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69</w:t>
            </w:r>
          </w:p>
        </w:tc>
        <w:tc>
          <w:tcPr>
            <w:tcW w:w="22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30"/>
        </w:trPr>
        <w:tc>
          <w:tcPr>
            <w:tcW w:w="2020" w:type="dxa"/>
            <w:vAlign w:val="bottom"/>
          </w:tcPr>
          <w:p>
            <w:pPr>
              <w:ind w:left="14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759</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184"/>
        </w:trPr>
        <w:tc>
          <w:tcPr>
            <w:tcW w:w="2020" w:type="dxa"/>
            <w:vAlign w:val="bottom"/>
            <w:shd w:val="clear" w:color="auto" w:fill="D1D2D4"/>
          </w:tcPr>
          <w:p>
            <w:pPr>
              <w:ind w:left="140"/>
              <w:spacing w:after="0" w:line="183" w:lineRule="exact"/>
              <w:rPr>
                <w:sz w:val="20"/>
                <w:szCs w:val="20"/>
                <w:color w:val="auto"/>
              </w:rPr>
            </w:pPr>
            <w:r>
              <w:rPr>
                <w:rFonts w:ascii="Arial" w:cs="Arial" w:eastAsia="Arial" w:hAnsi="Arial"/>
                <w:sz w:val="18"/>
                <w:szCs w:val="18"/>
                <w:color w:val="auto"/>
              </w:rPr>
              <w:t>Asset-backed</w:t>
            </w: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D1D2D4"/>
          </w:tcPr>
          <w:p>
            <w:pPr>
              <w:spacing w:after="0"/>
              <w:rPr>
                <w:sz w:val="15"/>
                <w:szCs w:val="15"/>
                <w:color w:val="auto"/>
              </w:rPr>
            </w:pPr>
          </w:p>
        </w:tc>
        <w:tc>
          <w:tcPr>
            <w:tcW w:w="11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D1D2D4"/>
          </w:tcPr>
          <w:p>
            <w:pPr>
              <w:spacing w:after="0"/>
              <w:rPr>
                <w:sz w:val="15"/>
                <w:szCs w:val="15"/>
                <w:color w:val="auto"/>
              </w:rPr>
            </w:pPr>
          </w:p>
        </w:tc>
        <w:tc>
          <w:tcPr>
            <w:tcW w:w="140" w:type="dxa"/>
            <w:vAlign w:val="bottom"/>
            <w:shd w:val="clear" w:color="auto" w:fill="D1D2D4"/>
          </w:tcPr>
          <w:p>
            <w:pPr>
              <w:spacing w:after="0"/>
              <w:rPr>
                <w:sz w:val="15"/>
                <w:szCs w:val="15"/>
                <w:color w:val="auto"/>
              </w:rPr>
            </w:pP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D1D2D4"/>
          </w:tcPr>
          <w:p>
            <w:pPr>
              <w:spacing w:after="0"/>
              <w:rPr>
                <w:sz w:val="15"/>
                <w:szCs w:val="15"/>
                <w:color w:val="auto"/>
              </w:rPr>
            </w:pPr>
          </w:p>
        </w:tc>
        <w:tc>
          <w:tcPr>
            <w:tcW w:w="11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509</w:t>
            </w:r>
          </w:p>
        </w:tc>
        <w:tc>
          <w:tcPr>
            <w:tcW w:w="18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5"/>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D1D2D4"/>
          </w:tcPr>
          <w:p>
            <w:pPr>
              <w:spacing w:after="0"/>
              <w:rPr>
                <w:sz w:val="20"/>
                <w:szCs w:val="20"/>
                <w:color w:val="auto"/>
              </w:rPr>
            </w:pPr>
          </w:p>
        </w:tc>
        <w:tc>
          <w:tcPr>
            <w:tcW w:w="9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140" w:type="dxa"/>
            <w:vAlign w:val="bottom"/>
            <w:vMerge w:val="continue"/>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70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980" w:type="dxa"/>
            <w:vAlign w:val="bottom"/>
            <w:vMerge w:val="continue"/>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040" w:type="dxa"/>
            <w:vAlign w:val="bottom"/>
            <w:vMerge w:val="continue"/>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1160" w:type="dxa"/>
            <w:vAlign w:val="bottom"/>
            <w:vMerge w:val="continue"/>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720" w:type="dxa"/>
            <w:vAlign w:val="bottom"/>
            <w:vMerge w:val="continue"/>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20" w:type="dxa"/>
            <w:vAlign w:val="bottom"/>
          </w:tcPr>
          <w:p>
            <w:pPr>
              <w:ind w:left="140"/>
              <w:spacing w:after="0"/>
              <w:rPr>
                <w:sz w:val="20"/>
                <w:szCs w:val="20"/>
                <w:color w:val="auto"/>
              </w:rPr>
            </w:pPr>
            <w:r>
              <w:rPr>
                <w:rFonts w:ascii="Arial" w:cs="Arial" w:eastAsia="Arial" w:hAnsi="Arial"/>
                <w:sz w:val="18"/>
                <w:szCs w:val="18"/>
                <w:color w:val="auto"/>
              </w:rPr>
              <w:t>Government securities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2020" w:type="dxa"/>
            <w:vAlign w:val="bottom"/>
            <w:shd w:val="clear" w:color="auto" w:fill="D1D2D4"/>
          </w:tcPr>
          <w:p>
            <w:pPr>
              <w:ind w:left="14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D1D2D4"/>
          </w:tcPr>
          <w:p>
            <w:pPr>
              <w:spacing w:after="0"/>
              <w:rPr>
                <w:sz w:val="19"/>
                <w:szCs w:val="19"/>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9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8,262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7,763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10,398</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1D2D4"/>
            </w:tcBorders>
          </w:tcPr>
          <w:p>
            <w:pPr>
              <w:spacing w:after="0" w:line="20" w:lineRule="exact"/>
              <w:rPr>
                <w:sz w:val="1"/>
                <w:szCs w:val="1"/>
                <w:color w:val="auto"/>
              </w:rPr>
            </w:pPr>
          </w:p>
        </w:tc>
        <w:tc>
          <w:tcPr>
            <w:tcW w:w="14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20" w:type="dxa"/>
            <w:vAlign w:val="bottom"/>
            <w:shd w:val="clear" w:color="auto" w:fill="D1D2D4"/>
          </w:tcPr>
          <w:p>
            <w:pPr>
              <w:ind w:left="20"/>
              <w:spacing w:after="0" w:line="197" w:lineRule="exact"/>
              <w:rPr>
                <w:sz w:val="20"/>
                <w:szCs w:val="20"/>
                <w:color w:val="auto"/>
              </w:rPr>
            </w:pPr>
            <w:r>
              <w:rPr>
                <w:rFonts w:ascii="Arial" w:cs="Arial" w:eastAsia="Arial" w:hAnsi="Arial"/>
                <w:sz w:val="17"/>
                <w:szCs w:val="17"/>
                <w:color w:val="auto"/>
              </w:rPr>
              <w:t>Restricted cash</w:t>
            </w:r>
            <w:r>
              <w:rPr>
                <w:rFonts w:ascii="Arial" w:cs="Arial" w:eastAsia="Arial" w:hAnsi="Arial"/>
                <w:sz w:val="22"/>
                <w:szCs w:val="22"/>
                <w:color w:val="auto"/>
                <w:vertAlign w:val="superscript"/>
              </w:rPr>
              <w:t>(4)</w:t>
            </w: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77</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40" w:type="dxa"/>
            <w:vAlign w:val="bottom"/>
            <w:shd w:val="clear" w:color="auto" w:fill="D1D2D4"/>
          </w:tcPr>
          <w:p>
            <w:pPr>
              <w:spacing w:after="0"/>
              <w:rPr>
                <w:sz w:val="17"/>
                <w:szCs w:val="17"/>
                <w:color w:val="auto"/>
              </w:rPr>
            </w:pPr>
          </w:p>
        </w:tc>
        <w:tc>
          <w:tcPr>
            <w:tcW w:w="200" w:type="dxa"/>
            <w:vAlign w:val="bottom"/>
            <w:shd w:val="clear" w:color="auto" w:fill="D1D2D4"/>
          </w:tcPr>
          <w:p>
            <w:pPr>
              <w:spacing w:after="0"/>
              <w:rPr>
                <w:sz w:val="17"/>
                <w:szCs w:val="17"/>
                <w:color w:val="auto"/>
              </w:rPr>
            </w:pPr>
          </w:p>
        </w:tc>
        <w:tc>
          <w:tcPr>
            <w:tcW w:w="700" w:type="dxa"/>
            <w:vAlign w:val="bottom"/>
            <w:shd w:val="clear" w:color="auto" w:fill="D1D2D4"/>
          </w:tcPr>
          <w:p>
            <w:pPr>
              <w:spacing w:after="0"/>
              <w:rPr>
                <w:sz w:val="17"/>
                <w:szCs w:val="17"/>
                <w:color w:val="auto"/>
              </w:rPr>
            </w:pPr>
          </w:p>
        </w:tc>
        <w:tc>
          <w:tcPr>
            <w:tcW w:w="120" w:type="dxa"/>
            <w:vAlign w:val="bottom"/>
            <w:shd w:val="clear" w:color="auto" w:fill="D1D2D4"/>
          </w:tcPr>
          <w:p>
            <w:pPr>
              <w:spacing w:after="0"/>
              <w:rPr>
                <w:sz w:val="17"/>
                <w:szCs w:val="17"/>
                <w:color w:val="auto"/>
              </w:rPr>
            </w:pPr>
          </w:p>
        </w:tc>
        <w:tc>
          <w:tcPr>
            <w:tcW w:w="140" w:type="dxa"/>
            <w:vAlign w:val="bottom"/>
            <w:tcBorders>
              <w:bottom w:val="single" w:sz="8" w:color="auto"/>
            </w:tcBorders>
            <w:shd w:val="clear" w:color="auto" w:fill="D1D2D4"/>
          </w:tcPr>
          <w:p>
            <w:pPr>
              <w:spacing w:after="0"/>
              <w:rPr>
                <w:sz w:val="17"/>
                <w:szCs w:val="17"/>
                <w:color w:val="auto"/>
              </w:rPr>
            </w:pPr>
          </w:p>
        </w:tc>
        <w:tc>
          <w:tcPr>
            <w:tcW w:w="980" w:type="dxa"/>
            <w:vAlign w:val="bottom"/>
            <w:tcBorders>
              <w:bottom w:val="single" w:sz="8" w:color="auto"/>
            </w:tcBorders>
            <w:shd w:val="clear" w:color="auto" w:fill="D1D2D4"/>
          </w:tcPr>
          <w:p>
            <w:pPr>
              <w:jc w:val="right"/>
              <w:spacing w:after="0" w:line="196" w:lineRule="exact"/>
              <w:rPr>
                <w:sz w:val="20"/>
                <w:szCs w:val="20"/>
                <w:color w:val="auto"/>
              </w:rPr>
            </w:pPr>
            <w:r>
              <w:rPr>
                <w:rFonts w:ascii="Arial" w:cs="Arial" w:eastAsia="Arial" w:hAnsi="Arial"/>
                <w:sz w:val="18"/>
                <w:szCs w:val="18"/>
                <w:color w:val="auto"/>
              </w:rPr>
              <w:t>66</w:t>
            </w:r>
          </w:p>
        </w:tc>
        <w:tc>
          <w:tcPr>
            <w:tcW w:w="12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22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72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2020" w:type="dxa"/>
            <w:vAlign w:val="bottom"/>
          </w:tcPr>
          <w:p>
            <w:pPr>
              <w:ind w:left="20"/>
              <w:spacing w:after="0" w:line="164" w:lineRule="exact"/>
              <w:rPr>
                <w:sz w:val="20"/>
                <w:szCs w:val="20"/>
                <w:color w:val="auto"/>
              </w:rPr>
            </w:pPr>
            <w:r>
              <w:rPr>
                <w:rFonts w:ascii="Arial" w:cs="Arial" w:eastAsia="Arial" w:hAnsi="Arial"/>
                <w:sz w:val="18"/>
                <w:szCs w:val="18"/>
                <w:color w:val="auto"/>
              </w:rPr>
              <w:t>Cash, cash equivalents,</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8,339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7,829</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20" w:type="dxa"/>
            <w:vAlign w:val="bottom"/>
          </w:tcPr>
          <w:p>
            <w:pPr>
              <w:ind w:left="20"/>
              <w:spacing w:after="0"/>
              <w:rPr>
                <w:sz w:val="20"/>
                <w:szCs w:val="20"/>
                <w:color w:val="auto"/>
              </w:rPr>
            </w:pPr>
            <w:r>
              <w:rPr>
                <w:rFonts w:ascii="Arial" w:cs="Arial" w:eastAsia="Arial" w:hAnsi="Arial"/>
                <w:sz w:val="18"/>
                <w:szCs w:val="18"/>
                <w:color w:val="auto"/>
              </w:rPr>
              <w:t>and restricted cash</w:t>
            </w:r>
          </w:p>
        </w:tc>
        <w:tc>
          <w:tcPr>
            <w:tcW w:w="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maturities of long-term marketable securities primarily range from one to four years.</w:t>
      </w:r>
    </w:p>
    <w:p>
      <w:pPr>
        <w:ind w:left="240" w:hanging="232"/>
        <w:spacing w:after="0" w:line="196" w:lineRule="auto"/>
        <w:tabs>
          <w:tab w:leader="none" w:pos="240" w:val="left"/>
        </w:tabs>
        <w:numPr>
          <w:ilvl w:val="0"/>
          <w:numId w:val="31"/>
        </w:numPr>
        <w:rPr>
          <w:rFonts w:ascii="Arial" w:cs="Arial" w:eastAsia="Arial" w:hAnsi="Arial"/>
          <w:sz w:val="23"/>
          <w:szCs w:val="23"/>
          <w:color w:val="auto"/>
          <w:vertAlign w:val="superscript"/>
        </w:rPr>
      </w:pPr>
      <w:r>
        <w:rPr>
          <w:rFonts w:ascii="Arial" w:cs="Arial" w:eastAsia="Arial" w:hAnsi="Arial"/>
          <w:sz w:val="18"/>
          <w:szCs w:val="18"/>
          <w:i w:val="1"/>
          <w:iCs w:val="1"/>
          <w:color w:val="auto"/>
        </w:rPr>
        <w:t>The fair value of Level 1 securities is measured based on quoted prices in active markets for identical assets.</w:t>
      </w:r>
    </w:p>
    <w:p>
      <w:pPr>
        <w:ind w:left="260" w:right="260" w:hanging="252"/>
        <w:spacing w:after="0" w:line="237" w:lineRule="auto"/>
        <w:tabs>
          <w:tab w:leader="none" w:pos="254"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September 1, 2022 or September 2, 2021.</w:t>
      </w:r>
    </w:p>
    <w:p>
      <w:pPr>
        <w:spacing w:after="0" w:line="1" w:lineRule="exact"/>
        <w:rPr>
          <w:rFonts w:ascii="Arial" w:cs="Arial" w:eastAsia="Arial" w:hAnsi="Arial"/>
          <w:sz w:val="23"/>
          <w:szCs w:val="23"/>
          <w:i w:val="1"/>
          <w:iCs w:val="1"/>
          <w:color w:val="auto"/>
          <w:vertAlign w:val="superscript"/>
        </w:rPr>
      </w:pPr>
    </w:p>
    <w:p>
      <w:pPr>
        <w:ind w:left="260" w:right="420" w:hanging="252"/>
        <w:spacing w:after="0" w:line="222" w:lineRule="auto"/>
        <w:tabs>
          <w:tab w:leader="none" w:pos="254" w:val="left"/>
        </w:tabs>
        <w:numPr>
          <w:ilvl w:val="0"/>
          <w:numId w:val="31"/>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Restricted cash is included in other current assets and other noncurrent assets and primarily relates to certain government incentives received prior to being earned and for which restrictions lapse upon achieving certain performance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Gross realized gains and losses from sales of available-for-sale securities were not significant for any period presented.</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Non-marketable Equity Investments</w:t>
      </w:r>
    </w:p>
    <w:p>
      <w:pPr>
        <w:spacing w:after="0" w:line="2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to the amounts included in the table above, we had $222 million and $153 million of non-marketable equity investments without a readily determinable fair value that were included in other noncurrent assets as of September 1, 2022 and September 2, 2021, respectively. We recognized net gains in other non-operating income on these non-marketable investments of $36 million and $ 70 million for 2022 and 2021, respectively. These gains primarily resulted from adjustments of these investments to the value indicated by transactions in the same or similar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22"/>
        </w:trPr>
        <w:tc>
          <w:tcPr>
            <w:tcW w:w="8360" w:type="dxa"/>
            <w:vAlign w:val="bottom"/>
          </w:tcPr>
          <w:p>
            <w:pPr>
              <w:spacing w:after="0"/>
              <w:rPr>
                <w:sz w:val="20"/>
                <w:szCs w:val="20"/>
                <w:color w:val="auto"/>
              </w:rPr>
            </w:pPr>
            <w:r>
              <w:rPr>
                <w:rFonts w:ascii="Arial" w:cs="Arial" w:eastAsia="Arial" w:hAnsi="Arial"/>
                <w:sz w:val="40"/>
                <w:szCs w:val="40"/>
                <w:b w:val="1"/>
                <w:bCs w:val="1"/>
                <w:color w:val="auto"/>
              </w:rPr>
              <w:t>Receivables</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90DA"/>
            </w:tcBorders>
          </w:tcPr>
          <w:p>
            <w:pPr>
              <w:spacing w:after="0"/>
              <w:rPr>
                <w:sz w:val="24"/>
                <w:szCs w:val="24"/>
                <w:color w:val="auto"/>
              </w:rPr>
            </w:pPr>
          </w:p>
        </w:tc>
        <w:tc>
          <w:tcPr>
            <w:tcW w:w="112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Trade receivables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4,765</w:t>
            </w:r>
          </w:p>
        </w:tc>
        <w:tc>
          <w:tcPr>
            <w:tcW w:w="36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4,920</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5,311</w:t>
            </w:r>
          </w:p>
        </w:tc>
        <w:tc>
          <w:tcPr>
            <w:tcW w:w="0" w:type="dxa"/>
            <w:vAlign w:val="bottom"/>
          </w:tcPr>
          <w:p>
            <w:pPr>
              <w:spacing w:after="0"/>
              <w:rPr>
                <w:sz w:val="1"/>
                <w:szCs w:val="1"/>
                <w:color w:val="auto"/>
              </w:rPr>
            </w:pPr>
          </w:p>
        </w:tc>
      </w:tr>
      <w:tr>
        <w:trPr>
          <w:trHeight w:val="21"/>
        </w:trPr>
        <w:tc>
          <w:tcPr>
            <w:tcW w:w="8360" w:type="dxa"/>
            <w:vAlign w:val="bottom"/>
            <w:vMerge w:val="restart"/>
          </w:tcPr>
          <w:p>
            <w:pPr>
              <w:spacing w:after="0"/>
              <w:rPr>
                <w:sz w:val="20"/>
                <w:szCs w:val="20"/>
                <w:color w:val="auto"/>
              </w:rPr>
            </w:pPr>
            <w:r>
              <w:rPr>
                <w:rFonts w:ascii="Arial" w:cs="Arial" w:eastAsia="Arial" w:hAnsi="Arial"/>
                <w:sz w:val="40"/>
                <w:szCs w:val="40"/>
                <w:b w:val="1"/>
                <w:bCs w:val="1"/>
                <w:color w:val="auto"/>
              </w:rPr>
              <w:t>Inventories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68"/>
        </w:trPr>
        <w:tc>
          <w:tcPr>
            <w:tcW w:w="83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0090DA"/>
            </w:tcBorders>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Finished goods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c>
          <w:tcPr>
            <w:tcW w:w="36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Raw materials and supplies</w:t>
            </w:r>
          </w:p>
        </w:tc>
        <w:tc>
          <w:tcPr>
            <w:tcW w:w="3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805</w:t>
            </w:r>
          </w:p>
        </w:tc>
        <w:tc>
          <w:tcPr>
            <w:tcW w:w="12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6,663</w:t>
            </w: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Effective as of the beginning of the second quarter of 2021, we changed our method of inventory costing from average cost to FIFO. This change in accounting principle is preferable because in an environment with continuously changing production costs FIFO more closely matches the actual cost of goods sold with the revenues from sales of those specific units, better represents the actual cost of inventories remaining on hand at any period-end, and improves comparability with our semiconductor industry peers. The change to FIFO was not material to any prior periods, nor was the cumulative effect of $133 million material to the second quarter of 2021. As such, prior periods were not retrospectively adjusted, and the cumulative effect was reported as an increase to cost of goods sold for the second quarter of 2021 of $133 million, with an offsetting reduction to beginning inventories. This charge resulted in a corresponding reduction to operating income, a $128 million reduction to net income, and an $0.11 reduction to diluted earnings per share for both the second quarter and the year ended 2021.</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Property, Plant, and Equipment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16,676</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14,776</w:t>
            </w:r>
          </w:p>
        </w:tc>
      </w:tr>
      <w:tr>
        <w:trPr>
          <w:trHeight w:val="229"/>
        </w:trPr>
        <w:tc>
          <w:tcPr>
            <w:tcW w:w="836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Equipment</w:t>
            </w:r>
            <w:r>
              <w:rPr>
                <w:rFonts w:ascii="Arial" w:cs="Arial" w:eastAsia="Arial" w:hAnsi="Arial"/>
                <w:sz w:val="23"/>
                <w:szCs w:val="23"/>
                <w:color w:val="auto"/>
                <w:vertAlign w:val="superscript"/>
              </w:rPr>
              <w:t>(1)</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61,354</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51,902</w:t>
            </w:r>
          </w:p>
        </w:tc>
      </w:tr>
      <w:tr>
        <w:trPr>
          <w:trHeight w:val="230"/>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Construction in progress</w:t>
            </w:r>
            <w:r>
              <w:rPr>
                <w:rFonts w:ascii="Arial" w:cs="Arial" w:eastAsia="Arial" w:hAnsi="Arial"/>
                <w:sz w:val="23"/>
                <w:szCs w:val="23"/>
                <w:color w:val="auto"/>
                <w:vertAlign w:val="superscript"/>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Software</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1,124</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987</w:t>
            </w:r>
          </w:p>
        </w:tc>
      </w:tr>
      <w:tr>
        <w:trPr>
          <w:trHeight w:val="223"/>
        </w:trPr>
        <w:tc>
          <w:tcPr>
            <w:tcW w:w="8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81,331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69,462</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Accumulated depreciation</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(42,782)</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(36,249)</w:t>
            </w: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38,549</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33,213</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2" w:lineRule="exact"/>
        <w:rPr>
          <w:sz w:val="20"/>
          <w:szCs w:val="20"/>
          <w:color w:val="auto"/>
        </w:rPr>
      </w:pPr>
    </w:p>
    <w:p>
      <w:pPr>
        <w:ind w:left="260" w:right="160" w:hanging="252"/>
        <w:spacing w:after="0" w:line="228" w:lineRule="auto"/>
        <w:tabs>
          <w:tab w:leader="none" w:pos="254" w:val="left"/>
        </w:tabs>
        <w:numPr>
          <w:ilvl w:val="0"/>
          <w:numId w:val="3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costs related to equipment not placed into service of $3.35 billion as of September 1, 2022 and $1.99 billion as of September 2, 2021.</w:t>
      </w:r>
    </w:p>
    <w:p>
      <w:pPr>
        <w:ind w:left="240" w:hanging="232"/>
        <w:spacing w:after="0" w:line="200" w:lineRule="auto"/>
        <w:tabs>
          <w:tab w:leader="none" w:pos="240" w:val="left"/>
        </w:tabs>
        <w:numPr>
          <w:ilvl w:val="0"/>
          <w:numId w:val="32"/>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Includes building-related construction, tool installation, and software costs for assets not placed into service.</w:t>
      </w:r>
    </w:p>
    <w:p>
      <w:pPr>
        <w:spacing w:after="0" w:line="221"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Depreciation expense was $7.03 billion, $ 6.13 billion, and $5.57 billion for 2022, 2021, and 2020, respectively. Interest capitalized as part of the cost of property, plant, and equipment was $77 million, $66 million, and $77 million for 2022, 2021, and 2020, respectively.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00" w:type="dxa"/>
            <w:vAlign w:val="bottom"/>
            <w:gridSpan w:val="4"/>
          </w:tcPr>
          <w:p>
            <w:pPr>
              <w:jc w:val="center"/>
              <w:ind w:left="15"/>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22"/>
        </w:trPr>
        <w:tc>
          <w:tcPr>
            <w:tcW w:w="6760" w:type="dxa"/>
            <w:vAlign w:val="bottom"/>
            <w:gridSpan w:val="3"/>
          </w:tcPr>
          <w:p>
            <w:pPr>
              <w:spacing w:after="0"/>
              <w:rPr>
                <w:sz w:val="20"/>
                <w:szCs w:val="20"/>
                <w:color w:val="auto"/>
              </w:rPr>
            </w:pPr>
            <w:r>
              <w:rPr>
                <w:rFonts w:ascii="Arial" w:cs="Arial" w:eastAsia="Arial" w:hAnsi="Arial"/>
                <w:sz w:val="40"/>
                <w:szCs w:val="40"/>
                <w:b w:val="1"/>
                <w:bCs w:val="1"/>
                <w:color w:val="auto"/>
              </w:rPr>
              <w:t>Intangible Assets and Goodwill</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0090DA"/>
            </w:tcBorders>
          </w:tcPr>
          <w:p>
            <w:pPr>
              <w:spacing w:after="0"/>
              <w:rPr>
                <w:sz w:val="24"/>
                <w:szCs w:val="24"/>
                <w:color w:val="auto"/>
              </w:rPr>
            </w:pPr>
          </w:p>
        </w:tc>
        <w:tc>
          <w:tcPr>
            <w:tcW w:w="130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2640" w:type="dxa"/>
            <w:vAlign w:val="bottom"/>
            <w:tcBorders>
              <w:bottom w:val="single" w:sz="8" w:color="0090DA"/>
            </w:tcBorders>
            <w:gridSpan w:val="3"/>
          </w:tcPr>
          <w:p>
            <w:pPr>
              <w:jc w:val="right"/>
              <w:ind w:right="11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240" w:type="dxa"/>
            <w:vAlign w:val="bottom"/>
            <w:tcBorders>
              <w:bottom w:val="single" w:sz="8" w:color="0090DA"/>
            </w:tcBorders>
          </w:tcPr>
          <w:p>
            <w:pPr>
              <w:spacing w:after="0"/>
              <w:rPr>
                <w:sz w:val="20"/>
                <w:szCs w:val="20"/>
                <w:color w:val="auto"/>
              </w:rPr>
            </w:pPr>
          </w:p>
        </w:tc>
        <w:tc>
          <w:tcPr>
            <w:tcW w:w="2640" w:type="dxa"/>
            <w:vAlign w:val="bottom"/>
            <w:tcBorders>
              <w:bottom w:val="single" w:sz="8" w:color="0090DA"/>
            </w:tcBorders>
            <w:gridSpan w:val="4"/>
          </w:tcPr>
          <w:p>
            <w:pPr>
              <w:jc w:val="right"/>
              <w:ind w:right="115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240" w:type="dxa"/>
            <w:vAlign w:val="bottom"/>
          </w:tcPr>
          <w:p>
            <w:pPr>
              <w:spacing w:after="0"/>
              <w:rPr>
                <w:sz w:val="15"/>
                <w:szCs w:val="15"/>
                <w:color w:val="auto"/>
              </w:rPr>
            </w:pPr>
          </w:p>
        </w:tc>
        <w:tc>
          <w:tcPr>
            <w:tcW w:w="116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Gross</w:t>
            </w:r>
          </w:p>
        </w:tc>
        <w:tc>
          <w:tcPr>
            <w:tcW w:w="180" w:type="dxa"/>
            <w:vAlign w:val="bottom"/>
          </w:tcPr>
          <w:p>
            <w:pPr>
              <w:spacing w:after="0"/>
              <w:rPr>
                <w:sz w:val="15"/>
                <w:szCs w:val="15"/>
                <w:color w:val="auto"/>
              </w:rPr>
            </w:pPr>
          </w:p>
        </w:tc>
        <w:tc>
          <w:tcPr>
            <w:tcW w:w="1300" w:type="dxa"/>
            <w:vAlign w:val="bottom"/>
          </w:tcPr>
          <w:p>
            <w:pPr>
              <w:ind w:left="20"/>
              <w:spacing w:after="0" w:line="177" w:lineRule="exact"/>
              <w:rPr>
                <w:sz w:val="20"/>
                <w:szCs w:val="20"/>
                <w:color w:val="auto"/>
              </w:rPr>
            </w:pPr>
            <w:r>
              <w:rPr>
                <w:rFonts w:ascii="Arial" w:cs="Arial" w:eastAsia="Arial" w:hAnsi="Arial"/>
                <w:sz w:val="18"/>
                <w:szCs w:val="18"/>
                <w:b w:val="1"/>
                <w:bCs w:val="1"/>
                <w:color w:val="auto"/>
              </w:rPr>
              <w:t>Accumulated</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jc w:val="right"/>
              <w:ind w:right="330"/>
              <w:spacing w:after="0" w:line="177" w:lineRule="exact"/>
              <w:rPr>
                <w:sz w:val="20"/>
                <w:szCs w:val="20"/>
                <w:color w:val="auto"/>
              </w:rPr>
            </w:pPr>
            <w:r>
              <w:rPr>
                <w:rFonts w:ascii="Arial" w:cs="Arial" w:eastAsia="Arial" w:hAnsi="Arial"/>
                <w:sz w:val="18"/>
                <w:szCs w:val="18"/>
                <w:b w:val="1"/>
                <w:bCs w:val="1"/>
                <w:color w:val="auto"/>
              </w:rPr>
              <w:t>Gross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tcPr>
          <w:p>
            <w:pPr>
              <w:jc w:val="center"/>
              <w:ind w:right="50"/>
              <w:spacing w:after="0" w:line="177" w:lineRule="exact"/>
              <w:rPr>
                <w:sz w:val="20"/>
                <w:szCs w:val="20"/>
                <w:color w:val="auto"/>
              </w:rPr>
            </w:pPr>
            <w:r>
              <w:rPr>
                <w:rFonts w:ascii="Arial" w:cs="Arial" w:eastAsia="Arial" w:hAnsi="Arial"/>
                <w:sz w:val="18"/>
                <w:szCs w:val="18"/>
                <w:b w:val="1"/>
                <w:bCs w:val="1"/>
                <w:color w:val="auto"/>
                <w:w w:val="99"/>
              </w:rPr>
              <w:t>Accumulated</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8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Amortization</w:t>
            </w:r>
          </w:p>
        </w:tc>
        <w:tc>
          <w:tcPr>
            <w:tcW w:w="240" w:type="dxa"/>
            <w:vAlign w:val="bottom"/>
          </w:tcPr>
          <w:p>
            <w:pPr>
              <w:spacing w:after="0"/>
              <w:rPr>
                <w:sz w:val="20"/>
                <w:szCs w:val="20"/>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Amortization</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60" w:type="dxa"/>
            <w:vAlign w:val="bottom"/>
            <w:tcBorders>
              <w:top w:val="single" w:sz="8" w:color="0090DA"/>
            </w:tcBorders>
          </w:tcPr>
          <w:p>
            <w:pPr>
              <w:spacing w:after="0"/>
              <w:rPr>
                <w:sz w:val="2"/>
                <w:szCs w:val="2"/>
                <w:color w:val="auto"/>
              </w:rPr>
            </w:pPr>
          </w:p>
        </w:tc>
        <w:tc>
          <w:tcPr>
            <w:tcW w:w="1300" w:type="dxa"/>
            <w:vAlign w:val="bottom"/>
            <w:tcBorders>
              <w:top w:val="single" w:sz="8" w:color="0090DA"/>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Product and process technology</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742</w:t>
            </w:r>
          </w:p>
        </w:tc>
        <w:tc>
          <w:tcPr>
            <w:tcW w:w="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633</w:t>
            </w:r>
          </w:p>
        </w:tc>
        <w:tc>
          <w:tcPr>
            <w:tcW w:w="18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320"/>
        <w:spacing w:after="0" w:line="262" w:lineRule="auto"/>
        <w:rPr>
          <w:sz w:val="20"/>
          <w:szCs w:val="20"/>
          <w:color w:val="auto"/>
        </w:rPr>
      </w:pPr>
      <w:r>
        <w:rPr>
          <w:rFonts w:ascii="Arial" w:cs="Arial" w:eastAsia="Arial" w:hAnsi="Arial"/>
          <w:sz w:val="18"/>
          <w:szCs w:val="18"/>
          <w:color w:val="auto"/>
        </w:rPr>
        <w:t>In 2022, 2021, and 2020, we capitalized $158 million, $106 million, and $73 million, respectively, for product and process technology with weighted-average useful lives of 9 years, 9 years, and 10 years, respectively. Amortization expense was $ 85 million, $82 million, and $ 78 million for 2022, 2021, and 2020, respectively. Expected amortization expense is $83 million for 2023, $72 million for 2024, $52 million for 2025, $43 million for 2026, and $37 million for 2027.</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Leases</w:t>
      </w:r>
    </w:p>
    <w:p>
      <w:pPr>
        <w:spacing w:after="0" w:line="257"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have finance and operating leases through which we obtain the right to use facilities, land, and equipment that support our business operations. Our finance leases consist primarily of gas or other supply agreements that are deemed to contain embedded leases. Our operating leases consist primarily of offices, laboratories, other facilities, and land. Certain of our operating leases include one or more options to extend the lease term for periods from one year to 10 years for real estate and one year to 30 years for land.</w:t>
      </w:r>
    </w:p>
    <w:p>
      <w:pPr>
        <w:spacing w:after="0" w:line="2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Certain supply or service agreements require us to exercise significant judgment to determine whether the agreement contains a lease. Our assessment includes determining whether we or the supplier control the assets used to fulfill the agreements by identifying whether we or the supplier have the right to change the type, quantity, timing, or location of the output of the assets. Our gas supply arrangements generally are deemed to contain a lease because we have the right to substantially all of the output of the assets used to produce the supply and we have the right to change the quantity and timing of the output of those assets. In determining the lease term, we assess whether we are reasonably certain to exercise any options to renew or terminate a lease or to purchase the right-of-use asset. Measuring the present value of the initial lease liability requires judgment to determine the discount rate, which we base on interest rates for borrowings with similar terms and collateral issued by entities with credit ratings similar to ours.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0" w:type="dxa"/>
            <w:vAlign w:val="bottom"/>
          </w:tcPr>
          <w:p>
            <w:pPr>
              <w:spacing w:after="0"/>
              <w:rPr>
                <w:sz w:val="20"/>
                <w:szCs w:val="20"/>
                <w:color w:val="auto"/>
              </w:rPr>
            </w:pPr>
            <w:r>
              <w:rPr>
                <w:rFonts w:ascii="Arial" w:cs="Arial" w:eastAsia="Arial" w:hAnsi="Arial"/>
                <w:sz w:val="18"/>
                <w:szCs w:val="18"/>
                <w:color w:val="auto"/>
              </w:rPr>
              <w:t>The components of lease cost are presented below:</w:t>
            </w:r>
          </w:p>
        </w:tc>
        <w:tc>
          <w:tcPr>
            <w:tcW w:w="2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65"/>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56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440" w:type="dxa"/>
            <w:vAlign w:val="bottom"/>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Finance lease cost</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Amortization of right-of-use asset</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on lease liability</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99</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6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5"/>
        </w:trPr>
        <w:tc>
          <w:tcPr>
            <w:tcW w:w="6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6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r>
      <w:tr>
        <w:trPr>
          <w:trHeight w:val="223"/>
        </w:trPr>
        <w:tc>
          <w:tcPr>
            <w:tcW w:w="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6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-770890</wp:posOffset>
            </wp:positionV>
            <wp:extent cx="713232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-479425</wp:posOffset>
            </wp:positionV>
            <wp:extent cx="7132320" cy="145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-4388485</wp:posOffset>
            </wp:positionH>
            <wp:positionV relativeFrom="paragraph">
              <wp:posOffset>-187960</wp:posOffset>
            </wp:positionV>
            <wp:extent cx="71323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6200" w:space="720"/>
            <w:col w:w="4320"/>
          </w:cols>
          <w:pgMar w:left="320" w:top="118" w:right="339" w:bottom="1440" w:gutter="0" w:footer="0" w:header="0"/>
          <w:type w:val="continuous"/>
        </w:sectPr>
      </w:pPr>
    </w:p>
    <w:p>
      <w:pPr>
        <w:ind w:left="160" w:hanging="152"/>
        <w:spacing w:after="0"/>
        <w:tabs>
          <w:tab w:leader="none" w:pos="160" w:val="left"/>
        </w:tabs>
        <w:numPr>
          <w:ilvl w:val="0"/>
          <w:numId w:val="33"/>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Operating lease cost includes short-term and variable lease expenses, which were not material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8034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6"/>
          <w:szCs w:val="16"/>
          <w:b w:val="1"/>
          <w:bCs w:val="1"/>
          <w:color w:val="auto"/>
        </w:rPr>
        <w:t xml:space="preserv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94615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2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10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3"/>
        </w:trPr>
        <w:tc>
          <w:tcPr>
            <w:tcW w:w="62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020" w:type="dxa"/>
            <w:vAlign w:val="bottom"/>
            <w:tcBorders>
              <w:bottom w:val="single" w:sz="8" w:color="0090DA"/>
            </w:tcBorders>
          </w:tcPr>
          <w:p>
            <w:pPr>
              <w:spacing w:after="0"/>
              <w:rPr>
                <w:sz w:val="21"/>
                <w:szCs w:val="21"/>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Cash flows used for operating activities</w:t>
            </w:r>
          </w:p>
        </w:tc>
        <w:tc>
          <w:tcPr>
            <w:tcW w:w="10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0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200" w:type="dxa"/>
            <w:vAlign w:val="bottom"/>
            <w:shd w:val="clear" w:color="auto" w:fill="DDDDDD"/>
          </w:tcPr>
          <w:p>
            <w:pPr>
              <w:ind w:left="140"/>
              <w:spacing w:after="0" w:line="230" w:lineRule="exact"/>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10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106</w:t>
            </w:r>
          </w:p>
        </w:tc>
        <w:tc>
          <w:tcPr>
            <w:tcW w:w="3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Cash flows used for financing activities – Finance leases</w:t>
            </w:r>
          </w:p>
        </w:tc>
        <w:tc>
          <w:tcPr>
            <w:tcW w:w="1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200" w:type="dxa"/>
            <w:vAlign w:val="bottom"/>
            <w:shd w:val="clear" w:color="auto" w:fill="DDDDDD"/>
          </w:tcPr>
          <w:p>
            <w:pPr>
              <w:ind w:left="20"/>
              <w:spacing w:after="0"/>
              <w:rPr>
                <w:sz w:val="20"/>
                <w:szCs w:val="20"/>
                <w:color w:val="auto"/>
              </w:rPr>
            </w:pPr>
            <w:r>
              <w:rPr>
                <w:rFonts w:ascii="Arial" w:cs="Arial" w:eastAsia="Arial" w:hAnsi="Arial"/>
                <w:sz w:val="18"/>
                <w:szCs w:val="18"/>
                <w:color w:val="auto"/>
              </w:rPr>
              <w:t>Noncash acquisitions of right-of-use assets</w:t>
            </w:r>
          </w:p>
        </w:tc>
        <w:tc>
          <w:tcPr>
            <w:tcW w:w="1020" w:type="dxa"/>
            <w:vAlign w:val="bottom"/>
            <w:shd w:val="clear" w:color="auto" w:fill="DDDDDD"/>
          </w:tcPr>
          <w:p>
            <w:pPr>
              <w:spacing w:after="0"/>
              <w:rPr>
                <w:sz w:val="19"/>
                <w:szCs w:val="19"/>
                <w:color w:val="auto"/>
              </w:rPr>
            </w:pPr>
          </w:p>
        </w:tc>
        <w:tc>
          <w:tcPr>
            <w:tcW w:w="110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080" w:type="dxa"/>
            <w:vAlign w:val="bottom"/>
            <w:shd w:val="clear" w:color="auto" w:fill="DDDDDD"/>
          </w:tcPr>
          <w:p>
            <w:pPr>
              <w:spacing w:after="0"/>
              <w:rPr>
                <w:sz w:val="19"/>
                <w:szCs w:val="19"/>
                <w:color w:val="auto"/>
              </w:rPr>
            </w:pPr>
          </w:p>
        </w:tc>
        <w:tc>
          <w:tcPr>
            <w:tcW w:w="360" w:type="dxa"/>
            <w:vAlign w:val="bottom"/>
            <w:shd w:val="clear" w:color="auto" w:fill="DDDDDD"/>
          </w:tcPr>
          <w:p>
            <w:pPr>
              <w:spacing w:after="0"/>
              <w:rPr>
                <w:sz w:val="19"/>
                <w:szCs w:val="19"/>
                <w:color w:val="auto"/>
              </w:rPr>
            </w:pPr>
          </w:p>
        </w:tc>
        <w:tc>
          <w:tcPr>
            <w:tcW w:w="1120" w:type="dxa"/>
            <w:vAlign w:val="bottom"/>
            <w:shd w:val="clear" w:color="auto" w:fill="DDDDDD"/>
          </w:tcPr>
          <w:p>
            <w:pPr>
              <w:spacing w:after="0"/>
              <w:rPr>
                <w:sz w:val="19"/>
                <w:szCs w:val="19"/>
                <w:color w:val="auto"/>
              </w:rPr>
            </w:pPr>
          </w:p>
        </w:tc>
      </w:tr>
      <w:tr>
        <w:trPr>
          <w:trHeight w:val="229"/>
        </w:trPr>
        <w:tc>
          <w:tcPr>
            <w:tcW w:w="620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10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309</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6200" w:type="dxa"/>
            <w:vAlign w:val="bottom"/>
            <w:shd w:val="clear" w:color="auto" w:fill="DDDDDD"/>
          </w:tcPr>
          <w:p>
            <w:pPr>
              <w:ind w:left="140"/>
              <w:spacing w:after="0"/>
              <w:rPr>
                <w:sz w:val="20"/>
                <w:szCs w:val="20"/>
                <w:color w:val="auto"/>
              </w:rPr>
            </w:pPr>
            <w:r>
              <w:rPr>
                <w:rFonts w:ascii="Arial" w:cs="Arial" w:eastAsia="Arial" w:hAnsi="Arial"/>
                <w:sz w:val="18"/>
                <w:szCs w:val="18"/>
                <w:color w:val="auto"/>
              </w:rPr>
              <w:t>Operating leases</w:t>
            </w:r>
          </w:p>
        </w:tc>
        <w:tc>
          <w:tcPr>
            <w:tcW w:w="1020" w:type="dxa"/>
            <w:vAlign w:val="bottom"/>
            <w:shd w:val="clear" w:color="auto" w:fill="DDDDDD"/>
          </w:tcPr>
          <w:p>
            <w:pPr>
              <w:spacing w:after="0"/>
              <w:rPr>
                <w:sz w:val="19"/>
                <w:szCs w:val="19"/>
                <w:color w:val="auto"/>
              </w:rPr>
            </w:pPr>
          </w:p>
        </w:tc>
        <w:tc>
          <w:tcPr>
            <w:tcW w:w="110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DDDDDD"/>
          </w:tcPr>
          <w:p>
            <w:pPr>
              <w:spacing w:after="0"/>
              <w:rPr>
                <w:sz w:val="19"/>
                <w:szCs w:val="19"/>
                <w:color w:val="auto"/>
              </w:rPr>
            </w:pPr>
          </w:p>
        </w:tc>
        <w:tc>
          <w:tcPr>
            <w:tcW w:w="10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27</w:t>
            </w:r>
          </w:p>
        </w:tc>
        <w:tc>
          <w:tcPr>
            <w:tcW w:w="360" w:type="dxa"/>
            <w:vAlign w:val="bottom"/>
            <w:shd w:val="clear" w:color="auto" w:fill="DDDDDD"/>
          </w:tcPr>
          <w:p>
            <w:pPr>
              <w:spacing w:after="0"/>
              <w:rPr>
                <w:sz w:val="19"/>
                <w:szCs w:val="19"/>
                <w:color w:val="auto"/>
              </w:rPr>
            </w:pPr>
          </w:p>
        </w:tc>
        <w:tc>
          <w:tcPr>
            <w:tcW w:w="11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w:t>
            </w:r>
          </w:p>
        </w:tc>
      </w:tr>
    </w:tbl>
    <w:p>
      <w:pPr>
        <w:spacing w:after="0" w:line="78" w:lineRule="exact"/>
        <w:rPr>
          <w:sz w:val="20"/>
          <w:szCs w:val="20"/>
          <w:color w:val="auto"/>
        </w:rPr>
      </w:pPr>
    </w:p>
    <w:p>
      <w:pPr>
        <w:ind w:left="160" w:hanging="152"/>
        <w:spacing w:after="0"/>
        <w:tabs>
          <w:tab w:leader="none" w:pos="160" w:val="left"/>
        </w:tabs>
        <w:numPr>
          <w:ilvl w:val="0"/>
          <w:numId w:val="34"/>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Includes $48 million of reimbursements received for tenant improvements for 2020.</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90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78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46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780" w:type="dxa"/>
            <w:vAlign w:val="bottom"/>
            <w:tcBorders>
              <w:bottom w:val="single" w:sz="8" w:color="0090DA"/>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0090DA"/>
            </w:tcBorders>
          </w:tcPr>
          <w:p>
            <w:pPr>
              <w:spacing w:after="0"/>
              <w:rPr>
                <w:sz w:val="21"/>
                <w:szCs w:val="21"/>
                <w:color w:val="auto"/>
              </w:rPr>
            </w:pPr>
          </w:p>
        </w:tc>
        <w:tc>
          <w:tcPr>
            <w:tcW w:w="200" w:type="dxa"/>
            <w:vAlign w:val="bottom"/>
            <w:tcBorders>
              <w:bottom w:val="single" w:sz="8" w:color="0090DA"/>
            </w:tcBorders>
          </w:tcPr>
          <w:p>
            <w:pPr>
              <w:spacing w:after="0"/>
              <w:rPr>
                <w:sz w:val="21"/>
                <w:szCs w:val="21"/>
                <w:color w:val="auto"/>
              </w:rPr>
            </w:pPr>
          </w:p>
        </w:tc>
        <w:tc>
          <w:tcPr>
            <w:tcW w:w="1220" w:type="dxa"/>
            <w:vAlign w:val="bottom"/>
            <w:tcBorders>
              <w:bottom w:val="single" w:sz="8" w:color="0090DA"/>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40" w:type="dxa"/>
            <w:vAlign w:val="bottom"/>
          </w:tcPr>
          <w:p>
            <w:pPr>
              <w:spacing w:after="0"/>
              <w:rPr>
                <w:sz w:val="15"/>
                <w:szCs w:val="15"/>
                <w:color w:val="auto"/>
              </w:rPr>
            </w:pPr>
          </w:p>
        </w:tc>
        <w:tc>
          <w:tcPr>
            <w:tcW w:w="786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Finance lease right-of-use assets (included in property, plant, and equipment and assets held for</w:t>
            </w:r>
          </w:p>
        </w:tc>
        <w:tc>
          <w:tcPr>
            <w:tcW w:w="460" w:type="dxa"/>
            <w:vAlign w:val="bottom"/>
            <w:vMerge w:val="restart"/>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5"/>
                <w:szCs w:val="15"/>
                <w:color w:val="auto"/>
              </w:rPr>
            </w:pPr>
          </w:p>
        </w:tc>
        <w:tc>
          <w:tcPr>
            <w:tcW w:w="7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904</w:t>
            </w:r>
          </w:p>
        </w:tc>
        <w:tc>
          <w:tcPr>
            <w:tcW w:w="4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5"/>
                <w:szCs w:val="15"/>
                <w:color w:val="auto"/>
              </w:rPr>
            </w:pPr>
          </w:p>
        </w:tc>
        <w:tc>
          <w:tcPr>
            <w:tcW w:w="1220" w:type="dxa"/>
            <w:vAlign w:val="bottom"/>
            <w:vMerge w:val="restart"/>
            <w:shd w:val="clear" w:color="auto" w:fill="D1D2D4"/>
          </w:tcPr>
          <w:p>
            <w:pPr>
              <w:jc w:val="right"/>
              <w:ind w:right="170"/>
              <w:spacing w:after="0"/>
              <w:rPr>
                <w:sz w:val="20"/>
                <w:szCs w:val="20"/>
                <w:color w:val="auto"/>
              </w:rPr>
            </w:pPr>
            <w:r>
              <w:rPr>
                <w:rFonts w:ascii="Arial" w:cs="Arial" w:eastAsia="Arial" w:hAnsi="Arial"/>
                <w:sz w:val="18"/>
                <w:szCs w:val="18"/>
                <w:color w:val="auto"/>
              </w:rPr>
              <w:t>766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sale)</w:t>
            </w:r>
          </w:p>
        </w:tc>
        <w:tc>
          <w:tcPr>
            <w:tcW w:w="460" w:type="dxa"/>
            <w:vAlign w:val="bottom"/>
            <w:vMerge w:val="continue"/>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780" w:type="dxa"/>
            <w:vAlign w:val="bottom"/>
            <w:vMerge w:val="continue"/>
            <w:shd w:val="clear" w:color="auto" w:fill="D1D2D4"/>
          </w:tcPr>
          <w:p>
            <w:pPr>
              <w:spacing w:after="0"/>
              <w:rPr>
                <w:sz w:val="21"/>
                <w:szCs w:val="21"/>
                <w:color w:val="auto"/>
              </w:rPr>
            </w:pPr>
          </w:p>
        </w:tc>
        <w:tc>
          <w:tcPr>
            <w:tcW w:w="460" w:type="dxa"/>
            <w:vAlign w:val="bottom"/>
            <w:vMerge w:val="continue"/>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1220" w:type="dxa"/>
            <w:vAlign w:val="bottom"/>
            <w:vMerge w:val="continue"/>
            <w:shd w:val="clear" w:color="auto" w:fill="D1D2D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Current operating lease liabilities (included in accounts payable and accrued expenses)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7860" w:type="dxa"/>
            <w:vAlign w:val="bottom"/>
            <w:shd w:val="clear" w:color="auto" w:fill="D1D2D4"/>
          </w:tcPr>
          <w:p>
            <w:pPr>
              <w:spacing w:after="0"/>
              <w:rPr>
                <w:sz w:val="23"/>
                <w:szCs w:val="23"/>
                <w:color w:val="auto"/>
              </w:rPr>
            </w:pPr>
          </w:p>
        </w:tc>
        <w:tc>
          <w:tcPr>
            <w:tcW w:w="46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780" w:type="dxa"/>
            <w:vAlign w:val="bottom"/>
            <w:shd w:val="clear" w:color="auto" w:fill="D1D2D4"/>
          </w:tcPr>
          <w:p>
            <w:pPr>
              <w:spacing w:after="0"/>
              <w:rPr>
                <w:sz w:val="23"/>
                <w:szCs w:val="23"/>
                <w:color w:val="auto"/>
              </w:rPr>
            </w:pPr>
          </w:p>
        </w:tc>
        <w:tc>
          <w:tcPr>
            <w:tcW w:w="460" w:type="dxa"/>
            <w:vAlign w:val="bottom"/>
            <w:shd w:val="clear" w:color="auto" w:fill="D1D2D4"/>
          </w:tcPr>
          <w:p>
            <w:pPr>
              <w:spacing w:after="0"/>
              <w:rPr>
                <w:sz w:val="23"/>
                <w:szCs w:val="23"/>
                <w:color w:val="auto"/>
              </w:rPr>
            </w:pPr>
          </w:p>
        </w:tc>
        <w:tc>
          <w:tcPr>
            <w:tcW w:w="200" w:type="dxa"/>
            <w:vAlign w:val="bottom"/>
            <w:shd w:val="clear" w:color="auto" w:fill="D1D2D4"/>
          </w:tcPr>
          <w:p>
            <w:pPr>
              <w:spacing w:after="0"/>
              <w:rPr>
                <w:sz w:val="23"/>
                <w:szCs w:val="23"/>
                <w:color w:val="auto"/>
              </w:rPr>
            </w:pPr>
          </w:p>
        </w:tc>
        <w:tc>
          <w:tcPr>
            <w:tcW w:w="1220" w:type="dxa"/>
            <w:vAlign w:val="bottom"/>
            <w:shd w:val="clear" w:color="auto" w:fill="D1D2D4"/>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Finance leases</w:t>
            </w:r>
          </w:p>
        </w:tc>
        <w:tc>
          <w:tcPr>
            <w:tcW w:w="4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discount rate</w:t>
            </w:r>
          </w:p>
        </w:tc>
        <w:tc>
          <w:tcPr>
            <w:tcW w:w="4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spacing w:after="0"/>
              <w:rPr>
                <w:sz w:val="19"/>
                <w:szCs w:val="19"/>
                <w:color w:val="auto"/>
              </w:rPr>
            </w:pPr>
          </w:p>
        </w:tc>
        <w:tc>
          <w:tcPr>
            <w:tcW w:w="4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860" w:type="dxa"/>
            <w:vAlign w:val="bottom"/>
          </w:tcPr>
          <w:p>
            <w:pPr>
              <w:ind w:left="120"/>
              <w:spacing w:after="0"/>
              <w:rPr>
                <w:sz w:val="20"/>
                <w:szCs w:val="20"/>
                <w:color w:val="auto"/>
              </w:rPr>
            </w:pPr>
            <w:r>
              <w:rPr>
                <w:rFonts w:ascii="Arial" w:cs="Arial" w:eastAsia="Arial" w:hAnsi="Arial"/>
                <w:sz w:val="18"/>
                <w:szCs w:val="18"/>
                <w:color w:val="auto"/>
              </w:rPr>
              <w:t>Finance leases</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2.65 %</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8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Operating leases</w:t>
            </w:r>
          </w:p>
        </w:tc>
        <w:tc>
          <w:tcPr>
            <w:tcW w:w="4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40" w:type="dxa"/>
            <w:vAlign w:val="bottom"/>
            <w:gridSpan w:val="2"/>
            <w:shd w:val="clear" w:color="auto" w:fill="D1D2D4"/>
          </w:tcPr>
          <w:p>
            <w:pPr>
              <w:jc w:val="right"/>
              <w:ind w:right="150"/>
              <w:spacing w:after="0"/>
              <w:rPr>
                <w:sz w:val="20"/>
                <w:szCs w:val="20"/>
                <w:color w:val="auto"/>
              </w:rPr>
            </w:pPr>
            <w:r>
              <w:rPr>
                <w:rFonts w:ascii="Arial" w:cs="Arial" w:eastAsia="Arial" w:hAnsi="Arial"/>
                <w:sz w:val="18"/>
                <w:szCs w:val="18"/>
                <w:color w:val="auto"/>
              </w:rPr>
              <w:t>2.90 %</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2.63 %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7900" w:type="dxa"/>
            <w:vAlign w:val="bottom"/>
            <w:gridSpan w:val="2"/>
          </w:tcPr>
          <w:p>
            <w:pPr>
              <w:spacing w:after="0"/>
              <w:rPr>
                <w:sz w:val="20"/>
                <w:szCs w:val="20"/>
                <w:color w:val="auto"/>
              </w:rPr>
            </w:pPr>
            <w:r>
              <w:rPr>
                <w:rFonts w:ascii="Arial" w:cs="Arial" w:eastAsia="Arial" w:hAnsi="Arial"/>
                <w:sz w:val="18"/>
                <w:szCs w:val="18"/>
                <w:color w:val="auto"/>
              </w:rPr>
              <w:t>As of September 1, 2022, maturities of lease liabilities were as follows:</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9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460" w:type="dxa"/>
            <w:vAlign w:val="bottom"/>
          </w:tcPr>
          <w:p>
            <w:pPr>
              <w:spacing w:after="0"/>
              <w:rPr>
                <w:sz w:val="17"/>
                <w:szCs w:val="17"/>
                <w:color w:val="auto"/>
              </w:rPr>
            </w:pPr>
          </w:p>
        </w:tc>
        <w:tc>
          <w:tcPr>
            <w:tcW w:w="144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Finance Leases</w:t>
            </w:r>
          </w:p>
        </w:tc>
        <w:tc>
          <w:tcPr>
            <w:tcW w:w="20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8"/>
              </w:rPr>
              <w:t>Operating</w:t>
            </w:r>
          </w:p>
        </w:tc>
        <w:tc>
          <w:tcPr>
            <w:tcW w:w="0" w:type="dxa"/>
            <w:vAlign w:val="bottom"/>
          </w:tcPr>
          <w:p>
            <w:pPr>
              <w:spacing w:after="0"/>
              <w:rPr>
                <w:sz w:val="1"/>
                <w:szCs w:val="1"/>
                <w:color w:val="auto"/>
              </w:rPr>
            </w:pPr>
          </w:p>
        </w:tc>
      </w:tr>
      <w:tr>
        <w:trPr>
          <w:trHeight w:val="235"/>
        </w:trPr>
        <w:tc>
          <w:tcPr>
            <w:tcW w:w="7900" w:type="dxa"/>
            <w:vAlign w:val="bottom"/>
            <w:tcBorders>
              <w:bottom w:val="single" w:sz="8" w:color="0090DA"/>
            </w:tcBorders>
            <w:gridSpan w:val="2"/>
            <w:vMerge w:val="continue"/>
          </w:tcPr>
          <w:p>
            <w:pPr>
              <w:spacing w:after="0"/>
              <w:rPr>
                <w:sz w:val="20"/>
                <w:szCs w:val="20"/>
                <w:color w:val="auto"/>
              </w:rPr>
            </w:pPr>
          </w:p>
        </w:tc>
        <w:tc>
          <w:tcPr>
            <w:tcW w:w="460" w:type="dxa"/>
            <w:vAlign w:val="bottom"/>
            <w:tcBorders>
              <w:bottom w:val="single" w:sz="8" w:color="0090DA"/>
            </w:tcBorders>
          </w:tcPr>
          <w:p>
            <w:pPr>
              <w:spacing w:after="0"/>
              <w:rPr>
                <w:sz w:val="20"/>
                <w:szCs w:val="20"/>
                <w:color w:val="auto"/>
              </w:rPr>
            </w:pPr>
          </w:p>
        </w:tc>
        <w:tc>
          <w:tcPr>
            <w:tcW w:w="1440" w:type="dxa"/>
            <w:vAlign w:val="bottom"/>
            <w:tcBorders>
              <w:bottom w:val="single" w:sz="8" w:color="0090DA"/>
            </w:tcBorders>
            <w:gridSpan w:val="3"/>
            <w:vMerge w:val="continue"/>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240" w:type="dxa"/>
            <w:vAlign w:val="bottom"/>
            <w:tcBorders>
              <w:bottom w:val="single" w:sz="8" w:color="0090DA"/>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Leases</w:t>
            </w:r>
          </w:p>
        </w:tc>
        <w:tc>
          <w:tcPr>
            <w:tcW w:w="0" w:type="dxa"/>
            <w:vAlign w:val="bottom"/>
          </w:tcPr>
          <w:p>
            <w:pPr>
              <w:spacing w:after="0"/>
              <w:rPr>
                <w:sz w:val="1"/>
                <w:szCs w:val="1"/>
                <w:color w:val="auto"/>
              </w:rPr>
            </w:pPr>
          </w:p>
        </w:tc>
      </w:tr>
      <w:tr>
        <w:trPr>
          <w:trHeight w:val="34"/>
        </w:trPr>
        <w:tc>
          <w:tcPr>
            <w:tcW w:w="40" w:type="dxa"/>
            <w:vAlign w:val="bottom"/>
          </w:tcPr>
          <w:p>
            <w:pPr>
              <w:spacing w:after="0"/>
              <w:rPr>
                <w:sz w:val="2"/>
                <w:szCs w:val="2"/>
                <w:color w:val="auto"/>
              </w:rPr>
            </w:pPr>
          </w:p>
        </w:tc>
        <w:tc>
          <w:tcPr>
            <w:tcW w:w="7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66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shd w:val="clear" w:color="auto" w:fill="D1D2D4"/>
          </w:tcPr>
          <w:p>
            <w:pPr>
              <w:spacing w:after="0"/>
              <w:rPr>
                <w:sz w:val="19"/>
                <w:szCs w:val="19"/>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123</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spacing w:after="0"/>
              <w:rPr>
                <w:sz w:val="19"/>
                <w:szCs w:val="19"/>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46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80" w:type="dxa"/>
            <w:vAlign w:val="bottom"/>
            <w:shd w:val="clear" w:color="auto" w:fill="D1D2D4"/>
          </w:tcPr>
          <w:p>
            <w:pPr>
              <w:spacing w:after="0"/>
              <w:rPr>
                <w:sz w:val="19"/>
                <w:szCs w:val="19"/>
                <w:color w:val="auto"/>
              </w:rPr>
            </w:pPr>
          </w:p>
        </w:tc>
        <w:tc>
          <w:tcPr>
            <w:tcW w:w="4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64</w:t>
            </w:r>
          </w:p>
        </w:tc>
        <w:tc>
          <w:tcPr>
            <w:tcW w:w="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gridSpan w:val="2"/>
          </w:tcPr>
          <w:p>
            <w:pPr>
              <w:ind w:left="20"/>
              <w:spacing w:after="0"/>
              <w:rPr>
                <w:sz w:val="20"/>
                <w:szCs w:val="20"/>
                <w:color w:val="auto"/>
              </w:rPr>
            </w:pPr>
            <w:r>
              <w:rPr>
                <w:rFonts w:ascii="Arial" w:cs="Arial" w:eastAsia="Arial" w:hAnsi="Arial"/>
                <w:sz w:val="18"/>
                <w:szCs w:val="18"/>
                <w:color w:val="auto"/>
              </w:rPr>
              <w:t>2028 and thereafter</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534</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Less imputed interest</w:t>
            </w:r>
          </w:p>
        </w:tc>
        <w:tc>
          <w:tcPr>
            <w:tcW w:w="460" w:type="dxa"/>
            <w:vAlign w:val="bottom"/>
            <w:shd w:val="clear" w:color="auto" w:fill="D1D2D4"/>
          </w:tcPr>
          <w:p>
            <w:pPr>
              <w:spacing w:after="0"/>
              <w:rPr>
                <w:sz w:val="19"/>
                <w:szCs w:val="19"/>
                <w:color w:val="auto"/>
              </w:rPr>
            </w:pPr>
          </w:p>
        </w:tc>
        <w:tc>
          <w:tcPr>
            <w:tcW w:w="200" w:type="dxa"/>
            <w:vAlign w:val="bottom"/>
            <w:tcBorders>
              <w:bottom w:val="single" w:sz="8" w:color="auto"/>
            </w:tcBorders>
            <w:shd w:val="clear" w:color="auto" w:fill="D1D2D4"/>
          </w:tcPr>
          <w:p>
            <w:pPr>
              <w:spacing w:after="0"/>
              <w:rPr>
                <w:sz w:val="19"/>
                <w:szCs w:val="19"/>
                <w:color w:val="auto"/>
              </w:rPr>
            </w:pPr>
          </w:p>
        </w:tc>
        <w:tc>
          <w:tcPr>
            <w:tcW w:w="780" w:type="dxa"/>
            <w:vAlign w:val="bottom"/>
            <w:tcBorders>
              <w:bottom w:val="single" w:sz="8" w:color="auto"/>
            </w:tcBorders>
            <w:shd w:val="clear" w:color="auto" w:fill="D1D2D4"/>
          </w:tcPr>
          <w:p>
            <w:pPr>
              <w:spacing w:after="0"/>
              <w:rPr>
                <w:sz w:val="19"/>
                <w:szCs w:val="19"/>
                <w:color w:val="auto"/>
              </w:rPr>
            </w:pPr>
          </w:p>
        </w:tc>
        <w:tc>
          <w:tcPr>
            <w:tcW w:w="4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5"/>
              </w:rPr>
              <w:t>(131)</w:t>
            </w:r>
          </w:p>
        </w:tc>
        <w:tc>
          <w:tcPr>
            <w:tcW w:w="200" w:type="dxa"/>
            <w:vAlign w:val="bottom"/>
            <w:tcBorders>
              <w:bottom w:val="single" w:sz="8" w:color="auto"/>
            </w:tcBorders>
            <w:shd w:val="clear" w:color="auto" w:fill="D1D2D4"/>
          </w:tcPr>
          <w:p>
            <w:pPr>
              <w:spacing w:after="0"/>
              <w:rPr>
                <w:sz w:val="19"/>
                <w:szCs w:val="19"/>
                <w:color w:val="auto"/>
              </w:rPr>
            </w:pPr>
          </w:p>
        </w:tc>
        <w:tc>
          <w:tcPr>
            <w:tcW w:w="1240" w:type="dxa"/>
            <w:vAlign w:val="bottom"/>
            <w:tcBorders>
              <w:bottom w:val="single" w:sz="8" w:color="auto"/>
            </w:tcBorders>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table above excludes obligations for leases that have been executed but have not yet commenced. As of September 1, 2022, excluded obligations consisted of $212 million of finance lease obligations over a weighted-average period of 14 years for gas supply arrangements deemed to contain embedded leases. We will recognize right-of-use assets and associated lease liabilities at the time such assets become available for our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2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00" w:type="dxa"/>
            <w:vAlign w:val="bottom"/>
            <w:gridSpan w:val="5"/>
          </w:tcPr>
          <w:p>
            <w:pPr>
              <w:ind w:left="120"/>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22"/>
        </w:trPr>
        <w:tc>
          <w:tcPr>
            <w:tcW w:w="7960" w:type="dxa"/>
            <w:vAlign w:val="bottom"/>
            <w:gridSpan w:val="13"/>
          </w:tcPr>
          <w:p>
            <w:pPr>
              <w:spacing w:after="0"/>
              <w:rPr>
                <w:sz w:val="20"/>
                <w:szCs w:val="20"/>
                <w:color w:val="auto"/>
              </w:rPr>
            </w:pPr>
            <w:r>
              <w:rPr>
                <w:rFonts w:ascii="Arial" w:cs="Arial" w:eastAsia="Arial" w:hAnsi="Arial"/>
                <w:sz w:val="40"/>
                <w:szCs w:val="40"/>
                <w:b w:val="1"/>
                <w:bCs w:val="1"/>
                <w:color w:val="auto"/>
                <w:w w:val="99"/>
              </w:rPr>
              <w:t>Accounts Payable and Accrued Expenses</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0090DA"/>
            </w:tcBorders>
          </w:tcPr>
          <w:p>
            <w:pPr>
              <w:spacing w:after="0"/>
              <w:rPr>
                <w:sz w:val="24"/>
                <w:szCs w:val="24"/>
                <w:color w:val="auto"/>
              </w:rPr>
            </w:pPr>
          </w:p>
        </w:tc>
        <w:tc>
          <w:tcPr>
            <w:tcW w:w="220" w:type="dxa"/>
            <w:vAlign w:val="bottom"/>
            <w:tcBorders>
              <w:top w:val="single" w:sz="8" w:color="0090DA"/>
            </w:tcBorders>
          </w:tcPr>
          <w:p>
            <w:pPr>
              <w:spacing w:after="0"/>
              <w:rPr>
                <w:sz w:val="24"/>
                <w:szCs w:val="24"/>
                <w:color w:val="auto"/>
              </w:rPr>
            </w:pPr>
          </w:p>
        </w:tc>
        <w:tc>
          <w:tcPr>
            <w:tcW w:w="720" w:type="dxa"/>
            <w:vAlign w:val="bottom"/>
            <w:tcBorders>
              <w:top w:val="single" w:sz="8" w:color="0090D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0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1000" w:type="dxa"/>
            <w:vAlign w:val="bottom"/>
            <w:tcBorders>
              <w:bottom w:val="single" w:sz="8" w:color="0090DA"/>
            </w:tcBorders>
          </w:tcPr>
          <w:p>
            <w:pPr>
              <w:spacing w:after="0"/>
              <w:rPr>
                <w:sz w:val="20"/>
                <w:szCs w:val="20"/>
                <w:color w:val="auto"/>
              </w:rPr>
            </w:pPr>
          </w:p>
        </w:tc>
        <w:tc>
          <w:tcPr>
            <w:tcW w:w="980" w:type="dxa"/>
            <w:vAlign w:val="bottom"/>
            <w:tcBorders>
              <w:bottom w:val="single" w:sz="8" w:color="0090DA"/>
            </w:tcBorders>
          </w:tcPr>
          <w:p>
            <w:pPr>
              <w:spacing w:after="0"/>
              <w:rPr>
                <w:sz w:val="20"/>
                <w:szCs w:val="20"/>
                <w:color w:val="auto"/>
              </w:rPr>
            </w:pPr>
          </w:p>
        </w:tc>
        <w:tc>
          <w:tcPr>
            <w:tcW w:w="260" w:type="dxa"/>
            <w:vAlign w:val="bottom"/>
            <w:tcBorders>
              <w:bottom w:val="single" w:sz="8" w:color="0090DA"/>
            </w:tcBorders>
          </w:tcPr>
          <w:p>
            <w:pPr>
              <w:spacing w:after="0"/>
              <w:rPr>
                <w:sz w:val="20"/>
                <w:szCs w:val="20"/>
                <w:color w:val="auto"/>
              </w:rPr>
            </w:pPr>
          </w:p>
        </w:tc>
        <w:tc>
          <w:tcPr>
            <w:tcW w:w="66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740" w:type="dxa"/>
            <w:vAlign w:val="bottom"/>
            <w:tcBorders>
              <w:bottom w:val="single" w:sz="8" w:color="0090DA"/>
            </w:tcBorders>
          </w:tcPr>
          <w:p>
            <w:pPr>
              <w:spacing w:after="0"/>
              <w:rPr>
                <w:sz w:val="20"/>
                <w:szCs w:val="20"/>
                <w:color w:val="auto"/>
              </w:rPr>
            </w:pPr>
          </w:p>
        </w:tc>
        <w:tc>
          <w:tcPr>
            <w:tcW w:w="18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700" w:type="dxa"/>
            <w:vAlign w:val="bottom"/>
            <w:tcBorders>
              <w:bottom w:val="single" w:sz="8" w:color="0090DA"/>
            </w:tcBorders>
          </w:tcPr>
          <w:p>
            <w:pPr>
              <w:spacing w:after="0"/>
              <w:rPr>
                <w:sz w:val="20"/>
                <w:szCs w:val="20"/>
                <w:color w:val="auto"/>
              </w:rPr>
            </w:pPr>
          </w:p>
        </w:tc>
        <w:tc>
          <w:tcPr>
            <w:tcW w:w="100" w:type="dxa"/>
            <w:vAlign w:val="bottom"/>
            <w:tcBorders>
              <w:bottom w:val="single" w:sz="8" w:color="0090DA"/>
            </w:tcBorders>
          </w:tcPr>
          <w:p>
            <w:pPr>
              <w:spacing w:after="0"/>
              <w:rPr>
                <w:sz w:val="20"/>
                <w:szCs w:val="20"/>
                <w:color w:val="auto"/>
              </w:rPr>
            </w:pPr>
          </w:p>
        </w:tc>
        <w:tc>
          <w:tcPr>
            <w:tcW w:w="320" w:type="dxa"/>
            <w:vAlign w:val="bottom"/>
            <w:tcBorders>
              <w:bottom w:val="single" w:sz="8" w:color="0090DA"/>
            </w:tcBorders>
          </w:tcPr>
          <w:p>
            <w:pPr>
              <w:spacing w:after="0"/>
              <w:rPr>
                <w:sz w:val="20"/>
                <w:szCs w:val="20"/>
                <w:color w:val="auto"/>
              </w:rPr>
            </w:pPr>
          </w:p>
        </w:tc>
        <w:tc>
          <w:tcPr>
            <w:tcW w:w="400" w:type="dxa"/>
            <w:vAlign w:val="bottom"/>
            <w:tcBorders>
              <w:bottom w:val="single" w:sz="8" w:color="0090DA"/>
            </w:tcBorders>
          </w:tcPr>
          <w:p>
            <w:pPr>
              <w:spacing w:after="0"/>
              <w:rPr>
                <w:sz w:val="20"/>
                <w:szCs w:val="20"/>
                <w:color w:val="auto"/>
              </w:rPr>
            </w:pPr>
          </w:p>
        </w:tc>
        <w:tc>
          <w:tcPr>
            <w:tcW w:w="20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720" w:type="dxa"/>
            <w:vAlign w:val="bottom"/>
            <w:tcBorders>
              <w:bottom w:val="single" w:sz="8" w:color="0090DA"/>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420" w:type="dxa"/>
            <w:vAlign w:val="bottom"/>
            <w:tcBorders>
              <w:bottom w:val="single" w:sz="8" w:color="0090DA"/>
            </w:tcBorders>
          </w:tcPr>
          <w:p>
            <w:pPr>
              <w:spacing w:after="0"/>
              <w:rPr>
                <w:sz w:val="20"/>
                <w:szCs w:val="20"/>
                <w:color w:val="auto"/>
              </w:rPr>
            </w:pPr>
          </w:p>
        </w:tc>
        <w:tc>
          <w:tcPr>
            <w:tcW w:w="940" w:type="dxa"/>
            <w:vAlign w:val="bottom"/>
            <w:tcBorders>
              <w:bottom w:val="single" w:sz="8" w:color="0090DA"/>
            </w:tcBorders>
            <w:gridSpan w:val="2"/>
          </w:tcPr>
          <w:p>
            <w:pPr>
              <w:jc w:val="right"/>
              <w:ind w:right="430"/>
              <w:spacing w:after="0"/>
              <w:rPr>
                <w:sz w:val="20"/>
                <w:szCs w:val="20"/>
                <w:color w:val="auto"/>
              </w:rPr>
            </w:pPr>
            <w:r>
              <w:rPr>
                <w:rFonts w:ascii="Arial" w:cs="Arial" w:eastAsia="Arial" w:hAnsi="Arial"/>
                <w:sz w:val="18"/>
                <w:szCs w:val="18"/>
                <w:b w:val="1"/>
                <w:bCs w:val="1"/>
                <w:color w:val="auto"/>
                <w:w w:val="9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Accounts payable</w:t>
            </w:r>
          </w:p>
        </w:tc>
        <w:tc>
          <w:tcPr>
            <w:tcW w:w="10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600" w:type="dxa"/>
            <w:vAlign w:val="bottom"/>
            <w:gridSpan w:val="2"/>
            <w:shd w:val="clear" w:color="auto" w:fill="D1D2D4"/>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8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2,142</w:t>
            </w:r>
          </w:p>
        </w:tc>
        <w:tc>
          <w:tcPr>
            <w:tcW w:w="540" w:type="dxa"/>
            <w:vAlign w:val="bottom"/>
            <w:gridSpan w:val="2"/>
            <w:shd w:val="clear" w:color="auto" w:fill="D1D2D4"/>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2,170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Salaries, wages, and benefits</w:t>
            </w:r>
          </w:p>
        </w:tc>
        <w:tc>
          <w:tcPr>
            <w:tcW w:w="9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2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877</w:t>
            </w:r>
          </w:p>
        </w:tc>
        <w:tc>
          <w:tcPr>
            <w:tcW w:w="120" w:type="dxa"/>
            <w:vAlign w:val="bottom"/>
            <w:shd w:val="clear" w:color="auto" w:fill="D1D2D4"/>
          </w:tcPr>
          <w:p>
            <w:pPr>
              <w:spacing w:after="0"/>
              <w:rPr>
                <w:sz w:val="19"/>
                <w:szCs w:val="19"/>
                <w:color w:val="auto"/>
              </w:rPr>
            </w:pPr>
          </w:p>
        </w:tc>
        <w:tc>
          <w:tcPr>
            <w:tcW w:w="42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Income and other taxes</w:t>
            </w: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420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400" w:type="dxa"/>
            <w:vAlign w:val="bottom"/>
            <w:shd w:val="clear" w:color="auto" w:fill="D1D2D4"/>
          </w:tcPr>
          <w:p>
            <w:pPr>
              <w:spacing w:after="0"/>
              <w:rPr>
                <w:sz w:val="19"/>
                <w:szCs w:val="19"/>
                <w:color w:val="auto"/>
              </w:rPr>
            </w:pPr>
          </w:p>
        </w:tc>
        <w:tc>
          <w:tcPr>
            <w:tcW w:w="200" w:type="dxa"/>
            <w:vAlign w:val="bottom"/>
            <w:tcBorders>
              <w:bottom w:val="single" w:sz="8" w:color="auto"/>
            </w:tcBorders>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spacing w:after="0"/>
              <w:rPr>
                <w:sz w:val="19"/>
                <w:szCs w:val="19"/>
                <w:color w:val="auto"/>
              </w:rPr>
            </w:pPr>
          </w:p>
        </w:tc>
        <w:tc>
          <w:tcPr>
            <w:tcW w:w="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481</w:t>
            </w:r>
          </w:p>
        </w:tc>
        <w:tc>
          <w:tcPr>
            <w:tcW w:w="120" w:type="dxa"/>
            <w:vAlign w:val="bottom"/>
            <w:tcBorders>
              <w:bottom w:val="single" w:sz="8" w:color="auto"/>
            </w:tcBorders>
            <w:shd w:val="clear" w:color="auto" w:fill="D1D2D4"/>
          </w:tcPr>
          <w:p>
            <w:pPr>
              <w:spacing w:after="0"/>
              <w:rPr>
                <w:sz w:val="19"/>
                <w:szCs w:val="19"/>
                <w:color w:val="auto"/>
              </w:rPr>
            </w:pPr>
          </w:p>
        </w:tc>
        <w:tc>
          <w:tcPr>
            <w:tcW w:w="420" w:type="dxa"/>
            <w:vAlign w:val="bottom"/>
            <w:tcBorders>
              <w:bottom w:val="single" w:sz="8" w:color="auto"/>
            </w:tcBorders>
            <w:shd w:val="clear" w:color="auto" w:fill="D1D2D4"/>
          </w:tcPr>
          <w:p>
            <w:pPr>
              <w:spacing w:after="0"/>
              <w:rPr>
                <w:sz w:val="19"/>
                <w:szCs w:val="19"/>
                <w:color w:val="auto"/>
              </w:rPr>
            </w:pPr>
          </w:p>
        </w:tc>
        <w:tc>
          <w:tcPr>
            <w:tcW w:w="220" w:type="dxa"/>
            <w:vAlign w:val="bottom"/>
            <w:tcBorders>
              <w:bottom w:val="single" w:sz="8" w:color="auto"/>
            </w:tcBorders>
            <w:shd w:val="clear" w:color="auto" w:fill="D1D2D4"/>
          </w:tcPr>
          <w:p>
            <w:pPr>
              <w:spacing w:after="0"/>
              <w:rPr>
                <w:sz w:val="19"/>
                <w:szCs w:val="19"/>
                <w:color w:val="auto"/>
              </w:rPr>
            </w:pPr>
          </w:p>
        </w:tc>
        <w:tc>
          <w:tcPr>
            <w:tcW w:w="7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6,090</w:t>
            </w:r>
          </w:p>
        </w:tc>
        <w:tc>
          <w:tcPr>
            <w:tcW w:w="5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rPr>
                <w:sz w:val="20"/>
                <w:szCs w:val="20"/>
                <w:color w:val="auto"/>
              </w:rPr>
            </w:pPr>
            <w:r>
              <w:rPr>
                <w:rFonts w:ascii="Arial" w:cs="Arial" w:eastAsia="Arial" w:hAnsi="Arial"/>
                <w:sz w:val="40"/>
                <w:szCs w:val="40"/>
                <w:b w:val="1"/>
                <w:bCs w:val="1"/>
                <w:color w:val="auto"/>
              </w:rPr>
              <w:t>Debt</w:t>
            </w: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00"/>
        </w:trPr>
        <w:tc>
          <w:tcPr>
            <w:tcW w:w="20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2022</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vMerge w:val="restart"/>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00" w:type="dxa"/>
            <w:vAlign w:val="bottom"/>
          </w:tcPr>
          <w:p>
            <w:pPr>
              <w:spacing w:after="0"/>
              <w:rPr>
                <w:sz w:val="17"/>
                <w:szCs w:val="17"/>
                <w:color w:val="auto"/>
              </w:rPr>
            </w:pPr>
          </w:p>
        </w:tc>
        <w:tc>
          <w:tcPr>
            <w:tcW w:w="1000" w:type="dxa"/>
            <w:vAlign w:val="bottom"/>
            <w:tcBorders>
              <w:bottom w:val="single" w:sz="8" w:color="0090DA"/>
            </w:tcBorders>
          </w:tcPr>
          <w:p>
            <w:pPr>
              <w:spacing w:after="0"/>
              <w:rPr>
                <w:sz w:val="17"/>
                <w:szCs w:val="17"/>
                <w:color w:val="auto"/>
              </w:rPr>
            </w:pPr>
          </w:p>
        </w:tc>
        <w:tc>
          <w:tcPr>
            <w:tcW w:w="980" w:type="dxa"/>
            <w:vAlign w:val="bottom"/>
            <w:tcBorders>
              <w:bottom w:val="single" w:sz="8" w:color="0090DA"/>
            </w:tcBorders>
          </w:tcPr>
          <w:p>
            <w:pPr>
              <w:spacing w:after="0"/>
              <w:rPr>
                <w:sz w:val="17"/>
                <w:szCs w:val="17"/>
                <w:color w:val="auto"/>
              </w:rPr>
            </w:pPr>
          </w:p>
        </w:tc>
        <w:tc>
          <w:tcPr>
            <w:tcW w:w="260" w:type="dxa"/>
            <w:vAlign w:val="bottom"/>
            <w:tcBorders>
              <w:bottom w:val="single" w:sz="8" w:color="0090DA"/>
            </w:tcBorders>
          </w:tcPr>
          <w:p>
            <w:pPr>
              <w:spacing w:after="0"/>
              <w:rPr>
                <w:sz w:val="17"/>
                <w:szCs w:val="17"/>
                <w:color w:val="auto"/>
              </w:rPr>
            </w:pPr>
          </w:p>
        </w:tc>
        <w:tc>
          <w:tcPr>
            <w:tcW w:w="780" w:type="dxa"/>
            <w:vAlign w:val="bottom"/>
            <w:tcBorders>
              <w:bottom w:val="single" w:sz="8" w:color="0090DA"/>
            </w:tcBorders>
            <w:gridSpan w:val="2"/>
            <w:vMerge w:val="continue"/>
          </w:tcPr>
          <w:p>
            <w:pPr>
              <w:spacing w:after="0"/>
              <w:rPr>
                <w:sz w:val="17"/>
                <w:szCs w:val="17"/>
                <w:color w:val="auto"/>
              </w:rPr>
            </w:pPr>
          </w:p>
        </w:tc>
        <w:tc>
          <w:tcPr>
            <w:tcW w:w="740" w:type="dxa"/>
            <w:vAlign w:val="bottom"/>
            <w:tcBorders>
              <w:bottom w:val="single" w:sz="8" w:color="0090DA"/>
            </w:tcBorders>
          </w:tcPr>
          <w:p>
            <w:pPr>
              <w:spacing w:after="0"/>
              <w:rPr>
                <w:sz w:val="17"/>
                <w:szCs w:val="17"/>
                <w:color w:val="auto"/>
              </w:rPr>
            </w:pPr>
          </w:p>
        </w:tc>
        <w:tc>
          <w:tcPr>
            <w:tcW w:w="180" w:type="dxa"/>
            <w:vAlign w:val="bottom"/>
            <w:tcBorders>
              <w:bottom w:val="single" w:sz="8" w:color="0090DA"/>
            </w:tcBorders>
          </w:tcPr>
          <w:p>
            <w:pPr>
              <w:spacing w:after="0"/>
              <w:rPr>
                <w:sz w:val="17"/>
                <w:szCs w:val="17"/>
                <w:color w:val="auto"/>
              </w:rPr>
            </w:pPr>
          </w:p>
        </w:tc>
        <w:tc>
          <w:tcPr>
            <w:tcW w:w="700" w:type="dxa"/>
            <w:vAlign w:val="bottom"/>
            <w:tcBorders>
              <w:bottom w:val="single" w:sz="8" w:color="0090DA"/>
            </w:tcBorders>
          </w:tcPr>
          <w:p>
            <w:pPr>
              <w:spacing w:after="0"/>
              <w:rPr>
                <w:sz w:val="17"/>
                <w:szCs w:val="17"/>
                <w:color w:val="auto"/>
              </w:rPr>
            </w:pPr>
          </w:p>
        </w:tc>
        <w:tc>
          <w:tcPr>
            <w:tcW w:w="200" w:type="dxa"/>
            <w:vAlign w:val="bottom"/>
            <w:tcBorders>
              <w:bottom w:val="single" w:sz="8" w:color="0090DA"/>
            </w:tcBorders>
          </w:tcPr>
          <w:p>
            <w:pPr>
              <w:spacing w:after="0"/>
              <w:rPr>
                <w:sz w:val="17"/>
                <w:szCs w:val="17"/>
                <w:color w:val="auto"/>
              </w:rPr>
            </w:pPr>
          </w:p>
        </w:tc>
        <w:tc>
          <w:tcPr>
            <w:tcW w:w="700" w:type="dxa"/>
            <w:vAlign w:val="bottom"/>
            <w:tcBorders>
              <w:bottom w:val="single" w:sz="8" w:color="0090DA"/>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0090DA"/>
            </w:tcBorders>
          </w:tcPr>
          <w:p>
            <w:pPr>
              <w:spacing w:after="0"/>
              <w:rPr>
                <w:sz w:val="17"/>
                <w:szCs w:val="17"/>
                <w:color w:val="auto"/>
              </w:rPr>
            </w:pPr>
          </w:p>
        </w:tc>
        <w:tc>
          <w:tcPr>
            <w:tcW w:w="400" w:type="dxa"/>
            <w:vAlign w:val="bottom"/>
            <w:tcBorders>
              <w:bottom w:val="single" w:sz="8" w:color="0090DA"/>
            </w:tcBorders>
          </w:tcPr>
          <w:p>
            <w:pPr>
              <w:spacing w:after="0"/>
              <w:rPr>
                <w:sz w:val="17"/>
                <w:szCs w:val="17"/>
                <w:color w:val="auto"/>
              </w:rPr>
            </w:pPr>
          </w:p>
        </w:tc>
        <w:tc>
          <w:tcPr>
            <w:tcW w:w="200" w:type="dxa"/>
            <w:vAlign w:val="bottom"/>
            <w:tcBorders>
              <w:bottom w:val="single" w:sz="8" w:color="0090DA"/>
            </w:tcBorders>
          </w:tcPr>
          <w:p>
            <w:pPr>
              <w:spacing w:after="0"/>
              <w:rPr>
                <w:sz w:val="17"/>
                <w:szCs w:val="17"/>
                <w:color w:val="auto"/>
              </w:rPr>
            </w:pPr>
          </w:p>
        </w:tc>
        <w:tc>
          <w:tcPr>
            <w:tcW w:w="120" w:type="dxa"/>
            <w:vAlign w:val="bottom"/>
            <w:tcBorders>
              <w:bottom w:val="single" w:sz="8" w:color="0090DA"/>
            </w:tcBorders>
          </w:tcPr>
          <w:p>
            <w:pPr>
              <w:spacing w:after="0"/>
              <w:rPr>
                <w:sz w:val="17"/>
                <w:szCs w:val="17"/>
                <w:color w:val="auto"/>
              </w:rPr>
            </w:pPr>
          </w:p>
        </w:tc>
        <w:tc>
          <w:tcPr>
            <w:tcW w:w="1080" w:type="dxa"/>
            <w:vAlign w:val="bottom"/>
            <w:tcBorders>
              <w:bottom w:val="single" w:sz="8" w:color="0090DA"/>
            </w:tcBorders>
            <w:gridSpan w:val="2"/>
            <w:vMerge w:val="continue"/>
          </w:tcPr>
          <w:p>
            <w:pPr>
              <w:spacing w:after="0"/>
              <w:rPr>
                <w:sz w:val="17"/>
                <w:szCs w:val="17"/>
                <w:color w:val="auto"/>
              </w:rPr>
            </w:pPr>
          </w:p>
        </w:tc>
        <w:tc>
          <w:tcPr>
            <w:tcW w:w="120" w:type="dxa"/>
            <w:vAlign w:val="bottom"/>
            <w:tcBorders>
              <w:bottom w:val="single" w:sz="8" w:color="0090DA"/>
            </w:tcBorders>
          </w:tcPr>
          <w:p>
            <w:pPr>
              <w:spacing w:after="0"/>
              <w:rPr>
                <w:sz w:val="17"/>
                <w:szCs w:val="17"/>
                <w:color w:val="auto"/>
              </w:rPr>
            </w:pPr>
          </w:p>
        </w:tc>
        <w:tc>
          <w:tcPr>
            <w:tcW w:w="420" w:type="dxa"/>
            <w:vAlign w:val="bottom"/>
            <w:tcBorders>
              <w:bottom w:val="single" w:sz="8" w:color="0090DA"/>
            </w:tcBorders>
          </w:tcPr>
          <w:p>
            <w:pPr>
              <w:spacing w:after="0"/>
              <w:rPr>
                <w:sz w:val="17"/>
                <w:szCs w:val="17"/>
                <w:color w:val="auto"/>
              </w:rPr>
            </w:pPr>
          </w:p>
        </w:tc>
        <w:tc>
          <w:tcPr>
            <w:tcW w:w="220" w:type="dxa"/>
            <w:vAlign w:val="bottom"/>
            <w:tcBorders>
              <w:bottom w:val="single" w:sz="8" w:color="0090DA"/>
            </w:tcBorders>
          </w:tcPr>
          <w:p>
            <w:pPr>
              <w:spacing w:after="0"/>
              <w:rPr>
                <w:sz w:val="17"/>
                <w:szCs w:val="17"/>
                <w:color w:val="auto"/>
              </w:rPr>
            </w:pPr>
          </w:p>
        </w:tc>
        <w:tc>
          <w:tcPr>
            <w:tcW w:w="720" w:type="dxa"/>
            <w:vAlign w:val="bottom"/>
            <w:tcBorders>
              <w:bottom w:val="single" w:sz="8" w:color="0090DA"/>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Stated</w:t>
            </w:r>
          </w:p>
        </w:tc>
        <w:tc>
          <w:tcPr>
            <w:tcW w:w="1240" w:type="dxa"/>
            <w:vAlign w:val="bottom"/>
            <w:gridSpan w:val="2"/>
            <w:vMerge w:val="restart"/>
          </w:tcPr>
          <w:p>
            <w:pPr>
              <w:jc w:val="right"/>
              <w:ind w:right="310"/>
              <w:spacing w:after="0"/>
              <w:rPr>
                <w:sz w:val="20"/>
                <w:szCs w:val="20"/>
                <w:color w:val="auto"/>
              </w:rPr>
            </w:pPr>
            <w:r>
              <w:rPr>
                <w:rFonts w:ascii="Arial" w:cs="Arial" w:eastAsia="Arial" w:hAnsi="Arial"/>
                <w:sz w:val="18"/>
                <w:szCs w:val="18"/>
                <w:b w:val="1"/>
                <w:bCs w:val="1"/>
                <w:color w:val="auto"/>
              </w:rPr>
              <w:t>Effective</w:t>
            </w:r>
          </w:p>
        </w:tc>
        <w:tc>
          <w:tcPr>
            <w:tcW w:w="66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520" w:type="dxa"/>
            <w:vAlign w:val="bottom"/>
            <w:tcBorders>
              <w:bottom w:val="single" w:sz="8" w:color="0090DA"/>
            </w:tcBorders>
            <w:gridSpan w:val="5"/>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2560" w:type="dxa"/>
            <w:vAlign w:val="bottom"/>
            <w:tcBorders>
              <w:bottom w:val="single" w:sz="8" w:color="0090DA"/>
            </w:tcBorders>
            <w:gridSpan w:val="6"/>
          </w:tcPr>
          <w:p>
            <w:pPr>
              <w:jc w:val="center"/>
              <w:ind w:right="30"/>
              <w:spacing w:after="0"/>
              <w:rPr>
                <w:sz w:val="20"/>
                <w:szCs w:val="20"/>
                <w:color w:val="auto"/>
              </w:rPr>
            </w:pPr>
            <w:r>
              <w:rPr>
                <w:rFonts w:ascii="Arial" w:cs="Arial" w:eastAsia="Arial" w:hAnsi="Arial"/>
                <w:sz w:val="18"/>
                <w:szCs w:val="18"/>
                <w:b w:val="1"/>
                <w:bCs w:val="1"/>
                <w:color w:val="auto"/>
                <w:w w:val="99"/>
              </w:rPr>
              <w:t>Net Carrying Amount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2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000" w:type="dxa"/>
            <w:vAlign w:val="bottom"/>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5"/>
              </w:rPr>
              <w:t>Current</w:t>
            </w:r>
          </w:p>
        </w:tc>
        <w:tc>
          <w:tcPr>
            <w:tcW w:w="180" w:type="dxa"/>
            <w:vAlign w:val="bottom"/>
          </w:tcPr>
          <w:p>
            <w:pPr>
              <w:spacing w:after="0"/>
              <w:rPr>
                <w:sz w:val="14"/>
                <w:szCs w:val="14"/>
                <w:color w:val="auto"/>
              </w:rPr>
            </w:pPr>
          </w:p>
        </w:tc>
        <w:tc>
          <w:tcPr>
            <w:tcW w:w="70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9"/>
              </w:rPr>
              <w:t>Long-</w:t>
            </w:r>
          </w:p>
        </w:tc>
        <w:tc>
          <w:tcPr>
            <w:tcW w:w="200" w:type="dxa"/>
            <w:vAlign w:val="bottom"/>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920" w:type="dxa"/>
            <w:vAlign w:val="bottom"/>
            <w:gridSpan w:val="3"/>
            <w:vMerge w:val="restart"/>
          </w:tcPr>
          <w:p>
            <w:pPr>
              <w:jc w:val="right"/>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8"/>
              </w:rPr>
              <w:t>Current</w:t>
            </w:r>
          </w:p>
        </w:tc>
        <w:tc>
          <w:tcPr>
            <w:tcW w:w="900" w:type="dxa"/>
            <w:vAlign w:val="bottom"/>
            <w:gridSpan w:val="3"/>
          </w:tcPr>
          <w:p>
            <w:pPr>
              <w:jc w:val="center"/>
              <w:ind w:left="30"/>
              <w:spacing w:after="0" w:line="169" w:lineRule="exact"/>
              <w:rPr>
                <w:sz w:val="20"/>
                <w:szCs w:val="20"/>
                <w:color w:val="auto"/>
              </w:rPr>
            </w:pPr>
            <w:r>
              <w:rPr>
                <w:rFonts w:ascii="Arial" w:cs="Arial" w:eastAsia="Arial" w:hAnsi="Arial"/>
                <w:sz w:val="18"/>
                <w:szCs w:val="18"/>
                <w:b w:val="1"/>
                <w:bCs w:val="1"/>
                <w:color w:val="auto"/>
                <w:w w:val="99"/>
              </w:rPr>
              <w:t>Long-</w:t>
            </w:r>
          </w:p>
        </w:tc>
        <w:tc>
          <w:tcPr>
            <w:tcW w:w="2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00" w:type="dxa"/>
            <w:vAlign w:val="bottom"/>
            <w:vMerge w:val="continue"/>
          </w:tcPr>
          <w:p>
            <w:pPr>
              <w:spacing w:after="0"/>
              <w:rPr>
                <w:sz w:val="21"/>
                <w:szCs w:val="21"/>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Rate</w:t>
            </w: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w w:val="99"/>
              </w:rPr>
              <w:t>RatePrincipal</w:t>
            </w:r>
          </w:p>
        </w:tc>
        <w:tc>
          <w:tcPr>
            <w:tcW w:w="120" w:type="dxa"/>
            <w:vAlign w:val="bottom"/>
          </w:tcPr>
          <w:p>
            <w:pPr>
              <w:spacing w:after="0"/>
              <w:rPr>
                <w:sz w:val="21"/>
                <w:szCs w:val="21"/>
                <w:color w:val="auto"/>
              </w:rPr>
            </w:pPr>
          </w:p>
        </w:tc>
        <w:tc>
          <w:tcPr>
            <w:tcW w:w="74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Term</w:t>
            </w:r>
          </w:p>
        </w:tc>
        <w:tc>
          <w:tcPr>
            <w:tcW w:w="200" w:type="dxa"/>
            <w:vAlign w:val="bottom"/>
          </w:tcPr>
          <w:p>
            <w:pPr>
              <w:spacing w:after="0"/>
              <w:rPr>
                <w:sz w:val="21"/>
                <w:szCs w:val="21"/>
                <w:color w:val="auto"/>
              </w:rPr>
            </w:pPr>
          </w:p>
        </w:tc>
        <w:tc>
          <w:tcPr>
            <w:tcW w:w="800" w:type="dxa"/>
            <w:vAlign w:val="bottom"/>
            <w:gridSpan w:val="2"/>
            <w:vMerge w:val="continue"/>
          </w:tcPr>
          <w:p>
            <w:pPr>
              <w:spacing w:after="0"/>
              <w:rPr>
                <w:sz w:val="21"/>
                <w:szCs w:val="21"/>
                <w:color w:val="auto"/>
              </w:rPr>
            </w:pPr>
          </w:p>
        </w:tc>
        <w:tc>
          <w:tcPr>
            <w:tcW w:w="920" w:type="dxa"/>
            <w:vAlign w:val="bottom"/>
            <w:gridSpan w:val="3"/>
            <w:vMerge w:val="continue"/>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9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5"/>
              </w:rPr>
              <w:t>Term</w:t>
            </w:r>
          </w:p>
        </w:tc>
        <w:tc>
          <w:tcPr>
            <w:tcW w:w="220" w:type="dxa"/>
            <w:vAlign w:val="bottom"/>
          </w:tcPr>
          <w:p>
            <w:pPr>
              <w:spacing w:after="0"/>
              <w:rPr>
                <w:sz w:val="21"/>
                <w:szCs w:val="21"/>
                <w:color w:val="auto"/>
              </w:rPr>
            </w:pPr>
          </w:p>
        </w:tc>
        <w:tc>
          <w:tcPr>
            <w:tcW w:w="7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2000" w:type="dxa"/>
            <w:vAlign w:val="bottom"/>
            <w:tcBorders>
              <w:top w:val="single" w:sz="8" w:color="0090DA"/>
            </w:tcBorders>
          </w:tcPr>
          <w:p>
            <w:pPr>
              <w:spacing w:after="0"/>
              <w:rPr>
                <w:sz w:val="2"/>
                <w:szCs w:val="2"/>
                <w:color w:val="auto"/>
              </w:rPr>
            </w:pPr>
          </w:p>
        </w:tc>
        <w:tc>
          <w:tcPr>
            <w:tcW w:w="1000" w:type="dxa"/>
            <w:vAlign w:val="bottom"/>
            <w:tcBorders>
              <w:top w:val="single" w:sz="8" w:color="0090DA"/>
            </w:tcBorders>
          </w:tcPr>
          <w:p>
            <w:pPr>
              <w:spacing w:after="0"/>
              <w:rPr>
                <w:sz w:val="2"/>
                <w:szCs w:val="2"/>
                <w:color w:val="auto"/>
              </w:rPr>
            </w:pPr>
          </w:p>
        </w:tc>
        <w:tc>
          <w:tcPr>
            <w:tcW w:w="980" w:type="dxa"/>
            <w:vAlign w:val="bottom"/>
            <w:tcBorders>
              <w:top w:val="single" w:sz="8" w:color="0090DA"/>
            </w:tcBorders>
          </w:tcPr>
          <w:p>
            <w:pPr>
              <w:spacing w:after="0"/>
              <w:rPr>
                <w:sz w:val="2"/>
                <w:szCs w:val="2"/>
                <w:color w:val="auto"/>
              </w:rPr>
            </w:pPr>
          </w:p>
        </w:tc>
        <w:tc>
          <w:tcPr>
            <w:tcW w:w="260" w:type="dxa"/>
            <w:vAlign w:val="bottom"/>
            <w:tcBorders>
              <w:top w:val="single" w:sz="8" w:color="0090DA"/>
            </w:tcBorders>
          </w:tcPr>
          <w:p>
            <w:pPr>
              <w:spacing w:after="0"/>
              <w:rPr>
                <w:sz w:val="2"/>
                <w:szCs w:val="2"/>
                <w:color w:val="auto"/>
              </w:rPr>
            </w:pPr>
          </w:p>
        </w:tc>
        <w:tc>
          <w:tcPr>
            <w:tcW w:w="6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40" w:type="dxa"/>
            <w:vAlign w:val="bottom"/>
            <w:tcBorders>
              <w:top w:val="single" w:sz="8" w:color="0090DA"/>
            </w:tcBorders>
          </w:tcPr>
          <w:p>
            <w:pPr>
              <w:spacing w:after="0"/>
              <w:rPr>
                <w:sz w:val="2"/>
                <w:szCs w:val="2"/>
                <w:color w:val="auto"/>
              </w:rPr>
            </w:pPr>
          </w:p>
        </w:tc>
        <w:tc>
          <w:tcPr>
            <w:tcW w:w="18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700" w:type="dxa"/>
            <w:vAlign w:val="bottom"/>
            <w:tcBorders>
              <w:top w:val="single" w:sz="8" w:color="0090DA"/>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400" w:type="dxa"/>
            <w:vAlign w:val="bottom"/>
            <w:tcBorders>
              <w:top w:val="single" w:sz="8" w:color="0090DA"/>
            </w:tcBorders>
          </w:tcPr>
          <w:p>
            <w:pPr>
              <w:spacing w:after="0"/>
              <w:rPr>
                <w:sz w:val="2"/>
                <w:szCs w:val="2"/>
                <w:color w:val="auto"/>
              </w:rPr>
            </w:pPr>
          </w:p>
        </w:tc>
        <w:tc>
          <w:tcPr>
            <w:tcW w:w="20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360" w:type="dxa"/>
            <w:vAlign w:val="bottom"/>
            <w:tcBorders>
              <w:top w:val="single" w:sz="8" w:color="0090DA"/>
            </w:tcBorders>
          </w:tcPr>
          <w:p>
            <w:pPr>
              <w:spacing w:after="0"/>
              <w:rPr>
                <w:sz w:val="2"/>
                <w:szCs w:val="2"/>
                <w:color w:val="auto"/>
              </w:rPr>
            </w:pPr>
          </w:p>
        </w:tc>
        <w:tc>
          <w:tcPr>
            <w:tcW w:w="120" w:type="dxa"/>
            <w:vAlign w:val="bottom"/>
            <w:tcBorders>
              <w:top w:val="single" w:sz="8" w:color="0090DA"/>
            </w:tcBorders>
          </w:tcPr>
          <w:p>
            <w:pPr>
              <w:spacing w:after="0"/>
              <w:rPr>
                <w:sz w:val="2"/>
                <w:szCs w:val="2"/>
                <w:color w:val="auto"/>
              </w:rPr>
            </w:pPr>
          </w:p>
        </w:tc>
        <w:tc>
          <w:tcPr>
            <w:tcW w:w="420" w:type="dxa"/>
            <w:vAlign w:val="bottom"/>
            <w:tcBorders>
              <w:top w:val="single" w:sz="8" w:color="0090DA"/>
            </w:tcBorders>
          </w:tcPr>
          <w:p>
            <w:pPr>
              <w:spacing w:after="0"/>
              <w:rPr>
                <w:sz w:val="2"/>
                <w:szCs w:val="2"/>
                <w:color w:val="auto"/>
              </w:rPr>
            </w:pPr>
          </w:p>
        </w:tc>
        <w:tc>
          <w:tcPr>
            <w:tcW w:w="220" w:type="dxa"/>
            <w:vAlign w:val="bottom"/>
            <w:tcBorders>
              <w:top w:val="single" w:sz="8" w:color="0090DA"/>
            </w:tcBorders>
          </w:tcPr>
          <w:p>
            <w:pPr>
              <w:spacing w:after="0"/>
              <w:rPr>
                <w:sz w:val="2"/>
                <w:szCs w:val="2"/>
                <w:color w:val="auto"/>
              </w:rPr>
            </w:pPr>
          </w:p>
        </w:tc>
        <w:tc>
          <w:tcPr>
            <w:tcW w:w="720" w:type="dxa"/>
            <w:vAlign w:val="bottom"/>
            <w:tcBorders>
              <w:top w:val="single" w:sz="8" w:color="0090DA"/>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Term Loan A</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3.700 %</w:t>
            </w:r>
          </w:p>
        </w:tc>
        <w:tc>
          <w:tcPr>
            <w:tcW w:w="124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3.74 % $</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 $</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D1D2D4"/>
          </w:tcPr>
          <w:p>
            <w:pPr>
              <w:spacing w:after="0"/>
              <w:rPr>
                <w:sz w:val="19"/>
                <w:szCs w:val="19"/>
                <w:color w:val="auto"/>
              </w:rPr>
            </w:pP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D1D2D4"/>
          </w:tcPr>
          <w:p>
            <w:pPr>
              <w:jc w:val="right"/>
              <w:ind w:right="90"/>
              <w:spacing w:after="0"/>
              <w:rPr>
                <w:sz w:val="20"/>
                <w:szCs w:val="20"/>
                <w:color w:val="auto"/>
              </w:rPr>
            </w:pPr>
            <w:r>
              <w:rPr>
                <w:rFonts w:ascii="Arial" w:cs="Arial" w:eastAsia="Arial" w:hAnsi="Arial"/>
                <w:sz w:val="18"/>
                <w:szCs w:val="18"/>
                <w:color w:val="auto"/>
              </w:rPr>
              <w:t>— $</w:t>
            </w:r>
          </w:p>
        </w:tc>
        <w:tc>
          <w:tcPr>
            <w:tcW w:w="5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2026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4.975 %</w:t>
            </w:r>
          </w:p>
        </w:tc>
        <w:tc>
          <w:tcPr>
            <w:tcW w:w="980" w:type="dxa"/>
            <w:vAlign w:val="bottom"/>
          </w:tcPr>
          <w:p>
            <w:pPr>
              <w:jc w:val="right"/>
              <w:spacing w:after="0"/>
              <w:rPr>
                <w:sz w:val="20"/>
                <w:szCs w:val="20"/>
                <w:color w:val="auto"/>
              </w:rPr>
            </w:pPr>
            <w:r>
              <w:rPr>
                <w:rFonts w:ascii="Arial" w:cs="Arial" w:eastAsia="Arial" w:hAnsi="Arial"/>
                <w:sz w:val="18"/>
                <w:szCs w:val="18"/>
                <w:color w:val="auto"/>
              </w:rPr>
              <w:t>5.07 %</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shd w:val="clear" w:color="auto" w:fill="D1D2D4"/>
          </w:tcPr>
          <w:p>
            <w:pPr>
              <w:ind w:left="20"/>
              <w:spacing w:after="0" w:line="230" w:lineRule="exact"/>
              <w:rPr>
                <w:sz w:val="20"/>
                <w:szCs w:val="20"/>
                <w:color w:val="auto"/>
              </w:rPr>
            </w:pPr>
            <w:r>
              <w:rPr>
                <w:rFonts w:ascii="Arial" w:cs="Arial" w:eastAsia="Arial" w:hAnsi="Arial"/>
                <w:sz w:val="18"/>
                <w:szCs w:val="18"/>
                <w:color w:val="auto"/>
              </w:rPr>
              <w:t>2027 Notes</w:t>
            </w:r>
            <w:r>
              <w:rPr>
                <w:rFonts w:ascii="Arial" w:cs="Arial" w:eastAsia="Arial" w:hAnsi="Arial"/>
                <w:sz w:val="23"/>
                <w:szCs w:val="23"/>
                <w:color w:val="auto"/>
                <w:vertAlign w:val="superscript"/>
              </w:rPr>
              <w:t>(1)</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4.185 %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4.27 %</w:t>
            </w: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806</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806</w:t>
            </w:r>
          </w:p>
        </w:tc>
        <w:tc>
          <w:tcPr>
            <w:tcW w:w="1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6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19"/>
                <w:szCs w:val="19"/>
                <w:color w:val="auto"/>
              </w:rPr>
            </w:pPr>
          </w:p>
        </w:tc>
        <w:tc>
          <w:tcPr>
            <w:tcW w:w="5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2029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5.327 %</w:t>
            </w:r>
          </w:p>
        </w:tc>
        <w:tc>
          <w:tcPr>
            <w:tcW w:w="980" w:type="dxa"/>
            <w:vAlign w:val="bottom"/>
          </w:tcPr>
          <w:p>
            <w:pPr>
              <w:jc w:val="right"/>
              <w:spacing w:after="0"/>
              <w:rPr>
                <w:sz w:val="20"/>
                <w:szCs w:val="20"/>
                <w:color w:val="auto"/>
              </w:rPr>
            </w:pPr>
            <w:r>
              <w:rPr>
                <w:rFonts w:ascii="Arial" w:cs="Arial" w:eastAsia="Arial" w:hAnsi="Arial"/>
                <w:sz w:val="18"/>
                <w:szCs w:val="18"/>
                <w:color w:val="auto"/>
              </w:rPr>
              <w:t>5.40 %</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696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2030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4.663 %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4.73 %</w:t>
            </w: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6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19"/>
                <w:szCs w:val="19"/>
                <w:color w:val="auto"/>
              </w:rPr>
            </w:pPr>
          </w:p>
        </w:tc>
        <w:tc>
          <w:tcPr>
            <w:tcW w:w="5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00" w:type="dxa"/>
            <w:vAlign w:val="bottom"/>
          </w:tcPr>
          <w:p>
            <w:pPr>
              <w:ind w:left="20"/>
              <w:spacing w:after="0"/>
              <w:rPr>
                <w:sz w:val="20"/>
                <w:szCs w:val="20"/>
                <w:color w:val="auto"/>
              </w:rPr>
            </w:pPr>
            <w:r>
              <w:rPr>
                <w:rFonts w:ascii="Arial" w:cs="Arial" w:eastAsia="Arial" w:hAnsi="Arial"/>
                <w:sz w:val="18"/>
                <w:szCs w:val="18"/>
                <w:color w:val="auto"/>
              </w:rPr>
              <w:t>2032 Green Bonds</w:t>
            </w:r>
          </w:p>
        </w:tc>
        <w:tc>
          <w:tcPr>
            <w:tcW w:w="1000" w:type="dxa"/>
            <w:vAlign w:val="bottom"/>
          </w:tcPr>
          <w:p>
            <w:pPr>
              <w:jc w:val="right"/>
              <w:spacing w:after="0"/>
              <w:rPr>
                <w:sz w:val="20"/>
                <w:szCs w:val="20"/>
                <w:color w:val="auto"/>
              </w:rPr>
            </w:pPr>
            <w:r>
              <w:rPr>
                <w:rFonts w:ascii="Arial" w:cs="Arial" w:eastAsia="Arial" w:hAnsi="Arial"/>
                <w:sz w:val="18"/>
                <w:szCs w:val="18"/>
                <w:color w:val="auto"/>
              </w:rPr>
              <w:t>2.703 %</w:t>
            </w:r>
          </w:p>
        </w:tc>
        <w:tc>
          <w:tcPr>
            <w:tcW w:w="980" w:type="dxa"/>
            <w:vAlign w:val="bottom"/>
          </w:tcPr>
          <w:p>
            <w:pPr>
              <w:jc w:val="right"/>
              <w:spacing w:after="0"/>
              <w:rPr>
                <w:sz w:val="20"/>
                <w:szCs w:val="20"/>
                <w:color w:val="auto"/>
              </w:rPr>
            </w:pPr>
            <w:r>
              <w:rPr>
                <w:rFonts w:ascii="Arial" w:cs="Arial" w:eastAsia="Arial" w:hAnsi="Arial"/>
                <w:sz w:val="18"/>
                <w:szCs w:val="18"/>
                <w:color w:val="auto"/>
              </w:rPr>
              <w:t>2.77 %</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994</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2041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3.366 %</w:t>
            </w:r>
          </w:p>
        </w:tc>
        <w:tc>
          <w:tcPr>
            <w:tcW w:w="9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3.41 %</w:t>
            </w:r>
          </w:p>
        </w:tc>
        <w:tc>
          <w:tcPr>
            <w:tcW w:w="260" w:type="dxa"/>
            <w:vAlign w:val="bottom"/>
            <w:shd w:val="clear" w:color="auto" w:fill="D1D2D4"/>
          </w:tcPr>
          <w:p>
            <w:pPr>
              <w:spacing w:after="0"/>
              <w:rPr>
                <w:sz w:val="19"/>
                <w:szCs w:val="19"/>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20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6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4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2051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3.477 %</w:t>
            </w:r>
          </w:p>
        </w:tc>
        <w:tc>
          <w:tcPr>
            <w:tcW w:w="980" w:type="dxa"/>
            <w:vAlign w:val="bottom"/>
          </w:tcPr>
          <w:p>
            <w:pPr>
              <w:jc w:val="right"/>
              <w:spacing w:after="0"/>
              <w:rPr>
                <w:sz w:val="20"/>
                <w:szCs w:val="20"/>
                <w:color w:val="auto"/>
              </w:rPr>
            </w:pPr>
            <w:r>
              <w:rPr>
                <w:rFonts w:ascii="Arial" w:cs="Arial" w:eastAsia="Arial" w:hAnsi="Arial"/>
                <w:sz w:val="18"/>
                <w:szCs w:val="18"/>
                <w:color w:val="auto"/>
              </w:rPr>
              <w:t>3.52 %</w:t>
            </w: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0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Finance lease</w:t>
            </w: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98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2.65 %</w:t>
            </w:r>
          </w:p>
        </w:tc>
        <w:tc>
          <w:tcPr>
            <w:tcW w:w="260" w:type="dxa"/>
            <w:vAlign w:val="bottom"/>
            <w:shd w:val="clear" w:color="auto" w:fill="D1D2D4"/>
          </w:tcPr>
          <w:p>
            <w:pPr>
              <w:spacing w:after="0"/>
              <w:rPr>
                <w:sz w:val="15"/>
                <w:szCs w:val="15"/>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D1D2D4"/>
          </w:tcPr>
          <w:p>
            <w:pPr>
              <w:spacing w:after="0"/>
              <w:rPr>
                <w:sz w:val="15"/>
                <w:szCs w:val="15"/>
                <w:color w:val="auto"/>
              </w:rPr>
            </w:pPr>
          </w:p>
        </w:tc>
        <w:tc>
          <w:tcPr>
            <w:tcW w:w="7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D1D2D4"/>
          </w:tcPr>
          <w:p>
            <w:pPr>
              <w:spacing w:after="0"/>
              <w:rPr>
                <w:sz w:val="15"/>
                <w:szCs w:val="15"/>
                <w:color w:val="auto"/>
              </w:rPr>
            </w:pPr>
          </w:p>
        </w:tc>
        <w:tc>
          <w:tcPr>
            <w:tcW w:w="7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886</w:t>
            </w:r>
          </w:p>
        </w:tc>
        <w:tc>
          <w:tcPr>
            <w:tcW w:w="100" w:type="dxa"/>
            <w:vAlign w:val="bottom"/>
            <w:shd w:val="clear" w:color="auto" w:fill="D1D2D4"/>
          </w:tcPr>
          <w:p>
            <w:pPr>
              <w:spacing w:after="0"/>
              <w:rPr>
                <w:sz w:val="15"/>
                <w:szCs w:val="15"/>
                <w:color w:val="auto"/>
              </w:rPr>
            </w:pPr>
          </w:p>
        </w:tc>
        <w:tc>
          <w:tcPr>
            <w:tcW w:w="320" w:type="dxa"/>
            <w:vAlign w:val="bottom"/>
            <w:shd w:val="clear" w:color="auto" w:fill="D1D2D4"/>
          </w:tcPr>
          <w:p>
            <w:pPr>
              <w:spacing w:after="0"/>
              <w:rPr>
                <w:sz w:val="15"/>
                <w:szCs w:val="15"/>
                <w:color w:val="auto"/>
              </w:rPr>
            </w:pPr>
          </w:p>
        </w:tc>
        <w:tc>
          <w:tcPr>
            <w:tcW w:w="600" w:type="dxa"/>
            <w:vAlign w:val="bottom"/>
            <w:gridSpan w:val="2"/>
            <w:vMerge w:val="restart"/>
            <w:shd w:val="clear" w:color="auto" w:fill="D1D2D4"/>
          </w:tcPr>
          <w:p>
            <w:pPr>
              <w:jc w:val="right"/>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D1D2D4"/>
          </w:tcPr>
          <w:p>
            <w:pPr>
              <w:spacing w:after="0"/>
              <w:rPr>
                <w:sz w:val="15"/>
                <w:szCs w:val="15"/>
                <w:color w:val="auto"/>
              </w:rPr>
            </w:pPr>
          </w:p>
        </w:tc>
        <w:tc>
          <w:tcPr>
            <w:tcW w:w="540" w:type="dxa"/>
            <w:vAlign w:val="bottom"/>
            <w:gridSpan w:val="2"/>
            <w:vMerge w:val="restart"/>
            <w:shd w:val="clear" w:color="auto" w:fill="D1D2D4"/>
          </w:tcPr>
          <w:p>
            <w:pPr>
              <w:jc w:val="right"/>
              <w:spacing w:after="0"/>
              <w:rPr>
                <w:sz w:val="20"/>
                <w:szCs w:val="20"/>
                <w:color w:val="auto"/>
              </w:rPr>
            </w:pPr>
            <w:r>
              <w:rPr>
                <w:rFonts w:ascii="Arial" w:cs="Arial" w:eastAsia="Arial" w:hAnsi="Arial"/>
                <w:sz w:val="18"/>
                <w:szCs w:val="18"/>
                <w:color w:val="auto"/>
              </w:rPr>
              <w:t>649</w:t>
            </w:r>
          </w:p>
        </w:tc>
        <w:tc>
          <w:tcPr>
            <w:tcW w:w="220" w:type="dxa"/>
            <w:vAlign w:val="bottom"/>
            <w:shd w:val="clear" w:color="auto" w:fill="D1D2D4"/>
          </w:tcPr>
          <w:p>
            <w:pPr>
              <w:spacing w:after="0"/>
              <w:rPr>
                <w:sz w:val="15"/>
                <w:szCs w:val="15"/>
                <w:color w:val="auto"/>
              </w:rPr>
            </w:pPr>
          </w:p>
        </w:tc>
        <w:tc>
          <w:tcPr>
            <w:tcW w:w="7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804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obligations</w:t>
            </w:r>
          </w:p>
        </w:tc>
        <w:tc>
          <w:tcPr>
            <w:tcW w:w="1000" w:type="dxa"/>
            <w:vAlign w:val="bottom"/>
            <w:vMerge w:val="continue"/>
            <w:shd w:val="clear" w:color="auto" w:fill="D1D2D4"/>
          </w:tcPr>
          <w:p>
            <w:pPr>
              <w:spacing w:after="0"/>
              <w:rPr>
                <w:sz w:val="21"/>
                <w:szCs w:val="21"/>
                <w:color w:val="auto"/>
              </w:rPr>
            </w:pPr>
          </w:p>
        </w:tc>
        <w:tc>
          <w:tcPr>
            <w:tcW w:w="980" w:type="dxa"/>
            <w:vAlign w:val="bottom"/>
            <w:vMerge w:val="continue"/>
            <w:shd w:val="clear" w:color="auto" w:fill="D1D2D4"/>
          </w:tcPr>
          <w:p>
            <w:pPr>
              <w:spacing w:after="0"/>
              <w:rPr>
                <w:sz w:val="21"/>
                <w:szCs w:val="21"/>
                <w:color w:val="auto"/>
              </w:rPr>
            </w:pPr>
          </w:p>
        </w:tc>
        <w:tc>
          <w:tcPr>
            <w:tcW w:w="260" w:type="dxa"/>
            <w:vAlign w:val="bottom"/>
            <w:shd w:val="clear" w:color="auto" w:fill="D1D2D4"/>
          </w:tcPr>
          <w:p>
            <w:pPr>
              <w:spacing w:after="0"/>
              <w:rPr>
                <w:sz w:val="21"/>
                <w:szCs w:val="21"/>
                <w:color w:val="auto"/>
              </w:rPr>
            </w:pPr>
          </w:p>
        </w:tc>
        <w:tc>
          <w:tcPr>
            <w:tcW w:w="66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40" w:type="dxa"/>
            <w:vAlign w:val="bottom"/>
            <w:vMerge w:val="continue"/>
            <w:shd w:val="clear" w:color="auto" w:fill="D1D2D4"/>
          </w:tcPr>
          <w:p>
            <w:pPr>
              <w:spacing w:after="0"/>
              <w:rPr>
                <w:sz w:val="21"/>
                <w:szCs w:val="21"/>
                <w:color w:val="auto"/>
              </w:rPr>
            </w:pPr>
          </w:p>
        </w:tc>
        <w:tc>
          <w:tcPr>
            <w:tcW w:w="180" w:type="dxa"/>
            <w:vAlign w:val="bottom"/>
            <w:shd w:val="clear" w:color="auto" w:fill="D1D2D4"/>
          </w:tcPr>
          <w:p>
            <w:pPr>
              <w:spacing w:after="0"/>
              <w:rPr>
                <w:sz w:val="21"/>
                <w:szCs w:val="21"/>
                <w:color w:val="auto"/>
              </w:rPr>
            </w:pPr>
          </w:p>
        </w:tc>
        <w:tc>
          <w:tcPr>
            <w:tcW w:w="700" w:type="dxa"/>
            <w:vAlign w:val="bottom"/>
            <w:vMerge w:val="continue"/>
            <w:shd w:val="clear" w:color="auto" w:fill="D1D2D4"/>
          </w:tcPr>
          <w:p>
            <w:pPr>
              <w:spacing w:after="0"/>
              <w:rPr>
                <w:sz w:val="21"/>
                <w:szCs w:val="21"/>
                <w:color w:val="auto"/>
              </w:rPr>
            </w:pPr>
          </w:p>
        </w:tc>
        <w:tc>
          <w:tcPr>
            <w:tcW w:w="200" w:type="dxa"/>
            <w:vAlign w:val="bottom"/>
            <w:shd w:val="clear" w:color="auto" w:fill="D1D2D4"/>
          </w:tcPr>
          <w:p>
            <w:pPr>
              <w:spacing w:after="0"/>
              <w:rPr>
                <w:sz w:val="21"/>
                <w:szCs w:val="21"/>
                <w:color w:val="auto"/>
              </w:rPr>
            </w:pPr>
          </w:p>
        </w:tc>
        <w:tc>
          <w:tcPr>
            <w:tcW w:w="700" w:type="dxa"/>
            <w:vAlign w:val="bottom"/>
            <w:vMerge w:val="continue"/>
            <w:shd w:val="clear" w:color="auto" w:fill="D1D2D4"/>
          </w:tcPr>
          <w:p>
            <w:pPr>
              <w:spacing w:after="0"/>
              <w:rPr>
                <w:sz w:val="21"/>
                <w:szCs w:val="21"/>
                <w:color w:val="auto"/>
              </w:rPr>
            </w:pPr>
          </w:p>
        </w:tc>
        <w:tc>
          <w:tcPr>
            <w:tcW w:w="100" w:type="dxa"/>
            <w:vAlign w:val="bottom"/>
            <w:shd w:val="clear" w:color="auto" w:fill="D1D2D4"/>
          </w:tcPr>
          <w:p>
            <w:pPr>
              <w:spacing w:after="0"/>
              <w:rPr>
                <w:sz w:val="21"/>
                <w:szCs w:val="21"/>
                <w:color w:val="auto"/>
              </w:rPr>
            </w:pPr>
          </w:p>
        </w:tc>
        <w:tc>
          <w:tcPr>
            <w:tcW w:w="320" w:type="dxa"/>
            <w:vAlign w:val="bottom"/>
            <w:shd w:val="clear" w:color="auto" w:fill="D1D2D4"/>
          </w:tcPr>
          <w:p>
            <w:pPr>
              <w:spacing w:after="0"/>
              <w:rPr>
                <w:sz w:val="21"/>
                <w:szCs w:val="21"/>
                <w:color w:val="auto"/>
              </w:rPr>
            </w:pPr>
          </w:p>
        </w:tc>
        <w:tc>
          <w:tcPr>
            <w:tcW w:w="600" w:type="dxa"/>
            <w:vAlign w:val="bottom"/>
            <w:gridSpan w:val="2"/>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720" w:type="dxa"/>
            <w:vAlign w:val="bottom"/>
            <w:vMerge w:val="continue"/>
            <w:shd w:val="clear" w:color="auto" w:fill="D1D2D4"/>
          </w:tcPr>
          <w:p>
            <w:pPr>
              <w:spacing w:after="0"/>
              <w:rPr>
                <w:sz w:val="21"/>
                <w:szCs w:val="21"/>
                <w:color w:val="auto"/>
              </w:rPr>
            </w:pPr>
          </w:p>
        </w:tc>
        <w:tc>
          <w:tcPr>
            <w:tcW w:w="360" w:type="dxa"/>
            <w:vAlign w:val="bottom"/>
            <w:shd w:val="clear" w:color="auto" w:fill="D1D2D4"/>
          </w:tcPr>
          <w:p>
            <w:pPr>
              <w:spacing w:after="0"/>
              <w:rPr>
                <w:sz w:val="21"/>
                <w:szCs w:val="21"/>
                <w:color w:val="auto"/>
              </w:rPr>
            </w:pPr>
          </w:p>
        </w:tc>
        <w:tc>
          <w:tcPr>
            <w:tcW w:w="540" w:type="dxa"/>
            <w:vAlign w:val="bottom"/>
            <w:gridSpan w:val="2"/>
            <w:vMerge w:val="continue"/>
            <w:shd w:val="clear" w:color="auto" w:fill="D1D2D4"/>
          </w:tcPr>
          <w:p>
            <w:pPr>
              <w:spacing w:after="0"/>
              <w:rPr>
                <w:sz w:val="21"/>
                <w:szCs w:val="21"/>
                <w:color w:val="auto"/>
              </w:rPr>
            </w:pPr>
          </w:p>
        </w:tc>
        <w:tc>
          <w:tcPr>
            <w:tcW w:w="220" w:type="dxa"/>
            <w:vAlign w:val="bottom"/>
            <w:shd w:val="clear" w:color="auto" w:fill="D1D2D4"/>
          </w:tcPr>
          <w:p>
            <w:pPr>
              <w:spacing w:after="0"/>
              <w:rPr>
                <w:sz w:val="21"/>
                <w:szCs w:val="21"/>
                <w:color w:val="auto"/>
              </w:rPr>
            </w:pPr>
          </w:p>
        </w:tc>
        <w:tc>
          <w:tcPr>
            <w:tcW w:w="720" w:type="dxa"/>
            <w:vAlign w:val="bottom"/>
            <w:vMerge w:val="continue"/>
            <w:shd w:val="clear" w:color="auto" w:fill="D1D2D4"/>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00" w:type="dxa"/>
            <w:vAlign w:val="bottom"/>
          </w:tcPr>
          <w:p>
            <w:pPr>
              <w:ind w:left="20"/>
              <w:spacing w:after="0"/>
              <w:rPr>
                <w:sz w:val="20"/>
                <w:szCs w:val="20"/>
                <w:color w:val="auto"/>
              </w:rPr>
            </w:pPr>
            <w:r>
              <w:rPr>
                <w:rFonts w:ascii="Arial" w:cs="Arial" w:eastAsia="Arial" w:hAnsi="Arial"/>
                <w:sz w:val="18"/>
                <w:szCs w:val="18"/>
                <w:color w:val="auto"/>
              </w:rPr>
              <w:t>2023 Notes</w:t>
            </w:r>
          </w:p>
        </w:tc>
        <w:tc>
          <w:tcPr>
            <w:tcW w:w="1000" w:type="dxa"/>
            <w:vAlign w:val="bottom"/>
          </w:tcPr>
          <w:p>
            <w:pPr>
              <w:jc w:val="right"/>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N/A</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1,247</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2024 Notes</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D1D2D4"/>
          </w:tcPr>
          <w:p>
            <w:pPr>
              <w:jc w:val="right"/>
              <w:ind w:right="190"/>
              <w:spacing w:after="0"/>
              <w:rPr>
                <w:sz w:val="20"/>
                <w:szCs w:val="20"/>
                <w:color w:val="auto"/>
              </w:rPr>
            </w:pPr>
            <w:r>
              <w:rPr>
                <w:rFonts w:ascii="Arial" w:cs="Arial" w:eastAsia="Arial" w:hAnsi="Arial"/>
                <w:sz w:val="18"/>
                <w:szCs w:val="18"/>
                <w:color w:val="auto"/>
              </w:rPr>
              <w:t>N/A</w:t>
            </w:r>
          </w:p>
        </w:tc>
        <w:tc>
          <w:tcPr>
            <w:tcW w:w="6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D1D2D4"/>
          </w:tcPr>
          <w:p>
            <w:pPr>
              <w:spacing w:after="0"/>
              <w:rPr>
                <w:sz w:val="19"/>
                <w:szCs w:val="19"/>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D1D2D4"/>
          </w:tcPr>
          <w:p>
            <w:pPr>
              <w:spacing w:after="0"/>
              <w:rPr>
                <w:sz w:val="19"/>
                <w:szCs w:val="19"/>
                <w:color w:val="auto"/>
              </w:rPr>
            </w:pPr>
          </w:p>
        </w:tc>
        <w:tc>
          <w:tcPr>
            <w:tcW w:w="800" w:type="dxa"/>
            <w:vAlign w:val="bottom"/>
            <w:gridSpan w:val="2"/>
            <w:shd w:val="clear" w:color="auto" w:fill="D1D2D4"/>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6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spacing w:after="0"/>
              <w:rPr>
                <w:sz w:val="19"/>
                <w:szCs w:val="19"/>
                <w:color w:val="auto"/>
              </w:rPr>
            </w:pPr>
          </w:p>
        </w:tc>
        <w:tc>
          <w:tcPr>
            <w:tcW w:w="54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D1D2D4"/>
          </w:tcPr>
          <w:p>
            <w:pPr>
              <w:spacing w:after="0"/>
              <w:rPr>
                <w:sz w:val="19"/>
                <w:szCs w:val="19"/>
                <w:color w:val="auto"/>
              </w:rPr>
            </w:pPr>
          </w:p>
        </w:tc>
        <w:tc>
          <w:tcPr>
            <w:tcW w:w="7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7,024</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6,803</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6,792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6,621</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ind w:left="180" w:right="240" w:hanging="172"/>
        <w:spacing w:after="0" w:line="239" w:lineRule="auto"/>
        <w:tabs>
          <w:tab w:leader="none" w:pos="211" w:val="left"/>
        </w:tabs>
        <w:numPr>
          <w:ilvl w:val="0"/>
          <w:numId w:val="35"/>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 2021, we entered into fixed-to-floating interest rate swaps on the 2027 Notes with an aggregate $900 million notional amount equal to the principal amount of the 2027 Notes. The resulting variable interest paid is at a rate equal to SOFR plus approximately 3.33%. The fixed-to-floating interest rate swaps are accounted for as fair value hedges, as a result, the carrying values of our 2027 Notes reflect adjustments in fair value.</w:t>
      </w:r>
    </w:p>
    <w:p>
      <w:pPr>
        <w:spacing w:after="0" w:line="22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September 1, 2022, all of our debt, other than our finance leases, are unsecured obligations that rank equally in right of payment with all of our other existing and future unsecured indebtedness and are effectively subordinated to all future secured indebtedness, to the extent of the value of the assets securing such indebtedness. As of September 1, 2022, Micron had unsecured debt with a carrying value of $6.02 billion that was structurally subordinated to all liabilities of its subsidiaries, including trade payables. The terms of our indebtedness generally contain cross payment default and cross acceleration provisions. Micron’s guarantees of certain liabilities of its subsidiaries are unsecured obligations ranking equally in right of payment with all of Micron’s other existing and future unsecured indebtedness.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Senior Unsecured Notes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On November 1, 2021, we issued $ 2.00 billion aggregate principal amount of unsecured 2032 Green Bonds, 2041 Notes, and 2051 Notes in a public offering. Issuance costs for these notes were $14 million. Over time, we plan to allocate an amount equal to the net proceeds of the 2032 Green Bonds to fund eligible sustainability-focused projects involving renewable energy, green buildings, energy efficiency, water management, waste abatement, and a circular economy.</w:t>
      </w:r>
    </w:p>
    <w:p>
      <w:pPr>
        <w:spacing w:after="0" w:line="20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redeem our 2026 Notes, 2027 Notes, 2029 Notes, 2030 Notes, 2032 Green Bonds, 2041 Notes, and 2051 Notes (the “Senior Unsecured Notes”), in whole or in part, at our option prior to their respective maturity date at a redemption price equal to the greater of (i) 100% of the principal amount of the notes to be redeemed and (ii) the present value of the remaining scheduled payments of principal, in each case plus accrued interest. We may also redeem any series of our Senior Unsecured Notes, in whole or in part, at a price equal to par between two and six months prior to maturity in accordance with the respective terms of such series.</w:t>
      </w:r>
    </w:p>
    <w:p>
      <w:pPr>
        <w:spacing w:after="0" w:line="20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Each series of Senior Unsecured Notes contains covenants that, among other things, limit, in certain circumstances, our ability and/or the ability of our restricted subsidiaries (which are generally domestic subsidiaries in which we own at least 80% of the voting stock and which own principal property, as defined in the indenture governing such notes) to (1) create or incur certain liens; (2) enter into certain sale and lease-back transactions; and (3) consolidate with or merge with or into, or convey, transfer, or lease all or substantially all of our properties and assets, to another entity. These covenants are subject to a number of limitations and exceptions. Additionally, if a change of control triggering event occurs, as defined in the indentures governing our senior unsecured notes, we will be required to offer to purchase such notes at 101% of the outstanding aggregate principal amount plus accrued interest up to the purchase date.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Revolving Credit Facility</w:t>
      </w:r>
    </w:p>
    <w:p>
      <w:pPr>
        <w:spacing w:after="0" w:line="24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2021, we terminated our existing undrawn credit facility and entered into a new five-year unsecured Revolving Credit Facility. Under the Revolving Credit Facility, we can draw up to $2.50 billion which would generally bear interest at a rate equal to LIBOR plus 1.00% to 1.75%, depending on our corporate credit ratings. The credit facility agreement provides for a transition to SOFR or other alternate benchmark rate upon the retirement of LIBOR in 2023. Any amounts outstanding under the Revolving Credit Facility would mature in May 2026 and amounts borrowed may be prepaid without penalty. As of September 1, 2022, no amounts were outstanding under the Revolving Credit Facility and $2.50 billion was available to us.</w:t>
      </w:r>
    </w:p>
    <w:p>
      <w:pPr>
        <w:spacing w:after="0" w:line="2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Under the terms of the Revolving Credit Facility, we must maintain a leverage ratio, calculated as of the last day of each fiscal quarter, of total indebtedness to adjusted EBITDA not to exceed 3.25 to 1.00. The Revolving Credit Facility contains other covenants that, among other things, limit, in certain circumstances, our ability and/or the ability of our restricted subsidiaries to (1) create or incur certain liens and enter into sale and lease-back transactions, (2) create, assume, incur, or guarantee certain additional secured indebtedness and unsecured indebtedness of our restricted subsidiaries, and (3) consolidate with or merge with or into, or convey, transfer, lease, or otherwise dispose of all or substantially all of our assets, to another entity. These covenants are subject to a number of limitations, exceptions, and qualifications.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2024 Term Loans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2021, we drew $1.19 billion under an unsecured 2024 Term Loan A and used the proceeds to repay the $1.19 billion Extinguished 2024 Term Loan A. The 2024 Term Loan A bears interest at a rate equal to LIBOR plus 0.625% to 1.375% based on our current corporate credit ratings. The term loan agreement provides for a transition to SOFR or other alternate benchmark rate upon the retirement of LIBOR in 2023. The principal amount is due October 2024 and may be prepaid without penalty. The 2024 Term Loan A contains the same leverage ratio and substantially the same other covenants as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69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6"/>
                <w:szCs w:val="16"/>
                <w:b w:val="1"/>
                <w:bCs w:val="1"/>
                <w:color w:val="0090DA"/>
                <w:w w:val="99"/>
              </w:rPr>
              <w:t>Table of Contents</w:t>
            </w:r>
          </w:p>
        </w:tc>
        <w:tc>
          <w:tcPr>
            <w:tcW w:w="0" w:type="dxa"/>
            <w:vAlign w:val="bottom"/>
          </w:tcPr>
          <w:p>
            <w:pPr>
              <w:spacing w:after="0"/>
              <w:rPr>
                <w:sz w:val="1"/>
                <w:szCs w:val="1"/>
                <w:color w:val="auto"/>
              </w:rPr>
            </w:pPr>
          </w:p>
        </w:tc>
      </w:tr>
      <w:tr>
        <w:trPr>
          <w:trHeight w:val="910"/>
        </w:trPr>
        <w:tc>
          <w:tcPr>
            <w:tcW w:w="5460" w:type="dxa"/>
            <w:vAlign w:val="bottom"/>
          </w:tcPr>
          <w:p>
            <w:pPr>
              <w:spacing w:after="0"/>
              <w:rPr>
                <w:sz w:val="20"/>
                <w:szCs w:val="20"/>
                <w:color w:val="auto"/>
              </w:rPr>
            </w:pPr>
            <w:r>
              <w:rPr>
                <w:rFonts w:ascii="Arial" w:cs="Arial" w:eastAsia="Arial" w:hAnsi="Arial"/>
                <w:sz w:val="22"/>
                <w:szCs w:val="22"/>
                <w:b w:val="1"/>
                <w:bCs w:val="1"/>
                <w:color w:val="0090DA"/>
              </w:rPr>
              <w:t>Debt Activity</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Borders>
              <w:top w:val="single" w:sz="8" w:color="0090DA"/>
            </w:tcBorders>
          </w:tcPr>
          <w:p>
            <w:pPr>
              <w:spacing w:after="0"/>
              <w:rPr>
                <w:sz w:val="24"/>
                <w:szCs w:val="24"/>
                <w:color w:val="auto"/>
              </w:rPr>
            </w:pPr>
          </w:p>
        </w:tc>
        <w:tc>
          <w:tcPr>
            <w:tcW w:w="128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6900" w:type="dxa"/>
            <w:vAlign w:val="bottom"/>
            <w:gridSpan w:val="3"/>
          </w:tcPr>
          <w:p>
            <w:pPr>
              <w:spacing w:after="0"/>
              <w:rPr>
                <w:sz w:val="20"/>
                <w:szCs w:val="20"/>
                <w:color w:val="auto"/>
              </w:rPr>
            </w:pPr>
            <w:r>
              <w:rPr>
                <w:rFonts w:ascii="Arial" w:cs="Arial" w:eastAsia="Arial" w:hAnsi="Arial"/>
                <w:sz w:val="18"/>
                <w:szCs w:val="18"/>
                <w:color w:val="auto"/>
              </w:rPr>
              <w:t>The table below presents the effects of issuances and prepayments of debt in 2022:</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Increase</w:t>
            </w:r>
          </w:p>
        </w:tc>
        <w:tc>
          <w:tcPr>
            <w:tcW w:w="140" w:type="dxa"/>
            <w:vAlign w:val="bottom"/>
          </w:tcPr>
          <w:p>
            <w:pPr>
              <w:spacing w:after="0"/>
              <w:rPr>
                <w:sz w:val="17"/>
                <w:szCs w:val="17"/>
                <w:color w:val="auto"/>
              </w:rPr>
            </w:pPr>
          </w:p>
        </w:tc>
        <w:tc>
          <w:tcPr>
            <w:tcW w:w="1300" w:type="dxa"/>
            <w:vAlign w:val="bottom"/>
          </w:tcPr>
          <w:p>
            <w:pPr>
              <w:jc w:val="center"/>
              <w:ind w:right="30"/>
              <w:spacing w:after="0"/>
              <w:rPr>
                <w:sz w:val="20"/>
                <w:szCs w:val="20"/>
                <w:color w:val="auto"/>
              </w:rPr>
            </w:pPr>
            <w:r>
              <w:rPr>
                <w:rFonts w:ascii="Arial" w:cs="Arial" w:eastAsia="Arial" w:hAnsi="Arial"/>
                <w:sz w:val="18"/>
                <w:szCs w:val="18"/>
                <w:b w:val="1"/>
                <w:bCs w:val="1"/>
                <w:color w:val="auto"/>
              </w:rPr>
              <w:t>Increase</w:t>
            </w:r>
          </w:p>
        </w:tc>
        <w:tc>
          <w:tcPr>
            <w:tcW w:w="140" w:type="dxa"/>
            <w:vAlign w:val="bottom"/>
          </w:tcPr>
          <w:p>
            <w:pPr>
              <w:spacing w:after="0"/>
              <w:rPr>
                <w:sz w:val="17"/>
                <w:szCs w:val="17"/>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rPr>
              <w:t>Increase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(Decrease) in</w:t>
            </w:r>
          </w:p>
        </w:tc>
        <w:tc>
          <w:tcPr>
            <w:tcW w:w="140" w:type="dxa"/>
            <w:vAlign w:val="bottom"/>
          </w:tcPr>
          <w:p>
            <w:pPr>
              <w:spacing w:after="0"/>
              <w:rPr>
                <w:sz w:val="15"/>
                <w:szCs w:val="15"/>
                <w:color w:val="auto"/>
              </w:rPr>
            </w:pPr>
          </w:p>
        </w:tc>
        <w:tc>
          <w:tcPr>
            <w:tcW w:w="130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rPr>
              <w:t>(Decrease) in</w:t>
            </w:r>
          </w:p>
        </w:tc>
        <w:tc>
          <w:tcPr>
            <w:tcW w:w="140" w:type="dxa"/>
            <w:vAlign w:val="bottom"/>
          </w:tcPr>
          <w:p>
            <w:pPr>
              <w:spacing w:after="0"/>
              <w:rPr>
                <w:sz w:val="15"/>
                <w:szCs w:val="15"/>
                <w:color w:val="auto"/>
              </w:rPr>
            </w:pPr>
          </w:p>
        </w:tc>
        <w:tc>
          <w:tcPr>
            <w:tcW w:w="132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rPr>
              <w:t>(Decrease) 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Gain (Loss)</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0090DA"/>
            </w:tcBorders>
          </w:tcPr>
          <w:p>
            <w:pPr>
              <w:spacing w:after="0"/>
              <w:rPr>
                <w:sz w:val="19"/>
                <w:szCs w:val="19"/>
                <w:color w:val="auto"/>
              </w:rPr>
            </w:pPr>
          </w:p>
        </w:tc>
        <w:tc>
          <w:tcPr>
            <w:tcW w:w="140" w:type="dxa"/>
            <w:vAlign w:val="bottom"/>
            <w:tcBorders>
              <w:bottom w:val="single" w:sz="8" w:color="0090DA"/>
            </w:tcBorders>
          </w:tcPr>
          <w:p>
            <w:pPr>
              <w:spacing w:after="0"/>
              <w:rPr>
                <w:sz w:val="19"/>
                <w:szCs w:val="19"/>
                <w:color w:val="auto"/>
              </w:rPr>
            </w:pPr>
          </w:p>
        </w:tc>
        <w:tc>
          <w:tcPr>
            <w:tcW w:w="13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Principal</w:t>
            </w:r>
          </w:p>
        </w:tc>
        <w:tc>
          <w:tcPr>
            <w:tcW w:w="1440" w:type="dxa"/>
            <w:vAlign w:val="bottom"/>
            <w:tcBorders>
              <w:bottom w:val="single" w:sz="8" w:color="0090DA"/>
            </w:tcBorders>
            <w:gridSpan w:val="2"/>
          </w:tcPr>
          <w:p>
            <w:pPr>
              <w:jc w:val="center"/>
              <w:spacing w:after="0"/>
              <w:rPr>
                <w:sz w:val="20"/>
                <w:szCs w:val="20"/>
                <w:color w:val="auto"/>
              </w:rPr>
            </w:pPr>
            <w:r>
              <w:rPr>
                <w:rFonts w:ascii="Arial" w:cs="Arial" w:eastAsia="Arial" w:hAnsi="Arial"/>
                <w:sz w:val="18"/>
                <w:szCs w:val="18"/>
                <w:b w:val="1"/>
                <w:bCs w:val="1"/>
                <w:color w:val="auto"/>
                <w:w w:val="99"/>
              </w:rPr>
              <w:t>Carrying Value</w:t>
            </w:r>
          </w:p>
        </w:tc>
        <w:tc>
          <w:tcPr>
            <w:tcW w:w="140" w:type="dxa"/>
            <w:vAlign w:val="bottom"/>
            <w:tcBorders>
              <w:bottom w:val="single" w:sz="8" w:color="0090DA"/>
            </w:tcBorders>
          </w:tcPr>
          <w:p>
            <w:pPr>
              <w:spacing w:after="0"/>
              <w:rPr>
                <w:sz w:val="19"/>
                <w:szCs w:val="19"/>
                <w:color w:val="auto"/>
              </w:rPr>
            </w:pPr>
          </w:p>
        </w:tc>
        <w:tc>
          <w:tcPr>
            <w:tcW w:w="13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9"/>
              </w:rPr>
              <w:t>Cash</w:t>
            </w:r>
          </w:p>
        </w:tc>
        <w:tc>
          <w:tcPr>
            <w:tcW w:w="80" w:type="dxa"/>
            <w:vAlign w:val="bottom"/>
            <w:tcBorders>
              <w:bottom w:val="single" w:sz="8" w:color="0090DA"/>
            </w:tcBorders>
          </w:tcPr>
          <w:p>
            <w:pPr>
              <w:spacing w:after="0"/>
              <w:rPr>
                <w:sz w:val="19"/>
                <w:szCs w:val="19"/>
                <w:color w:val="auto"/>
              </w:rPr>
            </w:pPr>
          </w:p>
        </w:tc>
        <w:tc>
          <w:tcPr>
            <w:tcW w:w="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Issuances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2032 Green Bonds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994</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994</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2041 Notes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496</w:t>
            </w: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tcPr>
          <w:p>
            <w:pPr>
              <w:ind w:left="140"/>
              <w:spacing w:after="0"/>
              <w:rPr>
                <w:sz w:val="20"/>
                <w:szCs w:val="20"/>
                <w:color w:val="auto"/>
              </w:rPr>
            </w:pPr>
            <w:r>
              <w:rPr>
                <w:rFonts w:ascii="Arial" w:cs="Arial" w:eastAsia="Arial" w:hAnsi="Arial"/>
                <w:sz w:val="18"/>
                <w:szCs w:val="18"/>
                <w:color w:val="auto"/>
              </w:rPr>
              <w:t>2051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496</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5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Prepayments</w:t>
            </w: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0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Arial" w:cs="Arial" w:eastAsia="Arial" w:hAnsi="Arial"/>
                <w:sz w:val="18"/>
                <w:szCs w:val="18"/>
                <w:color w:val="auto"/>
              </w:rPr>
              <w:t>2023 Notes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(1,247)</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center"/>
              <w:ind w:left="830"/>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29"/>
        </w:trPr>
        <w:tc>
          <w:tcPr>
            <w:tcW w:w="54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2024 Notes</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(600)</w:t>
            </w:r>
          </w:p>
        </w:tc>
        <w:tc>
          <w:tcPr>
            <w:tcW w:w="140" w:type="dxa"/>
            <w:vAlign w:val="bottom"/>
            <w:tcBorders>
              <w:bottom w:val="single" w:sz="8" w:color="auto"/>
            </w:tcBorders>
            <w:shd w:val="clear" w:color="auto" w:fill="D1D2D4"/>
          </w:tcPr>
          <w:p>
            <w:pPr>
              <w:spacing w:after="0"/>
              <w:rPr>
                <w:sz w:val="19"/>
                <w:szCs w:val="19"/>
                <w:color w:val="auto"/>
              </w:rPr>
            </w:pPr>
          </w:p>
        </w:tc>
        <w:tc>
          <w:tcPr>
            <w:tcW w:w="13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(647)</w:t>
            </w:r>
          </w:p>
        </w:tc>
        <w:tc>
          <w:tcPr>
            <w:tcW w:w="80" w:type="dxa"/>
            <w:vAlign w:val="bottom"/>
            <w:tcBorders>
              <w:bottom w:val="single" w:sz="8" w:color="auto"/>
            </w:tcBorders>
            <w:shd w:val="clear" w:color="auto" w:fill="D1D2D4"/>
          </w:tcPr>
          <w:p>
            <w:pPr>
              <w:spacing w:after="0"/>
              <w:rPr>
                <w:sz w:val="19"/>
                <w:szCs w:val="19"/>
                <w:color w:val="auto"/>
              </w:rPr>
            </w:pPr>
          </w:p>
        </w:tc>
        <w:tc>
          <w:tcPr>
            <w:tcW w:w="8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center"/>
              <w:ind w:left="830"/>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223"/>
        </w:trPr>
        <w:tc>
          <w:tcPr>
            <w:tcW w:w="5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center"/>
              <w:ind w:left="830"/>
              <w:spacing w:after="0"/>
              <w:rPr>
                <w:sz w:val="20"/>
                <w:szCs w:val="20"/>
                <w:color w:val="auto"/>
              </w:rPr>
            </w:pPr>
            <w:r>
              <w:rPr>
                <w:rFonts w:ascii="Arial" w:cs="Arial" w:eastAsia="Arial" w:hAnsi="Arial"/>
                <w:sz w:val="18"/>
                <w:szCs w:val="18"/>
                <w:color w:val="auto"/>
                <w:w w:val="99"/>
              </w:rPr>
              <w:t>(83)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In 2021, substantially all holders of our 2032D Notes converted their notes. We settled these conversions and all remaining 2032D Notes with $185 million in cash and 11.1 million shares of our stock, which approximated the carrying value of debt and equity for those notes.</w:t>
      </w:r>
    </w:p>
    <w:p>
      <w:pPr>
        <w:spacing w:after="0" w:line="18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 2020, we recognized aggregate non-operating gains of $40 million in connection with debt prepayments and conversions of $3.77 billion of principal amount of notes (carrying value of $3.90 billion) for an aggregate of $3.92 billion in cash.</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Maturities of Notes Payable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800" w:type="dxa"/>
            <w:vAlign w:val="bottom"/>
          </w:tcPr>
          <w:p>
            <w:pPr>
              <w:spacing w:after="0"/>
              <w:rPr>
                <w:sz w:val="20"/>
                <w:szCs w:val="20"/>
                <w:color w:val="auto"/>
              </w:rPr>
            </w:pPr>
            <w:r>
              <w:rPr>
                <w:rFonts w:ascii="Arial" w:cs="Arial" w:eastAsia="Arial" w:hAnsi="Arial"/>
                <w:sz w:val="18"/>
                <w:szCs w:val="18"/>
                <w:color w:val="auto"/>
              </w:rPr>
              <w:t>As of September 1, 2022, maturities of notes payable by fiscal year were as follows:</w:t>
            </w: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
        </w:trPr>
        <w:tc>
          <w:tcPr>
            <w:tcW w:w="9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1,188</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2026</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2027</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9800" w:type="dxa"/>
            <w:vAlign w:val="bottom"/>
          </w:tcPr>
          <w:p>
            <w:pPr>
              <w:ind w:left="20"/>
              <w:spacing w:after="0"/>
              <w:rPr>
                <w:sz w:val="20"/>
                <w:szCs w:val="20"/>
                <w:color w:val="auto"/>
              </w:rPr>
            </w:pPr>
            <w:r>
              <w:rPr>
                <w:rFonts w:ascii="Arial" w:cs="Arial" w:eastAsia="Arial" w:hAnsi="Arial"/>
                <w:sz w:val="18"/>
                <w:szCs w:val="18"/>
                <w:color w:val="auto"/>
              </w:rPr>
              <w:t>2028 and thereafter</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3,550</w:t>
            </w:r>
          </w:p>
        </w:tc>
      </w:tr>
      <w:tr>
        <w:trPr>
          <w:trHeight w:val="230"/>
        </w:trPr>
        <w:tc>
          <w:tcPr>
            <w:tcW w:w="98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Unamortized discounts</w:t>
            </w:r>
          </w:p>
        </w:tc>
        <w:tc>
          <w:tcPr>
            <w:tcW w:w="520" w:type="dxa"/>
            <w:vAlign w:val="bottom"/>
            <w:shd w:val="clear" w:color="auto" w:fill="D1D2D4"/>
          </w:tcPr>
          <w:p>
            <w:pPr>
              <w:spacing w:after="0"/>
              <w:rPr>
                <w:sz w:val="19"/>
                <w:szCs w:val="19"/>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98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Hedge accounting fair value adjustment</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r>
      <w:tr>
        <w:trPr>
          <w:trHeight w:val="248"/>
        </w:trPr>
        <w:tc>
          <w:tcPr>
            <w:tcW w:w="9800" w:type="dxa"/>
            <w:vAlign w:val="bottom"/>
            <w:tcBorders>
              <w:bottom w:val="single" w:sz="8" w:color="D1D2D4"/>
            </w:tcBorders>
            <w:shd w:val="clear" w:color="auto" w:fill="D1D2D4"/>
          </w:tcPr>
          <w:p>
            <w:pPr>
              <w:spacing w:after="0"/>
              <w:rPr>
                <w:sz w:val="21"/>
                <w:szCs w:val="21"/>
                <w:color w:val="auto"/>
              </w:rPr>
            </w:pPr>
          </w:p>
        </w:tc>
        <w:tc>
          <w:tcPr>
            <w:tcW w:w="520" w:type="dxa"/>
            <w:vAlign w:val="bottom"/>
            <w:tcBorders>
              <w:bottom w:val="single" w:sz="8" w:color="auto"/>
            </w:tcBorders>
            <w:shd w:val="clear" w:color="auto" w:fill="D1D2D4"/>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6,020</w:t>
            </w:r>
          </w:p>
        </w:tc>
      </w:tr>
      <w:tr>
        <w:trPr>
          <w:trHeight w:val="20"/>
        </w:trPr>
        <w:tc>
          <w:tcPr>
            <w:tcW w:w="9800" w:type="dxa"/>
            <w:vAlign w:val="bottom"/>
            <w:tcBorders>
              <w:top w:val="single" w:sz="8" w:color="D1D2D4"/>
            </w:tcBorders>
          </w:tcPr>
          <w:p>
            <w:pPr>
              <w:spacing w:after="0" w:line="20" w:lineRule="exact"/>
              <w:rPr>
                <w:sz w:val="1"/>
                <w:szCs w:val="1"/>
                <w:color w:val="auto"/>
              </w:rPr>
            </w:pPr>
          </w:p>
        </w:tc>
        <w:tc>
          <w:tcPr>
            <w:tcW w:w="520" w:type="dxa"/>
            <w:vAlign w:val="bottom"/>
            <w:tcBorders>
              <w:top w:val="single" w:sz="8" w:color="D1D2D4"/>
              <w:bottom w:val="single" w:sz="8" w:color="auto"/>
            </w:tcBorders>
          </w:tcPr>
          <w:p>
            <w:pPr>
              <w:spacing w:after="0" w:line="20" w:lineRule="exact"/>
              <w:rPr>
                <w:sz w:val="1"/>
                <w:szCs w:val="1"/>
                <w:color w:val="auto"/>
              </w:rPr>
            </w:pPr>
          </w:p>
        </w:tc>
        <w:tc>
          <w:tcPr>
            <w:tcW w:w="920" w:type="dxa"/>
            <w:vAlign w:val="bottom"/>
            <w:tcBorders>
              <w:top w:val="single" w:sz="8" w:color="D1D2D4"/>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Commitments</w:t>
      </w:r>
    </w:p>
    <w:p>
      <w:pPr>
        <w:spacing w:after="0" w:line="25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September 1, 2022, we had commitments of approximately $ 7.1 billion for purchase obligations, of which approximately $5.4 billion will be due within one year. Purchase obligations include payments for the acquisition of property, plant, and equipment, and other goods or services of either a fixed or minimum quantity and exclude any payments for leases that have been executed but have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Contingencies</w:t>
      </w:r>
    </w:p>
    <w:p>
      <w:pPr>
        <w:spacing w:after="0" w:line="257"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Patent Matters</w:t>
      </w:r>
    </w:p>
    <w:p>
      <w:pPr>
        <w:spacing w:after="0" w:line="243"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As is typical in the semiconductor and other high-tech industries, from time to time, others have asserted, and may in the future assert, that our products or manufacturing processes infringe upon their intellectual property rights.</w:t>
      </w:r>
    </w:p>
    <w:p>
      <w:pPr>
        <w:spacing w:after="0" w:line="18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December 15, 2014, Innovative Memory Solutions, Inc. filed a patent infringement action against Micron in the U.S. District Court for the District of Delaware. The complaint alleges that a variety of our NAND products infringe eight U.S. patents and seeks damages, attorneys’ fees, and costs. Subsequently, six patents were invalidated or withdrawn, leaving two asserted patents in the District Court.</w:t>
      </w:r>
    </w:p>
    <w:p>
      <w:pPr>
        <w:spacing w:after="0" w:line="1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19, 2018, Micron Semiconductor (Xi’an) Co., Ltd. (“MXA”) was served with a patent infringement complaint filed by Fujian Jinhua Integrated Circuit Co., Ltd. (“Jinhua”) in the Fuzhou Intermediate People’s Court in Fujian Province, China (the “Fuzhou Court”). On April 3, 2018, Micron Semiconductor (Shanghai) Co. Ltd.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98 million Chinese yuan plus court fees incurred.</w:t>
      </w:r>
    </w:p>
    <w:p>
      <w:pPr>
        <w:spacing w:after="0" w:line="21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 March 21, 2018, MXA was served with a patent infringement complaint filed by United Microelectronics Corporation (“UMC”) in the Fuzhou Court. On April 3, 2018, MSS was served with the same complaint. The complaint alleges that MXA and MSS infringed one Chinese patent by manufacturing and selling certain Crucial DDR4 DRAM modules. The complaint seeks an order requiring MXA and MSS to destroy inventory of the accused products and equipment for manufacturing the accused products in China; to stop manufacturing, using, selling, and offering for sale the accused products in China; and to pay damages of 90 million Chinese yuan plus court fees incurred. On November 26, 2021, pursuant to a settlement agreement between UMC and Micron, UMC filed an application to the Fuzhou Court to withdraw its complaints against MXA and MSS.</w:t>
      </w:r>
    </w:p>
    <w:p>
      <w:pPr>
        <w:spacing w:after="0" w:line="2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April 3, 2018, MSS was served with another patent infringement complaint filed by Jinhua and an additional complaint filed by UMC in the Fuzhou Court. The additional complaints allege that MSS infringes two Chinese patents by manufacturing and selling certain Crucial MX300 SSDs. The complaint filed by UMC seeks an order requiring MSS to destroy inventory of the accused products and equipment for manufacturing the accused products in China; to stop manufacturing, using, selling, and offering for sale the accused products in China; and to pay damages of 90 million Chinese yuan plus court fees incurred. The complaint filed by Jinhua seeks an order requiring MSS to destroy inventory of the accused products and equipment for manufacturing the accused products in China; to stop manufacturing, using, selling, and offering for sale the accused products in China; and to pay damages of 98 million Chinese yuan plus court fees incurred. On November 26, 2021, pursuant to a settlement agreement between UMC and Micron, UMC filed an application to the Fuzhou Court to withdraw its complaint against MSS.</w:t>
      </w:r>
    </w:p>
    <w:p>
      <w:pPr>
        <w:spacing w:after="0" w:line="20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On July 5, 2018, MXA and MSS were notified that the Fuzhou Court granted a preliminary injunction against those entities that enjoins them from manufacturing, selling, or importing certain Crucial and Ballistix-branded DRAM modules and solid-state drives in China. We are complying with the ruling and have requested the Fuzhou Court to reconsider or stay its decision.</w:t>
      </w:r>
    </w:p>
    <w:p>
      <w:pPr>
        <w:spacing w:after="0" w:line="19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May 4, 2020, Flash-Control, LLC filed a patent infringement action against Micron in the U.S. District Court for the Western District of Texas. The complaint alleges that four U.S. patents are infringed by unspecified DDR4 SDRAM, NVRDIMM, NVDIMM, 3D XPoint, and/or SSD products that incorporate memory controllers and flash memory. The complaint seeks damages, attorneys’ fees, and costs. On July 21, 2020, in a separate matter, the District Court ruled that two of the four asserted patents are invalid, and on July 14, 2021, the U.S. Court of Appeals for the Federal Circuit affirmed the ruling of invalidity.</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April 28, 2021, Netlist, Inc. (“Netlist”) filed two patent infringement actions against Micron, Micron Semiconductor Products, Inc. (“MSP”) and Micron Technology Texas, LLC (“MTEC”) in the U.S. District Court for the Western District of Texas.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Germany, GmbH in Dusseldorf Regional Court alleging that two German patents are infringed by certain of our LRDIMMs. The complaint seeks damages and costs. On June 24, 2022, Netlist amended its complaint to also seek injunctive relief. On June 10, 2022, Netlist filed a patent infringement complaint against Micron, MSP, and MTEC in the U.S. District Court for the Eastern District of Texas (“E.D. Tex.”) alleging that six U.S. patents are infringed by certain of our memory modules and HBM products. The complaint seeks injunctive relief, damages, and attorneys’ fees. On August 1, 2022, Netlist filed a second patent infringement complaint against Micron, MSP, and MTEC in E.D. Tex. alleging that one U.S. patent is infringed by certain of our LRDIMMs. On August 15, 2022, Netlist amended the second complaint to assert that two additional U.S. patents are infringed by certain of our LRDIMMs. The second complaint in E.D. Tex. seeks injunctive relief, damages, and attorneys’ fees.</w:t>
      </w:r>
    </w:p>
    <w:p>
      <w:pPr>
        <w:spacing w:after="0" w:line="21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On May 10, 2021, Vervain, LLC filed a patent infringement action against Micron, MSP, and MTEC in the U.S. District Court for the Western District of Texas. The complaint alleges that four U.S. patents are infringed by certain SSD products. The complaint seeks injunctive relief, damages, attorneys’ fees, and costs.</w:t>
      </w:r>
    </w:p>
    <w:p>
      <w:pPr>
        <w:spacing w:after="0" w:line="1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April 27, 2022, Bell Semiconductor, LLC (“Bell”) filed a patent infringement action against Micron in the U.S. District Court for the District of Idaho. The complaint alleges that one U.S. patent is infringed by a certain SSD controller. On April 28, 2022, Bell filed a complaint with the U.S. International Trade Commission (“ITC”) alleging violations of Section 337 of the Tariff Act of 1930 based on alleged importation of articles and components that infringe the same U.S. patent that Bell asserts in the complaint it filed in the District of Idaho. At Bell’s request, the ITC investigation was terminated on August 30, 2022. On August 26, 2022, Bell filed a second patent infringement complaint in the District of Idaho alleging that two U.S. patents are infringed by a certain SSD controller. On September 30, 2022, Bell filed a complaint against Micron in the U.S. District Court for the District of Delaware alleging that six U.S. patents are infringed by certain SSD, GDDR5, GDDR6, GDDR6X, and DDR3 SDRAM products. On October 5, 2022, Bell filed a third complaint against Micron in the District of Idaho alleging that one U.S. patent is infringed by Micron’s process for designing a NAND flash device included in certain Micron SSD products. Each of Bell’s complaints in the District Courts seeks damages, injunctive relief, attorneys’ fees, and costs. On October 6, 2022, Bell filed a complaint with the ITC alleging violations of Section 337 of the Tariff Act of 1930 based on alleged importation of certain SSDs that infringe two U.S. patents also asserted by Bell in two of the lawsuits pending in the District of Idaho. The complaint requests institution of an investigation and, after the investigation, issuance of a limited exclusion order and cease and desist orders prohibiting Micron from importing, selling, offering for sale, or marketing the accused products in the United States.</w:t>
      </w:r>
    </w:p>
    <w:p>
      <w:pPr>
        <w:spacing w:after="0" w:line="21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August 16, 2022, Sonrai Memory Ltd. filed a patent infringement action against Micron in the U.S. District Court for the Western District of Texas. The complaint alleges that two U.S. patents are infringed by certain SSD and NAND flash products. The complaint seeks damages, attorneys’ fees, and costs.</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Among other things, the above lawsuits pertain to substantially all of our DRAM, NAND, and other memory and storage products we manufacture, which account for substantially all of our revenue.</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Qimonda</w:t>
      </w:r>
    </w:p>
    <w:p>
      <w:pPr>
        <w:spacing w:after="0" w:line="2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On January 20, 2011, Dr. Michael Jaffé, administrator for Qimonda’s insolvency proceedings, filed suit against Micron and Micron Semiconductor B.V. (“Micron B.V.”), in the District Court of Munich, Civil Chamber. The complaint seeks to void, under Section 133 of the German Insolvency Act, a share purchase agreement between Micron B.V. and Qimonda signed in fall 2008, pursuant to which Micron B.V. purchased substantially all of Qimonda’s shares of Inotera (the “Inotera Shares”), representing approximately 18% of Inotera’s outstanding shares at that time, and seeks an order requiring us to re-transfer those shares to the Qimonda estate. The complaint also seeks, among other things, to recover damages for the alleged value of the joint venture relationship with Inotera and to terminate, under Sections 103 or 133 of the German Insolvency Code, a patent cross-license between us and Qimonda entered into at the same time as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Following a series of hearings with pleadings, arguments, and witnesses on behalf of the Qimonda estate, on March 13, 2014, the court issued judgments: (1) ordering Micron B.V. to pay approximately $1 million in respect of certain Inotera Shares sold in connection with the original share purchase; (2) ordering Micron B.V. to disclose certain information with respect to any Inotera Shares sold by it to third parties;</w:t>
      </w:r>
    </w:p>
    <w:p>
      <w:pPr>
        <w:spacing w:after="0" w:line="1" w:lineRule="exact"/>
        <w:rPr>
          <w:sz w:val="20"/>
          <w:szCs w:val="20"/>
          <w:color w:val="auto"/>
        </w:rPr>
      </w:pPr>
    </w:p>
    <w:p>
      <w:pPr>
        <w:ind w:right="140" w:firstLine="8"/>
        <w:spacing w:after="0" w:line="251" w:lineRule="auto"/>
        <w:tabs>
          <w:tab w:leader="none" w:pos="2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ordering Micron B.V. to disclose the benefits derived by it from ownership of the Inotera Shares, including in particular, any profits distributed on the Inotera Shares and all other benefits; (4) denying Qimonda’s claims against Micron for any damages relating to the joint venture relationship with Inotera; and (5) determining that Qimonda’s obligations under the patent cross-license agreement are canceled. In addition, the court issued interlocutory judgments ordering, among other things: (1) that Micron B.V. transfer to the Qimonda estate the Inotera Shares still owned by Micron B.V. and pay to the Qimonda estate compensation in an amount to be specified for any Inotera Shares sold to third parties; and (2) that Micron B.V. pay the Qimonda estate as compensation an amount to be specified for benefits derived by Micron B.V. from ownership of the Inotera Shares. The interlocutory judgments had no immediate, enforceable effect and Micron, accordingly, has been able to continue to operate with full control of the Inotera Shares subject to further developments in the case. Micron and Micron B.V. appealed the judgments to the German Appeals Court, which thereafter appointed an independent expert to perform an evaluation of Dr. Jaffé’s claims that the amount Micron paid for Qimonda was less than fair market value. On March 31, 2020, the expert presented an opinion to the Appeals Court concluding that the amount paid by Micron was within an acceptable range of fair value. On October 5, 2022, the Appeals Court ruled that the relevant issue to be addressed is whether Qimonda's creditors were prejudiced such that the original transaction should be voided. A hearing of the Appeals Court has been scheduled for December 2022.</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Antitrust Matters</w:t>
      </w:r>
    </w:p>
    <w:p>
      <w:pPr>
        <w:spacing w:after="0" w:line="2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April 27, 2018, a complaint was filed against Micron and other DRAM suppliers in the U.S. District Court for the Northern District of California. Subsequently, two substantially identical cases were filed in the same court. The lawsuits purported to be on behalf of a nationwide class of indirect purchasers of DRAM products. On October 28, 2019, the plaintiffs filed a consolidated, amended complaint that purported to be on behalf of a nationwide class of indirect purchasers of DRAM products. The amended complaint asserted claims based on alleged price-fixing of DRAM products under federal and state law during the period from June 1, 2016 to at least February 1, 2018, and sought treble monetary damages, costs, interest, attorneys’ fees, and other injunctive and equitable relief. On December 21, 2020, the District Court dismissed the plaintiffs’ claims and entered judgment against them. The plaintiffs appealed to the U.S. Court of Appeals for the Ninth Circuit. On March 7, 2022, the Court of Appeals affirmed the District Court’s ruling dismissing plaintiffs’ claims, and subsequently denied the plaintiffs’ request for rehearing. The plaintiffs did not further appeal the ruling of the Court of Appeals.</w:t>
      </w:r>
    </w:p>
    <w:p>
      <w:pPr>
        <w:spacing w:after="0" w:line="20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26, 2018, a complaint was filed against Micron and other DRAM suppliers in the U.S. District Court for the Northern District of California. Subsequently, four substantially identical cases were filed in the same court. On October 28, 2019, the plaintiffs filed a consolidated, amended complaint. The consolidated complaint purported to be on behalf of a nationwide class of direct purchasers of DRAM products. The consolidated complaint asserted claims based on alleged price-fixing of DRAM products under federal and state law during the period from June 1, 2016 through at least February 1, 2018, and sought treble monetary damages, costs, interest, attorneys’ fees, and other injunctive and equitable relief. On January 11, 2021, the plaintiffs filed a further amended complaint asserting substantially the same claims and seeking the same relief. On September 3, 2021, the District Court granted Micron’s motion to dismiss the further amended complaint with prejudice. On October 1, 2021, the plaintiffs filed a notice of appeal to the U.S. Court of Appeals for the Ninth Circuit. On June 29, 2022, the Court of Appeals granted a joint motion to dismiss the plaintiffs’ appeal.</w:t>
      </w:r>
    </w:p>
    <w:p>
      <w:pPr>
        <w:spacing w:after="0" w:line="20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six cases have been filed in the following Canadian courts on the dates indicated: Superior Court of Quebec (April 30, 2018 and May 3, 2018), the Federal Court of Canada (May 2, 2018), the Ontario Superior Court of Justice (May 15, 2018), and the Supreme Court of British Columbia (May 10, 2018). The plaintiffs in these cases are individuals seeking certification of class actions on behalf of direct and indirect purchasers of DRAM in Canada (or regions of Canada) between June 1, 2016 and February 1, 2018. The substantive allegations in these cases are similar to those asserted in the cases filed in the United States.</w:t>
      </w:r>
    </w:p>
    <w:p>
      <w:pPr>
        <w:spacing w:after="0" w:line="206"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On May 15, 2018, the Chinese State Administration for Market Regulation (“SAMR”) notified Micron that it was investigating potential collusion and other anticompetitive conduct by DRAM suppliers in China. On May 31, 2018, SAMR made unannounced visits to our sales offices in Beijing, Shanghai, and Shenzhen to seek certain information as part of its investigation. We are cooperating with SAMR in its investigation.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Securities Matters</w:t>
      </w:r>
    </w:p>
    <w:p>
      <w:pPr>
        <w:spacing w:after="0" w:line="243"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On March 5, 2019, a derivative complaint was filed by a shareholder against certain current and former officers and directors of Micron, allegedly on behalf of and for the benefit of Micron, in the U.S. District Court for the District of Delaware alleging securities fraud, breaches of fiduciary duties, and other violations of law involving misrepresentations about purported anticompetitive behavior in the DRAM industry. The complaint seeks damages, fees, interest, costs, and other appropriate relief.</w:t>
      </w:r>
    </w:p>
    <w:p>
      <w:pPr>
        <w:spacing w:after="0" w:line="20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February 9, 2021, a derivative complaint was filed by a shareholder against Sanjay Mehrotra and other current and former directors of Micron, allegedly on behalf of and for the benefit of Micron, in the U.S. District Court for the District of Delaware alleging violations of securities laws, breaches of fiduciary duties, and other violations of law involving allegedly false and misleading statements about Micron’s commitment to diversity and progress in diversifying its workforce, executive leadership, and Board of Directors. The complaint seeks damages, fees, interest, costs, and an order requiring Micron to take various actions to allegedly improve its corporate governance and internal procedures.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Other Matters</w:t>
      </w:r>
    </w:p>
    <w:p>
      <w:pPr>
        <w:spacing w:after="0" w:line="243" w:lineRule="exact"/>
        <w:rPr>
          <w:sz w:val="20"/>
          <w:szCs w:val="20"/>
          <w:color w:val="auto"/>
        </w:rPr>
      </w:pPr>
    </w:p>
    <w:p>
      <w:pPr>
        <w:ind w:right="180"/>
        <w:spacing w:after="0" w:line="282" w:lineRule="auto"/>
        <w:rPr>
          <w:sz w:val="20"/>
          <w:szCs w:val="20"/>
          <w:color w:val="auto"/>
        </w:rPr>
      </w:pPr>
      <w:r>
        <w:rPr>
          <w:rFonts w:ascii="Arial" w:cs="Arial" w:eastAsia="Arial" w:hAnsi="Arial"/>
          <w:sz w:val="17"/>
          <w:szCs w:val="17"/>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Contingency Assessment</w:t>
      </w:r>
    </w:p>
    <w:p>
      <w:pPr>
        <w:spacing w:after="0" w:line="25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w:t>
      </w:r>
    </w:p>
    <w:p>
      <w:pPr>
        <w:spacing w:after="0" w:line="25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Common Stock Repurchases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Board of Directors has authorized the discretionary repurchase of up to $10 billion of our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and our ongoing determination of the best use of available cash. We repurchased 35.4 million shares of our common stock for $2.43 billion in 2022 and 15.6 million shares for $1.20 billion in 2021. Through September 1, 2022, we had repurchased an aggregate of $6.47 billion under the authorization. Amounts repurchased are included in treasury stock.</w:t>
      </w:r>
    </w:p>
    <w:p>
      <w:pPr>
        <w:spacing w:after="0" w:line="209"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Dividends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29, 2022, we announced that our Board of Directors had declared a quarterly dividend of $0.115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payable in cash on October 26, 2022, to shareholders of record as of the close of business on October 11, 2022.</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20"/>
        <w:spacing w:after="0" w:line="273" w:lineRule="auto"/>
        <w:rPr>
          <w:sz w:val="20"/>
          <w:szCs w:val="20"/>
          <w:color w:val="auto"/>
        </w:rPr>
      </w:pPr>
      <w:r>
        <w:rPr>
          <w:rFonts w:ascii="Arial" w:cs="Arial" w:eastAsia="Arial" w:hAnsi="Arial"/>
          <w:sz w:val="18"/>
          <w:szCs w:val="18"/>
          <w:b w:val="1"/>
          <w:bCs w:val="1"/>
          <w:i w:val="1"/>
          <w:iCs w:val="1"/>
          <w:color w:val="auto"/>
        </w:rPr>
        <w:t>Accumulated Other Comprehensive Income (Loss)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Changes in accumulated other comprehensive income (loss) by component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ended September 1, 2022 were as follows:</w:t>
      </w:r>
    </w:p>
    <w:tbl>
      <w:tblPr>
        <w:tblLayout w:type="fixed"/>
        <w:tblInd w:w="0" w:type="dxa"/>
        <w:tblCellMar>
          <w:top w:w="0" w:type="dxa"/>
          <w:left w:w="0" w:type="dxa"/>
          <w:bottom w:w="0" w:type="dxa"/>
          <w:right w:w="0" w:type="dxa"/>
        </w:tblCellMar>
      </w:tblPr>
      <w:tr>
        <w:trPr>
          <w:trHeight w:val="182"/>
        </w:trPr>
        <w:tc>
          <w:tcPr>
            <w:tcW w:w="4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82" w:lineRule="exact"/>
              <w:rPr>
                <w:sz w:val="20"/>
                <w:szCs w:val="20"/>
                <w:color w:val="auto"/>
              </w:rPr>
            </w:pPr>
            <w:r>
              <w:rPr>
                <w:rFonts w:ascii="Arial" w:cs="Arial" w:eastAsia="Arial" w:hAnsi="Arial"/>
                <w:sz w:val="18"/>
                <w:szCs w:val="18"/>
                <w:b w:val="1"/>
                <w:bCs w:val="1"/>
                <w:color w:val="auto"/>
              </w:rPr>
              <w:t>Cumulative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9"/>
              </w:rPr>
              <w:t>Pension</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Foreign</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580" w:type="dxa"/>
            <w:vAlign w:val="bottom"/>
          </w:tcPr>
          <w:p>
            <w:pPr>
              <w:spacing w:after="0"/>
              <w:rPr>
                <w:sz w:val="15"/>
                <w:szCs w:val="15"/>
                <w:color w:val="auto"/>
              </w:rPr>
            </w:pPr>
          </w:p>
        </w:tc>
        <w:tc>
          <w:tcPr>
            <w:tcW w:w="2660" w:type="dxa"/>
            <w:vAlign w:val="bottom"/>
            <w:gridSpan w:val="4"/>
          </w:tcPr>
          <w:p>
            <w:pPr>
              <w:jc w:val="right"/>
              <w:spacing w:after="0" w:line="176" w:lineRule="exact"/>
              <w:rPr>
                <w:sz w:val="20"/>
                <w:szCs w:val="20"/>
                <w:color w:val="auto"/>
              </w:rPr>
            </w:pPr>
            <w:r>
              <w:rPr>
                <w:rFonts w:ascii="Arial" w:cs="Arial" w:eastAsia="Arial" w:hAnsi="Arial"/>
                <w:sz w:val="18"/>
                <w:szCs w:val="18"/>
                <w:b w:val="1"/>
                <w:bCs w:val="1"/>
                <w:color w:val="auto"/>
                <w:w w:val="99"/>
              </w:rPr>
              <w:t>Gains (Losses) Gains (Losses)</w:t>
            </w:r>
          </w:p>
        </w:tc>
        <w:tc>
          <w:tcPr>
            <w:tcW w:w="1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Currency</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580" w:type="dxa"/>
            <w:vAlign w:val="bottom"/>
          </w:tcPr>
          <w:p>
            <w:pPr>
              <w:spacing w:after="0"/>
              <w:rPr>
                <w:sz w:val="16"/>
                <w:szCs w:val="16"/>
                <w:color w:val="auto"/>
              </w:rPr>
            </w:pPr>
          </w:p>
        </w:tc>
        <w:tc>
          <w:tcPr>
            <w:tcW w:w="1320" w:type="dxa"/>
            <w:vAlign w:val="bottom"/>
            <w:gridSpan w:val="2"/>
          </w:tcPr>
          <w:p>
            <w:pPr>
              <w:jc w:val="right"/>
              <w:ind w:right="10"/>
              <w:spacing w:after="0" w:line="189" w:lineRule="exact"/>
              <w:rPr>
                <w:sz w:val="20"/>
                <w:szCs w:val="20"/>
                <w:color w:val="auto"/>
              </w:rPr>
            </w:pPr>
            <w:r>
              <w:rPr>
                <w:rFonts w:ascii="Arial" w:cs="Arial" w:eastAsia="Arial" w:hAnsi="Arial"/>
                <w:sz w:val="18"/>
                <w:szCs w:val="18"/>
                <w:b w:val="1"/>
                <w:bCs w:val="1"/>
                <w:color w:val="auto"/>
              </w:rPr>
              <w:t>on Derivative</w:t>
            </w:r>
          </w:p>
        </w:tc>
        <w:tc>
          <w:tcPr>
            <w:tcW w:w="140" w:type="dxa"/>
            <w:vAlign w:val="bottom"/>
          </w:tcPr>
          <w:p>
            <w:pPr>
              <w:spacing w:after="0"/>
              <w:rPr>
                <w:sz w:val="16"/>
                <w:szCs w:val="16"/>
                <w:color w:val="auto"/>
              </w:rPr>
            </w:pPr>
          </w:p>
        </w:tc>
        <w:tc>
          <w:tcPr>
            <w:tcW w:w="12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w w:val="99"/>
              </w:rPr>
              <w:t>on</w:t>
            </w:r>
          </w:p>
        </w:tc>
        <w:tc>
          <w:tcPr>
            <w:tcW w:w="120" w:type="dxa"/>
            <w:vAlign w:val="bottom"/>
          </w:tcPr>
          <w:p>
            <w:pPr>
              <w:spacing w:after="0"/>
              <w:rPr>
                <w:sz w:val="16"/>
                <w:szCs w:val="16"/>
                <w:color w:val="auto"/>
              </w:rPr>
            </w:pPr>
          </w:p>
        </w:tc>
        <w:tc>
          <w:tcPr>
            <w:tcW w:w="1220" w:type="dxa"/>
            <w:vAlign w:val="bottom"/>
          </w:tcPr>
          <w:p>
            <w:pPr>
              <w:jc w:val="center"/>
              <w:ind w:right="10"/>
              <w:spacing w:after="0" w:line="189" w:lineRule="exact"/>
              <w:rPr>
                <w:sz w:val="20"/>
                <w:szCs w:val="20"/>
                <w:color w:val="auto"/>
              </w:rPr>
            </w:pPr>
            <w:r>
              <w:rPr>
                <w:rFonts w:ascii="Arial" w:cs="Arial" w:eastAsia="Arial" w:hAnsi="Arial"/>
                <w:sz w:val="18"/>
                <w:szCs w:val="18"/>
                <w:b w:val="1"/>
                <w:bCs w:val="1"/>
                <w:color w:val="auto"/>
                <w:w w:val="99"/>
              </w:rPr>
              <w:t>Liability</w:t>
            </w:r>
          </w:p>
        </w:tc>
        <w:tc>
          <w:tcPr>
            <w:tcW w:w="14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8"/>
              </w:rPr>
              <w:t>Translation</w:t>
            </w:r>
          </w:p>
        </w:tc>
        <w:tc>
          <w:tcPr>
            <w:tcW w:w="280" w:type="dxa"/>
            <w:vAlign w:val="bottom"/>
          </w:tcPr>
          <w:p>
            <w:pPr>
              <w:spacing w:after="0"/>
              <w:rPr>
                <w:sz w:val="16"/>
                <w:szCs w:val="16"/>
                <w:color w:val="auto"/>
              </w:rPr>
            </w:pPr>
          </w:p>
        </w:tc>
        <w:tc>
          <w:tcPr>
            <w:tcW w:w="104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580" w:type="dxa"/>
            <w:vAlign w:val="bottom"/>
            <w:tcBorders>
              <w:bottom w:val="single" w:sz="8" w:color="0090DA"/>
            </w:tcBorders>
          </w:tcPr>
          <w:p>
            <w:pPr>
              <w:spacing w:after="0"/>
              <w:rPr>
                <w:sz w:val="20"/>
                <w:szCs w:val="20"/>
                <w:color w:val="auto"/>
              </w:rPr>
            </w:pPr>
          </w:p>
        </w:tc>
        <w:tc>
          <w:tcPr>
            <w:tcW w:w="12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Instruments</w:t>
            </w:r>
          </w:p>
        </w:tc>
        <w:tc>
          <w:tcPr>
            <w:tcW w:w="1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w w:val="98"/>
              </w:rPr>
              <w:t>Investments</w:t>
            </w:r>
          </w:p>
        </w:tc>
        <w:tc>
          <w:tcPr>
            <w:tcW w:w="120" w:type="dxa"/>
            <w:vAlign w:val="bottom"/>
            <w:tcBorders>
              <w:bottom w:val="single" w:sz="8" w:color="0090DA"/>
            </w:tcBorders>
          </w:tcPr>
          <w:p>
            <w:pPr>
              <w:spacing w:after="0"/>
              <w:rPr>
                <w:sz w:val="20"/>
                <w:szCs w:val="20"/>
                <w:color w:val="auto"/>
              </w:rPr>
            </w:pPr>
          </w:p>
        </w:tc>
        <w:tc>
          <w:tcPr>
            <w:tcW w:w="1220" w:type="dxa"/>
            <w:vAlign w:val="bottom"/>
            <w:tcBorders>
              <w:bottom w:val="single" w:sz="8" w:color="0090DA"/>
            </w:tcBorders>
          </w:tcPr>
          <w:p>
            <w:pPr>
              <w:jc w:val="center"/>
              <w:ind w:right="3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Borders>
              <w:bottom w:val="single" w:sz="8" w:color="0090DA"/>
            </w:tcBorders>
          </w:tcPr>
          <w:p>
            <w:pPr>
              <w:spacing w:after="0"/>
              <w:rPr>
                <w:sz w:val="20"/>
                <w:szCs w:val="20"/>
                <w:color w:val="auto"/>
              </w:rPr>
            </w:pPr>
          </w:p>
        </w:tc>
        <w:tc>
          <w:tcPr>
            <w:tcW w:w="120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8"/>
              </w:rPr>
              <w:t>Adjustment</w:t>
            </w:r>
          </w:p>
        </w:tc>
        <w:tc>
          <w:tcPr>
            <w:tcW w:w="280" w:type="dxa"/>
            <w:vAlign w:val="bottom"/>
            <w:tcBorders>
              <w:bottom w:val="single" w:sz="8" w:color="0090DA"/>
            </w:tcBorders>
          </w:tcPr>
          <w:p>
            <w:pPr>
              <w:spacing w:after="0"/>
              <w:rPr>
                <w:sz w:val="20"/>
                <w:szCs w:val="20"/>
                <w:color w:val="auto"/>
              </w:rPr>
            </w:pPr>
          </w:p>
        </w:tc>
        <w:tc>
          <w:tcPr>
            <w:tcW w:w="1040" w:type="dxa"/>
            <w:vAlign w:val="bottom"/>
            <w:tcBorders>
              <w:bottom w:val="single" w:sz="8" w:color="0090DA"/>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580" w:type="dxa"/>
            <w:vAlign w:val="bottom"/>
          </w:tcPr>
          <w:p>
            <w:pPr>
              <w:ind w:left="240"/>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(778)</w:t>
            </w:r>
          </w:p>
        </w:tc>
        <w:tc>
          <w:tcPr>
            <w:tcW w:w="0" w:type="dxa"/>
            <w:vAlign w:val="bottom"/>
          </w:tcPr>
          <w:p>
            <w:pPr>
              <w:spacing w:after="0"/>
              <w:rPr>
                <w:sz w:val="1"/>
                <w:szCs w:val="1"/>
                <w:color w:val="auto"/>
              </w:rPr>
            </w:pPr>
          </w:p>
        </w:tc>
      </w:tr>
      <w:tr>
        <w:trPr>
          <w:trHeight w:val="175"/>
        </w:trPr>
        <w:tc>
          <w:tcPr>
            <w:tcW w:w="4580" w:type="dxa"/>
            <w:vAlign w:val="bottom"/>
            <w:shd w:val="clear" w:color="auto" w:fill="D1D2D4"/>
          </w:tcPr>
          <w:p>
            <w:pPr>
              <w:ind w:left="240"/>
              <w:spacing w:after="0" w:line="176" w:lineRule="exact"/>
              <w:rPr>
                <w:sz w:val="20"/>
                <w:szCs w:val="20"/>
                <w:color w:val="auto"/>
              </w:rPr>
            </w:pPr>
            <w:r>
              <w:rPr>
                <w:rFonts w:ascii="Arial" w:cs="Arial" w:eastAsia="Arial" w:hAnsi="Arial"/>
                <w:sz w:val="18"/>
                <w:szCs w:val="18"/>
                <w:color w:val="auto"/>
              </w:rPr>
              <w:t>Amount reclassified out of accumulated other</w:t>
            </w:r>
          </w:p>
        </w:tc>
        <w:tc>
          <w:tcPr>
            <w:tcW w:w="12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53</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D1D2D4"/>
          </w:tcPr>
          <w:p>
            <w:pPr>
              <w:spacing w:after="0"/>
              <w:rPr>
                <w:sz w:val="15"/>
                <w:szCs w:val="15"/>
                <w:color w:val="auto"/>
              </w:rPr>
            </w:pPr>
          </w:p>
        </w:tc>
        <w:tc>
          <w:tcPr>
            <w:tcW w:w="122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D1D2D4"/>
          </w:tcPr>
          <w:p>
            <w:pPr>
              <w:spacing w:after="0"/>
              <w:rPr>
                <w:sz w:val="15"/>
                <w:szCs w:val="15"/>
                <w:color w:val="auto"/>
              </w:rPr>
            </w:pPr>
          </w:p>
        </w:tc>
        <w:tc>
          <w:tcPr>
            <w:tcW w:w="120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D1D2D4"/>
          </w:tcPr>
          <w:p>
            <w:pPr>
              <w:spacing w:after="0"/>
              <w:rPr>
                <w:sz w:val="15"/>
                <w:szCs w:val="15"/>
                <w:color w:val="auto"/>
              </w:rPr>
            </w:pPr>
          </w:p>
        </w:tc>
        <w:tc>
          <w:tcPr>
            <w:tcW w:w="1040" w:type="dxa"/>
            <w:vAlign w:val="bottom"/>
            <w:vMerge w:val="restart"/>
            <w:shd w:val="clear" w:color="auto" w:fill="D1D2D4"/>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4580" w:type="dxa"/>
            <w:vAlign w:val="bottom"/>
            <w:shd w:val="clear" w:color="auto" w:fill="D1D2D4"/>
          </w:tcPr>
          <w:p>
            <w:pPr>
              <w:ind w:left="240"/>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120" w:type="dxa"/>
            <w:vAlign w:val="bottom"/>
            <w:shd w:val="clear" w:color="auto" w:fill="D1D2D4"/>
          </w:tcPr>
          <w:p>
            <w:pPr>
              <w:spacing w:after="0"/>
              <w:rPr>
                <w:sz w:val="21"/>
                <w:szCs w:val="21"/>
                <w:color w:val="auto"/>
              </w:rPr>
            </w:pPr>
          </w:p>
        </w:tc>
        <w:tc>
          <w:tcPr>
            <w:tcW w:w="1220" w:type="dxa"/>
            <w:vAlign w:val="bottom"/>
            <w:vMerge w:val="continue"/>
            <w:shd w:val="clear" w:color="auto" w:fill="D1D2D4"/>
          </w:tcPr>
          <w:p>
            <w:pPr>
              <w:spacing w:after="0"/>
              <w:rPr>
                <w:sz w:val="21"/>
                <w:szCs w:val="21"/>
                <w:color w:val="auto"/>
              </w:rPr>
            </w:pPr>
          </w:p>
        </w:tc>
        <w:tc>
          <w:tcPr>
            <w:tcW w:w="140" w:type="dxa"/>
            <w:vAlign w:val="bottom"/>
            <w:shd w:val="clear" w:color="auto" w:fill="D1D2D4"/>
          </w:tcPr>
          <w:p>
            <w:pPr>
              <w:spacing w:after="0"/>
              <w:rPr>
                <w:sz w:val="21"/>
                <w:szCs w:val="21"/>
                <w:color w:val="auto"/>
              </w:rPr>
            </w:pPr>
          </w:p>
        </w:tc>
        <w:tc>
          <w:tcPr>
            <w:tcW w:w="1200" w:type="dxa"/>
            <w:vAlign w:val="bottom"/>
            <w:vMerge w:val="continue"/>
            <w:shd w:val="clear" w:color="auto" w:fill="D1D2D4"/>
          </w:tcPr>
          <w:p>
            <w:pPr>
              <w:spacing w:after="0"/>
              <w:rPr>
                <w:sz w:val="21"/>
                <w:szCs w:val="21"/>
                <w:color w:val="auto"/>
              </w:rPr>
            </w:pPr>
          </w:p>
        </w:tc>
        <w:tc>
          <w:tcPr>
            <w:tcW w:w="280" w:type="dxa"/>
            <w:vAlign w:val="bottom"/>
            <w:shd w:val="clear" w:color="auto" w:fill="D1D2D4"/>
          </w:tcPr>
          <w:p>
            <w:pPr>
              <w:spacing w:after="0"/>
              <w:rPr>
                <w:sz w:val="21"/>
                <w:szCs w:val="21"/>
                <w:color w:val="auto"/>
              </w:rPr>
            </w:pPr>
          </w:p>
        </w:tc>
        <w:tc>
          <w:tcPr>
            <w:tcW w:w="1040" w:type="dxa"/>
            <w:vAlign w:val="bottom"/>
            <w:vMerge w:val="continue"/>
            <w:shd w:val="clear" w:color="auto" w:fill="D1D2D4"/>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80" w:type="dxa"/>
            <w:vAlign w:val="bottom"/>
            <w:tcBorders>
              <w:bottom w:val="single" w:sz="8" w:color="D1D2D4"/>
            </w:tcBorders>
          </w:tcPr>
          <w:p>
            <w:pPr>
              <w:ind w:left="260"/>
              <w:spacing w:after="0"/>
              <w:rPr>
                <w:sz w:val="20"/>
                <w:szCs w:val="20"/>
                <w:color w:val="auto"/>
              </w:rPr>
            </w:pPr>
            <w:r>
              <w:rPr>
                <w:rFonts w:ascii="Arial" w:cs="Arial" w:eastAsia="Arial" w:hAnsi="Arial"/>
                <w:sz w:val="18"/>
                <w:szCs w:val="18"/>
                <w:color w:val="auto"/>
              </w:rPr>
              <w:t>Tax effects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3"/>
        </w:trPr>
        <w:tc>
          <w:tcPr>
            <w:tcW w:w="458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auto"/>
            </w:tcBorders>
            <w:shd w:val="clear" w:color="auto" w:fill="D1D2D4"/>
          </w:tcPr>
          <w:p>
            <w:pPr>
              <w:spacing w:after="0"/>
              <w:rPr>
                <w:sz w:val="19"/>
                <w:szCs w:val="19"/>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auto"/>
            </w:tcBorders>
            <w:shd w:val="clear" w:color="auto" w:fill="D1D2D4"/>
          </w:tcPr>
          <w:p>
            <w:pPr>
              <w:spacing w:after="0"/>
              <w:rPr>
                <w:sz w:val="19"/>
                <w:szCs w:val="19"/>
                <w:color w:val="auto"/>
              </w:rPr>
            </w:pPr>
          </w:p>
        </w:tc>
        <w:tc>
          <w:tcPr>
            <w:tcW w:w="12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Fair Value Measurements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and carrying values of our outstanding debt instruments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360" w:type="dxa"/>
            <w:vAlign w:val="bottom"/>
          </w:tcPr>
          <w:p>
            <w:pPr>
              <w:spacing w:after="0"/>
              <w:rPr>
                <w:sz w:val="20"/>
                <w:szCs w:val="20"/>
                <w:color w:val="auto"/>
              </w:rPr>
            </w:pPr>
          </w:p>
        </w:tc>
        <w:tc>
          <w:tcPr>
            <w:tcW w:w="300" w:type="dxa"/>
            <w:vAlign w:val="bottom"/>
            <w:tcBorders>
              <w:bottom w:val="single" w:sz="8" w:color="0090DA"/>
            </w:tcBorders>
          </w:tcPr>
          <w:p>
            <w:pPr>
              <w:spacing w:after="0"/>
              <w:rPr>
                <w:sz w:val="20"/>
                <w:szCs w:val="20"/>
                <w:color w:val="auto"/>
              </w:rPr>
            </w:pPr>
          </w:p>
        </w:tc>
        <w:tc>
          <w:tcPr>
            <w:tcW w:w="14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0090DA"/>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0090DA"/>
            </w:tcBorders>
          </w:tcPr>
          <w:p>
            <w:pPr>
              <w:spacing w:after="0"/>
              <w:rPr>
                <w:sz w:val="20"/>
                <w:szCs w:val="20"/>
                <w:color w:val="auto"/>
              </w:rPr>
            </w:pPr>
          </w:p>
        </w:tc>
        <w:tc>
          <w:tcPr>
            <w:tcW w:w="1420" w:type="dxa"/>
            <w:vAlign w:val="bottom"/>
            <w:tcBorders>
              <w:bottom w:val="single" w:sz="8" w:color="0090DA"/>
            </w:tcBorders>
            <w:gridSpan w:val="2"/>
          </w:tcPr>
          <w:p>
            <w:pPr>
              <w:jc w:val="right"/>
              <w:spacing w:after="0"/>
              <w:rPr>
                <w:sz w:val="20"/>
                <w:szCs w:val="20"/>
                <w:color w:val="auto"/>
              </w:rPr>
            </w:pPr>
            <w:r>
              <w:rPr>
                <w:rFonts w:ascii="Arial" w:cs="Arial" w:eastAsia="Arial" w:hAnsi="Arial"/>
                <w:sz w:val="18"/>
                <w:szCs w:val="18"/>
                <w:b w:val="1"/>
                <w:bCs w:val="1"/>
                <w:color w:val="auto"/>
              </w:rPr>
              <w:t>2021</w:t>
            </w:r>
          </w:p>
        </w:tc>
        <w:tc>
          <w:tcPr>
            <w:tcW w:w="1160" w:type="dxa"/>
            <w:vAlign w:val="bottom"/>
            <w:tcBorders>
              <w:bottom w:val="single" w:sz="8" w:color="0090DA"/>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14"/>
                <w:szCs w:val="14"/>
                <w:color w:val="auto"/>
              </w:rPr>
            </w:pPr>
          </w:p>
        </w:tc>
        <w:tc>
          <w:tcPr>
            <w:tcW w:w="110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6"/>
              </w:rPr>
              <w:t>Fair</w:t>
            </w:r>
          </w:p>
        </w:tc>
        <w:tc>
          <w:tcPr>
            <w:tcW w:w="320" w:type="dxa"/>
            <w:vAlign w:val="bottom"/>
          </w:tcPr>
          <w:p>
            <w:pPr>
              <w:spacing w:after="0"/>
              <w:rPr>
                <w:sz w:val="14"/>
                <w:szCs w:val="14"/>
                <w:color w:val="auto"/>
              </w:rPr>
            </w:pPr>
          </w:p>
        </w:tc>
        <w:tc>
          <w:tcPr>
            <w:tcW w:w="1160" w:type="dxa"/>
            <w:vAlign w:val="bottom"/>
          </w:tcPr>
          <w:p>
            <w:pPr>
              <w:jc w:val="center"/>
              <w:ind w:right="170"/>
              <w:spacing w:after="0" w:line="169" w:lineRule="exact"/>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rPr>
              <w:t>Fair</w:t>
            </w:r>
          </w:p>
        </w:tc>
        <w:tc>
          <w:tcPr>
            <w:tcW w:w="320" w:type="dxa"/>
            <w:vAlign w:val="bottom"/>
          </w:tcPr>
          <w:p>
            <w:pPr>
              <w:spacing w:after="0"/>
              <w:rPr>
                <w:sz w:val="14"/>
                <w:szCs w:val="14"/>
                <w:color w:val="auto"/>
              </w:rPr>
            </w:pPr>
          </w:p>
        </w:tc>
        <w:tc>
          <w:tcPr>
            <w:tcW w:w="1160" w:type="dxa"/>
            <w:vAlign w:val="bottom"/>
          </w:tcPr>
          <w:p>
            <w:pPr>
              <w:jc w:val="center"/>
              <w:ind w:right="210"/>
              <w:spacing w:after="0" w:line="169" w:lineRule="exact"/>
              <w:rPr>
                <w:sz w:val="20"/>
                <w:szCs w:val="20"/>
                <w:color w:val="auto"/>
              </w:rPr>
            </w:pPr>
            <w:r>
              <w:rPr>
                <w:rFonts w:ascii="Arial" w:cs="Arial" w:eastAsia="Arial" w:hAnsi="Arial"/>
                <w:sz w:val="18"/>
                <w:szCs w:val="18"/>
                <w:b w:val="1"/>
                <w:bCs w:val="1"/>
                <w:color w:val="auto"/>
                <w:w w:val="99"/>
              </w:rPr>
              <w:t>Carrying</w:t>
            </w:r>
          </w:p>
        </w:tc>
        <w:tc>
          <w:tcPr>
            <w:tcW w:w="0" w:type="dxa"/>
            <w:vAlign w:val="bottom"/>
          </w:tcPr>
          <w:p>
            <w:pPr>
              <w:spacing w:after="0"/>
              <w:rPr>
                <w:sz w:val="1"/>
                <w:szCs w:val="1"/>
                <w:color w:val="auto"/>
              </w:rPr>
            </w:pPr>
          </w:p>
        </w:tc>
      </w:tr>
      <w:tr>
        <w:trPr>
          <w:trHeight w:val="243"/>
        </w:trPr>
        <w:tc>
          <w:tcPr>
            <w:tcW w:w="53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Value</w:t>
            </w:r>
          </w:p>
        </w:tc>
        <w:tc>
          <w:tcPr>
            <w:tcW w:w="320" w:type="dxa"/>
            <w:vAlign w:val="bottom"/>
          </w:tcPr>
          <w:p>
            <w:pPr>
              <w:spacing w:after="0"/>
              <w:rPr>
                <w:sz w:val="21"/>
                <w:szCs w:val="21"/>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9"/>
              </w:rPr>
              <w:t>Value</w:t>
            </w:r>
          </w:p>
        </w:tc>
        <w:tc>
          <w:tcPr>
            <w:tcW w:w="300" w:type="dxa"/>
            <w:vAlign w:val="bottom"/>
          </w:tcPr>
          <w:p>
            <w:pPr>
              <w:spacing w:after="0"/>
              <w:rPr>
                <w:sz w:val="21"/>
                <w:szCs w:val="21"/>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5"/>
              </w:rPr>
              <w:t>Value</w:t>
            </w:r>
          </w:p>
        </w:tc>
        <w:tc>
          <w:tcPr>
            <w:tcW w:w="320" w:type="dxa"/>
            <w:vAlign w:val="bottom"/>
          </w:tcPr>
          <w:p>
            <w:pPr>
              <w:spacing w:after="0"/>
              <w:rPr>
                <w:sz w:val="21"/>
                <w:szCs w:val="21"/>
                <w:color w:val="auto"/>
              </w:rPr>
            </w:pPr>
          </w:p>
        </w:tc>
        <w:tc>
          <w:tcPr>
            <w:tcW w:w="1160" w:type="dxa"/>
            <w:vAlign w:val="bottom"/>
          </w:tcPr>
          <w:p>
            <w:pPr>
              <w:jc w:val="center"/>
              <w:ind w:right="190"/>
              <w:spacing w:after="0"/>
              <w:rPr>
                <w:sz w:val="20"/>
                <w:szCs w:val="20"/>
                <w:color w:val="auto"/>
              </w:rPr>
            </w:pPr>
            <w:r>
              <w:rPr>
                <w:rFonts w:ascii="Arial" w:cs="Arial" w:eastAsia="Arial" w:hAnsi="Arial"/>
                <w:sz w:val="18"/>
                <w:szCs w:val="18"/>
                <w:b w:val="1"/>
                <w:bCs w:val="1"/>
                <w:color w:val="auto"/>
                <w:w w:val="99"/>
              </w:rPr>
              <w:t>Value</w:t>
            </w:r>
          </w:p>
        </w:tc>
        <w:tc>
          <w:tcPr>
            <w:tcW w:w="0" w:type="dxa"/>
            <w:vAlign w:val="bottom"/>
          </w:tcPr>
          <w:p>
            <w:pPr>
              <w:spacing w:after="0"/>
              <w:rPr>
                <w:sz w:val="1"/>
                <w:szCs w:val="1"/>
                <w:color w:val="auto"/>
              </w:rPr>
            </w:pPr>
          </w:p>
        </w:tc>
      </w:tr>
      <w:tr>
        <w:trPr>
          <w:trHeight w:val="34"/>
        </w:trPr>
        <w:tc>
          <w:tcPr>
            <w:tcW w:w="5360" w:type="dxa"/>
            <w:vAlign w:val="bottom"/>
            <w:tcBorders>
              <w:top w:val="single" w:sz="8" w:color="0090DA"/>
            </w:tcBorders>
          </w:tcPr>
          <w:p>
            <w:pPr>
              <w:spacing w:after="0"/>
              <w:rPr>
                <w:sz w:val="2"/>
                <w:szCs w:val="2"/>
                <w:color w:val="auto"/>
              </w:rPr>
            </w:pPr>
          </w:p>
        </w:tc>
        <w:tc>
          <w:tcPr>
            <w:tcW w:w="300" w:type="dxa"/>
            <w:vAlign w:val="bottom"/>
            <w:tcBorders>
              <w:top w:val="single" w:sz="8" w:color="0090DA"/>
            </w:tcBorders>
          </w:tcPr>
          <w:p>
            <w:pPr>
              <w:spacing w:after="0"/>
              <w:rPr>
                <w:sz w:val="2"/>
                <w:szCs w:val="2"/>
                <w:color w:val="auto"/>
              </w:rPr>
            </w:pPr>
          </w:p>
        </w:tc>
        <w:tc>
          <w:tcPr>
            <w:tcW w:w="1100" w:type="dxa"/>
            <w:vAlign w:val="bottom"/>
            <w:tcBorders>
              <w:top w:val="single" w:sz="8" w:color="0090DA"/>
            </w:tcBorders>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0090DA"/>
            </w:tcBorders>
          </w:tcPr>
          <w:p>
            <w:pPr>
              <w:spacing w:after="0"/>
              <w:rPr>
                <w:sz w:val="2"/>
                <w:szCs w:val="2"/>
                <w:color w:val="auto"/>
              </w:rPr>
            </w:pPr>
          </w:p>
        </w:tc>
        <w:tc>
          <w:tcPr>
            <w:tcW w:w="1100" w:type="dxa"/>
            <w:vAlign w:val="bottom"/>
            <w:tcBorders>
              <w:top w:val="single" w:sz="8" w:color="0090DA"/>
            </w:tcBorders>
          </w:tcPr>
          <w:p>
            <w:pPr>
              <w:spacing w:after="0"/>
              <w:rPr>
                <w:sz w:val="2"/>
                <w:szCs w:val="2"/>
                <w:color w:val="auto"/>
              </w:rPr>
            </w:pPr>
          </w:p>
        </w:tc>
        <w:tc>
          <w:tcPr>
            <w:tcW w:w="320" w:type="dxa"/>
            <w:vAlign w:val="bottom"/>
            <w:tcBorders>
              <w:top w:val="single" w:sz="8" w:color="0090DA"/>
            </w:tcBorders>
          </w:tcPr>
          <w:p>
            <w:pPr>
              <w:spacing w:after="0"/>
              <w:rPr>
                <w:sz w:val="2"/>
                <w:szCs w:val="2"/>
                <w:color w:val="auto"/>
              </w:rPr>
            </w:pPr>
          </w:p>
        </w:tc>
        <w:tc>
          <w:tcPr>
            <w:tcW w:w="1160" w:type="dxa"/>
            <w:vAlign w:val="bottom"/>
            <w:tcBorders>
              <w:top w:val="single" w:sz="8" w:color="0090DA"/>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Notes</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5,472</w:t>
            </w:r>
          </w:p>
        </w:tc>
        <w:tc>
          <w:tcPr>
            <w:tcW w:w="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6,020</w:t>
            </w:r>
          </w:p>
        </w:tc>
        <w:tc>
          <w:tcPr>
            <w:tcW w:w="120" w:type="dxa"/>
            <w:vAlign w:val="bottom"/>
            <w:shd w:val="clear" w:color="auto" w:fill="D1D2D4"/>
          </w:tcPr>
          <w:p>
            <w:pPr>
              <w:spacing w:after="0"/>
              <w:rPr>
                <w:sz w:val="19"/>
                <w:szCs w:val="19"/>
                <w:color w:val="auto"/>
              </w:rPr>
            </w:pPr>
          </w:p>
        </w:tc>
        <w:tc>
          <w:tcPr>
            <w:tcW w:w="30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6,584</w:t>
            </w:r>
          </w:p>
        </w:tc>
        <w:tc>
          <w:tcPr>
            <w:tcW w:w="320" w:type="dxa"/>
            <w:vAlign w:val="bottom"/>
            <w:shd w:val="clear" w:color="auto" w:fill="D1D2D4"/>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fair values of our debt instruments were estimated based on Level 2 inputs, including the trading price of our notes when available, discounted cash flows, and interest rates based on similar debt issued by parties with credit ratings similar to ours.</w:t>
      </w:r>
    </w:p>
    <w:p>
      <w:pPr>
        <w:spacing w:after="0" w:line="18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Assets classified as held for sale are carried at the lower of estimated fair value or carrying value. Significant judgments and assumptions are required to estimate their fair values. Actual selling prices could vary significantly from our estimated fair value and we could recognize additional losses in the event that the sales prices of assets classified as held for sale are lower than their carrying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84"/>
        </w:trPr>
        <w:tc>
          <w:tcPr>
            <w:tcW w:w="59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1154"/>
        </w:trPr>
        <w:tc>
          <w:tcPr>
            <w:tcW w:w="5900" w:type="dxa"/>
            <w:vAlign w:val="bottom"/>
          </w:tcPr>
          <w:p>
            <w:pPr>
              <w:spacing w:after="0"/>
              <w:rPr>
                <w:sz w:val="20"/>
                <w:szCs w:val="20"/>
                <w:color w:val="auto"/>
              </w:rPr>
            </w:pPr>
            <w:r>
              <w:rPr>
                <w:rFonts w:ascii="Arial" w:cs="Arial" w:eastAsia="Arial" w:hAnsi="Arial"/>
                <w:sz w:val="40"/>
                <w:szCs w:val="40"/>
                <w:b w:val="1"/>
                <w:bCs w:val="1"/>
                <w:color w:val="auto"/>
              </w:rPr>
              <w:t>Derivative Instruments</w:t>
            </w:r>
          </w:p>
        </w:tc>
        <w:tc>
          <w:tcPr>
            <w:tcW w:w="1180" w:type="dxa"/>
            <w:vAlign w:val="bottom"/>
          </w:tcPr>
          <w:p>
            <w:pPr>
              <w:spacing w:after="0"/>
              <w:rPr>
                <w:sz w:val="24"/>
                <w:szCs w:val="24"/>
                <w:color w:val="auto"/>
              </w:rPr>
            </w:pPr>
          </w:p>
        </w:tc>
        <w:tc>
          <w:tcPr>
            <w:tcW w:w="1280" w:type="dxa"/>
            <w:vAlign w:val="bottom"/>
            <w:vMerge w:val="restart"/>
          </w:tcPr>
          <w:p>
            <w:pPr>
              <w:jc w:val="center"/>
              <w:ind w:right="92"/>
              <w:spacing w:after="0"/>
              <w:rPr>
                <w:sz w:val="20"/>
                <w:szCs w:val="20"/>
                <w:color w:val="auto"/>
              </w:rPr>
            </w:pPr>
            <w:r>
              <w:rPr>
                <w:rFonts w:ascii="Arial" w:cs="Arial" w:eastAsia="Arial" w:hAnsi="Arial"/>
                <w:sz w:val="18"/>
                <w:szCs w:val="18"/>
                <w:b w:val="1"/>
                <w:bCs w:val="1"/>
                <w:color w:val="auto"/>
                <w:w w:val="98"/>
              </w:rPr>
              <w:t>Notional or</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0090DA"/>
            </w:tcBorders>
          </w:tcPr>
          <w:p>
            <w:pPr>
              <w:spacing w:after="0"/>
              <w:rPr>
                <w:sz w:val="24"/>
                <w:szCs w:val="24"/>
                <w:color w:val="auto"/>
              </w:rPr>
            </w:pPr>
          </w:p>
        </w:tc>
        <w:tc>
          <w:tcPr>
            <w:tcW w:w="1260" w:type="dxa"/>
            <w:vAlign w:val="bottom"/>
            <w:tcBorders>
              <w:top w:val="single" w:sz="8" w:color="0090DA"/>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Fair Value of</w:t>
            </w:r>
          </w:p>
        </w:tc>
        <w:tc>
          <w:tcPr>
            <w:tcW w:w="0" w:type="dxa"/>
            <w:vAlign w:val="bottom"/>
          </w:tcPr>
          <w:p>
            <w:pPr>
              <w:spacing w:after="0"/>
              <w:rPr>
                <w:sz w:val="1"/>
                <w:szCs w:val="1"/>
                <w:color w:val="auto"/>
              </w:rPr>
            </w:pPr>
          </w:p>
        </w:tc>
      </w:tr>
      <w:tr>
        <w:trPr>
          <w:trHeight w:val="54"/>
        </w:trPr>
        <w:tc>
          <w:tcPr>
            <w:tcW w:w="59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80" w:type="dxa"/>
            <w:vAlign w:val="bottom"/>
            <w:vMerge w:val="restart"/>
          </w:tcPr>
          <w:p>
            <w:pPr>
              <w:jc w:val="center"/>
              <w:ind w:right="112"/>
              <w:spacing w:after="0" w:line="135" w:lineRule="exact"/>
              <w:rPr>
                <w:sz w:val="20"/>
                <w:szCs w:val="20"/>
                <w:color w:val="auto"/>
              </w:rPr>
            </w:pPr>
            <w:r>
              <w:rPr>
                <w:rFonts w:ascii="Arial" w:cs="Arial" w:eastAsia="Arial" w:hAnsi="Arial"/>
                <w:sz w:val="15"/>
                <w:szCs w:val="15"/>
                <w:b w:val="1"/>
                <w:bCs w:val="1"/>
                <w:color w:val="auto"/>
              </w:rPr>
              <w:t>Contractual</w:t>
            </w:r>
          </w:p>
        </w:tc>
        <w:tc>
          <w:tcPr>
            <w:tcW w:w="220" w:type="dxa"/>
            <w:vAlign w:val="bottom"/>
            <w:tcBorders>
              <w:bottom w:val="single" w:sz="8" w:color="0090DA"/>
            </w:tcBorders>
          </w:tcPr>
          <w:p>
            <w:pPr>
              <w:spacing w:after="0"/>
              <w:rPr>
                <w:sz w:val="4"/>
                <w:szCs w:val="4"/>
                <w:color w:val="auto"/>
              </w:rPr>
            </w:pPr>
          </w:p>
        </w:tc>
        <w:tc>
          <w:tcPr>
            <w:tcW w:w="1180" w:type="dxa"/>
            <w:vAlign w:val="bottom"/>
            <w:tcBorders>
              <w:bottom w:val="single" w:sz="8" w:color="0090DA"/>
            </w:tcBorders>
          </w:tcPr>
          <w:p>
            <w:pPr>
              <w:spacing w:after="0"/>
              <w:rPr>
                <w:sz w:val="4"/>
                <w:szCs w:val="4"/>
                <w:color w:val="auto"/>
              </w:rPr>
            </w:pPr>
          </w:p>
        </w:tc>
        <w:tc>
          <w:tcPr>
            <w:tcW w:w="120" w:type="dxa"/>
            <w:vAlign w:val="bottom"/>
            <w:tcBorders>
              <w:bottom w:val="single" w:sz="8" w:color="0090DA"/>
            </w:tcBorders>
          </w:tcPr>
          <w:p>
            <w:pPr>
              <w:spacing w:after="0"/>
              <w:rPr>
                <w:sz w:val="4"/>
                <w:szCs w:val="4"/>
                <w:color w:val="auto"/>
              </w:rPr>
            </w:pPr>
          </w:p>
        </w:tc>
        <w:tc>
          <w:tcPr>
            <w:tcW w:w="100" w:type="dxa"/>
            <w:vAlign w:val="bottom"/>
            <w:tcBorders>
              <w:bottom w:val="single" w:sz="8" w:color="0090DA"/>
            </w:tcBorders>
          </w:tcPr>
          <w:p>
            <w:pPr>
              <w:spacing w:after="0"/>
              <w:rPr>
                <w:sz w:val="4"/>
                <w:szCs w:val="4"/>
                <w:color w:val="auto"/>
              </w:rPr>
            </w:pPr>
          </w:p>
        </w:tc>
        <w:tc>
          <w:tcPr>
            <w:tcW w:w="1260" w:type="dxa"/>
            <w:vAlign w:val="bottom"/>
            <w:tcBorders>
              <w:bottom w:val="single" w:sz="8" w:color="0090DA"/>
            </w:tcBorders>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59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23"/>
                <w:szCs w:val="23"/>
                <w:b w:val="1"/>
                <w:bCs w:val="1"/>
                <w:color w:val="auto"/>
                <w:vertAlign w:val="superscript"/>
              </w:rPr>
              <w:t>(1)</w:t>
            </w: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Liabilities</w:t>
            </w:r>
            <w:r>
              <w:rPr>
                <w:rFonts w:ascii="Arial" w:cs="Arial" w:eastAsia="Arial" w:hAnsi="Arial"/>
                <w:sz w:val="23"/>
                <w:szCs w:val="23"/>
                <w:b w:val="1"/>
                <w:bCs w:val="1"/>
                <w:color w:val="auto"/>
                <w:w w:val="98"/>
                <w:vertAlign w:val="superscript"/>
              </w:rPr>
              <w:t>(2)</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tcPr>
          <w:p>
            <w:pPr>
              <w:spacing w:after="0"/>
              <w:rPr>
                <w:sz w:val="19"/>
                <w:szCs w:val="19"/>
                <w:color w:val="auto"/>
              </w:rPr>
            </w:pPr>
          </w:p>
        </w:tc>
        <w:tc>
          <w:tcPr>
            <w:tcW w:w="1280" w:type="dxa"/>
            <w:vAlign w:val="bottom"/>
            <w:tcBorders>
              <w:bottom w:val="single" w:sz="8" w:color="0090DA"/>
            </w:tcBorders>
          </w:tcPr>
          <w:p>
            <w:pPr>
              <w:jc w:val="center"/>
              <w:ind w:right="112"/>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Borders>
              <w:bottom w:val="single" w:sz="8" w:color="0090DA"/>
            </w:tcBorders>
          </w:tcPr>
          <w:p>
            <w:pPr>
              <w:spacing w:after="0"/>
              <w:rPr>
                <w:sz w:val="19"/>
                <w:szCs w:val="19"/>
                <w:color w:val="auto"/>
              </w:rPr>
            </w:pPr>
          </w:p>
        </w:tc>
        <w:tc>
          <w:tcPr>
            <w:tcW w:w="1180" w:type="dxa"/>
            <w:vAlign w:val="bottom"/>
            <w:tcBorders>
              <w:bottom w:val="single" w:sz="8" w:color="0090DA"/>
            </w:tcBorders>
            <w:vMerge w:val="continue"/>
          </w:tcPr>
          <w:p>
            <w:pPr>
              <w:spacing w:after="0"/>
              <w:rPr>
                <w:sz w:val="19"/>
                <w:szCs w:val="19"/>
                <w:color w:val="auto"/>
              </w:rPr>
            </w:pPr>
          </w:p>
        </w:tc>
        <w:tc>
          <w:tcPr>
            <w:tcW w:w="120" w:type="dxa"/>
            <w:vAlign w:val="bottom"/>
            <w:tcBorders>
              <w:bottom w:val="single" w:sz="8" w:color="0090DA"/>
            </w:tcBorders>
          </w:tcPr>
          <w:p>
            <w:pPr>
              <w:spacing w:after="0"/>
              <w:rPr>
                <w:sz w:val="19"/>
                <w:szCs w:val="19"/>
                <w:color w:val="auto"/>
              </w:rPr>
            </w:pPr>
          </w:p>
        </w:tc>
        <w:tc>
          <w:tcPr>
            <w:tcW w:w="100" w:type="dxa"/>
            <w:vAlign w:val="bottom"/>
            <w:tcBorders>
              <w:bottom w:val="single" w:sz="8" w:color="0090DA"/>
            </w:tcBorders>
          </w:tcPr>
          <w:p>
            <w:pPr>
              <w:spacing w:after="0"/>
              <w:rPr>
                <w:sz w:val="19"/>
                <w:szCs w:val="19"/>
                <w:color w:val="auto"/>
              </w:rPr>
            </w:pPr>
          </w:p>
        </w:tc>
        <w:tc>
          <w:tcPr>
            <w:tcW w:w="1260" w:type="dxa"/>
            <w:vAlign w:val="bottom"/>
            <w:tcBorders>
              <w:bottom w:val="single" w:sz="8" w:color="0090DA"/>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1, 2022</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5,427</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gridSpan w:val="3"/>
            <w:shd w:val="clear" w:color="auto" w:fill="D1D2D4"/>
          </w:tcPr>
          <w:p>
            <w:pPr>
              <w:jc w:val="right"/>
              <w:ind w:right="60"/>
              <w:spacing w:after="0"/>
              <w:rPr>
                <w:sz w:val="20"/>
                <w:szCs w:val="20"/>
                <w:color w:val="auto"/>
              </w:rPr>
            </w:pPr>
            <w:r>
              <w:rPr>
                <w:rFonts w:ascii="Arial" w:cs="Arial" w:eastAsia="Arial" w:hAnsi="Arial"/>
                <w:sz w:val="18"/>
                <w:szCs w:val="18"/>
                <w:color w:val="auto"/>
              </w:rPr>
              <w:t>— $</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5900" w:type="dxa"/>
            <w:vAlign w:val="bottom"/>
          </w:tcPr>
          <w:p>
            <w:pPr>
              <w:ind w:left="18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57"/>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2,821</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 of September 2, 2021</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Derivative instruments with hedge accounting designation</w:t>
            </w:r>
          </w:p>
        </w:tc>
        <w:tc>
          <w:tcPr>
            <w:tcW w:w="1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Cash flow currency hedges</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3,601</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900" w:type="dxa"/>
            <w:vAlign w:val="bottom"/>
          </w:tcPr>
          <w:p>
            <w:pPr>
              <w:ind w:left="220"/>
              <w:spacing w:after="0"/>
              <w:rPr>
                <w:sz w:val="20"/>
                <w:szCs w:val="20"/>
                <w:color w:val="auto"/>
              </w:rPr>
            </w:pPr>
            <w:r>
              <w:rPr>
                <w:rFonts w:ascii="Arial" w:cs="Arial" w:eastAsia="Arial" w:hAnsi="Arial"/>
                <w:sz w:val="18"/>
                <w:szCs w:val="18"/>
                <w:color w:val="auto"/>
              </w:rPr>
              <w:t>Cash flow commodity hedges</w:t>
            </w:r>
          </w:p>
        </w:tc>
        <w:tc>
          <w:tcPr>
            <w:tcW w:w="1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20"/>
              <w:spacing w:after="0"/>
              <w:rPr>
                <w:sz w:val="20"/>
                <w:szCs w:val="20"/>
                <w:color w:val="auto"/>
              </w:rPr>
            </w:pPr>
            <w:r>
              <w:rPr>
                <w:rFonts w:ascii="Arial" w:cs="Arial" w:eastAsia="Arial" w:hAnsi="Arial"/>
                <w:sz w:val="18"/>
                <w:szCs w:val="18"/>
                <w:color w:val="auto"/>
              </w:rPr>
              <w:t>Fair value interest rate hedges</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59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Derivative instruments without hedge accounting designation</w:t>
            </w:r>
          </w:p>
        </w:tc>
        <w:tc>
          <w:tcPr>
            <w:tcW w:w="1180" w:type="dxa"/>
            <w:vAlign w:val="bottom"/>
            <w:shd w:val="clear" w:color="auto" w:fill="D1D2D4"/>
          </w:tcPr>
          <w:p>
            <w:pPr>
              <w:spacing w:after="0"/>
              <w:rPr>
                <w:sz w:val="19"/>
                <w:szCs w:val="19"/>
                <w:color w:val="auto"/>
              </w:rPr>
            </w:pPr>
          </w:p>
        </w:tc>
        <w:tc>
          <w:tcPr>
            <w:tcW w:w="128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12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Non-designated currency hedges</w:t>
            </w:r>
          </w:p>
        </w:tc>
        <w:tc>
          <w:tcPr>
            <w:tcW w:w="1180" w:type="dxa"/>
            <w:vAlign w:val="bottom"/>
            <w:tcBorders>
              <w:bottom w:val="single" w:sz="8" w:color="D1D2D4"/>
            </w:tcBorders>
          </w:tcPr>
          <w:p>
            <w:pPr>
              <w:spacing w:after="0"/>
              <w:rPr>
                <w:sz w:val="19"/>
                <w:szCs w:val="19"/>
                <w:color w:val="auto"/>
              </w:rPr>
            </w:pPr>
          </w:p>
        </w:tc>
        <w:tc>
          <w:tcPr>
            <w:tcW w:w="128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996</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D1D2D4"/>
            </w:tcBorders>
            <w:shd w:val="clear" w:color="auto" w:fill="D1D2D4"/>
          </w:tcPr>
          <w:p>
            <w:pPr>
              <w:spacing w:after="0"/>
              <w:rPr>
                <w:sz w:val="21"/>
                <w:szCs w:val="21"/>
                <w:color w:val="auto"/>
              </w:rPr>
            </w:pPr>
          </w:p>
        </w:tc>
        <w:tc>
          <w:tcPr>
            <w:tcW w:w="1180" w:type="dxa"/>
            <w:vAlign w:val="bottom"/>
            <w:tcBorders>
              <w:bottom w:val="single" w:sz="8" w:color="D1D2D4"/>
            </w:tcBorders>
            <w:shd w:val="clear" w:color="auto" w:fill="D1D2D4"/>
          </w:tcPr>
          <w:p>
            <w:pPr>
              <w:spacing w:after="0"/>
              <w:rPr>
                <w:sz w:val="21"/>
                <w:szCs w:val="21"/>
                <w:color w:val="auto"/>
              </w:rPr>
            </w:pPr>
          </w:p>
        </w:tc>
        <w:tc>
          <w:tcPr>
            <w:tcW w:w="1280" w:type="dxa"/>
            <w:vAlign w:val="bottom"/>
            <w:tcBorders>
              <w:bottom w:val="single" w:sz="8" w:color="D1D2D4"/>
            </w:tcBorders>
            <w:shd w:val="clear" w:color="auto" w:fill="D1D2D4"/>
          </w:tcPr>
          <w:p>
            <w:pPr>
              <w:spacing w:after="0"/>
              <w:rPr>
                <w:sz w:val="21"/>
                <w:szCs w:val="21"/>
                <w:color w:val="auto"/>
              </w:rPr>
            </w:pP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gridSpan w:val="2"/>
            <w:shd w:val="clear" w:color="auto" w:fill="D1D2D4"/>
          </w:tcPr>
          <w:p>
            <w:pPr>
              <w:jc w:val="right"/>
              <w:ind w:right="6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5900" w:type="dxa"/>
            <w:vAlign w:val="bottom"/>
            <w:tcBorders>
              <w:top w:val="single" w:sz="8" w:color="D1D2D4"/>
            </w:tcBorders>
          </w:tcPr>
          <w:p>
            <w:pPr>
              <w:spacing w:after="0" w:line="20" w:lineRule="exact"/>
              <w:rPr>
                <w:sz w:val="1"/>
                <w:szCs w:val="1"/>
                <w:color w:val="auto"/>
              </w:rPr>
            </w:pPr>
          </w:p>
        </w:tc>
        <w:tc>
          <w:tcPr>
            <w:tcW w:w="1180" w:type="dxa"/>
            <w:vAlign w:val="bottom"/>
            <w:tcBorders>
              <w:top w:val="single" w:sz="8" w:color="D1D2D4"/>
            </w:tcBorders>
          </w:tcPr>
          <w:p>
            <w:pPr>
              <w:spacing w:after="0" w:line="20" w:lineRule="exact"/>
              <w:rPr>
                <w:sz w:val="1"/>
                <w:szCs w:val="1"/>
                <w:color w:val="auto"/>
              </w:rPr>
            </w:pPr>
          </w:p>
        </w:tc>
        <w:tc>
          <w:tcPr>
            <w:tcW w:w="128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240" w:hanging="232"/>
        <w:spacing w:after="0"/>
        <w:tabs>
          <w:tab w:leader="none" w:pos="240" w:val="left"/>
        </w:tabs>
        <w:numPr>
          <w:ilvl w:val="0"/>
          <w:numId w:val="3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receivables and other noncurrent assets.</w:t>
      </w:r>
    </w:p>
    <w:p>
      <w:pPr>
        <w:ind w:left="240" w:hanging="232"/>
        <w:spacing w:after="0" w:line="200" w:lineRule="auto"/>
        <w:tabs>
          <w:tab w:leader="none" w:pos="240" w:val="left"/>
        </w:tabs>
        <w:numPr>
          <w:ilvl w:val="0"/>
          <w:numId w:val="37"/>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in accounts payable and accrued expenses and other noncurrent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 Hedge Accounting Designation</w:t>
      </w:r>
    </w:p>
    <w:p>
      <w:pPr>
        <w:spacing w:after="0" w:line="2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Cash Flow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forward and swap contracts that generally mature within two years designated as cash flow hedges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minimize our exposure to changes in currency exchange rates or commodity prices for certain capital expenditures and manufacturing costs. Forward and swap contracts are measured at fair value based on market-based observable inputs including market spot and forward rates, interest rates, and credit-risk spreads (Level 2). We do not use derivative instruments for speculative purposes. We recognized losses from cash flow hedges of $735 million and $52 million for 2022 and 2021, respectively, and gains of $51 million for 2020, in accumulated other comprehensive income. We reclassified $ 53 million of losses and $41 million of gains in 2022 and 2021, respectively, from accumulated other comprehensive income to earnings, primarily to cost of goods sold. The reclassifications were not significant in 2020. As of September 1, 2022, we expect to reclassify $263 million of pre-tax losses related to cash flow hedges from accumulated other comprehensive income into earnings in the next 12 months.</w:t>
      </w:r>
    </w:p>
    <w:p>
      <w:pPr>
        <w:spacing w:after="0" w:line="208"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Fair Value Hedges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utilize fixed-to-floating interest rate swaps designated as fair value hedges to minimize certain exposures to 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fair value of fixed-rate debt that result from fluctuations in benchmark interest rates. Interest rate swaps are measured at fair value based on market-based observable inputs including interest rates and credit-risk spreads (Level 2). The changes in the fair values of derivatives designated as fair value hedges and the offsetting changes in the underlying fair values of the hedged items are both recognized in earnings. When a derivative is no longer designated as a fair value hedge for any reason, including termination and maturity, the remaining unamortized difference between the carrying value of the hedged item at that time and the face value of the hedged item is amortized to earnings over the remaining life of the hedged item, or immediately if the hedged item has matured or been extinguished. We recognized interest expense of $96 million for changes in the fair value of our interest rate swaps in 2022. We also recognized offsetting interest expense of the same amounts related to the changes in the fair value of the hedged portion of the underlying debt for these periods. The amounts recognized for 2021 were not significant.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Instruments without Hedge Accounting Designation</w:t>
      </w:r>
    </w:p>
    <w:p>
      <w:pPr>
        <w:spacing w:after="0" w:line="2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Currency Derivatives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generally utilize a rolling hedge strategy with currency forward contracts that mature within three months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hedge our exposures 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Currency forward contracts are valued at fair values based on the middle of bid and ask prices of dealers or exchange quotations (Level 2). Realized and unrealized gains and losses on derivative instruments without hedge accounting designation as well as the changes in the underlying monetary assets and liabilities from changes in currency exchange rates are included in other non-operating income (expense), net. The amounts recognized for derivative instruments without hedge accounting designation were not significant for the periods presented.</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Derivative Counterparty Credit Risk and Master Netting Arrangements</w:t>
      </w:r>
    </w:p>
    <w:p>
      <w:pPr>
        <w:spacing w:after="0" w:line="243" w:lineRule="exact"/>
        <w:rPr>
          <w:sz w:val="20"/>
          <w:szCs w:val="20"/>
          <w:color w:val="auto"/>
        </w:rPr>
      </w:pPr>
    </w:p>
    <w:p>
      <w:pPr>
        <w:ind w:right="660"/>
        <w:spacing w:after="0" w:line="259" w:lineRule="auto"/>
        <w:rPr>
          <w:sz w:val="20"/>
          <w:szCs w:val="20"/>
          <w:color w:val="auto"/>
        </w:rPr>
      </w:pPr>
      <w:r>
        <w:rPr>
          <w:rFonts w:ascii="Arial" w:cs="Arial" w:eastAsia="Arial" w:hAnsi="Arial"/>
          <w:sz w:val="18"/>
          <w:szCs w:val="18"/>
          <w:color w:val="auto"/>
        </w:rPr>
        <w:t>Our derivative instruments expose us to credit risk to the extent counterparties may be unable to meet the terms of the contracts. Our maximum exposure to loss due to credit risk if counterparties fail completely to perform according to the terms of the contracts would generally equal the fair value of assets for these contracts as listed in the tables above. We seek to mitigate such risk by limiting our counterparties to major financial institutions and by spreading risk across multiple financial institutions. As of September 1, 2022 and September 2, 2021, amounts netted under our master netting arrangements were not significant.</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Equity Plans</w:t>
      </w:r>
    </w:p>
    <w:p>
      <w:pPr>
        <w:spacing w:after="0" w:line="271"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As of September 1, 2022, 90 million shares of our common stock were available for future awards under our equity plans, including 18 million shares approved for issuance under our employee stock purchase plan (“ESPP”).</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Restricted Stock and Restricted Stock Units (“Restricted Stock Awards”)</w:t>
      </w:r>
    </w:p>
    <w:p>
      <w:pPr>
        <w:spacing w:after="0" w:line="24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1, 2022, there were 23 million shares of Restricted Stock Awards outstanding, 20 million of which contained only service conditions. For service-based Restricted Stock Awards granted through October 2021, restrictions generally lapse in one-fourth or one-third increments during each year of employment after the grant date. For service-based Restricted Stock Awards granted beginning in November 2021, restrictions generally lapse on 25% of the units granted after the first year and on 6.25% each quarter thereafter over the remaining three years of employment. Restrictions generally lapse on Restricted Stock with performance or market conditions as conditions are met over a 3-year period. At the end of the performance period, the number of actual shares to be awarded will vary between 0% and 200% of target amounts, depending upon the achievement level. In 2022, our Board of Directors approved dividend equivalent rights for unvested restricted stock units awarded on or after October 13,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Awards activity for 2022 is summarized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center"/>
              <w:ind w:right="54"/>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Average Grant</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4"/>
                <w:szCs w:val="14"/>
                <w:color w:val="auto"/>
              </w:rPr>
            </w:pPr>
          </w:p>
        </w:tc>
        <w:tc>
          <w:tcPr>
            <w:tcW w:w="1320" w:type="dxa"/>
            <w:vAlign w:val="bottom"/>
          </w:tcPr>
          <w:p>
            <w:pPr>
              <w:jc w:val="center"/>
              <w:ind w:right="34"/>
              <w:spacing w:after="0" w:line="162" w:lineRule="exact"/>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0090DA"/>
            </w:tcBorders>
          </w:tcPr>
          <w:p>
            <w:pPr>
              <w:spacing w:after="0"/>
              <w:rPr>
                <w:sz w:val="18"/>
                <w:szCs w:val="18"/>
                <w:color w:val="auto"/>
              </w:rPr>
            </w:pPr>
          </w:p>
        </w:tc>
        <w:tc>
          <w:tcPr>
            <w:tcW w:w="1440" w:type="dxa"/>
            <w:vAlign w:val="bottom"/>
            <w:tcBorders>
              <w:bottom w:val="single" w:sz="8" w:color="0090DA"/>
            </w:tcBorders>
            <w:vMerge w:val="continue"/>
          </w:tcPr>
          <w:p>
            <w:pPr>
              <w:spacing w:after="0"/>
              <w:rPr>
                <w:sz w:val="18"/>
                <w:szCs w:val="18"/>
                <w:color w:val="auto"/>
              </w:rPr>
            </w:pPr>
          </w:p>
        </w:tc>
        <w:tc>
          <w:tcPr>
            <w:tcW w:w="120" w:type="dxa"/>
            <w:vAlign w:val="bottom"/>
            <w:tcBorders>
              <w:bottom w:val="single" w:sz="8" w:color="0090DA"/>
            </w:tcBorders>
          </w:tcPr>
          <w:p>
            <w:pPr>
              <w:spacing w:after="0"/>
              <w:rPr>
                <w:sz w:val="18"/>
                <w:szCs w:val="18"/>
                <w:color w:val="auto"/>
              </w:rPr>
            </w:pPr>
          </w:p>
        </w:tc>
        <w:tc>
          <w:tcPr>
            <w:tcW w:w="1320" w:type="dxa"/>
            <w:vAlign w:val="bottom"/>
            <w:tcBorders>
              <w:bottom w:val="single" w:sz="8" w:color="0090DA"/>
            </w:tcBorders>
          </w:tcPr>
          <w:p>
            <w:pPr>
              <w:jc w:val="center"/>
              <w:ind w:right="34"/>
              <w:spacing w:after="0"/>
              <w:rPr>
                <w:sz w:val="20"/>
                <w:szCs w:val="20"/>
                <w:color w:val="auto"/>
              </w:rPr>
            </w:pPr>
            <w:r>
              <w:rPr>
                <w:rFonts w:ascii="Arial" w:cs="Arial" w:eastAsia="Arial" w:hAnsi="Arial"/>
                <w:sz w:val="16"/>
                <w:szCs w:val="16"/>
                <w:b w:val="1"/>
                <w:bCs w:val="1"/>
                <w:color w:val="auto"/>
              </w:rPr>
              <w:t>Per Share</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Outstanding as of September 2, 2021</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49.39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Restrictions lapsed</w:t>
            </w:r>
          </w:p>
        </w:tc>
        <w:tc>
          <w:tcPr>
            <w:tcW w:w="1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47.36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D1D2D4"/>
            </w:tcBorders>
          </w:tcPr>
          <w:p>
            <w:pPr>
              <w:spacing w:after="0"/>
              <w:rPr>
                <w:sz w:val="19"/>
                <w:szCs w:val="19"/>
                <w:color w:val="auto"/>
              </w:rPr>
            </w:pPr>
          </w:p>
        </w:tc>
        <w:tc>
          <w:tcPr>
            <w:tcW w:w="1320" w:type="dxa"/>
            <w:vAlign w:val="bottom"/>
            <w:tcBorders>
              <w:bottom w:val="single" w:sz="8" w:color="D1D2D4"/>
            </w:tcBorders>
          </w:tcPr>
          <w:p>
            <w:pPr>
              <w:jc w:val="right"/>
              <w:spacing w:after="0"/>
              <w:rPr>
                <w:sz w:val="20"/>
                <w:szCs w:val="20"/>
                <w:color w:val="auto"/>
              </w:rPr>
            </w:pPr>
            <w:r>
              <w:rPr>
                <w:rFonts w:ascii="Arial" w:cs="Arial" w:eastAsia="Arial" w:hAnsi="Arial"/>
                <w:sz w:val="18"/>
                <w:szCs w:val="18"/>
                <w:color w:val="auto"/>
              </w:rPr>
              <w:t>57.00</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Outstanding as of September 1, 2022</w:t>
            </w:r>
          </w:p>
        </w:tc>
        <w:tc>
          <w:tcPr>
            <w:tcW w:w="1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D1D2D4"/>
            </w:tcBorders>
            <w:shd w:val="clear" w:color="auto" w:fill="D1D2D4"/>
          </w:tcPr>
          <w:p>
            <w:pPr>
              <w:spacing w:after="0"/>
              <w:rPr>
                <w:sz w:val="21"/>
                <w:szCs w:val="21"/>
                <w:color w:val="auto"/>
              </w:rPr>
            </w:pPr>
          </w:p>
        </w:tc>
        <w:tc>
          <w:tcPr>
            <w:tcW w:w="1320" w:type="dxa"/>
            <w:vAlign w:val="bottom"/>
            <w:tcBorders>
              <w:bottom w:val="single" w:sz="8" w:color="D1D2D4"/>
            </w:tcBorders>
            <w:shd w:val="clear" w:color="auto" w:fill="D1D2D4"/>
          </w:tcPr>
          <w:p>
            <w:pPr>
              <w:jc w:val="right"/>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44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tcBorders>
          </w:tcPr>
          <w:p>
            <w:pPr>
              <w:spacing w:after="0" w:line="20" w:lineRule="exact"/>
              <w:rPr>
                <w:sz w:val="1"/>
                <w:szCs w:val="1"/>
                <w:color w:val="auto"/>
              </w:rPr>
            </w:pPr>
          </w:p>
        </w:tc>
        <w:tc>
          <w:tcPr>
            <w:tcW w:w="1320" w:type="dxa"/>
            <w:vAlign w:val="bottom"/>
            <w:tcBorders>
              <w:top w:val="single" w:sz="8" w:color="D1D2D4"/>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Borders>
              <w:bottom w:val="single" w:sz="8" w:color="0090DA"/>
            </w:tcBorders>
          </w:tcPr>
          <w:p>
            <w:pPr>
              <w:jc w:val="right"/>
              <w:spacing w:after="0"/>
              <w:rPr>
                <w:sz w:val="20"/>
                <w:szCs w:val="20"/>
                <w:color w:val="auto"/>
              </w:rPr>
            </w:pPr>
            <w:r>
              <w:rPr>
                <w:rFonts w:ascii="Arial" w:cs="Arial" w:eastAsia="Arial" w:hAnsi="Arial"/>
                <w:sz w:val="16"/>
                <w:szCs w:val="16"/>
                <w:b w:val="1"/>
                <w:bCs w:val="1"/>
                <w:color w:val="0090DA"/>
                <w:w w:val="99"/>
              </w:rPr>
              <w:t>Table of Contents</w:t>
            </w:r>
          </w:p>
        </w:tc>
      </w:tr>
      <w:tr>
        <w:trPr>
          <w:trHeight w:val="884"/>
        </w:trPr>
        <w:tc>
          <w:tcPr>
            <w:tcW w:w="50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360" w:type="dxa"/>
            <w:vAlign w:val="bottom"/>
            <w:tcBorders>
              <w:bottom w:val="single" w:sz="8" w:color="0090DA"/>
            </w:tcBorders>
          </w:tcPr>
          <w:p>
            <w:pPr>
              <w:spacing w:after="0"/>
              <w:rPr>
                <w:sz w:val="24"/>
                <w:szCs w:val="24"/>
                <w:color w:val="auto"/>
              </w:rPr>
            </w:pPr>
          </w:p>
        </w:tc>
        <w:tc>
          <w:tcPr>
            <w:tcW w:w="1360" w:type="dxa"/>
            <w:vAlign w:val="bottom"/>
            <w:tcBorders>
              <w:bottom w:val="single" w:sz="8" w:color="0090DA"/>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0090DA"/>
            </w:tcBorders>
          </w:tcPr>
          <w:p>
            <w:pPr>
              <w:spacing w:after="0"/>
              <w:rPr>
                <w:sz w:val="24"/>
                <w:szCs w:val="24"/>
                <w:color w:val="auto"/>
              </w:rPr>
            </w:pPr>
          </w:p>
        </w:tc>
        <w:tc>
          <w:tcPr>
            <w:tcW w:w="1360" w:type="dxa"/>
            <w:vAlign w:val="bottom"/>
            <w:tcBorders>
              <w:bottom w:val="single" w:sz="8" w:color="0090DA"/>
            </w:tcBorders>
          </w:tcPr>
          <w:p>
            <w:pPr>
              <w:jc w:val="right"/>
              <w:ind w:right="59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0090DA"/>
            </w:tcBorders>
          </w:tcPr>
          <w:p>
            <w:pPr>
              <w:spacing w:after="0"/>
              <w:rPr>
                <w:sz w:val="24"/>
                <w:szCs w:val="24"/>
                <w:color w:val="auto"/>
              </w:rPr>
            </w:pPr>
          </w:p>
        </w:tc>
        <w:tc>
          <w:tcPr>
            <w:tcW w:w="1500" w:type="dxa"/>
            <w:vAlign w:val="bottom"/>
            <w:tcBorders>
              <w:bottom w:val="single" w:sz="8" w:color="0090DA"/>
            </w:tcBorders>
            <w:gridSpan w:val="2"/>
          </w:tcPr>
          <w:p>
            <w:pPr>
              <w:jc w:val="right"/>
              <w:ind w:right="659"/>
              <w:spacing w:after="0"/>
              <w:rPr>
                <w:sz w:val="20"/>
                <w:szCs w:val="20"/>
                <w:color w:val="auto"/>
              </w:rPr>
            </w:pPr>
            <w:r>
              <w:rPr>
                <w:rFonts w:ascii="Arial" w:cs="Arial" w:eastAsia="Arial" w:hAnsi="Arial"/>
                <w:sz w:val="18"/>
                <w:szCs w:val="18"/>
                <w:b w:val="1"/>
                <w:bCs w:val="1"/>
                <w:color w:val="auto"/>
              </w:rPr>
              <w:t>2020</w:t>
            </w:r>
          </w:p>
        </w:tc>
      </w:tr>
      <w:tr>
        <w:trPr>
          <w:trHeight w:val="34"/>
        </w:trPr>
        <w:tc>
          <w:tcPr>
            <w:tcW w:w="50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Restricted stock award shares granted</w:t>
            </w:r>
          </w:p>
        </w:tc>
        <w:tc>
          <w:tcPr>
            <w:tcW w:w="136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D1D2D4"/>
          </w:tcPr>
          <w:p>
            <w:pPr>
              <w:spacing w:after="0"/>
              <w:rPr>
                <w:sz w:val="19"/>
                <w:szCs w:val="19"/>
                <w:color w:val="auto"/>
              </w:rPr>
            </w:pP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D1D2D4"/>
          </w:tcPr>
          <w:p>
            <w:pPr>
              <w:spacing w:after="0"/>
              <w:rPr>
                <w:sz w:val="19"/>
                <w:szCs w:val="19"/>
                <w:color w:val="auto"/>
              </w:rPr>
            </w:pPr>
          </w:p>
        </w:tc>
        <w:tc>
          <w:tcPr>
            <w:tcW w:w="15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13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70.81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53.58</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46.44</w:t>
            </w:r>
          </w:p>
        </w:tc>
      </w:tr>
      <w:tr>
        <w:trPr>
          <w:trHeight w:val="229"/>
        </w:trPr>
        <w:tc>
          <w:tcPr>
            <w:tcW w:w="5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Aggregate vesting-date fair value of shares vested</w:t>
            </w:r>
          </w:p>
        </w:tc>
        <w:tc>
          <w:tcPr>
            <w:tcW w:w="136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498</w:t>
            </w:r>
          </w:p>
        </w:tc>
        <w:tc>
          <w:tcPr>
            <w:tcW w:w="38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294</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Stock Purchase Plan (“ESPP”)</w:t>
      </w:r>
    </w:p>
    <w:p>
      <w:pPr>
        <w:spacing w:after="0" w:line="2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Our ESPP is offered to substantially all employees and permitted eligible employees to purchase shares of our common stock through payroll deductions of up to 10% of their eligible compensation, subject to certain limitations prior to August 2021. Beginning in August 2021, employees are permitted to deduct up to 15% of their eligible compensation to purchase shares under the ESPP. The purchase price of the shares under the ESPP equals 85% of the lower of the fair market value of our common stock on either the first or last day of each six-month offering period. Compensation expense is calculated as of the beginning of the offering period as the fair value of the employees’ purchase rights utilizing the Black-Scholes option valuation model and is recognized over the offering period. Grant-date fair value and assumptions used in the Black-Scholes option valuation model were as follows: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4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640" w:type="dxa"/>
            <w:vAlign w:val="bottom"/>
            <w:tcBorders>
              <w:bottom w:val="single" w:sz="8" w:color="0090DA"/>
            </w:tcBorders>
          </w:tcPr>
          <w:p>
            <w:pPr>
              <w:spacing w:after="0"/>
              <w:rPr>
                <w:sz w:val="20"/>
                <w:szCs w:val="20"/>
                <w:color w:val="auto"/>
              </w:rPr>
            </w:pPr>
          </w:p>
        </w:tc>
        <w:tc>
          <w:tcPr>
            <w:tcW w:w="1380" w:type="dxa"/>
            <w:vAlign w:val="bottom"/>
            <w:tcBorders>
              <w:bottom w:val="single" w:sz="8" w:color="0090DA"/>
            </w:tcBorders>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0090DA"/>
            </w:tcBorders>
          </w:tcPr>
          <w:p>
            <w:pPr>
              <w:spacing w:after="0"/>
              <w:rPr>
                <w:sz w:val="20"/>
                <w:szCs w:val="20"/>
                <w:color w:val="auto"/>
              </w:rPr>
            </w:pPr>
          </w:p>
        </w:tc>
        <w:tc>
          <w:tcPr>
            <w:tcW w:w="1380" w:type="dxa"/>
            <w:vAlign w:val="bottom"/>
            <w:tcBorders>
              <w:bottom w:val="single" w:sz="8" w:color="0090DA"/>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0090DA"/>
            </w:tcBorders>
          </w:tcPr>
          <w:p>
            <w:pPr>
              <w:spacing w:after="0"/>
              <w:rPr>
                <w:sz w:val="20"/>
                <w:szCs w:val="20"/>
                <w:color w:val="auto"/>
              </w:rPr>
            </w:pPr>
          </w:p>
        </w:tc>
        <w:tc>
          <w:tcPr>
            <w:tcW w:w="1420" w:type="dxa"/>
            <w:vAlign w:val="bottom"/>
            <w:tcBorders>
              <w:bottom w:val="single" w:sz="8" w:color="0090DA"/>
            </w:tcBorders>
          </w:tcPr>
          <w:p>
            <w:pPr>
              <w:jc w:val="right"/>
              <w:ind w:right="630"/>
              <w:spacing w:after="0"/>
              <w:rPr>
                <w:sz w:val="20"/>
                <w:szCs w:val="20"/>
                <w:color w:val="auto"/>
              </w:rPr>
            </w:pPr>
            <w:r>
              <w:rPr>
                <w:rFonts w:ascii="Arial" w:cs="Arial" w:eastAsia="Arial" w:hAnsi="Arial"/>
                <w:sz w:val="18"/>
                <w:szCs w:val="18"/>
                <w:b w:val="1"/>
                <w:bCs w:val="1"/>
                <w:color w:val="auto"/>
              </w:rPr>
              <w:t>2020</w:t>
            </w:r>
          </w:p>
        </w:tc>
      </w:tr>
      <w:tr>
        <w:trPr>
          <w:trHeight w:val="34"/>
        </w:trPr>
        <w:tc>
          <w:tcPr>
            <w:tcW w:w="5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0"/>
        </w:trPr>
        <w:tc>
          <w:tcPr>
            <w:tcW w:w="5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grant-date fair value per share</w:t>
            </w:r>
          </w:p>
        </w:tc>
        <w:tc>
          <w:tcPr>
            <w:tcW w:w="64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18.87</w:t>
            </w:r>
          </w:p>
        </w:tc>
        <w:tc>
          <w:tcPr>
            <w:tcW w:w="4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20.71</w:t>
            </w:r>
          </w:p>
        </w:tc>
        <w:tc>
          <w:tcPr>
            <w:tcW w:w="48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D1D2D4"/>
          </w:tcPr>
          <w:p>
            <w:pPr>
              <w:jc w:val="right"/>
              <w:ind w:right="250"/>
              <w:spacing w:after="0"/>
              <w:rPr>
                <w:sz w:val="20"/>
                <w:szCs w:val="20"/>
                <w:color w:val="auto"/>
              </w:rPr>
            </w:pPr>
            <w:r>
              <w:rPr>
                <w:rFonts w:ascii="Arial" w:cs="Arial" w:eastAsia="Arial" w:hAnsi="Arial"/>
                <w:sz w:val="18"/>
                <w:szCs w:val="18"/>
                <w:color w:val="auto"/>
              </w:rPr>
              <w:t>14.24</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Average expected life in years</w:t>
            </w:r>
          </w:p>
        </w:tc>
        <w:tc>
          <w:tcPr>
            <w:tcW w:w="640" w:type="dxa"/>
            <w:vAlign w:val="bottom"/>
          </w:tcPr>
          <w:p>
            <w:pPr>
              <w:spacing w:after="0"/>
              <w:rPr>
                <w:sz w:val="19"/>
                <w:szCs w:val="19"/>
                <w:color w:val="auto"/>
              </w:rPr>
            </w:pP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19"/>
                <w:szCs w:val="19"/>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9"/>
                <w:szCs w:val="19"/>
                <w:color w:val="auto"/>
              </w:rPr>
            </w:pPr>
          </w:p>
        </w:tc>
        <w:tc>
          <w:tcPr>
            <w:tcW w:w="1420" w:type="dxa"/>
            <w:vAlign w:val="bottom"/>
          </w:tcPr>
          <w:p>
            <w:pPr>
              <w:jc w:val="right"/>
              <w:ind w:right="410"/>
              <w:spacing w:after="0"/>
              <w:rPr>
                <w:sz w:val="20"/>
                <w:szCs w:val="20"/>
                <w:color w:val="auto"/>
              </w:rPr>
            </w:pPr>
            <w:r>
              <w:rPr>
                <w:rFonts w:ascii="Arial" w:cs="Arial" w:eastAsia="Arial" w:hAnsi="Arial"/>
                <w:sz w:val="18"/>
                <w:szCs w:val="18"/>
                <w:color w:val="auto"/>
              </w:rPr>
              <w:t>0.5</w:t>
            </w:r>
          </w:p>
        </w:tc>
      </w:tr>
      <w:tr>
        <w:trPr>
          <w:trHeight w:val="229"/>
        </w:trPr>
        <w:tc>
          <w:tcPr>
            <w:tcW w:w="5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expected volatility (based on implied volatility)</w:t>
            </w:r>
          </w:p>
        </w:tc>
        <w:tc>
          <w:tcPr>
            <w:tcW w:w="6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43 %</w:t>
            </w:r>
          </w:p>
        </w:tc>
        <w:tc>
          <w:tcPr>
            <w:tcW w:w="46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41 %</w:t>
            </w:r>
          </w:p>
        </w:tc>
        <w:tc>
          <w:tcPr>
            <w:tcW w:w="480" w:type="dxa"/>
            <w:vAlign w:val="bottom"/>
            <w:shd w:val="clear" w:color="auto" w:fill="D1D2D4"/>
          </w:tcPr>
          <w:p>
            <w:pPr>
              <w:spacing w:after="0"/>
              <w:rPr>
                <w:sz w:val="19"/>
                <w:szCs w:val="19"/>
                <w:color w:val="auto"/>
              </w:rPr>
            </w:pPr>
          </w:p>
        </w:tc>
        <w:tc>
          <w:tcPr>
            <w:tcW w:w="14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45 %</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Weighted-average risk-free interest rate</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2.0 %</w:t>
            </w:r>
          </w:p>
        </w:tc>
        <w:tc>
          <w:tcPr>
            <w:tcW w:w="4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0.1 %</w:t>
            </w:r>
          </w:p>
        </w:tc>
        <w:tc>
          <w:tcPr>
            <w:tcW w:w="480" w:type="dxa"/>
            <w:vAlign w:val="bottom"/>
          </w:tcPr>
          <w:p>
            <w:pPr>
              <w:spacing w:after="0"/>
              <w:rPr>
                <w:sz w:val="19"/>
                <w:szCs w:val="19"/>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0.8 %</w:t>
            </w:r>
          </w:p>
        </w:tc>
      </w:tr>
      <w:tr>
        <w:trPr>
          <w:trHeight w:val="229"/>
        </w:trPr>
        <w:tc>
          <w:tcPr>
            <w:tcW w:w="54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Expected dividend yield</w:t>
            </w:r>
          </w:p>
        </w:tc>
        <w:tc>
          <w:tcPr>
            <w:tcW w:w="64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0.6 %</w:t>
            </w:r>
          </w:p>
        </w:tc>
        <w:tc>
          <w:tcPr>
            <w:tcW w:w="460" w:type="dxa"/>
            <w:vAlign w:val="bottom"/>
            <w:shd w:val="clear" w:color="auto" w:fill="D1D2D4"/>
          </w:tcPr>
          <w:p>
            <w:pPr>
              <w:spacing w:after="0"/>
              <w:rPr>
                <w:sz w:val="19"/>
                <w:szCs w:val="19"/>
                <w:color w:val="auto"/>
              </w:rPr>
            </w:pPr>
          </w:p>
        </w:tc>
        <w:tc>
          <w:tcPr>
            <w:tcW w:w="13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0.3 %</w:t>
            </w:r>
          </w:p>
        </w:tc>
        <w:tc>
          <w:tcPr>
            <w:tcW w:w="480" w:type="dxa"/>
            <w:vAlign w:val="bottom"/>
            <w:shd w:val="clear" w:color="auto" w:fill="D1D2D4"/>
          </w:tcPr>
          <w:p>
            <w:pPr>
              <w:spacing w:after="0"/>
              <w:rPr>
                <w:sz w:val="19"/>
                <w:szCs w:val="19"/>
                <w:color w:val="auto"/>
              </w:rPr>
            </w:pPr>
          </w:p>
        </w:tc>
        <w:tc>
          <w:tcPr>
            <w:tcW w:w="14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0.0 %</w:t>
            </w:r>
          </w:p>
        </w:tc>
      </w:tr>
    </w:tbl>
    <w:p>
      <w:pPr>
        <w:spacing w:after="0" w:line="319"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Under the ESPP, employees purchased 4 million shares of common stock for $215 million in 2022, 3 million shares for $140 million in 2021, and 3 million shares for $118 million in 2020.</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 Options</w:t>
      </w:r>
    </w:p>
    <w:p>
      <w:pPr>
        <w:spacing w:after="0" w:line="2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of September 1, 2022, stock options of 3 million shares were outstanding, all of which were fully exercisable. Stock options expire 8 years from the date of grant. We did not grant any stock options in 2022, 2021, or 2020. Stock options of 1 million shares were exercised in 2022. The total intrinsic value for options exercised was $54 million, $143 million, and $130 million in 2022, 2021, and 2020,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Stock-based Compensation Expense</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Stock-based compensation expense by caption</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Cost of goods sold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175</w:t>
            </w:r>
          </w:p>
        </w:tc>
        <w:tc>
          <w:tcPr>
            <w:tcW w:w="3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Restructure</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0"/>
        </w:trPr>
        <w:tc>
          <w:tcPr>
            <w:tcW w:w="690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Stock-based compensation expense by type of award</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Restricted stock awards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429</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333</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ESPP</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spacing w:after="0"/>
        <w:rPr>
          <w:sz w:val="20"/>
          <w:szCs w:val="20"/>
          <w:color w:val="auto"/>
        </w:rPr>
      </w:pPr>
      <w:r>
        <w:rPr>
          <w:sz w:val="1"/>
          <w:szCs w:val="1"/>
          <w:color w:val="auto"/>
        </w:rPr>
        <w:drawing>
          <wp:inline distT="0" distB="0" distL="0" distR="0">
            <wp:extent cx="643255" cy="1797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6"/>
          <w:szCs w:val="16"/>
          <w:b w:val="1"/>
          <w:bCs w:val="1"/>
          <w:color w:val="auto"/>
        </w:rPr>
        <w:t xml:space="preserv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102870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Income tax benefits related to the tax deductions for share -based awards are recognized only upon the settlement of the related share-based awards. Income tax benefits for share-based awards were $77 million, $83 million, and $72 million for 2022, 2021, and 2020, respectively. Stock-based compensation expense of $48 million and $30 million was capitalized and remained in inventory as of September 1, 2022 and September 2, 2021, respectively. As of September 1, 2022, $ 1.02 billion of total unrecognized compensation costs for unvested awards, before the effect of any future forfeitures, was expected to be recognized through the fourth quarter of 2026, resulting in a weighted-average period of 1.3 years.</w:t>
      </w:r>
    </w:p>
    <w:p>
      <w:pPr>
        <w:spacing w:after="0" w:line="18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Employee Benefit Plans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We have employee retirement plans at our U.S. and international sites. Details of significant plans are as follows: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Employee Savings Plan for U.S. Employees</w:t>
      </w:r>
    </w:p>
    <w:p>
      <w:pPr>
        <w:spacing w:after="0" w:line="24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have a 401(k) retirement plan under which U.S. employees may contribute up to 75% of their eligible pay, subject to Internal Revenue Service annual contribution limits, to various savings alternatives, none of which include direct investment in our stock. We match in cash eligible contributions from employees up to 5% of the employee’s annual eligible earnings. Contribution expense for the 401(k) plan was $66 million, $77 million, and $66 million in 2022, 2021, and 2020,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Retirement Plans</w:t>
      </w:r>
    </w:p>
    <w:p>
      <w:pPr>
        <w:spacing w:after="0" w:line="256"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We have pension plans available to employees at various foreign sites. As of September 1, 2022, the projected benefit obligations of our plans were $186 million and plan assets were $ 221 million. As of September 2, 2021, the projected benefit obligations of our plans were $222 million and plan assets were $256 million. Pension expense was not material for 2022, 2021, or 2020.</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Revenue</w:t>
      </w:r>
    </w:p>
    <w:p>
      <w:pPr>
        <w:spacing w:after="0" w:line="2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primarily recognized at a point in time when control of the promised goods is transferred to our customers in an amount that reflects the consideration we expect to be entitled to in exchange for those goods. Substantially all contracts with our customers are short-term in duration at fixed, negotiated prices with payment generally due shortly after delivery. From time to time, we have contracts with initial terms that include performance obligations that extend beyond one year. As of September 1, 2022, our future performance obligations beyond one year were not significant.</w:t>
      </w:r>
    </w:p>
    <w:p>
      <w:pPr>
        <w:spacing w:after="0" w:line="206" w:lineRule="exact"/>
        <w:rPr>
          <w:sz w:val="20"/>
          <w:szCs w:val="20"/>
          <w:color w:val="auto"/>
        </w:rPr>
      </w:pPr>
    </w:p>
    <w:p>
      <w:pPr>
        <w:ind w:right="1080"/>
        <w:spacing w:after="0" w:line="287" w:lineRule="auto"/>
        <w:rPr>
          <w:sz w:val="20"/>
          <w:szCs w:val="20"/>
          <w:color w:val="auto"/>
        </w:rPr>
      </w:pPr>
      <w:r>
        <w:rPr>
          <w:rFonts w:ascii="Arial" w:cs="Arial" w:eastAsia="Arial" w:hAnsi="Arial"/>
          <w:sz w:val="18"/>
          <w:szCs w:val="18"/>
          <w:color w:val="auto"/>
        </w:rPr>
        <w:t>As of September 1, 2022 and September 2, 2021, other current liabilities included $1.26 billion and $846 million for estimates of consideration payable to customers, respectively, including estimates for pricing adjustments and returns.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Revenue by Technology</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DRAM</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22,386</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20,039</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14,510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NAND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7,811</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7,007</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6,131</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(primarily 3D XPoint memory and NOR)</w:t>
            </w:r>
          </w:p>
        </w:tc>
        <w:tc>
          <w:tcPr>
            <w:tcW w:w="32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561</w:t>
            </w:r>
          </w:p>
        </w:tc>
        <w:tc>
          <w:tcPr>
            <w:tcW w:w="3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659</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794</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30,758</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See “Segment and Other Information” for disclosure of disaggregated revenue by market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79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Restructure and Asset Impairments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080" w:type="dxa"/>
            <w:vAlign w:val="bottom"/>
            <w:tcBorders>
              <w:bottom w:val="single" w:sz="8" w:color="0090DA"/>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18"/>
                <w:szCs w:val="18"/>
                <w:color w:val="auto"/>
              </w:rPr>
            </w:pPr>
          </w:p>
        </w:tc>
        <w:tc>
          <w:tcPr>
            <w:tcW w:w="360" w:type="dxa"/>
            <w:vAlign w:val="bottom"/>
            <w:tcBorders>
              <w:bottom w:val="single" w:sz="8" w:color="0090DA"/>
            </w:tcBorders>
          </w:tcPr>
          <w:p>
            <w:pPr>
              <w:spacing w:after="0"/>
              <w:rPr>
                <w:sz w:val="18"/>
                <w:szCs w:val="18"/>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48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88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Restructure and asset impairments</w:t>
            </w:r>
          </w:p>
        </w:tc>
        <w:tc>
          <w:tcPr>
            <w:tcW w:w="3080" w:type="dxa"/>
            <w:vAlign w:val="bottom"/>
            <w:shd w:val="clear" w:color="auto" w:fill="D1D2D4"/>
          </w:tcPr>
          <w:p>
            <w:pPr>
              <w:jc w:val="right"/>
              <w:ind w:right="850"/>
              <w:spacing w:after="0"/>
              <w:rPr>
                <w:sz w:val="20"/>
                <w:szCs w:val="20"/>
                <w:color w:val="auto"/>
              </w:rPr>
            </w:pPr>
            <w:r>
              <w:rPr>
                <w:rFonts w:ascii="Arial" w:cs="Arial" w:eastAsia="Arial" w:hAnsi="Arial"/>
                <w:sz w:val="18"/>
                <w:szCs w:val="18"/>
                <w:color w:val="auto"/>
              </w:rPr>
              <w:t>$</w:t>
            </w: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488</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60</w:t>
            </w:r>
          </w:p>
        </w:tc>
      </w:tr>
    </w:tbl>
    <w:p>
      <w:pPr>
        <w:spacing w:after="0" w:line="319"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Restructure and asset impairments for 2022 and 2021 are primarily related to the sale of our Lehi, Utah facility. See “Lehi, Utah Fab and 3D XPoint.” Restructure and asset impairments for 2020 primarily related to asset impairments and employee relocation and severance costs related to right-sizing our Lehi, Utah facility.</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Operating (Income) Expense,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Patent license charges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D1D2D4"/>
          </w:tcPr>
          <w:p>
            <w:pPr>
              <w:jc w:val="right"/>
              <w:ind w:right="130"/>
              <w:spacing w:after="0"/>
              <w:rPr>
                <w:sz w:val="20"/>
                <w:szCs w:val="20"/>
                <w:color w:val="auto"/>
              </w:rPr>
            </w:pPr>
            <w:r>
              <w:rPr>
                <w:rFonts w:ascii="Arial" w:cs="Arial" w:eastAsia="Arial" w:hAnsi="Arial"/>
                <w:sz w:val="18"/>
                <w:szCs w:val="18"/>
                <w:color w:val="auto"/>
              </w:rPr>
              <w:t>— $</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(Gain) loss on disposition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Other Non-Operating Income (Expense), Net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Gain (loss) on investments</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center"/>
              <w:ind w:left="710"/>
              <w:spacing w:after="0"/>
              <w:rPr>
                <w:sz w:val="20"/>
                <w:szCs w:val="20"/>
                <w:color w:val="auto"/>
              </w:rPr>
            </w:pPr>
            <w:r>
              <w:rPr>
                <w:rFonts w:ascii="Arial" w:cs="Arial" w:eastAsia="Arial" w:hAnsi="Arial"/>
                <w:sz w:val="18"/>
                <w:szCs w:val="18"/>
                <w:color w:val="auto"/>
                <w:w w:val="99"/>
              </w:rPr>
              <w:t>26</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82</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Gain (loss) on debt prepayments, repurchases, and conversions</w:t>
            </w:r>
          </w:p>
        </w:tc>
        <w:tc>
          <w:tcPr>
            <w:tcW w:w="320" w:type="dxa"/>
            <w:vAlign w:val="bottom"/>
          </w:tcPr>
          <w:p>
            <w:pPr>
              <w:spacing w:after="0"/>
              <w:rPr>
                <w:sz w:val="19"/>
                <w:szCs w:val="19"/>
                <w:color w:val="auto"/>
              </w:rPr>
            </w:pPr>
          </w:p>
        </w:tc>
        <w:tc>
          <w:tcPr>
            <w:tcW w:w="1120" w:type="dxa"/>
            <w:vAlign w:val="bottom"/>
          </w:tcPr>
          <w:p>
            <w:pPr>
              <w:jc w:val="center"/>
              <w:ind w:left="670"/>
              <w:spacing w:after="0"/>
              <w:rPr>
                <w:sz w:val="20"/>
                <w:szCs w:val="20"/>
                <w:color w:val="auto"/>
              </w:rPr>
            </w:pPr>
            <w:r>
              <w:rPr>
                <w:rFonts w:ascii="Arial" w:cs="Arial" w:eastAsia="Arial" w:hAnsi="Arial"/>
                <w:sz w:val="18"/>
                <w:szCs w:val="18"/>
                <w:color w:val="auto"/>
                <w:w w:val="99"/>
              </w:rPr>
              <w:t>(83)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center"/>
              <w:ind w:left="710"/>
              <w:spacing w:after="0"/>
              <w:rPr>
                <w:sz w:val="20"/>
                <w:szCs w:val="20"/>
                <w:color w:val="auto"/>
              </w:rPr>
            </w:pPr>
            <w:r>
              <w:rPr>
                <w:rFonts w:ascii="Arial" w:cs="Arial" w:eastAsia="Arial" w:hAnsi="Arial"/>
                <w:sz w:val="18"/>
                <w:szCs w:val="18"/>
                <w:color w:val="auto"/>
                <w:w w:val="99"/>
              </w:rPr>
              <w:t>19</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9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(38)</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1154"/>
        </w:trPr>
        <w:tc>
          <w:tcPr>
            <w:tcW w:w="5180" w:type="dxa"/>
            <w:vAlign w:val="bottom"/>
          </w:tcPr>
          <w:p>
            <w:pPr>
              <w:spacing w:after="0"/>
              <w:rPr>
                <w:sz w:val="20"/>
                <w:szCs w:val="20"/>
                <w:color w:val="auto"/>
              </w:rPr>
            </w:pPr>
            <w:r>
              <w:rPr>
                <w:rFonts w:ascii="Arial" w:cs="Arial" w:eastAsia="Arial" w:hAnsi="Arial"/>
                <w:sz w:val="40"/>
                <w:szCs w:val="40"/>
                <w:b w:val="1"/>
                <w:bCs w:val="1"/>
                <w:color w:val="auto"/>
              </w:rPr>
              <w:t>Income Taxes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0090DA"/>
            </w:tcBorders>
          </w:tcPr>
          <w:p>
            <w:pPr>
              <w:spacing w:after="0"/>
              <w:rPr>
                <w:sz w:val="24"/>
                <w:szCs w:val="24"/>
                <w:color w:val="auto"/>
              </w:rPr>
            </w:pPr>
          </w:p>
        </w:tc>
        <w:tc>
          <w:tcPr>
            <w:tcW w:w="1020" w:type="dxa"/>
            <w:vAlign w:val="bottom"/>
            <w:tcBorders>
              <w:top w:val="single" w:sz="8" w:color="0090DA"/>
            </w:tcBorders>
          </w:tcPr>
          <w:p>
            <w:pPr>
              <w:spacing w:after="0"/>
              <w:rPr>
                <w:sz w:val="24"/>
                <w:szCs w:val="24"/>
                <w:color w:val="auto"/>
              </w:rPr>
            </w:pPr>
          </w:p>
        </w:tc>
      </w:tr>
      <w:tr>
        <w:trPr>
          <w:trHeight w:val="409"/>
        </w:trPr>
        <w:tc>
          <w:tcPr>
            <w:tcW w:w="5180" w:type="dxa"/>
            <w:vAlign w:val="bottom"/>
          </w:tcPr>
          <w:p>
            <w:pPr>
              <w:spacing w:after="0"/>
              <w:rPr>
                <w:sz w:val="20"/>
                <w:szCs w:val="20"/>
                <w:color w:val="auto"/>
              </w:rPr>
            </w:pPr>
            <w:r>
              <w:rPr>
                <w:rFonts w:ascii="Arial" w:cs="Arial" w:eastAsia="Arial" w:hAnsi="Arial"/>
                <w:sz w:val="18"/>
                <w:szCs w:val="18"/>
                <w:color w:val="auto"/>
              </w:rPr>
              <w:t>Our income tax (provision) benefit consisted of the following:</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3"/>
        </w:trPr>
        <w:tc>
          <w:tcPr>
            <w:tcW w:w="51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0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spacing w:after="0"/>
              <w:rPr>
                <w:sz w:val="21"/>
                <w:szCs w:val="21"/>
                <w:color w:val="auto"/>
              </w:rPr>
            </w:pPr>
          </w:p>
        </w:tc>
        <w:tc>
          <w:tcPr>
            <w:tcW w:w="440" w:type="dxa"/>
            <w:vAlign w:val="bottom"/>
            <w:tcBorders>
              <w:bottom w:val="single" w:sz="8" w:color="0090DA"/>
            </w:tcBorders>
          </w:tcPr>
          <w:p>
            <w:pPr>
              <w:spacing w:after="0"/>
              <w:rPr>
                <w:sz w:val="21"/>
                <w:szCs w:val="21"/>
                <w:color w:val="auto"/>
              </w:rPr>
            </w:pPr>
          </w:p>
        </w:tc>
        <w:tc>
          <w:tcPr>
            <w:tcW w:w="480" w:type="dxa"/>
            <w:vAlign w:val="bottom"/>
            <w:tcBorders>
              <w:bottom w:val="single" w:sz="8" w:color="0090DA"/>
            </w:tcBorders>
          </w:tcPr>
          <w:p>
            <w:pPr>
              <w:spacing w:after="0"/>
              <w:rPr>
                <w:sz w:val="21"/>
                <w:szCs w:val="21"/>
                <w:color w:val="auto"/>
              </w:rPr>
            </w:pPr>
          </w:p>
        </w:tc>
        <w:tc>
          <w:tcPr>
            <w:tcW w:w="96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80" w:type="dxa"/>
            <w:vAlign w:val="bottom"/>
            <w:tcBorders>
              <w:bottom w:val="single" w:sz="8" w:color="0090DA"/>
            </w:tcBorders>
          </w:tcPr>
          <w:p>
            <w:pPr>
              <w:spacing w:after="0"/>
              <w:rPr>
                <w:sz w:val="21"/>
                <w:szCs w:val="21"/>
                <w:color w:val="auto"/>
              </w:rPr>
            </w:pPr>
          </w:p>
        </w:tc>
        <w:tc>
          <w:tcPr>
            <w:tcW w:w="82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0090DA"/>
            </w:tcBorders>
          </w:tcPr>
          <w:p>
            <w:pPr>
              <w:spacing w:after="0"/>
              <w:rPr>
                <w:sz w:val="21"/>
                <w:szCs w:val="21"/>
                <w:color w:val="auto"/>
              </w:rPr>
            </w:pPr>
          </w:p>
        </w:tc>
        <w:tc>
          <w:tcPr>
            <w:tcW w:w="100" w:type="dxa"/>
            <w:vAlign w:val="bottom"/>
            <w:tcBorders>
              <w:bottom w:val="single" w:sz="8" w:color="0090DA"/>
            </w:tcBorders>
          </w:tcPr>
          <w:p>
            <w:pPr>
              <w:spacing w:after="0"/>
              <w:rPr>
                <w:sz w:val="21"/>
                <w:szCs w:val="21"/>
                <w:color w:val="auto"/>
              </w:rPr>
            </w:pPr>
          </w:p>
        </w:tc>
        <w:tc>
          <w:tcPr>
            <w:tcW w:w="340" w:type="dxa"/>
            <w:vAlign w:val="bottom"/>
            <w:tcBorders>
              <w:bottom w:val="single" w:sz="8" w:color="0090DA"/>
            </w:tcBorders>
          </w:tcPr>
          <w:p>
            <w:pPr>
              <w:spacing w:after="0"/>
              <w:rPr>
                <w:sz w:val="21"/>
                <w:szCs w:val="21"/>
                <w:color w:val="auto"/>
              </w:rPr>
            </w:pPr>
          </w:p>
        </w:tc>
        <w:tc>
          <w:tcPr>
            <w:tcW w:w="10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184"/>
        </w:trPr>
        <w:tc>
          <w:tcPr>
            <w:tcW w:w="7380" w:type="dxa"/>
            <w:vAlign w:val="bottom"/>
            <w:gridSpan w:val="5"/>
            <w:shd w:val="clear" w:color="auto" w:fill="D1D2D4"/>
          </w:tcPr>
          <w:p>
            <w:pPr>
              <w:ind w:left="20"/>
              <w:spacing w:after="0" w:line="183" w:lineRule="exact"/>
              <w:rPr>
                <w:sz w:val="20"/>
                <w:szCs w:val="20"/>
                <w:color w:val="auto"/>
              </w:rPr>
            </w:pPr>
            <w:r>
              <w:rPr>
                <w:rFonts w:ascii="Arial" w:cs="Arial" w:eastAsia="Arial" w:hAnsi="Arial"/>
                <w:sz w:val="18"/>
                <w:szCs w:val="18"/>
                <w:color w:val="auto"/>
              </w:rPr>
              <w:t>Income (loss) before income taxes, net income (loss) attributable to noncontrolling</w:t>
            </w:r>
          </w:p>
        </w:tc>
        <w:tc>
          <w:tcPr>
            <w:tcW w:w="960" w:type="dxa"/>
            <w:vAlign w:val="bottom"/>
            <w:shd w:val="clear" w:color="auto" w:fill="D1D2D4"/>
          </w:tcPr>
          <w:p>
            <w:pPr>
              <w:spacing w:after="0"/>
              <w:rPr>
                <w:sz w:val="15"/>
                <w:szCs w:val="15"/>
                <w:color w:val="auto"/>
              </w:rPr>
            </w:pPr>
          </w:p>
        </w:tc>
        <w:tc>
          <w:tcPr>
            <w:tcW w:w="180" w:type="dxa"/>
            <w:vAlign w:val="bottom"/>
            <w:shd w:val="clear" w:color="auto" w:fill="D1D2D4"/>
          </w:tcPr>
          <w:p>
            <w:pPr>
              <w:spacing w:after="0"/>
              <w:rPr>
                <w:sz w:val="15"/>
                <w:szCs w:val="15"/>
                <w:color w:val="auto"/>
              </w:rPr>
            </w:pPr>
          </w:p>
        </w:tc>
        <w:tc>
          <w:tcPr>
            <w:tcW w:w="820" w:type="dxa"/>
            <w:vAlign w:val="bottom"/>
            <w:shd w:val="clear" w:color="auto" w:fill="D1D2D4"/>
          </w:tcPr>
          <w:p>
            <w:pPr>
              <w:spacing w:after="0"/>
              <w:rPr>
                <w:sz w:val="15"/>
                <w:szCs w:val="15"/>
                <w:color w:val="auto"/>
              </w:rPr>
            </w:pPr>
          </w:p>
        </w:tc>
        <w:tc>
          <w:tcPr>
            <w:tcW w:w="44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340" w:type="dxa"/>
            <w:vAlign w:val="bottom"/>
            <w:shd w:val="clear" w:color="auto" w:fill="D1D2D4"/>
          </w:tcPr>
          <w:p>
            <w:pPr>
              <w:spacing w:after="0"/>
              <w:rPr>
                <w:sz w:val="15"/>
                <w:szCs w:val="15"/>
                <w:color w:val="auto"/>
              </w:rPr>
            </w:pPr>
          </w:p>
        </w:tc>
        <w:tc>
          <w:tcPr>
            <w:tcW w:w="1020" w:type="dxa"/>
            <w:vAlign w:val="bottom"/>
            <w:shd w:val="clear" w:color="auto" w:fill="D1D2D4"/>
          </w:tcPr>
          <w:p>
            <w:pPr>
              <w:spacing w:after="0"/>
              <w:rPr>
                <w:sz w:val="15"/>
                <w:szCs w:val="15"/>
                <w:color w:val="auto"/>
              </w:rPr>
            </w:pPr>
          </w:p>
        </w:tc>
      </w:tr>
      <w:tr>
        <w:trPr>
          <w:trHeight w:val="235"/>
        </w:trPr>
        <w:tc>
          <w:tcPr>
            <w:tcW w:w="5480" w:type="dxa"/>
            <w:vAlign w:val="bottom"/>
            <w:gridSpan w:val="2"/>
            <w:shd w:val="clear" w:color="auto" w:fill="D1D2D4"/>
          </w:tcPr>
          <w:p>
            <w:pPr>
              <w:ind w:left="20"/>
              <w:spacing w:after="0"/>
              <w:rPr>
                <w:sz w:val="20"/>
                <w:szCs w:val="20"/>
                <w:color w:val="auto"/>
              </w:rPr>
            </w:pPr>
            <w:r>
              <w:rPr>
                <w:rFonts w:ascii="Arial" w:cs="Arial" w:eastAsia="Arial" w:hAnsi="Arial"/>
                <w:sz w:val="18"/>
                <w:szCs w:val="18"/>
                <w:color w:val="auto"/>
              </w:rPr>
              <w:t>interests, and equity in net income (loss) of equity method investees</w:t>
            </w:r>
          </w:p>
        </w:tc>
        <w:tc>
          <w:tcPr>
            <w:tcW w:w="980" w:type="dxa"/>
            <w:vAlign w:val="bottom"/>
            <w:shd w:val="clear" w:color="auto" w:fill="D1D2D4"/>
          </w:tcPr>
          <w:p>
            <w:pPr>
              <w:spacing w:after="0"/>
              <w:rPr>
                <w:sz w:val="20"/>
                <w:szCs w:val="20"/>
                <w:color w:val="auto"/>
              </w:rPr>
            </w:pPr>
          </w:p>
        </w:tc>
        <w:tc>
          <w:tcPr>
            <w:tcW w:w="440" w:type="dxa"/>
            <w:vAlign w:val="bottom"/>
            <w:shd w:val="clear" w:color="auto" w:fill="D1D2D4"/>
          </w:tcPr>
          <w:p>
            <w:pPr>
              <w:spacing w:after="0"/>
              <w:rPr>
                <w:sz w:val="20"/>
                <w:szCs w:val="20"/>
                <w:color w:val="auto"/>
              </w:rPr>
            </w:pPr>
          </w:p>
        </w:tc>
        <w:tc>
          <w:tcPr>
            <w:tcW w:w="480" w:type="dxa"/>
            <w:vAlign w:val="bottom"/>
            <w:shd w:val="clear" w:color="auto" w:fill="D1D2D4"/>
          </w:tcPr>
          <w:p>
            <w:pPr>
              <w:spacing w:after="0"/>
              <w:rPr>
                <w:sz w:val="20"/>
                <w:szCs w:val="20"/>
                <w:color w:val="auto"/>
              </w:rPr>
            </w:pPr>
          </w:p>
        </w:tc>
        <w:tc>
          <w:tcPr>
            <w:tcW w:w="9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820" w:type="dxa"/>
            <w:vAlign w:val="bottom"/>
            <w:shd w:val="clear" w:color="auto" w:fill="D1D2D4"/>
          </w:tcPr>
          <w:p>
            <w:pPr>
              <w:spacing w:after="0"/>
              <w:rPr>
                <w:sz w:val="20"/>
                <w:szCs w:val="20"/>
                <w:color w:val="auto"/>
              </w:rPr>
            </w:pPr>
          </w:p>
        </w:tc>
        <w:tc>
          <w:tcPr>
            <w:tcW w:w="44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340" w:type="dxa"/>
            <w:vAlign w:val="bottom"/>
            <w:shd w:val="clear" w:color="auto" w:fill="D1D2D4"/>
          </w:tcPr>
          <w:p>
            <w:pPr>
              <w:spacing w:after="0"/>
              <w:rPr>
                <w:sz w:val="20"/>
                <w:szCs w:val="20"/>
                <w:color w:val="auto"/>
              </w:rPr>
            </w:pPr>
          </w:p>
        </w:tc>
        <w:tc>
          <w:tcPr>
            <w:tcW w:w="1020" w:type="dxa"/>
            <w:vAlign w:val="bottom"/>
            <w:shd w:val="clear" w:color="auto" w:fill="D1D2D4"/>
          </w:tcPr>
          <w:p>
            <w:pPr>
              <w:spacing w:after="0"/>
              <w:rPr>
                <w:sz w:val="20"/>
                <w:szCs w:val="20"/>
                <w:color w:val="auto"/>
              </w:rPr>
            </w:pPr>
          </w:p>
        </w:tc>
      </w:tr>
      <w:tr>
        <w:trPr>
          <w:trHeight w:val="229"/>
        </w:trPr>
        <w:tc>
          <w:tcPr>
            <w:tcW w:w="5180" w:type="dxa"/>
            <w:vAlign w:val="bottom"/>
          </w:tcPr>
          <w:p>
            <w:pPr>
              <w:ind w:left="36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5"/>
              </w:rPr>
              <w:t>(211)</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308</w:t>
            </w:r>
          </w:p>
        </w:tc>
      </w:tr>
      <w:tr>
        <w:trPr>
          <w:trHeight w:val="230"/>
        </w:trPr>
        <w:tc>
          <w:tcPr>
            <w:tcW w:w="51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480" w:type="dxa"/>
            <w:vAlign w:val="bottom"/>
            <w:tcBorders>
              <w:bottom w:val="single" w:sz="8" w:color="auto"/>
            </w:tcBorders>
            <w:shd w:val="clear" w:color="auto" w:fill="D1D2D4"/>
          </w:tcPr>
          <w:p>
            <w:pPr>
              <w:spacing w:after="0"/>
              <w:rPr>
                <w:sz w:val="19"/>
                <w:szCs w:val="19"/>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9,459</w:t>
            </w:r>
          </w:p>
        </w:tc>
        <w:tc>
          <w:tcPr>
            <w:tcW w:w="180" w:type="dxa"/>
            <w:vAlign w:val="bottom"/>
            <w:tcBorders>
              <w:bottom w:val="single" w:sz="8" w:color="auto"/>
            </w:tcBorders>
            <w:shd w:val="clear" w:color="auto" w:fill="D1D2D4"/>
          </w:tcPr>
          <w:p>
            <w:pPr>
              <w:spacing w:after="0"/>
              <w:rPr>
                <w:sz w:val="19"/>
                <w:szCs w:val="19"/>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6,429</w:t>
            </w:r>
          </w:p>
        </w:tc>
        <w:tc>
          <w:tcPr>
            <w:tcW w:w="100" w:type="dxa"/>
            <w:vAlign w:val="bottom"/>
            <w:tcBorders>
              <w:bottom w:val="single" w:sz="8" w:color="auto"/>
            </w:tcBorders>
            <w:shd w:val="clear" w:color="auto" w:fill="D1D2D4"/>
          </w:tcPr>
          <w:p>
            <w:pPr>
              <w:spacing w:after="0"/>
              <w:rPr>
                <w:sz w:val="19"/>
                <w:szCs w:val="19"/>
                <w:color w:val="auto"/>
              </w:rPr>
            </w:pPr>
          </w:p>
        </w:tc>
        <w:tc>
          <w:tcPr>
            <w:tcW w:w="3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2,675</w:t>
            </w:r>
          </w:p>
        </w:tc>
      </w:tr>
      <w:tr>
        <w:trPr>
          <w:trHeight w:val="223"/>
        </w:trPr>
        <w:tc>
          <w:tcPr>
            <w:tcW w:w="5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6,218</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2,983</w:t>
            </w:r>
          </w:p>
        </w:tc>
      </w:tr>
      <w:tr>
        <w:trPr>
          <w:trHeight w:val="20"/>
        </w:trPr>
        <w:tc>
          <w:tcPr>
            <w:tcW w:w="5180" w:type="dxa"/>
            <w:vAlign w:val="bottom"/>
            <w:tcBorders>
              <w:bottom w:val="single" w:sz="8" w:color="D1D2D4"/>
            </w:tcBorders>
          </w:tcPr>
          <w:p>
            <w:pPr>
              <w:spacing w:after="0" w:line="20" w:lineRule="exact"/>
              <w:rPr>
                <w:sz w:val="1"/>
                <w:szCs w:val="1"/>
                <w:color w:val="auto"/>
              </w:rPr>
            </w:pPr>
          </w:p>
        </w:tc>
        <w:tc>
          <w:tcPr>
            <w:tcW w:w="300" w:type="dxa"/>
            <w:vAlign w:val="bottom"/>
            <w:tcBorders>
              <w:bottom w:val="single" w:sz="8" w:color="D1D2D4"/>
            </w:tcBorders>
          </w:tcPr>
          <w:p>
            <w:pPr>
              <w:spacing w:after="0" w:line="20" w:lineRule="exact"/>
              <w:rPr>
                <w:sz w:val="1"/>
                <w:szCs w:val="1"/>
                <w:color w:val="auto"/>
              </w:rPr>
            </w:pPr>
          </w:p>
        </w:tc>
        <w:tc>
          <w:tcPr>
            <w:tcW w:w="980" w:type="dxa"/>
            <w:vAlign w:val="bottom"/>
            <w:tcBorders>
              <w:bottom w:val="single" w:sz="8" w:color="D1D2D4"/>
            </w:tcBorders>
          </w:tcPr>
          <w:p>
            <w:pPr>
              <w:spacing w:after="0" w:line="20" w:lineRule="exact"/>
              <w:rPr>
                <w:sz w:val="1"/>
                <w:szCs w:val="1"/>
                <w:color w:val="auto"/>
              </w:rPr>
            </w:pPr>
          </w:p>
        </w:tc>
        <w:tc>
          <w:tcPr>
            <w:tcW w:w="440" w:type="dxa"/>
            <w:vAlign w:val="bottom"/>
            <w:tcBorders>
              <w:bottom w:val="single" w:sz="8" w:color="D1D2D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18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4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180" w:type="dxa"/>
            <w:vAlign w:val="bottom"/>
            <w:shd w:val="clear" w:color="auto" w:fill="D1D2D4"/>
          </w:tcPr>
          <w:p>
            <w:pPr>
              <w:ind w:left="180"/>
              <w:spacing w:after="0"/>
              <w:rPr>
                <w:sz w:val="20"/>
                <w:szCs w:val="20"/>
                <w:color w:val="auto"/>
              </w:rPr>
            </w:pPr>
            <w:r>
              <w:rPr>
                <w:rFonts w:ascii="Arial" w:cs="Arial" w:eastAsia="Arial" w:hAnsi="Arial"/>
                <w:sz w:val="18"/>
                <w:szCs w:val="18"/>
                <w:color w:val="auto"/>
              </w:rPr>
              <w:t>Current</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4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20" w:type="dxa"/>
            <w:vAlign w:val="bottom"/>
            <w:shd w:val="clear" w:color="auto" w:fill="D1D2D4"/>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51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State</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48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518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D1D2D4"/>
            </w:tcBorders>
          </w:tcPr>
          <w:p>
            <w:pPr>
              <w:spacing w:after="0"/>
              <w:rPr>
                <w:sz w:val="19"/>
                <w:szCs w:val="19"/>
                <w:color w:val="auto"/>
              </w:rPr>
            </w:pPr>
          </w:p>
        </w:tc>
        <w:tc>
          <w:tcPr>
            <w:tcW w:w="980" w:type="dxa"/>
            <w:vAlign w:val="bottom"/>
            <w:tcBorders>
              <w:bottom w:val="single" w:sz="8" w:color="D1D2D4"/>
            </w:tcBorders>
          </w:tcPr>
          <w:p>
            <w:pPr>
              <w:spacing w:after="0"/>
              <w:rPr>
                <w:sz w:val="19"/>
                <w:szCs w:val="19"/>
                <w:color w:val="auto"/>
              </w:rPr>
            </w:pPr>
          </w:p>
        </w:tc>
        <w:tc>
          <w:tcPr>
            <w:tcW w:w="440" w:type="dxa"/>
            <w:vAlign w:val="bottom"/>
            <w:tcBorders>
              <w:bottom w:val="single" w:sz="8" w:color="D1D2D4"/>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(370)</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r>
      <w:tr>
        <w:trPr>
          <w:trHeight w:val="223"/>
        </w:trPr>
        <w:tc>
          <w:tcPr>
            <w:tcW w:w="5180" w:type="dxa"/>
            <w:vAlign w:val="bottom"/>
            <w:shd w:val="clear" w:color="auto" w:fill="D1D2D4"/>
          </w:tcPr>
          <w:p>
            <w:pPr>
              <w:spacing w:after="0"/>
              <w:rPr>
                <w:sz w:val="19"/>
                <w:szCs w:val="19"/>
                <w:color w:val="auto"/>
              </w:rPr>
            </w:pP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480" w:type="dxa"/>
            <w:vAlign w:val="bottom"/>
            <w:tcBorders>
              <w:bottom w:val="single" w:sz="8" w:color="auto"/>
            </w:tcBorders>
            <w:shd w:val="clear" w:color="auto" w:fill="D1D2D4"/>
          </w:tcPr>
          <w:p>
            <w:pPr>
              <w:spacing w:after="0"/>
              <w:rPr>
                <w:sz w:val="19"/>
                <w:szCs w:val="19"/>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(594)</w:t>
            </w:r>
          </w:p>
        </w:tc>
        <w:tc>
          <w:tcPr>
            <w:tcW w:w="18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shd w:val="clear" w:color="auto" w:fill="D1D2D4"/>
          </w:tcPr>
          <w:p>
            <w:pPr>
              <w:spacing w:after="0"/>
              <w:rPr>
                <w:sz w:val="19"/>
                <w:szCs w:val="19"/>
                <w:color w:val="auto"/>
              </w:rPr>
            </w:pPr>
          </w:p>
        </w:tc>
        <w:tc>
          <w:tcPr>
            <w:tcW w:w="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5"/>
              </w:rPr>
              <w:t>(413)</w:t>
            </w:r>
          </w:p>
        </w:tc>
        <w:tc>
          <w:tcPr>
            <w:tcW w:w="100" w:type="dxa"/>
            <w:vAlign w:val="bottom"/>
            <w:tcBorders>
              <w:bottom w:val="single" w:sz="8" w:color="auto"/>
            </w:tcBorders>
            <w:shd w:val="clear" w:color="auto" w:fill="D1D2D4"/>
          </w:tcPr>
          <w:p>
            <w:pPr>
              <w:spacing w:after="0"/>
              <w:rPr>
                <w:sz w:val="19"/>
                <w:szCs w:val="19"/>
                <w:color w:val="auto"/>
              </w:rPr>
            </w:pPr>
          </w:p>
        </w:tc>
        <w:tc>
          <w:tcPr>
            <w:tcW w:w="3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(170)</w:t>
            </w:r>
          </w:p>
        </w:tc>
      </w:tr>
      <w:tr>
        <w:trPr>
          <w:trHeight w:val="209"/>
        </w:trPr>
        <w:tc>
          <w:tcPr>
            <w:tcW w:w="5180" w:type="dxa"/>
            <w:vAlign w:val="bottom"/>
          </w:tcPr>
          <w:p>
            <w:pPr>
              <w:ind w:left="180"/>
              <w:spacing w:after="0"/>
              <w:rPr>
                <w:sz w:val="20"/>
                <w:szCs w:val="20"/>
                <w:color w:val="auto"/>
              </w:rPr>
            </w:pPr>
            <w:r>
              <w:rPr>
                <w:rFonts w:ascii="Arial" w:cs="Arial" w:eastAsia="Arial" w:hAnsi="Arial"/>
                <w:sz w:val="18"/>
                <w:szCs w:val="18"/>
                <w:color w:val="auto"/>
              </w:rPr>
              <w:t>Deferred</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51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U.S. federal</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480" w:type="dxa"/>
            <w:vAlign w:val="bottom"/>
            <w:shd w:val="clear" w:color="auto" w:fill="D1D2D4"/>
          </w:tcPr>
          <w:p>
            <w:pPr>
              <w:spacing w:after="0"/>
              <w:rPr>
                <w:sz w:val="19"/>
                <w:szCs w:val="19"/>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(166)</w:t>
            </w: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spacing w:after="0"/>
              <w:rPr>
                <w:sz w:val="19"/>
                <w:szCs w:val="19"/>
                <w:color w:val="auto"/>
              </w:rPr>
            </w:pPr>
          </w:p>
        </w:tc>
        <w:tc>
          <w:tcPr>
            <w:tcW w:w="4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5180" w:type="dxa"/>
            <w:vAlign w:val="bottom"/>
          </w:tcPr>
          <w:p>
            <w:pPr>
              <w:ind w:left="36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5180" w:type="dxa"/>
            <w:vAlign w:val="bottom"/>
            <w:shd w:val="clear" w:color="auto" w:fill="D1D2D4"/>
          </w:tcPr>
          <w:p>
            <w:pPr>
              <w:ind w:left="36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spacing w:after="0"/>
              <w:rPr>
                <w:sz w:val="19"/>
                <w:szCs w:val="19"/>
                <w:color w:val="auto"/>
              </w:rPr>
            </w:pPr>
          </w:p>
        </w:tc>
        <w:tc>
          <w:tcPr>
            <w:tcW w:w="440" w:type="dxa"/>
            <w:vAlign w:val="bottom"/>
            <w:shd w:val="clear" w:color="auto" w:fill="D1D2D4"/>
          </w:tcPr>
          <w:p>
            <w:pPr>
              <w:spacing w:after="0"/>
              <w:rPr>
                <w:sz w:val="19"/>
                <w:szCs w:val="19"/>
                <w:color w:val="auto"/>
              </w:rPr>
            </w:pPr>
          </w:p>
        </w:tc>
        <w:tc>
          <w:tcPr>
            <w:tcW w:w="480" w:type="dxa"/>
            <w:vAlign w:val="bottom"/>
            <w:tcBorders>
              <w:bottom w:val="single" w:sz="8" w:color="auto"/>
            </w:tcBorders>
            <w:shd w:val="clear" w:color="auto" w:fill="D1D2D4"/>
          </w:tcPr>
          <w:p>
            <w:pPr>
              <w:spacing w:after="0"/>
              <w:rPr>
                <w:sz w:val="19"/>
                <w:szCs w:val="19"/>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w:t>
            </w:r>
          </w:p>
        </w:tc>
        <w:tc>
          <w:tcPr>
            <w:tcW w:w="18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shd w:val="clear" w:color="auto" w:fill="D1D2D4"/>
          </w:tcPr>
          <w:p>
            <w:pPr>
              <w:spacing w:after="0"/>
              <w:rPr>
                <w:sz w:val="19"/>
                <w:szCs w:val="19"/>
                <w:color w:val="auto"/>
              </w:rPr>
            </w:pPr>
          </w:p>
        </w:tc>
        <w:tc>
          <w:tcPr>
            <w:tcW w:w="4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D1D2D4"/>
          </w:tcPr>
          <w:p>
            <w:pPr>
              <w:spacing w:after="0"/>
              <w:rPr>
                <w:sz w:val="19"/>
                <w:szCs w:val="19"/>
                <w:color w:val="auto"/>
              </w:rPr>
            </w:pPr>
          </w:p>
        </w:tc>
        <w:tc>
          <w:tcPr>
            <w:tcW w:w="3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(172)</w:t>
            </w:r>
          </w:p>
        </w:tc>
      </w:tr>
      <w:tr>
        <w:trPr>
          <w:trHeight w:val="223"/>
        </w:trPr>
        <w:tc>
          <w:tcPr>
            <w:tcW w:w="5180" w:type="dxa"/>
            <w:vAlign w:val="bottom"/>
            <w:tcBorders>
              <w:bottom w:val="single" w:sz="8" w:color="D1D2D4"/>
            </w:tcBorders>
          </w:tcPr>
          <w:p>
            <w:pPr>
              <w:spacing w:after="0"/>
              <w:rPr>
                <w:sz w:val="19"/>
                <w:szCs w:val="19"/>
                <w:color w:val="auto"/>
              </w:rPr>
            </w:pPr>
          </w:p>
        </w:tc>
        <w:tc>
          <w:tcPr>
            <w:tcW w:w="300" w:type="dxa"/>
            <w:vAlign w:val="bottom"/>
            <w:tcBorders>
              <w:bottom w:val="single" w:sz="8" w:color="D1D2D4"/>
            </w:tcBorders>
          </w:tcPr>
          <w:p>
            <w:pPr>
              <w:spacing w:after="0"/>
              <w:rPr>
                <w:sz w:val="19"/>
                <w:szCs w:val="19"/>
                <w:color w:val="auto"/>
              </w:rPr>
            </w:pPr>
          </w:p>
        </w:tc>
        <w:tc>
          <w:tcPr>
            <w:tcW w:w="980" w:type="dxa"/>
            <w:vAlign w:val="bottom"/>
            <w:tcBorders>
              <w:bottom w:val="single" w:sz="8" w:color="D1D2D4"/>
            </w:tcBorders>
          </w:tcPr>
          <w:p>
            <w:pPr>
              <w:spacing w:after="0"/>
              <w:rPr>
                <w:sz w:val="19"/>
                <w:szCs w:val="19"/>
                <w:color w:val="auto"/>
              </w:rPr>
            </w:pPr>
          </w:p>
        </w:tc>
        <w:tc>
          <w:tcPr>
            <w:tcW w:w="440" w:type="dxa"/>
            <w:vAlign w:val="bottom"/>
            <w:tcBorders>
              <w:bottom w:val="single" w:sz="8" w:color="D1D2D4"/>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5180" w:type="dxa"/>
            <w:vAlign w:val="bottom"/>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980" w:type="dxa"/>
            <w:vAlign w:val="bottom"/>
            <w:shd w:val="clear" w:color="auto" w:fill="D1D2D4"/>
          </w:tcPr>
          <w:p>
            <w:pPr>
              <w:spacing w:after="0"/>
              <w:rPr>
                <w:sz w:val="20"/>
                <w:szCs w:val="20"/>
                <w:color w:val="auto"/>
              </w:rPr>
            </w:pPr>
          </w:p>
        </w:tc>
        <w:tc>
          <w:tcPr>
            <w:tcW w:w="440" w:type="dxa"/>
            <w:vAlign w:val="bottom"/>
            <w:shd w:val="clear" w:color="auto" w:fill="D1D2D4"/>
          </w:tcPr>
          <w:p>
            <w:pPr>
              <w:spacing w:after="0"/>
              <w:rPr>
                <w:sz w:val="20"/>
                <w:szCs w:val="20"/>
                <w:color w:val="auto"/>
              </w:rPr>
            </w:pPr>
          </w:p>
        </w:tc>
        <w:tc>
          <w:tcPr>
            <w:tcW w:w="480" w:type="dxa"/>
            <w:vAlign w:val="bottom"/>
            <w:shd w:val="clear" w:color="auto" w:fill="D1D2D4"/>
          </w:tcPr>
          <w:p>
            <w:pPr>
              <w:spacing w:after="0"/>
              <w:rPr>
                <w:sz w:val="20"/>
                <w:szCs w:val="20"/>
                <w:color w:val="auto"/>
              </w:rPr>
            </w:pPr>
          </w:p>
        </w:tc>
        <w:tc>
          <w:tcPr>
            <w:tcW w:w="96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820" w:type="dxa"/>
            <w:vAlign w:val="bottom"/>
            <w:shd w:val="clear" w:color="auto" w:fill="D1D2D4"/>
          </w:tcPr>
          <w:p>
            <w:pPr>
              <w:spacing w:after="0"/>
              <w:rPr>
                <w:sz w:val="20"/>
                <w:szCs w:val="20"/>
                <w:color w:val="auto"/>
              </w:rPr>
            </w:pPr>
          </w:p>
        </w:tc>
        <w:tc>
          <w:tcPr>
            <w:tcW w:w="440" w:type="dxa"/>
            <w:vAlign w:val="bottom"/>
            <w:shd w:val="clear" w:color="auto" w:fill="D1D2D4"/>
          </w:tcPr>
          <w:p>
            <w:pPr>
              <w:spacing w:after="0"/>
              <w:rPr>
                <w:sz w:val="20"/>
                <w:szCs w:val="20"/>
                <w:color w:val="auto"/>
              </w:rPr>
            </w:pPr>
          </w:p>
        </w:tc>
        <w:tc>
          <w:tcPr>
            <w:tcW w:w="100" w:type="dxa"/>
            <w:vAlign w:val="bottom"/>
            <w:shd w:val="clear" w:color="auto" w:fill="D1D2D4"/>
          </w:tcPr>
          <w:p>
            <w:pPr>
              <w:spacing w:after="0"/>
              <w:rPr>
                <w:sz w:val="20"/>
                <w:szCs w:val="20"/>
                <w:color w:val="auto"/>
              </w:rPr>
            </w:pPr>
          </w:p>
        </w:tc>
        <w:tc>
          <w:tcPr>
            <w:tcW w:w="340" w:type="dxa"/>
            <w:vAlign w:val="bottom"/>
            <w:shd w:val="clear" w:color="auto" w:fill="D1D2D4"/>
          </w:tcPr>
          <w:p>
            <w:pPr>
              <w:spacing w:after="0"/>
              <w:rPr>
                <w:sz w:val="20"/>
                <w:szCs w:val="20"/>
                <w:color w:val="auto"/>
              </w:rPr>
            </w:pPr>
          </w:p>
        </w:tc>
        <w:tc>
          <w:tcPr>
            <w:tcW w:w="1020" w:type="dxa"/>
            <w:vAlign w:val="bottom"/>
            <w:shd w:val="clear" w:color="auto" w:fill="D1D2D4"/>
          </w:tcPr>
          <w:p>
            <w:pPr>
              <w:spacing w:after="0"/>
              <w:rPr>
                <w:sz w:val="20"/>
                <w:szCs w:val="20"/>
                <w:color w:val="auto"/>
              </w:rPr>
            </w:pPr>
          </w:p>
        </w:tc>
      </w:tr>
      <w:tr>
        <w:trPr>
          <w:trHeight w:val="229"/>
        </w:trPr>
        <w:tc>
          <w:tcPr>
            <w:tcW w:w="5180" w:type="dxa"/>
            <w:vAlign w:val="bottom"/>
          </w:tcPr>
          <w:p>
            <w:pPr>
              <w:ind w:left="5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(394)</w:t>
            </w: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r>
      <w:tr>
        <w:trPr>
          <w:trHeight w:val="20"/>
        </w:trPr>
        <w:tc>
          <w:tcPr>
            <w:tcW w:w="6900" w:type="dxa"/>
            <w:vAlign w:val="bottom"/>
            <w:gridSpan w:val="4"/>
          </w:tcPr>
          <w:p>
            <w:pPr>
              <w:spacing w:after="0" w:line="20" w:lineRule="exact"/>
              <w:rPr>
                <w:sz w:val="1"/>
                <w:szCs w:val="1"/>
                <w:color w:val="auto"/>
              </w:rPr>
            </w:pPr>
          </w:p>
        </w:tc>
        <w:tc>
          <w:tcPr>
            <w:tcW w:w="2440" w:type="dxa"/>
            <w:vAlign w:val="bottom"/>
            <w:tcBorders>
              <w:bottom w:val="single" w:sz="8" w:color="auto"/>
            </w:tcBorders>
            <w:gridSpan w:val="4"/>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51"/>
        </w:trPr>
        <w:tc>
          <w:tcPr>
            <w:tcW w:w="9340" w:type="dxa"/>
            <w:vAlign w:val="bottom"/>
            <w:gridSpan w:val="8"/>
          </w:tcPr>
          <w:p>
            <w:pPr>
              <w:spacing w:after="0"/>
              <w:rPr>
                <w:sz w:val="20"/>
                <w:szCs w:val="20"/>
                <w:color w:val="auto"/>
              </w:rPr>
            </w:pPr>
            <w:r>
              <w:rPr>
                <w:rFonts w:ascii="Arial" w:cs="Arial" w:eastAsia="Arial" w:hAnsi="Arial"/>
                <w:sz w:val="18"/>
                <w:szCs w:val="18"/>
                <w:color w:val="auto"/>
              </w:rPr>
              <w:t>The table below reconciles our tax (provision) benefit based on the U.S. federal statutory rate to our effective rate: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53"/>
        </w:trPr>
        <w:tc>
          <w:tcPr>
            <w:tcW w:w="51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00" w:type="dxa"/>
            <w:vAlign w:val="bottom"/>
            <w:tcBorders>
              <w:bottom w:val="single" w:sz="8" w:color="0090DA"/>
            </w:tcBorders>
          </w:tcPr>
          <w:p>
            <w:pPr>
              <w:spacing w:after="0"/>
              <w:rPr>
                <w:sz w:val="21"/>
                <w:szCs w:val="21"/>
                <w:color w:val="auto"/>
              </w:rPr>
            </w:pPr>
          </w:p>
        </w:tc>
        <w:tc>
          <w:tcPr>
            <w:tcW w:w="980" w:type="dxa"/>
            <w:vAlign w:val="bottom"/>
            <w:tcBorders>
              <w:bottom w:val="single" w:sz="8" w:color="0090DA"/>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0090DA"/>
            </w:tcBorders>
          </w:tcPr>
          <w:p>
            <w:pPr>
              <w:spacing w:after="0"/>
              <w:rPr>
                <w:sz w:val="21"/>
                <w:szCs w:val="21"/>
                <w:color w:val="auto"/>
              </w:rPr>
            </w:pPr>
          </w:p>
        </w:tc>
        <w:tc>
          <w:tcPr>
            <w:tcW w:w="48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gridSpan w:val="2"/>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820" w:type="dxa"/>
            <w:vAlign w:val="bottom"/>
            <w:tcBorders>
              <w:bottom w:val="single" w:sz="8" w:color="0090DA"/>
            </w:tcBorders>
          </w:tcPr>
          <w:p>
            <w:pPr>
              <w:spacing w:after="0"/>
              <w:rPr>
                <w:sz w:val="21"/>
                <w:szCs w:val="21"/>
                <w:color w:val="auto"/>
              </w:rPr>
            </w:pPr>
          </w:p>
        </w:tc>
        <w:tc>
          <w:tcPr>
            <w:tcW w:w="440" w:type="dxa"/>
            <w:vAlign w:val="bottom"/>
            <w:tcBorders>
              <w:bottom w:val="single" w:sz="8" w:color="0090DA"/>
            </w:tcBorders>
          </w:tcPr>
          <w:p>
            <w:pPr>
              <w:spacing w:after="0"/>
              <w:rPr>
                <w:sz w:val="21"/>
                <w:szCs w:val="21"/>
                <w:color w:val="auto"/>
              </w:rPr>
            </w:pPr>
          </w:p>
        </w:tc>
        <w:tc>
          <w:tcPr>
            <w:tcW w:w="1460" w:type="dxa"/>
            <w:vAlign w:val="bottom"/>
            <w:tcBorders>
              <w:bottom w:val="single" w:sz="8" w:color="0090DA"/>
            </w:tcBorders>
            <w:gridSpan w:val="3"/>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34"/>
        </w:trPr>
        <w:tc>
          <w:tcPr>
            <w:tcW w:w="5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0"/>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U.S. federal income tax (provision) benefit at statutory rate</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(2,010)</w:t>
            </w:r>
          </w:p>
        </w:tc>
        <w:tc>
          <w:tcPr>
            <w:tcW w:w="920" w:type="dxa"/>
            <w:vAlign w:val="bottom"/>
            <w:gridSpan w:val="2"/>
            <w:shd w:val="clear" w:color="auto" w:fill="D1D2D4"/>
          </w:tcPr>
          <w:p>
            <w:pPr>
              <w:jc w:val="right"/>
              <w:spacing w:after="0"/>
              <w:rPr>
                <w:sz w:val="20"/>
                <w:szCs w:val="20"/>
                <w:color w:val="auto"/>
              </w:rPr>
            </w:pPr>
            <w:r>
              <w:rPr>
                <w:rFonts w:ascii="Arial" w:cs="Arial" w:eastAsia="Arial" w:hAnsi="Arial"/>
                <w:sz w:val="18"/>
                <w:szCs w:val="18"/>
                <w:color w:val="auto"/>
              </w:rPr>
              <w:t>21.0 % $</w:t>
            </w:r>
          </w:p>
        </w:tc>
        <w:tc>
          <w:tcPr>
            <w:tcW w:w="9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(1,306)</w:t>
            </w: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21.0 % $</w:t>
            </w:r>
          </w:p>
        </w:tc>
        <w:tc>
          <w:tcPr>
            <w:tcW w:w="880" w:type="dxa"/>
            <w:vAlign w:val="bottom"/>
            <w:gridSpan w:val="3"/>
            <w:shd w:val="clear" w:color="auto" w:fill="D1D2D4"/>
          </w:tcPr>
          <w:p>
            <w:pPr>
              <w:jc w:val="right"/>
              <w:spacing w:after="0"/>
              <w:rPr>
                <w:sz w:val="20"/>
                <w:szCs w:val="20"/>
                <w:color w:val="auto"/>
              </w:rPr>
            </w:pPr>
            <w:r>
              <w:rPr>
                <w:rFonts w:ascii="Arial" w:cs="Arial" w:eastAsia="Arial" w:hAnsi="Arial"/>
                <w:sz w:val="18"/>
                <w:szCs w:val="18"/>
                <w:color w:val="auto"/>
              </w:rPr>
              <w:t>(626)</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21.0 %</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U.S. tax on foreign operations</w:t>
            </w:r>
          </w:p>
        </w:tc>
        <w:tc>
          <w:tcPr>
            <w:tcW w:w="30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(322)</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3.4 %</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3.6 %</w:t>
            </w:r>
          </w:p>
        </w:tc>
        <w:tc>
          <w:tcPr>
            <w:tcW w:w="4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(14)</w:t>
            </w:r>
          </w:p>
        </w:tc>
        <w:tc>
          <w:tcPr>
            <w:tcW w:w="1020" w:type="dxa"/>
            <w:vAlign w:val="bottom"/>
          </w:tcPr>
          <w:p>
            <w:pPr>
              <w:jc w:val="right"/>
              <w:spacing w:after="0"/>
              <w:rPr>
                <w:sz w:val="20"/>
                <w:szCs w:val="20"/>
                <w:color w:val="auto"/>
              </w:rPr>
            </w:pPr>
            <w:r>
              <w:rPr>
                <w:rFonts w:ascii="Arial" w:cs="Arial" w:eastAsia="Arial" w:hAnsi="Arial"/>
                <w:sz w:val="18"/>
                <w:szCs w:val="18"/>
                <w:color w:val="auto"/>
              </w:rPr>
              <w:t>0.5 %</w:t>
            </w:r>
          </w:p>
        </w:tc>
      </w:tr>
      <w:tr>
        <w:trPr>
          <w:trHeight w:val="230"/>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Change in valuation allowance</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270"/>
              <w:spacing w:after="0"/>
              <w:rPr>
                <w:sz w:val="20"/>
                <w:szCs w:val="20"/>
                <w:color w:val="auto"/>
              </w:rPr>
            </w:pPr>
            <w:r>
              <w:rPr>
                <w:rFonts w:ascii="Arial" w:cs="Arial" w:eastAsia="Arial" w:hAnsi="Arial"/>
                <w:sz w:val="18"/>
                <w:szCs w:val="18"/>
                <w:color w:val="auto"/>
              </w:rPr>
              <w:t>(241)</w:t>
            </w:r>
          </w:p>
        </w:tc>
        <w:tc>
          <w:tcPr>
            <w:tcW w:w="92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2.5 %</w:t>
            </w:r>
          </w:p>
        </w:tc>
        <w:tc>
          <w:tcPr>
            <w:tcW w:w="96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54</w:t>
            </w: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(0.9)%</w:t>
            </w:r>
          </w:p>
        </w:tc>
        <w:tc>
          <w:tcPr>
            <w:tcW w:w="440" w:type="dxa"/>
            <w:vAlign w:val="bottom"/>
            <w:shd w:val="clear" w:color="auto" w:fill="D1D2D4"/>
          </w:tcPr>
          <w:p>
            <w:pPr>
              <w:spacing w:after="0"/>
              <w:rPr>
                <w:sz w:val="19"/>
                <w:szCs w:val="19"/>
                <w:color w:val="auto"/>
              </w:rPr>
            </w:pPr>
          </w:p>
        </w:tc>
        <w:tc>
          <w:tcPr>
            <w:tcW w:w="440" w:type="dxa"/>
            <w:vAlign w:val="bottom"/>
            <w:gridSpan w:val="2"/>
            <w:shd w:val="clear" w:color="auto" w:fill="D1D2D4"/>
          </w:tcPr>
          <w:p>
            <w:pPr>
              <w:ind w:left="40"/>
              <w:spacing w:after="0"/>
              <w:rPr>
                <w:sz w:val="20"/>
                <w:szCs w:val="20"/>
                <w:color w:val="auto"/>
              </w:rPr>
            </w:pPr>
            <w:r>
              <w:rPr>
                <w:rFonts w:ascii="Arial" w:cs="Arial" w:eastAsia="Arial" w:hAnsi="Arial"/>
                <w:sz w:val="18"/>
                <w:szCs w:val="18"/>
                <w:color w:val="auto"/>
              </w:rPr>
              <w:t>(20)</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Change in unrecognized tax benefits</w:t>
            </w:r>
          </w:p>
        </w:tc>
        <w:tc>
          <w:tcPr>
            <w:tcW w:w="30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(67)</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0.7 %</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(238)</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3.8 %</w:t>
            </w:r>
          </w:p>
        </w:tc>
        <w:tc>
          <w:tcPr>
            <w:tcW w:w="440" w:type="dxa"/>
            <w:vAlign w:val="bottom"/>
          </w:tcPr>
          <w:p>
            <w:pPr>
              <w:spacing w:after="0"/>
              <w:rPr>
                <w:sz w:val="19"/>
                <w:szCs w:val="19"/>
                <w:color w:val="auto"/>
              </w:rPr>
            </w:pPr>
          </w:p>
        </w:tc>
        <w:tc>
          <w:tcPr>
            <w:tcW w:w="440" w:type="dxa"/>
            <w:vAlign w:val="bottom"/>
            <w:gridSpan w:val="2"/>
          </w:tcPr>
          <w:p>
            <w:pPr>
              <w:ind w:left="40"/>
              <w:spacing w:after="0"/>
              <w:rPr>
                <w:sz w:val="20"/>
                <w:szCs w:val="20"/>
                <w:color w:val="auto"/>
              </w:rPr>
            </w:pPr>
            <w:r>
              <w:rPr>
                <w:rFonts w:ascii="Arial" w:cs="Arial" w:eastAsia="Arial" w:hAnsi="Arial"/>
                <w:sz w:val="18"/>
                <w:szCs w:val="18"/>
                <w:color w:val="auto"/>
              </w:rPr>
              <w:t>(33)</w:t>
            </w:r>
          </w:p>
        </w:tc>
        <w:tc>
          <w:tcPr>
            <w:tcW w:w="102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30"/>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Foreign tax rate differential</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1,601</w:t>
            </w:r>
          </w:p>
        </w:tc>
        <w:tc>
          <w:tcPr>
            <w:tcW w:w="92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(16.7)%</w:t>
            </w:r>
          </w:p>
        </w:tc>
        <w:tc>
          <w:tcPr>
            <w:tcW w:w="96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951</w:t>
            </w: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(15.3)%</w:t>
            </w:r>
          </w:p>
        </w:tc>
        <w:tc>
          <w:tcPr>
            <w:tcW w:w="440" w:type="dxa"/>
            <w:vAlign w:val="bottom"/>
            <w:shd w:val="clear" w:color="auto" w:fill="D1D2D4"/>
          </w:tcPr>
          <w:p>
            <w:pPr>
              <w:spacing w:after="0"/>
              <w:rPr>
                <w:sz w:val="19"/>
                <w:szCs w:val="19"/>
                <w:color w:val="auto"/>
              </w:rPr>
            </w:pPr>
          </w:p>
        </w:tc>
        <w:tc>
          <w:tcPr>
            <w:tcW w:w="44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w w:val="93"/>
              </w:rPr>
              <w:t>253</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Research and development tax credits</w:t>
            </w:r>
          </w:p>
        </w:tc>
        <w:tc>
          <w:tcPr>
            <w:tcW w:w="30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66</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(0.7)%</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440" w:type="dxa"/>
            <w:vAlign w:val="bottom"/>
          </w:tcPr>
          <w:p>
            <w:pPr>
              <w:spacing w:after="0"/>
              <w:rPr>
                <w:sz w:val="19"/>
                <w:szCs w:val="19"/>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62</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Foreign derived intangible income deduction</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41</w:t>
            </w:r>
          </w:p>
        </w:tc>
        <w:tc>
          <w:tcPr>
            <w:tcW w:w="92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(0.4)%</w:t>
            </w:r>
          </w:p>
        </w:tc>
        <w:tc>
          <w:tcPr>
            <w:tcW w:w="96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(0.3)%</w:t>
            </w:r>
          </w:p>
        </w:tc>
        <w:tc>
          <w:tcPr>
            <w:tcW w:w="440" w:type="dxa"/>
            <w:vAlign w:val="bottom"/>
            <w:shd w:val="clear" w:color="auto" w:fill="D1D2D4"/>
          </w:tcPr>
          <w:p>
            <w:pPr>
              <w:spacing w:after="0"/>
              <w:rPr>
                <w:sz w:val="19"/>
                <w:szCs w:val="19"/>
                <w:color w:val="auto"/>
              </w:rPr>
            </w:pPr>
          </w:p>
        </w:tc>
        <w:tc>
          <w:tcPr>
            <w:tcW w:w="440" w:type="dxa"/>
            <w:vAlign w:val="bottom"/>
            <w:gridSpan w:val="2"/>
            <w:shd w:val="clear" w:color="auto" w:fill="D1D2D4"/>
          </w:tcPr>
          <w:p>
            <w:pPr>
              <w:jc w:val="right"/>
              <w:ind w:right="50"/>
              <w:spacing w:after="0"/>
              <w:rPr>
                <w:sz w:val="20"/>
                <w:szCs w:val="20"/>
                <w:color w:val="auto"/>
              </w:rPr>
            </w:pPr>
            <w:r>
              <w:rPr>
                <w:rFonts w:ascii="Arial" w:cs="Arial" w:eastAsia="Arial" w:hAnsi="Arial"/>
                <w:sz w:val="18"/>
                <w:szCs w:val="18"/>
                <w:color w:val="auto"/>
              </w:rPr>
              <w:t>67</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State taxes, net of federal benefit</w:t>
            </w:r>
          </w:p>
        </w:tc>
        <w:tc>
          <w:tcPr>
            <w:tcW w:w="300" w:type="dxa"/>
            <w:vAlign w:val="bottom"/>
          </w:tcPr>
          <w:p>
            <w:pPr>
              <w:spacing w:after="0"/>
              <w:rPr>
                <w:sz w:val="19"/>
                <w:szCs w:val="19"/>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10"/>
              <w:spacing w:after="0"/>
              <w:rPr>
                <w:sz w:val="20"/>
                <w:szCs w:val="20"/>
                <w:color w:val="auto"/>
              </w:rPr>
            </w:pPr>
            <w:r>
              <w:rPr>
                <w:rFonts w:ascii="Arial" w:cs="Arial" w:eastAsia="Arial" w:hAnsi="Arial"/>
                <w:sz w:val="18"/>
                <w:szCs w:val="18"/>
                <w:color w:val="auto"/>
              </w:rPr>
              <w:t>— %</w:t>
            </w:r>
          </w:p>
        </w:tc>
        <w:tc>
          <w:tcPr>
            <w:tcW w:w="96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(0.9)%</w:t>
            </w:r>
          </w:p>
        </w:tc>
        <w:tc>
          <w:tcPr>
            <w:tcW w:w="440" w:type="dxa"/>
            <w:vAlign w:val="bottom"/>
          </w:tcPr>
          <w:p>
            <w:pPr>
              <w:spacing w:after="0"/>
              <w:rPr>
                <w:sz w:val="19"/>
                <w:szCs w:val="19"/>
                <w:color w:val="auto"/>
              </w:rPr>
            </w:pPr>
          </w:p>
        </w:tc>
        <w:tc>
          <w:tcPr>
            <w:tcW w:w="440" w:type="dxa"/>
            <w:vAlign w:val="bottom"/>
            <w:gridSpan w:val="2"/>
          </w:tcPr>
          <w:p>
            <w:pPr>
              <w:jc w:val="right"/>
              <w:ind w:right="50"/>
              <w:spacing w:after="0"/>
              <w:rPr>
                <w:sz w:val="20"/>
                <w:szCs w:val="20"/>
                <w:color w:val="auto"/>
              </w:rPr>
            </w:pPr>
            <w:r>
              <w:rPr>
                <w:rFonts w:ascii="Arial" w:cs="Arial" w:eastAsia="Arial" w:hAnsi="Arial"/>
                <w:sz w:val="18"/>
                <w:szCs w:val="18"/>
                <w:color w:val="auto"/>
              </w:rPr>
              <w:t>23</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51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Debt premium deductions</w:t>
            </w:r>
          </w:p>
        </w:tc>
        <w:tc>
          <w:tcPr>
            <w:tcW w:w="300" w:type="dxa"/>
            <w:vAlign w:val="bottom"/>
            <w:shd w:val="clear" w:color="auto" w:fill="D1D2D4"/>
          </w:tcPr>
          <w:p>
            <w:pPr>
              <w:spacing w:after="0"/>
              <w:rPr>
                <w:sz w:val="19"/>
                <w:szCs w:val="19"/>
                <w:color w:val="auto"/>
              </w:rPr>
            </w:pPr>
          </w:p>
        </w:tc>
        <w:tc>
          <w:tcPr>
            <w:tcW w:w="980" w:type="dxa"/>
            <w:vAlign w:val="bottom"/>
            <w:shd w:val="clear" w:color="auto" w:fill="D1D2D4"/>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960" w:type="dxa"/>
            <w:vAlign w:val="bottom"/>
            <w:shd w:val="clear" w:color="auto" w:fill="D1D2D4"/>
          </w:tcPr>
          <w:p>
            <w:pPr>
              <w:jc w:val="right"/>
              <w:ind w:right="170"/>
              <w:spacing w:after="0"/>
              <w:rPr>
                <w:sz w:val="20"/>
                <w:szCs w:val="20"/>
                <w:color w:val="auto"/>
              </w:rPr>
            </w:pPr>
            <w:r>
              <w:rPr>
                <w:rFonts w:ascii="Arial" w:cs="Arial" w:eastAsia="Arial" w:hAnsi="Arial"/>
                <w:sz w:val="18"/>
                <w:szCs w:val="18"/>
                <w:color w:val="auto"/>
              </w:rPr>
              <w:t>130</w:t>
            </w:r>
          </w:p>
        </w:tc>
        <w:tc>
          <w:tcPr>
            <w:tcW w:w="180" w:type="dxa"/>
            <w:vAlign w:val="bottom"/>
            <w:shd w:val="clear" w:color="auto" w:fill="D1D2D4"/>
          </w:tcPr>
          <w:p>
            <w:pPr>
              <w:spacing w:after="0"/>
              <w:rPr>
                <w:sz w:val="19"/>
                <w:szCs w:val="19"/>
                <w:color w:val="auto"/>
              </w:rPr>
            </w:pPr>
          </w:p>
        </w:tc>
        <w:tc>
          <w:tcPr>
            <w:tcW w:w="8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(2.1)%</w:t>
            </w:r>
          </w:p>
        </w:tc>
        <w:tc>
          <w:tcPr>
            <w:tcW w:w="440" w:type="dxa"/>
            <w:vAlign w:val="bottom"/>
            <w:shd w:val="clear" w:color="auto" w:fill="D1D2D4"/>
          </w:tcPr>
          <w:p>
            <w:pPr>
              <w:spacing w:after="0"/>
              <w:rPr>
                <w:sz w:val="19"/>
                <w:szCs w:val="19"/>
                <w:color w:val="auto"/>
              </w:rPr>
            </w:pPr>
          </w:p>
        </w:tc>
        <w:tc>
          <w:tcPr>
            <w:tcW w:w="100" w:type="dxa"/>
            <w:vAlign w:val="bottom"/>
            <w:shd w:val="clear" w:color="auto" w:fill="D1D2D4"/>
          </w:tcPr>
          <w:p>
            <w:pPr>
              <w:spacing w:after="0"/>
              <w:rPr>
                <w:sz w:val="19"/>
                <w:szCs w:val="19"/>
                <w:color w:val="auto"/>
              </w:rPr>
            </w:pPr>
          </w:p>
        </w:tc>
        <w:tc>
          <w:tcPr>
            <w:tcW w:w="340" w:type="dxa"/>
            <w:vAlign w:val="bottom"/>
            <w:shd w:val="clear" w:color="auto" w:fill="D1D2D4"/>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18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44</w:t>
            </w:r>
          </w:p>
        </w:tc>
        <w:tc>
          <w:tcPr>
            <w:tcW w:w="9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(0.5)%</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w:t>
            </w: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48"/>
        </w:trPr>
        <w:tc>
          <w:tcPr>
            <w:tcW w:w="518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Income tax (provision) benefit</w:t>
            </w:r>
          </w:p>
        </w:tc>
        <w:tc>
          <w:tcPr>
            <w:tcW w:w="300" w:type="dxa"/>
            <w:vAlign w:val="bottom"/>
            <w:tcBorders>
              <w:bottom w:val="single" w:sz="8" w:color="auto"/>
            </w:tcBorders>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1D2D4"/>
          </w:tcPr>
          <w:p>
            <w:pPr>
              <w:jc w:val="right"/>
              <w:ind w:right="270"/>
              <w:spacing w:after="0"/>
              <w:rPr>
                <w:sz w:val="20"/>
                <w:szCs w:val="20"/>
                <w:color w:val="auto"/>
              </w:rPr>
            </w:pPr>
            <w:r>
              <w:rPr>
                <w:rFonts w:ascii="Arial" w:cs="Arial" w:eastAsia="Arial" w:hAnsi="Arial"/>
                <w:sz w:val="18"/>
                <w:szCs w:val="18"/>
                <w:color w:val="auto"/>
              </w:rPr>
              <w:t>(888)</w:t>
            </w:r>
          </w:p>
        </w:tc>
        <w:tc>
          <w:tcPr>
            <w:tcW w:w="92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8"/>
                <w:szCs w:val="18"/>
                <w:color w:val="auto"/>
              </w:rPr>
              <w:t>9.3 % $</w:t>
            </w:r>
          </w:p>
        </w:tc>
        <w:tc>
          <w:tcPr>
            <w:tcW w:w="9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(394)</w:t>
            </w:r>
          </w:p>
        </w:tc>
        <w:tc>
          <w:tcPr>
            <w:tcW w:w="180" w:type="dxa"/>
            <w:vAlign w:val="bottom"/>
            <w:tcBorders>
              <w:bottom w:val="single" w:sz="8" w:color="auto"/>
            </w:tcBorders>
            <w:shd w:val="clear" w:color="auto" w:fill="D1D2D4"/>
          </w:tcPr>
          <w:p>
            <w:pPr>
              <w:spacing w:after="0"/>
              <w:rPr>
                <w:sz w:val="21"/>
                <w:szCs w:val="21"/>
                <w:color w:val="auto"/>
              </w:rPr>
            </w:pP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6.3 % $</w:t>
            </w:r>
          </w:p>
        </w:tc>
        <w:tc>
          <w:tcPr>
            <w:tcW w:w="880" w:type="dxa"/>
            <w:vAlign w:val="bottom"/>
            <w:tcBorders>
              <w:bottom w:val="single" w:sz="8" w:color="auto"/>
            </w:tcBorders>
            <w:gridSpan w:val="3"/>
            <w:shd w:val="clear" w:color="auto" w:fill="D1D2D4"/>
          </w:tcPr>
          <w:p>
            <w:pPr>
              <w:jc w:val="right"/>
              <w:spacing w:after="0"/>
              <w:rPr>
                <w:sz w:val="20"/>
                <w:szCs w:val="20"/>
                <w:color w:val="auto"/>
              </w:rPr>
            </w:pPr>
            <w:r>
              <w:rPr>
                <w:rFonts w:ascii="Arial" w:cs="Arial" w:eastAsia="Arial" w:hAnsi="Arial"/>
                <w:sz w:val="18"/>
                <w:szCs w:val="18"/>
                <w:color w:val="auto"/>
              </w:rPr>
              <w:t>(280)</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9.4 %</w:t>
            </w:r>
          </w:p>
        </w:tc>
      </w:tr>
      <w:tr>
        <w:trPr>
          <w:trHeight w:val="20"/>
        </w:trPr>
        <w:tc>
          <w:tcPr>
            <w:tcW w:w="5180" w:type="dxa"/>
            <w:vAlign w:val="bottom"/>
            <w:tcBorders>
              <w:top w:val="single" w:sz="8" w:color="D1D2D4"/>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980" w:type="dxa"/>
            <w:vAlign w:val="bottom"/>
            <w:tcBorders>
              <w:top w:val="single" w:sz="8" w:color="D1D2D4"/>
              <w:bottom w:val="single" w:sz="8" w:color="auto"/>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480" w:type="dxa"/>
            <w:vAlign w:val="bottom"/>
            <w:tcBorders>
              <w:top w:val="single" w:sz="8" w:color="D1D2D4"/>
              <w:bottom w:val="single" w:sz="8" w:color="auto"/>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820" w:type="dxa"/>
            <w:vAlign w:val="bottom"/>
            <w:tcBorders>
              <w:top w:val="single" w:sz="8" w:color="D1D2D4"/>
              <w:bottom w:val="single" w:sz="8" w:color="auto"/>
            </w:tcBorders>
          </w:tcPr>
          <w:p>
            <w:pPr>
              <w:spacing w:after="0" w:line="20" w:lineRule="exact"/>
              <w:rPr>
                <w:sz w:val="1"/>
                <w:szCs w:val="1"/>
                <w:color w:val="auto"/>
              </w:rPr>
            </w:pPr>
          </w:p>
        </w:tc>
        <w:tc>
          <w:tcPr>
            <w:tcW w:w="440" w:type="dxa"/>
            <w:vAlign w:val="bottom"/>
            <w:tcBorders>
              <w:top w:val="single" w:sz="8" w:color="D1D2D4"/>
              <w:bottom w:val="single" w:sz="8" w:color="auto"/>
            </w:tcBorders>
          </w:tcPr>
          <w:p>
            <w:pPr>
              <w:spacing w:after="0" w:line="20" w:lineRule="exact"/>
              <w:rPr>
                <w:sz w:val="1"/>
                <w:szCs w:val="1"/>
                <w:color w:val="auto"/>
              </w:rPr>
            </w:pPr>
          </w:p>
        </w:tc>
        <w:tc>
          <w:tcPr>
            <w:tcW w:w="10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operate in a number of jurisdictions outside the United States, including Singapore, where we have tax incentive arrangements. These incentives expire, in whole or in part, at various dates through 2034 and are conditional, in part, upon meeting certain business operations and employment thresholds. The effect of tax incentive arrangements reduced our tax provision by $1.12 billion (benefiting our diluted earnings per share by $1.00) for 2022, by $758 million ($0.66 per diluted share) for 2021, and by $215 million ($0.19 per diluted share) for 2020.</w:t>
      </w:r>
    </w:p>
    <w:p>
      <w:pPr>
        <w:spacing w:after="0" w:line="206"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As of September 1, 2022, certain non-U.S. subsidiaries had cumulative undistributed earnings of $4.38 billion that were deemed to be indefinitely reinvested. A provision has not been recognized to the extent that distributions from such subsidiaries are subject to additional foreign withholding or state income tax. Determination of the amount of unrecognized deferred tax liabilities related to investments in these foreign subsidiaries is not practicable.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1" w:name="page82"/>
    <w:bookmarkEnd w:id="81"/>
    <w:p>
      <w:pPr>
        <w:ind w:left="9880"/>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273" w:lineRule="auto"/>
        <w:rPr>
          <w:sz w:val="20"/>
          <w:szCs w:val="20"/>
          <w:color w:val="auto"/>
        </w:rPr>
      </w:pPr>
      <w:r>
        <w:rPr>
          <w:rFonts w:ascii="Arial" w:cs="Arial" w:eastAsia="Arial" w:hAnsi="Arial"/>
          <w:sz w:val="18"/>
          <w:szCs w:val="18"/>
          <w:color w:val="auto"/>
        </w:rPr>
        <w:t>Deferred income taxes reflect the net tax effects of temporary differences between the bases of assets and liabilities for financial reporting and income tax purposes as well as carryforwards. Deferred tax assets and liabilities consist of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Net operating loss and tax credit carryforwards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796</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783</w:t>
            </w: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Accrued salaries, wages, and benefits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206</w:t>
            </w:r>
          </w:p>
        </w:tc>
      </w:tr>
      <w:tr>
        <w:trPr>
          <w:trHeight w:val="229"/>
        </w:trPr>
        <w:tc>
          <w:tcPr>
            <w:tcW w:w="836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142</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8360" w:type="dxa"/>
            <w:vAlign w:val="bottom"/>
          </w:tcPr>
          <w:p>
            <w:pPr>
              <w:ind w:left="360"/>
              <w:spacing w:after="0"/>
              <w:rPr>
                <w:sz w:val="20"/>
                <w:szCs w:val="20"/>
                <w:color w:val="auto"/>
              </w:rPr>
            </w:pPr>
            <w:r>
              <w:rPr>
                <w:rFonts w:ascii="Arial" w:cs="Arial" w:eastAsia="Arial" w:hAnsi="Arial"/>
                <w:sz w:val="18"/>
                <w:szCs w:val="18"/>
                <w:color w:val="auto"/>
              </w:rPr>
              <w:t>Gross deferred tax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1,354</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Less valuation allowance</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(233)</w:t>
            </w: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Deferred tax assets, net of valuation allowance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r>
      <w:tr>
        <w:trPr>
          <w:trHeight w:val="236"/>
        </w:trPr>
        <w:tc>
          <w:tcPr>
            <w:tcW w:w="836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Right-of-use assets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Product and process technology</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8360" w:type="dxa"/>
            <w:vAlign w:val="bottom"/>
            <w:tcBorders>
              <w:bottom w:val="single" w:sz="8" w:color="D1D2D4"/>
            </w:tcBorders>
          </w:tcPr>
          <w:p>
            <w:pPr>
              <w:ind w:left="360"/>
              <w:spacing w:after="0"/>
              <w:rPr>
                <w:sz w:val="20"/>
                <w:szCs w:val="20"/>
                <w:color w:val="auto"/>
              </w:rPr>
            </w:pPr>
            <w:r>
              <w:rPr>
                <w:rFonts w:ascii="Arial" w:cs="Arial" w:eastAsia="Arial" w:hAnsi="Arial"/>
                <w:sz w:val="18"/>
                <w:szCs w:val="18"/>
                <w:color w:val="auto"/>
              </w:rPr>
              <w:t>Deferred tax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r>
      <w:tr>
        <w:trPr>
          <w:trHeight w:val="237"/>
        </w:trPr>
        <w:tc>
          <w:tcPr>
            <w:tcW w:w="836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c>
          <w:tcPr>
            <w:tcW w:w="320" w:type="dxa"/>
            <w:vAlign w:val="bottom"/>
            <w:shd w:val="clear" w:color="auto" w:fill="D1D2D4"/>
          </w:tcPr>
          <w:p>
            <w:pPr>
              <w:spacing w:after="0"/>
              <w:rPr>
                <w:sz w:val="20"/>
                <w:szCs w:val="20"/>
                <w:color w:val="auto"/>
              </w:rPr>
            </w:pPr>
          </w:p>
        </w:tc>
        <w:tc>
          <w:tcPr>
            <w:tcW w:w="1120" w:type="dxa"/>
            <w:vAlign w:val="bottom"/>
            <w:shd w:val="clear" w:color="auto" w:fill="D1D2D4"/>
          </w:tcPr>
          <w:p>
            <w:pPr>
              <w:spacing w:after="0"/>
              <w:rPr>
                <w:sz w:val="20"/>
                <w:szCs w:val="20"/>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8360" w:type="dxa"/>
            <w:vAlign w:val="bottom"/>
            <w:tcBorders>
              <w:bottom w:val="single" w:sz="8" w:color="D1D2D4"/>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23"/>
        </w:trPr>
        <w:tc>
          <w:tcPr>
            <w:tcW w:w="836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Reported as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360" w:type="dxa"/>
            <w:vAlign w:val="bottom"/>
            <w:shd w:val="clear" w:color="auto" w:fill="D1D2D4"/>
          </w:tcPr>
          <w:p>
            <w:pPr>
              <w:ind w:left="180"/>
              <w:spacing w:after="0"/>
              <w:rPr>
                <w:sz w:val="20"/>
                <w:szCs w:val="20"/>
                <w:color w:val="auto"/>
              </w:rPr>
            </w:pPr>
            <w:r>
              <w:rPr>
                <w:rFonts w:ascii="Arial" w:cs="Arial" w:eastAsia="Arial" w:hAnsi="Arial"/>
                <w:sz w:val="18"/>
                <w:szCs w:val="18"/>
                <w:color w:val="auto"/>
              </w:rPr>
              <w:t>Deferred tax assets</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702</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782</w:t>
            </w:r>
          </w:p>
        </w:tc>
      </w:tr>
      <w:tr>
        <w:trPr>
          <w:trHeight w:val="230"/>
        </w:trPr>
        <w:tc>
          <w:tcPr>
            <w:tcW w:w="8360" w:type="dxa"/>
            <w:vAlign w:val="bottom"/>
            <w:tcBorders>
              <w:bottom w:val="single" w:sz="8" w:color="D1D2D4"/>
            </w:tcBorders>
          </w:tcPr>
          <w:p>
            <w:pPr>
              <w:ind w:left="180"/>
              <w:spacing w:after="0"/>
              <w:rPr>
                <w:sz w:val="20"/>
                <w:szCs w:val="20"/>
                <w:color w:val="auto"/>
              </w:rPr>
            </w:pPr>
            <w:r>
              <w:rPr>
                <w:rFonts w:ascii="Arial" w:cs="Arial" w:eastAsia="Arial" w:hAnsi="Arial"/>
                <w:sz w:val="18"/>
                <w:szCs w:val="18"/>
                <w:color w:val="auto"/>
              </w:rPr>
              <w:t>Deferred tax liabilities (included in other noncurrent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360" w:type="dxa"/>
            <w:vAlign w:val="bottom"/>
            <w:tcBorders>
              <w:bottom w:val="single" w:sz="8" w:color="D1D2D4"/>
            </w:tcBorders>
            <w:shd w:val="clear" w:color="auto" w:fill="D1D2D4"/>
          </w:tcPr>
          <w:p>
            <w:pPr>
              <w:ind w:left="36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689</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assess positive and negative evidence for each jurisdiction to determine whether it is more likely than not that existing deferred tax assets will be realized. As of September 1, 2022, and September 2, 2021, we had a valuation allowance of $471 million and $233 million, respectively, against our net deferred tax assets, primarily related to carryforwards in U.S. states and Malaysia. Changes in 2022 in the valuation allowance were due to adjustments based on management's assessment of the realizability of tax credits, allowances and net operating losses based on a level that is more likely than not to be realized.</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On March 16, 2022, the Idaho governor signed a new law that changed the way corporations calculate Idaho taxable income. This new law is expected to reduce our Idaho taxable income, and consequently, we do not expect to utilize our tax credits in Idaho for the foreseeable future. As a result, we recorded a valuation allowance against our Idaho deferred tax assets and an increase to tax expense of $189 million in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1, 2022, our net operating loss carryforward amounts and expiration periods, as reported to tax authorities,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Year of Expiration</w:t>
            </w:r>
          </w:p>
        </w:tc>
        <w:tc>
          <w:tcPr>
            <w:tcW w:w="300" w:type="dxa"/>
            <w:vAlign w:val="bottom"/>
            <w:tcBorders>
              <w:bottom w:val="single" w:sz="8" w:color="0090DA"/>
            </w:tcBorders>
          </w:tcPr>
          <w:p>
            <w:pPr>
              <w:spacing w:after="0"/>
              <w:rPr>
                <w:sz w:val="20"/>
                <w:szCs w:val="20"/>
                <w:color w:val="auto"/>
              </w:rPr>
            </w:pPr>
          </w:p>
        </w:tc>
        <w:tc>
          <w:tcPr>
            <w:tcW w:w="1100" w:type="dxa"/>
            <w:vAlign w:val="bottom"/>
            <w:tcBorders>
              <w:bottom w:val="single" w:sz="8" w:color="0090DA"/>
            </w:tcBorders>
          </w:tcPr>
          <w:p>
            <w:pPr>
              <w:jc w:val="right"/>
              <w:ind w:right="370"/>
              <w:spacing w:after="0"/>
              <w:rPr>
                <w:sz w:val="20"/>
                <w:szCs w:val="20"/>
                <w:color w:val="auto"/>
              </w:rPr>
            </w:pPr>
            <w:r>
              <w:rPr>
                <w:rFonts w:ascii="Arial" w:cs="Arial" w:eastAsia="Arial" w:hAnsi="Arial"/>
                <w:sz w:val="18"/>
                <w:szCs w:val="18"/>
                <w:b w:val="1"/>
                <w:bCs w:val="1"/>
                <w:color w:val="auto"/>
              </w:rPr>
              <w:t>State</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350"/>
              <w:spacing w:after="0"/>
              <w:rPr>
                <w:sz w:val="20"/>
                <w:szCs w:val="20"/>
                <w:color w:val="auto"/>
              </w:rPr>
            </w:pPr>
            <w:r>
              <w:rPr>
                <w:rFonts w:ascii="Arial" w:cs="Arial" w:eastAsia="Arial" w:hAnsi="Arial"/>
                <w:sz w:val="18"/>
                <w:szCs w:val="18"/>
                <w:b w:val="1"/>
                <w:bCs w:val="1"/>
                <w:color w:val="auto"/>
              </w:rPr>
              <w:t>Japan</w:t>
            </w:r>
          </w:p>
        </w:tc>
        <w:tc>
          <w:tcPr>
            <w:tcW w:w="260" w:type="dxa"/>
            <w:vAlign w:val="bottom"/>
            <w:tcBorders>
              <w:bottom w:val="single" w:sz="8" w:color="0090DA"/>
            </w:tcBorders>
          </w:tcPr>
          <w:p>
            <w:pPr>
              <w:spacing w:after="0"/>
              <w:rPr>
                <w:sz w:val="20"/>
                <w:szCs w:val="20"/>
                <w:color w:val="auto"/>
              </w:rPr>
            </w:pPr>
          </w:p>
        </w:tc>
        <w:tc>
          <w:tcPr>
            <w:tcW w:w="1180" w:type="dxa"/>
            <w:vAlign w:val="bottom"/>
            <w:tcBorders>
              <w:bottom w:val="single" w:sz="8" w:color="0090DA"/>
            </w:tcBorders>
          </w:tcPr>
          <w:p>
            <w:pPr>
              <w:jc w:val="right"/>
              <w:ind w:right="230"/>
              <w:spacing w:after="0"/>
              <w:rPr>
                <w:sz w:val="20"/>
                <w:szCs w:val="20"/>
                <w:color w:val="auto"/>
              </w:rPr>
            </w:pPr>
            <w:r>
              <w:rPr>
                <w:rFonts w:ascii="Arial" w:cs="Arial" w:eastAsia="Arial" w:hAnsi="Arial"/>
                <w:sz w:val="18"/>
                <w:szCs w:val="18"/>
                <w:b w:val="1"/>
                <w:bCs w:val="1"/>
                <w:color w:val="auto"/>
              </w:rPr>
              <w:t>Malaysia</w:t>
            </w:r>
          </w:p>
        </w:tc>
        <w:tc>
          <w:tcPr>
            <w:tcW w:w="1080" w:type="dxa"/>
            <w:vAlign w:val="bottom"/>
            <w:tcBorders>
              <w:bottom w:val="single" w:sz="8" w:color="0090DA"/>
            </w:tcBorders>
          </w:tcPr>
          <w:p>
            <w:pPr>
              <w:jc w:val="right"/>
              <w:ind w:right="10"/>
              <w:spacing w:after="0"/>
              <w:rPr>
                <w:sz w:val="20"/>
                <w:szCs w:val="20"/>
                <w:color w:val="auto"/>
              </w:rPr>
            </w:pPr>
            <w:r>
              <w:rPr>
                <w:rFonts w:ascii="Arial" w:cs="Arial" w:eastAsia="Arial" w:hAnsi="Arial"/>
                <w:sz w:val="18"/>
                <w:szCs w:val="18"/>
                <w:b w:val="1"/>
                <w:bCs w:val="1"/>
                <w:color w:val="auto"/>
              </w:rPr>
              <w:t>Other</w:t>
            </w:r>
          </w:p>
        </w:tc>
        <w:tc>
          <w:tcPr>
            <w:tcW w:w="360" w:type="dxa"/>
            <w:vAlign w:val="bottom"/>
            <w:tcBorders>
              <w:bottom w:val="single" w:sz="8" w:color="0090DA"/>
            </w:tcBorders>
          </w:tcPr>
          <w:p>
            <w:pPr>
              <w:spacing w:after="0"/>
              <w:rPr>
                <w:sz w:val="20"/>
                <w:szCs w:val="20"/>
                <w:color w:val="auto"/>
              </w:rPr>
            </w:pPr>
          </w:p>
        </w:tc>
        <w:tc>
          <w:tcPr>
            <w:tcW w:w="34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4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2023 - 2027</w:t>
            </w:r>
          </w:p>
        </w:tc>
        <w:tc>
          <w:tcPr>
            <w:tcW w:w="30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D1D2D4"/>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D1D2D4"/>
          </w:tcPr>
          <w:p>
            <w:pPr>
              <w:jc w:val="right"/>
              <w:ind w:right="850"/>
              <w:spacing w:after="0"/>
              <w:rPr>
                <w:sz w:val="20"/>
                <w:szCs w:val="20"/>
                <w:color w:val="auto"/>
              </w:rPr>
            </w:pPr>
            <w:r>
              <w:rPr>
                <w:rFonts w:ascii="Arial" w:cs="Arial" w:eastAsia="Arial" w:hAnsi="Arial"/>
                <w:sz w:val="18"/>
                <w:szCs w:val="18"/>
                <w:color w:val="auto"/>
              </w:rPr>
              <w:t>— $</w:t>
            </w: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474</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2028 - 2032</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234</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611</w:t>
            </w:r>
          </w:p>
        </w:tc>
      </w:tr>
      <w:tr>
        <w:trPr>
          <w:trHeight w:val="230"/>
        </w:trPr>
        <w:tc>
          <w:tcPr>
            <w:tcW w:w="4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2033 - 2037</w:t>
            </w:r>
          </w:p>
        </w:tc>
        <w:tc>
          <w:tcPr>
            <w:tcW w:w="30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w:t>
            </w:r>
          </w:p>
        </w:tc>
      </w:tr>
      <w:tr>
        <w:trPr>
          <w:trHeight w:val="230"/>
        </w:trPr>
        <w:tc>
          <w:tcPr>
            <w:tcW w:w="4020" w:type="dxa"/>
            <w:vAlign w:val="bottom"/>
          </w:tcPr>
          <w:p>
            <w:pPr>
              <w:ind w:left="20"/>
              <w:spacing w:after="0"/>
              <w:rPr>
                <w:sz w:val="20"/>
                <w:szCs w:val="20"/>
                <w:color w:val="auto"/>
              </w:rPr>
            </w:pPr>
            <w:r>
              <w:rPr>
                <w:rFonts w:ascii="Arial" w:cs="Arial" w:eastAsia="Arial" w:hAnsi="Arial"/>
                <w:sz w:val="18"/>
                <w:szCs w:val="18"/>
                <w:color w:val="auto"/>
              </w:rPr>
              <w:t>2038 - 2042</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40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30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851</w:t>
            </w:r>
          </w:p>
        </w:tc>
        <w:tc>
          <w:tcPr>
            <w:tcW w:w="1080" w:type="dxa"/>
            <w:vAlign w:val="bottom"/>
            <w:tcBorders>
              <w:bottom w:val="single" w:sz="8" w:color="auto"/>
            </w:tcBorders>
            <w:shd w:val="clear" w:color="auto" w:fill="D1D2D4"/>
          </w:tcPr>
          <w:p>
            <w:pPr>
              <w:spacing w:after="0"/>
              <w:rPr>
                <w:sz w:val="19"/>
                <w:szCs w:val="19"/>
                <w:color w:val="auto"/>
              </w:rPr>
            </w:pPr>
          </w:p>
        </w:tc>
        <w:tc>
          <w:tcPr>
            <w:tcW w:w="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861</w:t>
            </w:r>
          </w:p>
        </w:tc>
      </w:tr>
      <w:tr>
        <w:trPr>
          <w:trHeight w:val="223"/>
        </w:trPr>
        <w:tc>
          <w:tcPr>
            <w:tcW w:w="40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851</w:t>
            </w:r>
          </w:p>
        </w:tc>
        <w:tc>
          <w:tcPr>
            <w:tcW w:w="108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r>
      <w:tr>
        <w:trPr>
          <w:trHeight w:val="21"/>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40"/>
        <w:spacing w:after="0" w:line="273" w:lineRule="auto"/>
        <w:rPr>
          <w:sz w:val="20"/>
          <w:szCs w:val="20"/>
          <w:color w:val="auto"/>
        </w:rPr>
      </w:pPr>
      <w:r>
        <w:rPr>
          <w:rFonts w:ascii="Arial" w:cs="Arial" w:eastAsia="Arial" w:hAnsi="Arial"/>
          <w:sz w:val="18"/>
          <w:szCs w:val="18"/>
          <w:color w:val="auto"/>
        </w:rPr>
        <w:t>As of September 1, 2022, our federal and state tax credit carryforward amounts and expiration periods, as reported to tax authorities, were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Year of Tax Credit Expiration</w:t>
            </w:r>
          </w:p>
        </w:tc>
        <w:tc>
          <w:tcPr>
            <w:tcW w:w="160" w:type="dxa"/>
            <w:vAlign w:val="bottom"/>
            <w:tcBorders>
              <w:bottom w:val="single" w:sz="8" w:color="0090DA"/>
            </w:tcBorders>
          </w:tcPr>
          <w:p>
            <w:pPr>
              <w:spacing w:after="0"/>
              <w:rPr>
                <w:sz w:val="20"/>
                <w:szCs w:val="20"/>
                <w:color w:val="auto"/>
              </w:rPr>
            </w:pPr>
          </w:p>
        </w:tc>
        <w:tc>
          <w:tcPr>
            <w:tcW w:w="1280" w:type="dxa"/>
            <w:vAlign w:val="bottom"/>
            <w:tcBorders>
              <w:bottom w:val="single" w:sz="8" w:color="0090DA"/>
            </w:tcBorders>
          </w:tcPr>
          <w:p>
            <w:pPr>
              <w:jc w:val="right"/>
              <w:ind w:right="110"/>
              <w:spacing w:after="0"/>
              <w:rPr>
                <w:sz w:val="20"/>
                <w:szCs w:val="20"/>
                <w:color w:val="auto"/>
              </w:rPr>
            </w:pPr>
            <w:r>
              <w:rPr>
                <w:rFonts w:ascii="Arial" w:cs="Arial" w:eastAsia="Arial" w:hAnsi="Arial"/>
                <w:sz w:val="18"/>
                <w:szCs w:val="18"/>
                <w:b w:val="1"/>
                <w:bCs w:val="1"/>
                <w:color w:val="auto"/>
              </w:rPr>
              <w:t>U.S. Federal</w:t>
            </w:r>
          </w:p>
        </w:tc>
        <w:tc>
          <w:tcPr>
            <w:tcW w:w="320" w:type="dxa"/>
            <w:vAlign w:val="bottom"/>
            <w:tcBorders>
              <w:bottom w:val="single" w:sz="8" w:color="0090DA"/>
            </w:tcBorders>
          </w:tcPr>
          <w:p>
            <w:pPr>
              <w:spacing w:after="0"/>
              <w:rPr>
                <w:sz w:val="20"/>
                <w:szCs w:val="20"/>
                <w:color w:val="auto"/>
              </w:rPr>
            </w:pPr>
          </w:p>
        </w:tc>
        <w:tc>
          <w:tcPr>
            <w:tcW w:w="114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State</w:t>
            </w:r>
          </w:p>
        </w:tc>
        <w:tc>
          <w:tcPr>
            <w:tcW w:w="32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34"/>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2023 - 2027</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D1D2D4"/>
          </w:tcPr>
          <w:p>
            <w:pPr>
              <w:jc w:val="right"/>
              <w:ind w:right="11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2028 - 2032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2033 - 2037</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2038 - 2042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278</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Indefinite</w:t>
            </w:r>
          </w:p>
        </w:tc>
        <w:tc>
          <w:tcPr>
            <w:tcW w:w="160" w:type="dxa"/>
            <w:vAlign w:val="bottom"/>
            <w:tcBorders>
              <w:bottom w:val="single" w:sz="8" w:color="auto"/>
            </w:tcBorders>
            <w:shd w:val="clear" w:color="auto" w:fill="D1D2D4"/>
          </w:tcPr>
          <w:p>
            <w:pPr>
              <w:spacing w:after="0"/>
              <w:rPr>
                <w:sz w:val="19"/>
                <w:szCs w:val="19"/>
                <w:color w:val="auto"/>
              </w:rPr>
            </w:pP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115</w:t>
            </w:r>
          </w:p>
        </w:tc>
      </w:tr>
      <w:tr>
        <w:trPr>
          <w:trHeight w:val="223"/>
        </w:trPr>
        <w:tc>
          <w:tcPr>
            <w:tcW w:w="69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675</w:t>
            </w:r>
          </w:p>
        </w:tc>
      </w:tr>
      <w:tr>
        <w:trPr>
          <w:trHeight w:val="21"/>
        </w:trPr>
        <w:tc>
          <w:tcPr>
            <w:tcW w:w="69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1"/>
        </w:trPr>
        <w:tc>
          <w:tcPr>
            <w:tcW w:w="8340" w:type="dxa"/>
            <w:vAlign w:val="bottom"/>
            <w:gridSpan w:val="3"/>
          </w:tcPr>
          <w:p>
            <w:pPr>
              <w:spacing w:after="0"/>
              <w:rPr>
                <w:sz w:val="20"/>
                <w:szCs w:val="20"/>
                <w:color w:val="auto"/>
              </w:rPr>
            </w:pPr>
            <w:r>
              <w:rPr>
                <w:rFonts w:ascii="Arial" w:cs="Arial" w:eastAsia="Arial" w:hAnsi="Arial"/>
                <w:sz w:val="18"/>
                <w:szCs w:val="18"/>
                <w:color w:val="auto"/>
              </w:rPr>
              <w:t>Below is a reconciliation of the beginning and ending amount of our unrecognized tax benefits: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3"/>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160" w:type="dxa"/>
            <w:vAlign w:val="bottom"/>
            <w:tcBorders>
              <w:bottom w:val="single" w:sz="8" w:color="0090DA"/>
            </w:tcBorders>
          </w:tcPr>
          <w:p>
            <w:pPr>
              <w:spacing w:after="0"/>
              <w:rPr>
                <w:sz w:val="21"/>
                <w:szCs w:val="21"/>
                <w:color w:val="auto"/>
              </w:rPr>
            </w:pPr>
          </w:p>
        </w:tc>
        <w:tc>
          <w:tcPr>
            <w:tcW w:w="128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0090DA"/>
            </w:tcBorders>
          </w:tcPr>
          <w:p>
            <w:pPr>
              <w:spacing w:after="0"/>
              <w:rPr>
                <w:sz w:val="21"/>
                <w:szCs w:val="21"/>
                <w:color w:val="auto"/>
              </w:rPr>
            </w:pPr>
          </w:p>
        </w:tc>
        <w:tc>
          <w:tcPr>
            <w:tcW w:w="114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Beginning unrecognized tax benefits</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411</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383</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Increases related to tax positions from prior years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Increases related to tax positions taken in current year</w:t>
            </w:r>
          </w:p>
        </w:tc>
        <w:tc>
          <w:tcPr>
            <w:tcW w:w="160" w:type="dxa"/>
            <w:vAlign w:val="bottom"/>
            <w:shd w:val="clear" w:color="auto" w:fill="D1D2D4"/>
          </w:tcPr>
          <w:p>
            <w:pPr>
              <w:spacing w:after="0"/>
              <w:rPr>
                <w:sz w:val="19"/>
                <w:szCs w:val="19"/>
                <w:color w:val="auto"/>
              </w:rPr>
            </w:pPr>
          </w:p>
        </w:tc>
        <w:tc>
          <w:tcPr>
            <w:tcW w:w="12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80</w:t>
            </w:r>
          </w:p>
        </w:tc>
        <w:tc>
          <w:tcPr>
            <w:tcW w:w="32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260</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Decreases related to tax positions from prior years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Ending unrecognized tax benefits</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731</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660</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28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September 1, 2022, gross unrecognized tax benefits were $731 million, which would have an impact of approximately $ 564 million on our effective tax rate in the future, if recognized. Amounts accrued for interest and penalties related to uncertain tax positions were not significant for any period presented. The resolution of tax audits or expiration of statute of limitations could also reduce our unrecognized tax benefits. Although the timing of final resolution is uncertain, the estimated potential reduction in our unrecognized tax benefits in the next 12 months would not be significant.</w:t>
      </w:r>
    </w:p>
    <w:p>
      <w:pPr>
        <w:spacing w:after="0" w:line="20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and our subsidiaries file income tax returns with the U.S. federal government, various U.S. states, and various foreign jurisdictions throughout the world. We regularly engage in discussions and negotiations with tax authorities regarding tax matters, including transfer pricing, and we continue to defend any and all such claims presented. Our U.S. federal and state tax returns remain open to examination for 2018 through 2022. We are currently under audit by the Internal Revenue Service for our 2018 and 2019 tax years. In addition, tax returns that remain open to examination in Singapore, Taiwan and Japan range from the years 2016 to 2022. We believe that adequate amounts of taxes and related interest and penalties have been provided, and any adjustments as a result of examinations are not expected to materially adversely affect our business, results of operations, or financial condition.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Earnings Per Share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18"/>
                <w:szCs w:val="18"/>
                <w:color w:val="auto"/>
              </w:rPr>
            </w:pPr>
          </w:p>
        </w:tc>
        <w:tc>
          <w:tcPr>
            <w:tcW w:w="11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18"/>
                <w:szCs w:val="18"/>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bottom w:val="single" w:sz="8" w:color="0090DA"/>
            </w:tcBorders>
          </w:tcPr>
          <w:p>
            <w:pPr>
              <w:spacing w:after="0"/>
              <w:rPr>
                <w:sz w:val="18"/>
                <w:szCs w:val="18"/>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Basic</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2,687</w:t>
            </w: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Assumed conversion of debt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Net income attributable to Micron – Diluted</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8,687</w:t>
            </w:r>
          </w:p>
        </w:tc>
        <w:tc>
          <w:tcPr>
            <w:tcW w:w="36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5,861</w:t>
            </w:r>
          </w:p>
        </w:tc>
        <w:tc>
          <w:tcPr>
            <w:tcW w:w="36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2,683</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Basic</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1,112</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1,120</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Dilutive effect of equity plans and convertible notes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Weighted-average common shares outstanding – Diluted</w:t>
            </w:r>
          </w:p>
        </w:tc>
        <w:tc>
          <w:tcPr>
            <w:tcW w:w="320" w:type="dxa"/>
            <w:vAlign w:val="bottom"/>
            <w:tcBorders>
              <w:bottom w:val="single" w:sz="8" w:color="auto"/>
            </w:tcBorders>
            <w:shd w:val="clear" w:color="auto" w:fill="D1D2D4"/>
          </w:tcPr>
          <w:p>
            <w:pPr>
              <w:spacing w:after="0"/>
              <w:rPr>
                <w:sz w:val="21"/>
                <w:szCs w:val="21"/>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360" w:type="dxa"/>
            <w:vAlign w:val="bottom"/>
            <w:tcBorders>
              <w:bottom w:val="single" w:sz="8" w:color="auto"/>
            </w:tcBorders>
            <w:shd w:val="clear" w:color="auto" w:fill="D1D2D4"/>
          </w:tcPr>
          <w:p>
            <w:pPr>
              <w:spacing w:after="0"/>
              <w:rPr>
                <w:sz w:val="21"/>
                <w:szCs w:val="21"/>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1,141</w:t>
            </w:r>
          </w:p>
        </w:tc>
        <w:tc>
          <w:tcPr>
            <w:tcW w:w="360" w:type="dxa"/>
            <w:vAlign w:val="bottom"/>
            <w:tcBorders>
              <w:bottom w:val="single" w:sz="8" w:color="auto"/>
            </w:tcBorders>
            <w:shd w:val="clear" w:color="auto" w:fill="D1D2D4"/>
          </w:tcPr>
          <w:p>
            <w:pPr>
              <w:spacing w:after="0"/>
              <w:rPr>
                <w:sz w:val="21"/>
                <w:szCs w:val="21"/>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1,131</w:t>
            </w: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r>
      <w:tr>
        <w:trPr>
          <w:trHeight w:val="230"/>
        </w:trPr>
        <w:tc>
          <w:tcPr>
            <w:tcW w:w="6900" w:type="dxa"/>
            <w:vAlign w:val="bottom"/>
          </w:tcPr>
          <w:p>
            <w:pPr>
              <w:ind w:left="30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7.81</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6900" w:type="dxa"/>
            <w:vAlign w:val="bottom"/>
            <w:shd w:val="clear" w:color="auto" w:fill="D1D2D4"/>
          </w:tcPr>
          <w:p>
            <w:pPr>
              <w:ind w:left="30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5.14</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Antidilutive potential common shares excluded from the computation of diluted earnings per share, that could dilute basic earnings per share in the future, were as follows at the end of the periods shown: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54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060" w:type="dxa"/>
            <w:vAlign w:val="bottom"/>
            <w:tcBorders>
              <w:bottom w:val="single" w:sz="8" w:color="0090DA"/>
            </w:tcBorders>
          </w:tcPr>
          <w:p>
            <w:pPr>
              <w:jc w:val="right"/>
              <w:ind w:right="650"/>
              <w:spacing w:after="0"/>
              <w:rPr>
                <w:sz w:val="20"/>
                <w:szCs w:val="20"/>
                <w:color w:val="auto"/>
              </w:rPr>
            </w:pPr>
            <w:r>
              <w:rPr>
                <w:rFonts w:ascii="Arial" w:cs="Arial" w:eastAsia="Arial" w:hAnsi="Arial"/>
                <w:sz w:val="18"/>
                <w:szCs w:val="18"/>
                <w:b w:val="1"/>
                <w:bCs w:val="1"/>
                <w:color w:val="auto"/>
              </w:rPr>
              <w:t>2022</w:t>
            </w:r>
          </w:p>
        </w:tc>
        <w:tc>
          <w:tcPr>
            <w:tcW w:w="1420" w:type="dxa"/>
            <w:vAlign w:val="bottom"/>
            <w:tcBorders>
              <w:bottom w:val="single" w:sz="8" w:color="0090DA"/>
            </w:tcBorders>
          </w:tcPr>
          <w:p>
            <w:pPr>
              <w:jc w:val="right"/>
              <w:ind w:right="63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45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Equity plans</w:t>
            </w:r>
          </w:p>
        </w:tc>
        <w:tc>
          <w:tcPr>
            <w:tcW w:w="406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rPr>
              <w:t>5</w:t>
            </w:r>
          </w:p>
        </w:tc>
        <w:tc>
          <w:tcPr>
            <w:tcW w:w="1420" w:type="dxa"/>
            <w:vAlign w:val="bottom"/>
            <w:shd w:val="clear" w:color="auto" w:fill="D1D2D4"/>
          </w:tcPr>
          <w:p>
            <w:pPr>
              <w:jc w:val="right"/>
              <w:ind w:right="190"/>
              <w:spacing w:after="0"/>
              <w:rPr>
                <w:sz w:val="20"/>
                <w:szCs w:val="20"/>
                <w:color w:val="auto"/>
              </w:rPr>
            </w:pPr>
            <w:r>
              <w:rPr>
                <w:rFonts w:ascii="Arial" w:cs="Arial" w:eastAsia="Arial" w:hAnsi="Arial"/>
                <w:sz w:val="18"/>
                <w:szCs w:val="18"/>
                <w:color w:val="auto"/>
              </w:rPr>
              <w:t>2</w:t>
            </w: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w:t>
            </w: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Segment and Other Information</w:t>
      </w:r>
    </w:p>
    <w:p>
      <w:pPr>
        <w:spacing w:after="0" w:line="257"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Segment information reported herein is consistent with how it is reviewed and evaluated by our chief operating decision maker. We have the following four business units, which are our reportable segments:</w:t>
      </w:r>
    </w:p>
    <w:p>
      <w:pPr>
        <w:spacing w:after="0" w:line="180" w:lineRule="exact"/>
        <w:rPr>
          <w:sz w:val="20"/>
          <w:szCs w:val="20"/>
          <w:color w:val="auto"/>
        </w:rPr>
      </w:pPr>
    </w:p>
    <w:p>
      <w:pPr>
        <w:ind w:left="340" w:right="380" w:hanging="323"/>
        <w:spacing w:after="0" w:line="260" w:lineRule="auto"/>
        <w:rPr>
          <w:sz w:val="20"/>
          <w:szCs w:val="20"/>
          <w:color w:val="auto"/>
        </w:rPr>
      </w:pPr>
      <w:r>
        <w:rPr>
          <w:rFonts w:ascii="Arial" w:cs="Arial" w:eastAsia="Arial" w:hAnsi="Arial"/>
          <w:sz w:val="18"/>
          <w:szCs w:val="18"/>
          <w:b w:val="1"/>
          <w:bCs w:val="1"/>
          <w:i w:val="1"/>
          <w:iCs w:val="1"/>
          <w:color w:val="auto"/>
        </w:rPr>
        <w:t>Compute and Networking Business Unit (“CNBU”)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products sold into client, cloud server, enterprise, graphics,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networking markets.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Mobile Business Unit (“MBU”)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smartphone and other mobile-device markets.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Business Unit (“EBU”)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memory and storage products sold into automotive, industrial, and consumer markets.</w:t>
      </w:r>
    </w:p>
    <w:p>
      <w:pPr>
        <w:spacing w:after="0" w:line="9" w:lineRule="exact"/>
        <w:rPr>
          <w:sz w:val="20"/>
          <w:szCs w:val="20"/>
          <w:color w:val="auto"/>
        </w:rPr>
      </w:pPr>
    </w:p>
    <w:p>
      <w:pPr>
        <w:ind w:left="340" w:hanging="323"/>
        <w:spacing w:after="0" w:line="266" w:lineRule="auto"/>
        <w:rPr>
          <w:sz w:val="20"/>
          <w:szCs w:val="20"/>
          <w:color w:val="auto"/>
        </w:rPr>
      </w:pPr>
      <w:r>
        <w:rPr>
          <w:rFonts w:ascii="Arial" w:cs="Arial" w:eastAsia="Arial" w:hAnsi="Arial"/>
          <w:sz w:val="18"/>
          <w:szCs w:val="18"/>
          <w:b w:val="1"/>
          <w:bCs w:val="1"/>
          <w:i w:val="1"/>
          <w:iCs w:val="1"/>
          <w:color w:val="auto"/>
        </w:rPr>
        <w:t>Storage Business Unit (“SBU”)</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SSDs and component-level solutions sold into enterprise and cloud, client, and consumer storage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markets, and other discrete storage products sold in component and wafer form.</w:t>
      </w:r>
    </w:p>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Certain operating expenses directly associated with the activities of a specific segment are charged to that segment. Other indirect operating income and expenses are generally allocated to segments based on their respective percentage of cost of goods sold or forecasted wafer production. We do not identify or report internally our assets (other than goodwill) or capital expenditures by segment, nor do we allocate gains and losses from equity method investments, interest, other non-operating income or expense items, or taxes to segments. As of September 1, 2022 and September 2, 2021, CNBU, MBU, SBU, and EBU had goodwill of $832 million, $198 million, $101 million, and $97 million, respectively.</w:t>
      </w:r>
    </w:p>
    <w:p>
      <w:pPr>
        <w:spacing w:after="0" w:line="200" w:lineRule="exact"/>
        <w:rPr>
          <w:sz w:val="20"/>
          <w:szCs w:val="20"/>
          <w:color w:val="auto"/>
        </w:rPr>
      </w:pPr>
    </w:p>
    <w:p>
      <w:pPr>
        <w:spacing w:after="0" w:line="217"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c>
          <w:tcPr>
            <w:tcW w:w="0" w:type="dxa"/>
            <w:vAlign w:val="bottom"/>
          </w:tcPr>
          <w:p>
            <w:pPr>
              <w:spacing w:after="0"/>
              <w:rPr>
                <w:sz w:val="1"/>
                <w:szCs w:val="1"/>
                <w:color w:val="auto"/>
              </w:rPr>
            </w:pPr>
          </w:p>
        </w:tc>
      </w:tr>
      <w:tr>
        <w:trPr>
          <w:trHeight w:val="884"/>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24"/>
                <w:szCs w:val="24"/>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0090DA"/>
            </w:tcBorders>
          </w:tcPr>
          <w:p>
            <w:pPr>
              <w:spacing w:after="0"/>
              <w:rPr>
                <w:sz w:val="24"/>
                <w:szCs w:val="24"/>
                <w:color w:val="auto"/>
              </w:rPr>
            </w:pPr>
          </w:p>
        </w:tc>
        <w:tc>
          <w:tcPr>
            <w:tcW w:w="240" w:type="dxa"/>
            <w:vAlign w:val="bottom"/>
            <w:tcBorders>
              <w:top w:val="single" w:sz="8" w:color="0090DA"/>
              <w:bottom w:val="single" w:sz="8" w:color="0090DA"/>
            </w:tcBorders>
          </w:tcPr>
          <w:p>
            <w:pPr>
              <w:spacing w:after="0"/>
              <w:rPr>
                <w:sz w:val="24"/>
                <w:szCs w:val="24"/>
                <w:color w:val="auto"/>
              </w:rPr>
            </w:pPr>
          </w:p>
        </w:tc>
        <w:tc>
          <w:tcPr>
            <w:tcW w:w="1120" w:type="dxa"/>
            <w:vAlign w:val="bottom"/>
            <w:tcBorders>
              <w:top w:val="single" w:sz="8" w:color="0090DA"/>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13,693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12,280</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7,260</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7,203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5,702</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EBU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5,235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4,209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2,759</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4,553</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30,758</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27,705</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income (loss)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CNBU</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5,844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4,295</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MBU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2,160</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EBU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1,752</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SBU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513</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All 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10,281</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7,667</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3,419</w:t>
            </w:r>
          </w:p>
        </w:tc>
        <w:tc>
          <w:tcPr>
            <w:tcW w:w="0" w:type="dxa"/>
            <w:vAlign w:val="bottom"/>
          </w:tcPr>
          <w:p>
            <w:pPr>
              <w:spacing w:after="0"/>
              <w:rPr>
                <w:sz w:val="1"/>
                <w:szCs w:val="1"/>
                <w:color w:val="auto"/>
              </w:rPr>
            </w:pPr>
          </w:p>
        </w:tc>
      </w:tr>
      <w:tr>
        <w:trPr>
          <w:trHeight w:val="237"/>
        </w:trPr>
        <w:tc>
          <w:tcPr>
            <w:tcW w:w="6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Unallocated</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(501)</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Inventory accounting policy change to FIFO</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Change in inventory cost absorption</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3D XPoint inventory write-down</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(49)</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00" w:type="dxa"/>
            <w:vAlign w:val="bottom"/>
          </w:tcPr>
          <w:p>
            <w:pPr>
              <w:ind w:left="140"/>
              <w:spacing w:after="0"/>
              <w:rPr>
                <w:sz w:val="20"/>
                <w:szCs w:val="20"/>
                <w:color w:val="auto"/>
              </w:rPr>
            </w:pPr>
            <w:r>
              <w:rPr>
                <w:rFonts w:ascii="Arial" w:cs="Arial" w:eastAsia="Arial" w:hAnsi="Arial"/>
                <w:sz w:val="18"/>
                <w:szCs w:val="18"/>
                <w:color w:val="auto"/>
              </w:rPr>
              <w:t>Restructure and asset impairments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140"/>
              <w:spacing w:after="0"/>
              <w:rPr>
                <w:sz w:val="20"/>
                <w:szCs w:val="20"/>
                <w:color w:val="auto"/>
              </w:rPr>
            </w:pPr>
            <w:r>
              <w:rPr>
                <w:rFonts w:ascii="Arial" w:cs="Arial" w:eastAsia="Arial" w:hAnsi="Arial"/>
                <w:sz w:val="18"/>
                <w:szCs w:val="18"/>
                <w:color w:val="auto"/>
              </w:rPr>
              <w:t>Patent license charges</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6900" w:type="dxa"/>
            <w:vAlign w:val="bottom"/>
            <w:shd w:val="clear" w:color="auto" w:fill="D1D2D4"/>
          </w:tcPr>
          <w:p>
            <w:pPr>
              <w:spacing w:after="0"/>
              <w:rPr>
                <w:sz w:val="19"/>
                <w:szCs w:val="19"/>
                <w:color w:val="auto"/>
              </w:rPr>
            </w:pPr>
          </w:p>
        </w:tc>
        <w:tc>
          <w:tcPr>
            <w:tcW w:w="32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(579)</w:t>
            </w:r>
          </w:p>
        </w:tc>
        <w:tc>
          <w:tcPr>
            <w:tcW w:w="3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(1,384)</w:t>
            </w:r>
          </w:p>
        </w:tc>
        <w:tc>
          <w:tcPr>
            <w:tcW w:w="8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36"/>
        </w:trPr>
        <w:tc>
          <w:tcPr>
            <w:tcW w:w="6900" w:type="dxa"/>
            <w:vAlign w:val="bottom"/>
            <w:tcBorders>
              <w:bottom w:val="single" w:sz="8" w:color="D1D2D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Operating income</w:t>
            </w: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9,702</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6,283</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bottom w:val="single" w:sz="8" w:color="D1D2D4"/>
            </w:tcBorders>
            <w:vMerge w:val="restart"/>
          </w:tcPr>
          <w:p>
            <w:pPr>
              <w:spacing w:after="0"/>
              <w:rPr>
                <w:sz w:val="20"/>
                <w:szCs w:val="20"/>
                <w:color w:val="auto"/>
              </w:rPr>
            </w:pPr>
            <w:r>
              <w:rPr>
                <w:rFonts w:ascii="Arial" w:cs="Arial" w:eastAsia="Arial" w:hAnsi="Arial"/>
                <w:sz w:val="18"/>
                <w:szCs w:val="18"/>
                <w:color w:val="auto"/>
              </w:rPr>
              <w:t>Depreciation and amortization expense included in operating income was as follows:</w:t>
            </w: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1"/>
        </w:trPr>
        <w:tc>
          <w:tcPr>
            <w:tcW w:w="69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32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34"/>
        </w:trPr>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CNBU</w:t>
            </w:r>
          </w:p>
        </w:tc>
        <w:tc>
          <w:tcPr>
            <w:tcW w:w="32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2,766</w:t>
            </w:r>
          </w:p>
        </w:tc>
        <w:tc>
          <w:tcPr>
            <w:tcW w:w="34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2,497</w:t>
            </w:r>
          </w:p>
        </w:tc>
        <w:tc>
          <w:tcPr>
            <w:tcW w:w="32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MBU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1,725</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EBU</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1,280</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SBU</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1,115</w:t>
            </w:r>
          </w:p>
        </w:tc>
        <w:tc>
          <w:tcPr>
            <w:tcW w:w="0" w:type="dxa"/>
            <w:vAlign w:val="bottom"/>
          </w:tcPr>
          <w:p>
            <w:pPr>
              <w:spacing w:after="0"/>
              <w:rPr>
                <w:sz w:val="1"/>
                <w:szCs w:val="1"/>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All Other</w:t>
            </w:r>
          </w:p>
        </w:tc>
        <w:tc>
          <w:tcPr>
            <w:tcW w:w="32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690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Unallocated</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8"/>
        </w:trPr>
        <w:tc>
          <w:tcPr>
            <w:tcW w:w="6900" w:type="dxa"/>
            <w:vAlign w:val="bottom"/>
            <w:tcBorders>
              <w:bottom w:val="single" w:sz="8" w:color="D1D2D4"/>
            </w:tcBorders>
            <w:shd w:val="clear" w:color="auto" w:fill="D1D2D4"/>
          </w:tcPr>
          <w:p>
            <w:pPr>
              <w:spacing w:after="0"/>
              <w:rPr>
                <w:sz w:val="21"/>
                <w:szCs w:val="21"/>
                <w:color w:val="auto"/>
              </w:rPr>
            </w:pPr>
          </w:p>
        </w:tc>
        <w:tc>
          <w:tcPr>
            <w:tcW w:w="320" w:type="dxa"/>
            <w:vAlign w:val="bottom"/>
            <w:tcBorders>
              <w:bottom w:val="single" w:sz="8" w:color="auto"/>
            </w:tcBorders>
            <w:shd w:val="clear" w:color="auto" w:fill="D1D2D4"/>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7,116</w:t>
            </w:r>
          </w:p>
        </w:tc>
        <w:tc>
          <w:tcPr>
            <w:tcW w:w="340" w:type="dxa"/>
            <w:vAlign w:val="bottom"/>
            <w:tcBorders>
              <w:bottom w:val="single" w:sz="8" w:color="auto"/>
            </w:tcBorders>
            <w:shd w:val="clear" w:color="auto" w:fill="D1D2D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6,214</w:t>
            </w:r>
          </w:p>
        </w:tc>
        <w:tc>
          <w:tcPr>
            <w:tcW w:w="320" w:type="dxa"/>
            <w:vAlign w:val="bottom"/>
            <w:tcBorders>
              <w:bottom w:val="single" w:sz="8" w:color="auto"/>
            </w:tcBorders>
            <w:gridSpan w:val="2"/>
            <w:shd w:val="clear" w:color="auto" w:fill="D1D2D4"/>
          </w:tcPr>
          <w:p>
            <w:pPr>
              <w:jc w:val="right"/>
              <w:ind w:righ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5,650</w:t>
            </w:r>
          </w:p>
        </w:tc>
        <w:tc>
          <w:tcPr>
            <w:tcW w:w="0" w:type="dxa"/>
            <w:vAlign w:val="bottom"/>
          </w:tcPr>
          <w:p>
            <w:pPr>
              <w:spacing w:after="0"/>
              <w:rPr>
                <w:sz w:val="1"/>
                <w:szCs w:val="1"/>
                <w:color w:val="auto"/>
              </w:rPr>
            </w:pPr>
          </w:p>
        </w:tc>
      </w:tr>
      <w:tr>
        <w:trPr>
          <w:trHeight w:val="20"/>
        </w:trPr>
        <w:tc>
          <w:tcPr>
            <w:tcW w:w="6900" w:type="dxa"/>
            <w:vAlign w:val="bottom"/>
            <w:tcBorders>
              <w:top w:val="single" w:sz="8" w:color="D1D2D4"/>
            </w:tcBorders>
          </w:tcPr>
          <w:p>
            <w:pPr>
              <w:spacing w:after="0" w:line="20" w:lineRule="exact"/>
              <w:rPr>
                <w:sz w:val="1"/>
                <w:szCs w:val="1"/>
                <w:color w:val="auto"/>
              </w:rPr>
            </w:pPr>
          </w:p>
        </w:tc>
        <w:tc>
          <w:tcPr>
            <w:tcW w:w="32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3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1154"/>
        </w:trPr>
        <w:tc>
          <w:tcPr>
            <w:tcW w:w="5780" w:type="dxa"/>
            <w:vAlign w:val="bottom"/>
          </w:tcPr>
          <w:p>
            <w:pPr>
              <w:spacing w:after="0"/>
              <w:rPr>
                <w:sz w:val="20"/>
                <w:szCs w:val="20"/>
                <w:color w:val="auto"/>
              </w:rPr>
            </w:pPr>
            <w:r>
              <w:rPr>
                <w:rFonts w:ascii="Arial" w:cs="Arial" w:eastAsia="Arial" w:hAnsi="Arial"/>
                <w:sz w:val="40"/>
                <w:szCs w:val="40"/>
                <w:b w:val="1"/>
                <w:bCs w:val="1"/>
                <w:color w:val="auto"/>
              </w:rPr>
              <w:t>Certain Concentrations</w:t>
            </w:r>
          </w:p>
        </w:tc>
        <w:tc>
          <w:tcPr>
            <w:tcW w:w="2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0090DA"/>
            </w:tcBorders>
          </w:tcPr>
          <w:p>
            <w:pPr>
              <w:spacing w:after="0"/>
              <w:rPr>
                <w:sz w:val="24"/>
                <w:szCs w:val="24"/>
                <w:color w:val="auto"/>
              </w:rPr>
            </w:pPr>
          </w:p>
        </w:tc>
      </w:tr>
      <w:tr>
        <w:trPr>
          <w:trHeight w:val="410"/>
        </w:trPr>
        <w:tc>
          <w:tcPr>
            <w:tcW w:w="8520" w:type="dxa"/>
            <w:vAlign w:val="bottom"/>
            <w:gridSpan w:val="2"/>
          </w:tcPr>
          <w:p>
            <w:pPr>
              <w:spacing w:after="0"/>
              <w:rPr>
                <w:sz w:val="20"/>
                <w:szCs w:val="20"/>
                <w:color w:val="auto"/>
              </w:rPr>
            </w:pPr>
            <w:r>
              <w:rPr>
                <w:rFonts w:ascii="Arial" w:cs="Arial" w:eastAsia="Arial" w:hAnsi="Arial"/>
                <w:sz w:val="18"/>
                <w:szCs w:val="18"/>
                <w:color w:val="auto"/>
              </w:rPr>
              <w:t>Revenue by market segment as an approximate percent of total revenue is presented in the table below:</w:t>
            </w: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2"/>
        </w:trPr>
        <w:tc>
          <w:tcPr>
            <w:tcW w:w="57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2740" w:type="dxa"/>
            <w:vAlign w:val="bottom"/>
            <w:tcBorders>
              <w:bottom w:val="single" w:sz="8" w:color="0090DA"/>
            </w:tcBorders>
          </w:tcPr>
          <w:p>
            <w:pPr>
              <w:jc w:val="right"/>
              <w:ind w:right="83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0090DA"/>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460" w:type="dxa"/>
            <w:vAlign w:val="bottom"/>
            <w:tcBorders>
              <w:bottom w:val="single" w:sz="8" w:color="0090DA"/>
            </w:tcBorders>
            <w:gridSpan w:val="2"/>
          </w:tcPr>
          <w:p>
            <w:pPr>
              <w:jc w:val="right"/>
              <w:ind w:right="560"/>
              <w:spacing w:after="0"/>
              <w:rPr>
                <w:sz w:val="20"/>
                <w:szCs w:val="20"/>
                <w:color w:val="auto"/>
              </w:rPr>
            </w:pPr>
            <w:r>
              <w:rPr>
                <w:rFonts w:ascii="Arial" w:cs="Arial" w:eastAsia="Arial" w:hAnsi="Arial"/>
                <w:sz w:val="18"/>
                <w:szCs w:val="18"/>
                <w:b w:val="1"/>
                <w:bCs w:val="1"/>
                <w:color w:val="auto"/>
              </w:rPr>
              <w:t>2020</w:t>
            </w:r>
          </w:p>
        </w:tc>
      </w:tr>
      <w:tr>
        <w:trPr>
          <w:trHeight w:val="34"/>
        </w:trPr>
        <w:tc>
          <w:tcPr>
            <w:tcW w:w="57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9"/>
        </w:trPr>
        <w:tc>
          <w:tcPr>
            <w:tcW w:w="5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Mobile</w:t>
            </w:r>
          </w:p>
        </w:tc>
        <w:tc>
          <w:tcPr>
            <w:tcW w:w="27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25 %</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25 %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25 %</w:t>
            </w:r>
          </w:p>
        </w:tc>
      </w:tr>
      <w:tr>
        <w:trPr>
          <w:trHeight w:val="230"/>
        </w:trPr>
        <w:tc>
          <w:tcPr>
            <w:tcW w:w="5780" w:type="dxa"/>
            <w:vAlign w:val="bottom"/>
          </w:tcPr>
          <w:p>
            <w:pPr>
              <w:ind w:left="20"/>
              <w:spacing w:after="0"/>
              <w:rPr>
                <w:sz w:val="20"/>
                <w:szCs w:val="20"/>
                <w:color w:val="auto"/>
              </w:rPr>
            </w:pPr>
            <w:r>
              <w:rPr>
                <w:rFonts w:ascii="Arial" w:cs="Arial" w:eastAsia="Arial" w:hAnsi="Arial"/>
                <w:sz w:val="18"/>
                <w:szCs w:val="18"/>
                <w:color w:val="auto"/>
              </w:rPr>
              <w:t>Client and graphics</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20 %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29"/>
        </w:trPr>
        <w:tc>
          <w:tcPr>
            <w:tcW w:w="5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Enterprise and cloud server</w:t>
            </w:r>
          </w:p>
        </w:tc>
        <w:tc>
          <w:tcPr>
            <w:tcW w:w="27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20 %</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20 %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20 %</w:t>
            </w: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SSDs and other storage</w:t>
            </w:r>
          </w:p>
        </w:tc>
        <w:tc>
          <w:tcPr>
            <w:tcW w:w="2740" w:type="dxa"/>
            <w:vAlign w:val="bottom"/>
          </w:tcPr>
          <w:p>
            <w:pPr>
              <w:jc w:val="right"/>
              <w:ind w:right="290"/>
              <w:spacing w:after="0"/>
              <w:rPr>
                <w:sz w:val="20"/>
                <w:szCs w:val="20"/>
                <w:color w:val="auto"/>
              </w:rPr>
            </w:pPr>
            <w:r>
              <w:rPr>
                <w:rFonts w:ascii="Arial" w:cs="Arial" w:eastAsia="Arial" w:hAnsi="Arial"/>
                <w:sz w:val="18"/>
                <w:szCs w:val="18"/>
                <w:color w:val="auto"/>
              </w:rPr>
              <w:t>15 %</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15 %</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20 %</w:t>
            </w:r>
          </w:p>
        </w:tc>
      </w:tr>
      <w:tr>
        <w:trPr>
          <w:trHeight w:val="230"/>
        </w:trPr>
        <w:tc>
          <w:tcPr>
            <w:tcW w:w="578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Automotive, industrial, and consumer</w:t>
            </w:r>
          </w:p>
        </w:tc>
        <w:tc>
          <w:tcPr>
            <w:tcW w:w="2740" w:type="dxa"/>
            <w:vAlign w:val="bottom"/>
            <w:shd w:val="clear" w:color="auto" w:fill="D1D2D4"/>
          </w:tcPr>
          <w:p>
            <w:pPr>
              <w:jc w:val="right"/>
              <w:ind w:right="290"/>
              <w:spacing w:after="0"/>
              <w:rPr>
                <w:sz w:val="20"/>
                <w:szCs w:val="20"/>
                <w:color w:val="auto"/>
              </w:rPr>
            </w:pPr>
            <w:r>
              <w:rPr>
                <w:rFonts w:ascii="Arial" w:cs="Arial" w:eastAsia="Arial" w:hAnsi="Arial"/>
                <w:sz w:val="18"/>
                <w:szCs w:val="18"/>
                <w:color w:val="auto"/>
              </w:rPr>
              <w:t>15 %</w:t>
            </w:r>
          </w:p>
        </w:tc>
        <w:tc>
          <w:tcPr>
            <w:tcW w:w="1260" w:type="dxa"/>
            <w:vAlign w:val="bottom"/>
            <w:shd w:val="clear" w:color="auto" w:fill="D1D2D4"/>
          </w:tcPr>
          <w:p>
            <w:pPr>
              <w:jc w:val="right"/>
              <w:ind w:right="10"/>
              <w:spacing w:after="0"/>
              <w:rPr>
                <w:sz w:val="20"/>
                <w:szCs w:val="20"/>
                <w:color w:val="auto"/>
              </w:rPr>
            </w:pPr>
            <w:r>
              <w:rPr>
                <w:rFonts w:ascii="Arial" w:cs="Arial" w:eastAsia="Arial" w:hAnsi="Arial"/>
                <w:sz w:val="18"/>
                <w:szCs w:val="18"/>
                <w:color w:val="auto"/>
              </w:rPr>
              <w:t>15 %</w:t>
            </w:r>
          </w:p>
        </w:tc>
        <w:tc>
          <w:tcPr>
            <w:tcW w:w="1460" w:type="dxa"/>
            <w:vAlign w:val="bottom"/>
            <w:gridSpan w:val="2"/>
            <w:shd w:val="clear" w:color="auto" w:fill="D1D2D4"/>
          </w:tcPr>
          <w:p>
            <w:pPr>
              <w:jc w:val="right"/>
              <w:ind w:right="20"/>
              <w:spacing w:after="0"/>
              <w:rPr>
                <w:sz w:val="20"/>
                <w:szCs w:val="20"/>
                <w:color w:val="auto"/>
              </w:rPr>
            </w:pPr>
            <w:r>
              <w:rPr>
                <w:rFonts w:ascii="Arial" w:cs="Arial" w:eastAsia="Arial" w:hAnsi="Arial"/>
                <w:sz w:val="18"/>
                <w:szCs w:val="18"/>
                <w:color w:val="auto"/>
              </w:rPr>
              <w:t>15 %</w:t>
            </w:r>
          </w:p>
        </w:tc>
      </w:tr>
    </w:tbl>
    <w:p>
      <w:pPr>
        <w:spacing w:after="0" w:line="319"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Revenue from Kingston Technology Company, Inc. was 12% and 11% of total revenue for 2022 and 2020, respectively. Revenue from WPG Holdings Limited was 11% and 13% of total revenue in 2022 and 2021, respectively. Sales to Kingston were primarily included in our CNBU and SBU segments; and sales to WPG were primarily included in our MBU, CNBU, and EBU segments.</w:t>
      </w:r>
    </w:p>
    <w:p>
      <w:pPr>
        <w:spacing w:after="0" w:line="19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generally have multiple sources of supply for our raw materials and production equipment; however, only a limited number of suppliers are capable of delivering certain raw materials and production equipment that meet our standards and, in some cases, materials or production equipment are provided by a single supplier.</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Financial instruments that potentially subject us to concentrations of credit risk consist principally of cash, money market accounts, certificates of deposit, fixed-rate debt securities, trade receivables, share repurchase, and derivative contracts. We invest through high-credit-quality financial institutions and, by policy, generally limit the concentration of credit exposure by restricting investments with any single obligor and monitoring credit risk of bank counterparties on an ongoing basis. A concentration of credit risk may exist with respect to receivables of certain customers. We perform ongoing credit evaluations of customers worldwide and generally do not require collateral from our customers. Historically, we have not experienced material losses on receivables. A concentration of risk may also exist with respect to our foreign currency hedges as the number of counterparties to our hedges is limited and the notional amounts are relatively large. We seek to mitigate such risk by limiting our counterparties to major financial institutions and through entering into master netting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84"/>
        </w:trPr>
        <w:tc>
          <w:tcPr>
            <w:tcW w:w="6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0090DA"/>
              </w:rPr>
              <w:t>Table of Contents</w:t>
            </w:r>
          </w:p>
        </w:tc>
      </w:tr>
      <w:tr>
        <w:trPr>
          <w:trHeight w:val="1154"/>
        </w:trPr>
        <w:tc>
          <w:tcPr>
            <w:tcW w:w="6900" w:type="dxa"/>
            <w:vAlign w:val="bottom"/>
          </w:tcPr>
          <w:p>
            <w:pPr>
              <w:spacing w:after="0"/>
              <w:rPr>
                <w:sz w:val="20"/>
                <w:szCs w:val="20"/>
                <w:color w:val="auto"/>
              </w:rPr>
            </w:pPr>
            <w:r>
              <w:rPr>
                <w:rFonts w:ascii="Arial" w:cs="Arial" w:eastAsia="Arial" w:hAnsi="Arial"/>
                <w:sz w:val="40"/>
                <w:szCs w:val="40"/>
                <w:b w:val="1"/>
                <w:bCs w:val="1"/>
                <w:color w:val="auto"/>
              </w:rPr>
              <w:t>Geographic Information</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0090DA"/>
            </w:tcBorders>
          </w:tcPr>
          <w:p>
            <w:pPr>
              <w:spacing w:after="0"/>
              <w:rPr>
                <w:sz w:val="24"/>
                <w:szCs w:val="24"/>
                <w:color w:val="auto"/>
              </w:rPr>
            </w:pPr>
          </w:p>
        </w:tc>
        <w:tc>
          <w:tcPr>
            <w:tcW w:w="1120" w:type="dxa"/>
            <w:vAlign w:val="bottom"/>
            <w:tcBorders>
              <w:top w:val="single" w:sz="8" w:color="0090DA"/>
            </w:tcBorders>
          </w:tcPr>
          <w:p>
            <w:pPr>
              <w:spacing w:after="0"/>
              <w:rPr>
                <w:sz w:val="24"/>
                <w:szCs w:val="24"/>
                <w:color w:val="auto"/>
              </w:rPr>
            </w:pPr>
          </w:p>
        </w:tc>
      </w:tr>
      <w:tr>
        <w:trPr>
          <w:trHeight w:val="410"/>
        </w:trPr>
        <w:tc>
          <w:tcPr>
            <w:tcW w:w="7320" w:type="dxa"/>
            <w:vAlign w:val="bottom"/>
            <w:gridSpan w:val="2"/>
          </w:tcPr>
          <w:p>
            <w:pPr>
              <w:spacing w:after="0"/>
              <w:rPr>
                <w:sz w:val="20"/>
                <w:szCs w:val="20"/>
                <w:color w:val="auto"/>
              </w:rPr>
            </w:pPr>
            <w:r>
              <w:rPr>
                <w:rFonts w:ascii="Arial" w:cs="Arial" w:eastAsia="Arial" w:hAnsi="Arial"/>
                <w:sz w:val="18"/>
                <w:szCs w:val="18"/>
                <w:color w:val="auto"/>
              </w:rPr>
              <w:t>Revenue based on the geographic location of our customers’ headquarters was as follows:</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2"/>
        </w:trPr>
        <w:tc>
          <w:tcPr>
            <w:tcW w:w="690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For the year ended</w:t>
            </w:r>
          </w:p>
        </w:tc>
        <w:tc>
          <w:tcPr>
            <w:tcW w:w="420" w:type="dxa"/>
            <w:vAlign w:val="bottom"/>
            <w:tcBorders>
              <w:bottom w:val="single" w:sz="8" w:color="0090DA"/>
            </w:tcBorders>
          </w:tcPr>
          <w:p>
            <w:pPr>
              <w:spacing w:after="0"/>
              <w:rPr>
                <w:sz w:val="21"/>
                <w:szCs w:val="21"/>
                <w:color w:val="auto"/>
              </w:rPr>
            </w:pPr>
          </w:p>
        </w:tc>
        <w:tc>
          <w:tcPr>
            <w:tcW w:w="1000" w:type="dxa"/>
            <w:vAlign w:val="bottom"/>
            <w:tcBorders>
              <w:bottom w:val="single" w:sz="8" w:color="0090DA"/>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21"/>
                <w:szCs w:val="21"/>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0090DA"/>
            </w:tcBorders>
          </w:tcPr>
          <w:p>
            <w:pPr>
              <w:spacing w:after="0"/>
              <w:rPr>
                <w:sz w:val="21"/>
                <w:szCs w:val="21"/>
                <w:color w:val="auto"/>
              </w:rPr>
            </w:pPr>
          </w:p>
        </w:tc>
        <w:tc>
          <w:tcPr>
            <w:tcW w:w="240" w:type="dxa"/>
            <w:vAlign w:val="bottom"/>
            <w:tcBorders>
              <w:bottom w:val="single" w:sz="8" w:color="0090DA"/>
            </w:tcBorders>
          </w:tcPr>
          <w:p>
            <w:pPr>
              <w:spacing w:after="0"/>
              <w:rPr>
                <w:sz w:val="21"/>
                <w:szCs w:val="21"/>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2020</w:t>
            </w:r>
          </w:p>
        </w:tc>
      </w:tr>
      <w:tr>
        <w:trPr>
          <w:trHeight w:val="34"/>
        </w:trPr>
        <w:tc>
          <w:tcPr>
            <w:tcW w:w="69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D1D2D4"/>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16,026</w:t>
            </w:r>
          </w:p>
        </w:tc>
        <w:tc>
          <w:tcPr>
            <w:tcW w:w="36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12,155</w:t>
            </w:r>
          </w:p>
        </w:tc>
        <w:tc>
          <w:tcPr>
            <w:tcW w:w="360" w:type="dxa"/>
            <w:vAlign w:val="bottom"/>
            <w:gridSpan w:val="2"/>
            <w:shd w:val="clear" w:color="auto" w:fill="D1D2D4"/>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10,381</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Taiwan</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6,185</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6,606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3,657</w:t>
            </w:r>
          </w:p>
        </w:tc>
      </w:tr>
      <w:tr>
        <w:trPr>
          <w:trHeight w:val="229"/>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Mainland China (excluding Hong Kong)</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3,311</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2,456</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2,337</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1,696</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Hong Kong</w:t>
            </w:r>
          </w:p>
        </w:tc>
        <w:tc>
          <w:tcPr>
            <w:tcW w:w="420" w:type="dxa"/>
            <w:vAlign w:val="bottom"/>
            <w:shd w:val="clear" w:color="auto" w:fill="D1D2D4"/>
          </w:tcPr>
          <w:p>
            <w:pPr>
              <w:spacing w:after="0"/>
              <w:rPr>
                <w:sz w:val="19"/>
                <w:szCs w:val="19"/>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1,665</w:t>
            </w:r>
          </w:p>
        </w:tc>
        <w:tc>
          <w:tcPr>
            <w:tcW w:w="36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2,582</w:t>
            </w:r>
          </w:p>
        </w:tc>
        <w:tc>
          <w:tcPr>
            <w:tcW w:w="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1,792</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Other Asia Pacific</w:t>
            </w: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1,223</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1,157</w:t>
            </w:r>
          </w:p>
        </w:tc>
      </w:tr>
      <w:tr>
        <w:trPr>
          <w:trHeight w:val="230"/>
        </w:trPr>
        <w:tc>
          <w:tcPr>
            <w:tcW w:w="69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652</w:t>
            </w:r>
          </w:p>
        </w:tc>
        <w:tc>
          <w:tcPr>
            <w:tcW w:w="36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834</w:t>
            </w:r>
          </w:p>
        </w:tc>
        <w:tc>
          <w:tcPr>
            <w:tcW w:w="120" w:type="dxa"/>
            <w:vAlign w:val="bottom"/>
            <w:tcBorders>
              <w:bottom w:val="single" w:sz="8" w:color="auto"/>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724</w:t>
            </w:r>
          </w:p>
        </w:tc>
      </w:tr>
      <w:tr>
        <w:trPr>
          <w:trHeight w:val="223"/>
        </w:trPr>
        <w:tc>
          <w:tcPr>
            <w:tcW w:w="69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30,758</w:t>
            </w:r>
          </w:p>
        </w:tc>
        <w:tc>
          <w:tcPr>
            <w:tcW w:w="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27,705</w:t>
            </w:r>
          </w:p>
        </w:tc>
        <w:tc>
          <w:tcPr>
            <w:tcW w:w="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21,435</w:t>
            </w:r>
          </w:p>
        </w:tc>
      </w:tr>
      <w:tr>
        <w:trPr>
          <w:trHeight w:val="21"/>
        </w:trPr>
        <w:tc>
          <w:tcPr>
            <w:tcW w:w="6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by geographic area consisted of property, plant, and equipment and right-of-use assets and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36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As of</w:t>
            </w:r>
          </w:p>
        </w:tc>
        <w:tc>
          <w:tcPr>
            <w:tcW w:w="320" w:type="dxa"/>
            <w:vAlign w:val="bottom"/>
            <w:tcBorders>
              <w:bottom w:val="single" w:sz="8" w:color="0090DA"/>
            </w:tcBorders>
          </w:tcPr>
          <w:p>
            <w:pPr>
              <w:spacing w:after="0"/>
              <w:rPr>
                <w:sz w:val="20"/>
                <w:szCs w:val="20"/>
                <w:color w:val="auto"/>
              </w:rPr>
            </w:pPr>
          </w:p>
        </w:tc>
        <w:tc>
          <w:tcPr>
            <w:tcW w:w="1080" w:type="dxa"/>
            <w:vAlign w:val="bottom"/>
            <w:tcBorders>
              <w:bottom w:val="single" w:sz="8" w:color="0090DA"/>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bottom w:val="single" w:sz="8" w:color="0090DA"/>
            </w:tcBorders>
          </w:tcPr>
          <w:p>
            <w:pPr>
              <w:spacing w:after="0"/>
              <w:rPr>
                <w:sz w:val="20"/>
                <w:szCs w:val="20"/>
                <w:color w:val="auto"/>
              </w:rPr>
            </w:pPr>
          </w:p>
        </w:tc>
        <w:tc>
          <w:tcPr>
            <w:tcW w:w="1120" w:type="dxa"/>
            <w:vAlign w:val="bottom"/>
            <w:tcBorders>
              <w:bottom w:val="single" w:sz="8" w:color="0090DA"/>
            </w:tcBorders>
          </w:tcPr>
          <w:p>
            <w:pPr>
              <w:jc w:val="right"/>
              <w:ind w:right="430"/>
              <w:spacing w:after="0"/>
              <w:rPr>
                <w:sz w:val="20"/>
                <w:szCs w:val="20"/>
                <w:color w:val="auto"/>
              </w:rPr>
            </w:pPr>
            <w:r>
              <w:rPr>
                <w:rFonts w:ascii="Arial" w:cs="Arial" w:eastAsia="Arial" w:hAnsi="Arial"/>
                <w:sz w:val="18"/>
                <w:szCs w:val="18"/>
                <w:b w:val="1"/>
                <w:bCs w:val="1"/>
                <w:color w:val="auto"/>
              </w:rPr>
              <w:t>2021</w:t>
            </w:r>
          </w:p>
        </w:tc>
      </w:tr>
      <w:tr>
        <w:trPr>
          <w:trHeight w:val="34"/>
        </w:trPr>
        <w:tc>
          <w:tcPr>
            <w:tcW w:w="8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Taiwan</w:t>
            </w:r>
          </w:p>
        </w:tc>
        <w:tc>
          <w:tcPr>
            <w:tcW w:w="320" w:type="dxa"/>
            <w:vAlign w:val="bottom"/>
            <w:shd w:val="clear" w:color="auto" w:fill="D1D2D4"/>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13,143</w:t>
            </w:r>
          </w:p>
        </w:tc>
        <w:tc>
          <w:tcPr>
            <w:tcW w:w="360" w:type="dxa"/>
            <w:vAlign w:val="bottom"/>
            <w:shd w:val="clear" w:color="auto" w:fill="D1D2D4"/>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11,457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Singapore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12,045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9,411</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7,113</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7,222</w:t>
            </w:r>
          </w:p>
        </w:tc>
      </w:tr>
      <w:tr>
        <w:trPr>
          <w:trHeight w:val="229"/>
        </w:trPr>
        <w:tc>
          <w:tcPr>
            <w:tcW w:w="8360" w:type="dxa"/>
            <w:vAlign w:val="bottom"/>
          </w:tcPr>
          <w:p>
            <w:pPr>
              <w:ind w:left="20"/>
              <w:spacing w:after="0" w:line="230" w:lineRule="exact"/>
              <w:rPr>
                <w:sz w:val="20"/>
                <w:szCs w:val="20"/>
                <w:color w:val="auto"/>
              </w:rPr>
            </w:pPr>
            <w:r>
              <w:rPr>
                <w:rFonts w:ascii="Arial" w:cs="Arial" w:eastAsia="Arial" w:hAnsi="Arial"/>
                <w:sz w:val="18"/>
                <w:szCs w:val="18"/>
                <w:color w:val="auto"/>
              </w:rPr>
              <w:t>United States</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5,155</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5,205</w:t>
            </w: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Malaysia</w:t>
            </w:r>
          </w:p>
        </w:tc>
        <w:tc>
          <w:tcPr>
            <w:tcW w:w="3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994</w:t>
            </w:r>
          </w:p>
        </w:tc>
        <w:tc>
          <w:tcPr>
            <w:tcW w:w="360" w:type="dxa"/>
            <w:vAlign w:val="bottom"/>
            <w:shd w:val="clear" w:color="auto" w:fill="D1D2D4"/>
          </w:tcPr>
          <w:p>
            <w:pPr>
              <w:spacing w:after="0"/>
              <w:rPr>
                <w:sz w:val="19"/>
                <w:szCs w:val="19"/>
                <w:color w:val="auto"/>
              </w:rPr>
            </w:pPr>
          </w:p>
        </w:tc>
        <w:tc>
          <w:tcPr>
            <w:tcW w:w="11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China</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440</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337</w:t>
            </w:r>
          </w:p>
        </w:tc>
        <w:tc>
          <w:tcPr>
            <w:tcW w:w="360" w:type="dxa"/>
            <w:vAlign w:val="bottom"/>
            <w:tcBorders>
              <w:bottom w:val="single" w:sz="8" w:color="auto"/>
            </w:tcBorders>
            <w:shd w:val="clear" w:color="auto" w:fill="D1D2D4"/>
          </w:tcPr>
          <w:p>
            <w:pPr>
              <w:spacing w:after="0"/>
              <w:rPr>
                <w:sz w:val="19"/>
                <w:szCs w:val="19"/>
                <w:color w:val="auto"/>
              </w:rPr>
            </w:pPr>
          </w:p>
        </w:tc>
        <w:tc>
          <w:tcPr>
            <w:tcW w:w="1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175</w:t>
            </w:r>
          </w:p>
        </w:tc>
      </w:tr>
      <w:tr>
        <w:trPr>
          <w:trHeight w:val="223"/>
        </w:trPr>
        <w:tc>
          <w:tcPr>
            <w:tcW w:w="83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39,227</w:t>
            </w:r>
          </w:p>
        </w:tc>
        <w:tc>
          <w:tcPr>
            <w:tcW w:w="3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34,663</w:t>
            </w:r>
          </w:p>
        </w:tc>
      </w:tr>
      <w:tr>
        <w:trPr>
          <w:trHeight w:val="20"/>
        </w:trPr>
        <w:tc>
          <w:tcPr>
            <w:tcW w:w="8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340" w:right="740" w:hanging="332"/>
        <w:spacing w:after="0" w:line="230" w:lineRule="auto"/>
        <w:tabs>
          <w:tab w:leader="none" w:pos="334" w:val="left"/>
        </w:tabs>
        <w:numPr>
          <w:ilvl w:val="0"/>
          <w:numId w:val="38"/>
        </w:numPr>
        <w:rPr>
          <w:rFonts w:ascii="Arial" w:cs="Arial" w:eastAsia="Arial" w:hAnsi="Arial"/>
          <w:sz w:val="23"/>
          <w:szCs w:val="23"/>
          <w:i w:val="1"/>
          <w:iCs w:val="1"/>
          <w:color w:val="auto"/>
          <w:vertAlign w:val="superscript"/>
        </w:rPr>
      </w:pPr>
      <w:r>
        <w:rPr>
          <w:rFonts w:ascii="Arial" w:cs="Arial" w:eastAsia="Arial" w:hAnsi="Arial"/>
          <w:sz w:val="18"/>
          <w:szCs w:val="18"/>
          <w:i w:val="1"/>
          <w:iCs w:val="1"/>
          <w:color w:val="auto"/>
        </w:rPr>
        <w:t>Included $899 million (net of impairment) as of September 2, 2021 of property, plant, and equipment for our Lehi facility that was classified as held for sale and presented in other current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8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Micron Technology, Inc.</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5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We have audited the accompanying consolidated balance sheets of Micron Technology, Inc. and its subsidiaries (the “Company”) as of September 1, 2022 and September 2, 2021, and the related consolidated statements of operations, of comprehensive income, of changes in equity and of cash flows for each of the three years in the period ended September 1, 2022, including the related notes and schedule of valuation and qualifying accounts for each of the three years in the period ended September 1, 2022 appearing under Item 15 (collectively referred to as the “consolidated financial statements”). We also have audited the Company’s internal control over financial reporting as of September 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September 1, 2022 and September 2, 2021</w:t>
      </w:r>
      <w:r>
        <w:rPr>
          <w:rFonts w:ascii="Arial" w:cs="Arial" w:eastAsia="Arial" w:hAnsi="Arial"/>
          <w:sz w:val="18"/>
          <w:szCs w:val="18"/>
          <w:b w:val="1"/>
          <w:bCs w:val="1"/>
          <w:color w:val="auto"/>
        </w:rPr>
        <w:t>,</w:t>
      </w:r>
      <w:r>
        <w:rPr>
          <w:rFonts w:ascii="Arial" w:cs="Arial" w:eastAsia="Arial" w:hAnsi="Arial"/>
          <w:sz w:val="18"/>
          <w:szCs w:val="18"/>
          <w:color w:val="auto"/>
        </w:rPr>
        <w:t xml:space="preserve"> and the results of its operations and its cash flows for each of the three years in the period ended September 1, 2022 in conformity with accounting principles generally accepted in the United States of America. Also in our opinion, the Company maintained, in all material respects, effective internal control over financial reporting as of September 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5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discussed in the Significant Accounting Policies and Inventories notes to the consolidated financial statements, the Company changed the manner in which it accounts for inventory costing from the average cost inventory accounting method to the first-in, first-out inventory accounting method in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3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5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5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Inventories (Finished goods and Work in process)</w:t>
      </w:r>
    </w:p>
    <w:p>
      <w:pPr>
        <w:spacing w:after="0" w:line="25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As described in the Significant Accounting Policies and Inventories notes to the consolidated financial statements, as of September 1, 2022, the Company had a net inventory balance for finished goods and work in process inventory totaling approximately $5.9 billion. As disclosed by management, determining the net realizable value of the Company's net inventories involves significant judgments, including projecting future average selling prices and future sales volumes.</w:t>
      </w:r>
    </w:p>
    <w:p>
      <w:pPr>
        <w:spacing w:after="0" w:line="20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finished goods and work in process inventories is a critical audit matter are the significant judgment by management in determining the net realizable value of inventories, which in turn led to significant auditor judgment, subjectivity and effort in performing procedures over the reasonableness of the significant assumptions related to future average selling prices and future sales volumes, used to estimate the net realizable value of finished goods and work in process inventories.</w:t>
      </w:r>
    </w:p>
    <w:p>
      <w:pPr>
        <w:spacing w:after="0" w:line="20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net realizable value of finished goods and work in process inventories, significant assumptions, and data used to value the inventories. These procedures also included, among others, testing management's process for developing the net realizable value estimate of finished goods and work in process inventories; evaluating the appropriateness of management’s estimated net realizable value methodology; testing the completeness, accuracy, and relevance of underlying data used in the estimate of net realizable value of finished goods and work in process inventories; and evaluating the reasonableness of management's assumptions related to future average selling prices and future sales volumes. Evaluating management's assumptions related to future average selling prices and future sales volumes involved evaluating whether the assumptions used by management were reasonable considering (i) current and past results, including recent sales, (ii) the consistency with external market, industry data and current contract prices, (iii) a comparison of the prior year estimates to actual results in the current year, and (iv) whether these assumptions were consistent with evidence obtained in other areas of the audit.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89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7, 2022</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1984.</w:t>
      </w:r>
    </w:p>
    <w:p>
      <w:pPr>
        <w:spacing w:after="0" w:line="200" w:lineRule="exact"/>
        <w:rPr>
          <w:sz w:val="20"/>
          <w:szCs w:val="20"/>
          <w:color w:val="auto"/>
        </w:rPr>
      </w:pPr>
    </w:p>
    <w:p>
      <w:pPr>
        <w:spacing w:after="0" w:line="219"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79705"/>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43255" cy="179705"/>
                    </a:xfrm>
                    <a:prstGeom prst="rect">
                      <a:avLst/>
                    </a:prstGeom>
                    <a:noFill/>
                    <a:ln>
                      <a:noFill/>
                    </a:ln>
                  </pic:spPr>
                </pic:pic>
              </a:graphicData>
            </a:graphic>
          </wp:inline>
        </w:drawing>
      </w:r>
      <w:r>
        <w:rPr>
          <w:rFonts w:ascii="Arial" w:cs="Arial" w:eastAsia="Arial" w:hAnsi="Arial"/>
          <w:sz w:val="13"/>
          <w:szCs w:val="13"/>
          <w:b w:val="1"/>
          <w:bCs w:val="1"/>
          <w:color w:val="auto"/>
        </w:rPr>
        <w:t xml:space="preserve">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260"/>
        <w:spacing w:after="0" w:line="298" w:lineRule="auto"/>
        <w:rPr>
          <w:sz w:val="20"/>
          <w:szCs w:val="20"/>
          <w:color w:val="auto"/>
        </w:rPr>
      </w:pPr>
      <w:r>
        <w:rPr>
          <w:rFonts w:ascii="Arial" w:cs="Arial" w:eastAsia="Arial" w:hAnsi="Arial"/>
          <w:sz w:val="25"/>
          <w:szCs w:val="25"/>
          <w:b w:val="1"/>
          <w:bCs w:val="1"/>
          <w:color w:val="auto"/>
        </w:rPr>
        <w:t>ITEM 9. CHANGES IN AND DISAGREEMENTS WITH ACCOUNTANTS ON ACCOUNTING AND FINANCIAL DISCLOSURE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9A. CONTROLS AND PROCEDURES</w:t>
      </w:r>
    </w:p>
    <w:p>
      <w:pPr>
        <w:spacing w:after="0" w:line="2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21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color w:val="auto"/>
        </w:rPr>
        <w:t>During the fourth quarter of 2022, there were no changes in our internal control over financial reporting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Management’s Report on Internal Control Over Financial Reporting</w:t>
      </w:r>
    </w:p>
    <w:p>
      <w:pPr>
        <w:spacing w:after="0" w:line="2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reflect the transactions and dispositions of our assets;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20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our internal control over financial reporting was effective as of September 1, 2022. The effectiveness of our internal control over financial reporting as of September 1, 2022 has been audited by PricewaterhouseCoopers LLP, an independent registered public accounting firm, as stated in their report, which is included in Part II, Item 8, of this Form 10-K.</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9B. OTHER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91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620"/>
        <w:spacing w:after="0" w:line="298" w:lineRule="auto"/>
        <w:rPr>
          <w:sz w:val="20"/>
          <w:szCs w:val="20"/>
          <w:color w:val="auto"/>
        </w:rPr>
      </w:pPr>
      <w:r>
        <w:rPr>
          <w:rFonts w:ascii="Arial" w:cs="Arial" w:eastAsia="Arial" w:hAnsi="Arial"/>
          <w:sz w:val="25"/>
          <w:szCs w:val="25"/>
          <w:b w:val="1"/>
          <w:bCs w:val="1"/>
          <w:color w:val="auto"/>
        </w:rPr>
        <w:t>ITEM 9C. DISCLOSURE REGARDING FOREIGN JURISDICTIONS THAT PREVENT INSPECTIONS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III</w:t>
      </w:r>
    </w:p>
    <w:p>
      <w:pPr>
        <w:spacing w:after="0" w:line="257" w:lineRule="exact"/>
        <w:rPr>
          <w:sz w:val="20"/>
          <w:szCs w:val="20"/>
          <w:color w:val="auto"/>
        </w:rPr>
      </w:pPr>
    </w:p>
    <w:p>
      <w:pPr>
        <w:ind w:right="1520"/>
        <w:spacing w:after="0" w:line="456" w:lineRule="auto"/>
        <w:rPr>
          <w:sz w:val="20"/>
          <w:szCs w:val="20"/>
          <w:color w:val="auto"/>
        </w:rPr>
      </w:pPr>
      <w:r>
        <w:rPr>
          <w:rFonts w:ascii="Arial" w:cs="Arial" w:eastAsia="Arial" w:hAnsi="Arial"/>
          <w:sz w:val="25"/>
          <w:szCs w:val="25"/>
          <w:b w:val="1"/>
          <w:bCs w:val="1"/>
          <w:color w:val="auto"/>
        </w:rPr>
        <w:t>ITEM 10. DIRECTORS, EXECUTIVE OFFICERS, AND CORPORATE GOVERNANCE ITEM 11. EXECUTIVE COMPENSATION</w:t>
      </w:r>
    </w:p>
    <w:p>
      <w:pPr>
        <w:spacing w:after="0" w:line="1" w:lineRule="exact"/>
        <w:rPr>
          <w:sz w:val="20"/>
          <w:szCs w:val="20"/>
          <w:color w:val="auto"/>
        </w:rPr>
      </w:pPr>
    </w:p>
    <w:p>
      <w:pPr>
        <w:ind w:right="360"/>
        <w:spacing w:after="0" w:line="309" w:lineRule="auto"/>
        <w:rPr>
          <w:sz w:val="20"/>
          <w:szCs w:val="20"/>
          <w:color w:val="auto"/>
        </w:rPr>
      </w:pPr>
      <w:r>
        <w:rPr>
          <w:rFonts w:ascii="Arial" w:cs="Arial" w:eastAsia="Arial" w:hAnsi="Arial"/>
          <w:sz w:val="25"/>
          <w:szCs w:val="25"/>
          <w:b w:val="1"/>
          <w:bCs w:val="1"/>
          <w:color w:val="auto"/>
        </w:rPr>
        <w:t>ITEM 12. SECURITY OWNERSHIP OF CERTAIN BENEFICIAL OWNERS AND MANAGEMENT AND RELATED STOCKHOLDER MATTERS</w:t>
      </w:r>
    </w:p>
    <w:p>
      <w:pPr>
        <w:spacing w:after="0" w:line="110" w:lineRule="exact"/>
        <w:rPr>
          <w:sz w:val="20"/>
          <w:szCs w:val="20"/>
          <w:color w:val="auto"/>
        </w:rPr>
      </w:pPr>
    </w:p>
    <w:p>
      <w:pPr>
        <w:ind w:right="960"/>
        <w:spacing w:after="0" w:line="298" w:lineRule="auto"/>
        <w:rPr>
          <w:sz w:val="20"/>
          <w:szCs w:val="20"/>
          <w:color w:val="auto"/>
        </w:rPr>
      </w:pPr>
      <w:r>
        <w:rPr>
          <w:rFonts w:ascii="Arial" w:cs="Arial" w:eastAsia="Arial" w:hAnsi="Arial"/>
          <w:sz w:val="25"/>
          <w:szCs w:val="25"/>
          <w:b w:val="1"/>
          <w:bCs w:val="1"/>
          <w:color w:val="auto"/>
        </w:rPr>
        <w:t>ITEM 13. CERTAIN RELATIONSHIPS AND RELATED TRANSACTIONS, AND DIRECTOR INDEPENDENCE</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14. PRINCIPAL ACCOUNTANT FEES AND SERVICES</w:t>
      </w:r>
    </w:p>
    <w:p>
      <w:pPr>
        <w:spacing w:after="0" w:line="2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Certain information concerning our executive officers is included under the caption, “Information About Our Executive Officers” in Part I, Item 1 of this report. Other information required by Items 10, 11, 12, 13, and 14 will be contained in our 2022 Proxy Statement which will be filed with the SEC within 120 days after September 1, 2022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PART IV</w:t>
      </w:r>
    </w:p>
    <w:p>
      <w:pPr>
        <w:spacing w:after="0" w:line="27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15. EXHIBITS AND FINANCIAL STATEMENT SCHEDULE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50" w:lineRule="exact"/>
        <w:rPr>
          <w:sz w:val="20"/>
          <w:szCs w:val="20"/>
          <w:color w:val="auto"/>
        </w:rPr>
      </w:pPr>
    </w:p>
    <w:p>
      <w:pPr>
        <w:ind w:left="600" w:hanging="358"/>
        <w:spacing w:after="0"/>
        <w:tabs>
          <w:tab w:leader="none" w:pos="6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Statements: See our consolidated financial statements under Item 8.</w:t>
      </w:r>
    </w:p>
    <w:p>
      <w:pPr>
        <w:spacing w:after="0" w:line="9" w:lineRule="exact"/>
        <w:rPr>
          <w:sz w:val="20"/>
          <w:szCs w:val="20"/>
          <w:color w:val="auto"/>
        </w:rPr>
      </w:pPr>
    </w:p>
    <w:p>
      <w:pPr>
        <w:ind w:left="600" w:hanging="358"/>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 Schedule:</w:t>
      </w:r>
    </w:p>
    <w:p>
      <w:pPr>
        <w:ind w:left="600"/>
        <w:spacing w:after="0"/>
        <w:rPr>
          <w:rFonts w:ascii="Arial" w:cs="Arial" w:eastAsia="Arial" w:hAnsi="Arial"/>
          <w:sz w:val="18"/>
          <w:szCs w:val="18"/>
          <w:color w:val="auto"/>
        </w:rPr>
      </w:pPr>
      <w:r>
        <w:rPr>
          <w:rFonts w:ascii="Arial" w:cs="Arial" w:eastAsia="Arial" w:hAnsi="Arial"/>
          <w:sz w:val="18"/>
          <w:szCs w:val="18"/>
          <w:color w:val="auto"/>
        </w:rPr>
        <w:t>See “Schedule II – Valuation and Qualifying Accounts” within Item 15 below.</w:t>
      </w:r>
    </w:p>
    <w:p>
      <w:pPr>
        <w:spacing w:after="0" w:line="140" w:lineRule="exact"/>
        <w:rPr>
          <w:sz w:val="20"/>
          <w:szCs w:val="20"/>
          <w:color w:val="auto"/>
        </w:rPr>
      </w:pPr>
    </w:p>
    <w:p>
      <w:pPr>
        <w:ind w:left="600" w:right="440"/>
        <w:spacing w:after="0"/>
        <w:rPr>
          <w:sz w:val="20"/>
          <w:szCs w:val="20"/>
          <w:color w:val="auto"/>
        </w:rPr>
      </w:pPr>
      <w:r>
        <w:rPr>
          <w:rFonts w:ascii="Arial" w:cs="Arial" w:eastAsia="Arial" w:hAnsi="Arial"/>
          <w:sz w:val="18"/>
          <w:szCs w:val="18"/>
          <w:color w:val="auto"/>
        </w:rPr>
        <w:t>Certain Financial Statement Schedules have been omitted since they are either not required, not applicable, or the information is otherwise included.</w:t>
      </w:r>
    </w:p>
    <w:p>
      <w:pPr>
        <w:ind w:left="600" w:hanging="358"/>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Exhibits. See “Index to Exhibits” within Item 15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93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SCHEDULE II</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8"/>
              </w:rPr>
              <w:t>Charged</w:t>
            </w:r>
          </w:p>
        </w:tc>
        <w:tc>
          <w:tcPr>
            <w:tcW w:w="140" w:type="dxa"/>
            <w:vAlign w:val="bottom"/>
          </w:tcPr>
          <w:p>
            <w:pPr>
              <w:spacing w:after="0"/>
              <w:rPr>
                <w:sz w:val="17"/>
                <w:szCs w:val="17"/>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8"/>
              </w:rPr>
              <w:t>Currency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Balance at</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110"/>
              <w:spacing w:after="0" w:line="181" w:lineRule="exact"/>
              <w:rPr>
                <w:sz w:val="20"/>
                <w:szCs w:val="20"/>
                <w:color w:val="auto"/>
              </w:rPr>
            </w:pPr>
            <w:r>
              <w:rPr>
                <w:rFonts w:ascii="Arial" w:cs="Arial" w:eastAsia="Arial" w:hAnsi="Arial"/>
                <w:sz w:val="18"/>
                <w:szCs w:val="18"/>
                <w:b w:val="1"/>
                <w:bCs w:val="1"/>
                <w:color w:val="auto"/>
                <w:w w:val="98"/>
              </w:rPr>
              <w:t>Translation</w:t>
            </w:r>
          </w:p>
        </w:tc>
        <w:tc>
          <w:tcPr>
            <w:tcW w:w="180" w:type="dxa"/>
            <w:vAlign w:val="bottom"/>
          </w:tcPr>
          <w:p>
            <w:pPr>
              <w:spacing w:after="0"/>
              <w:rPr>
                <w:sz w:val="15"/>
                <w:szCs w:val="15"/>
                <w:color w:val="auto"/>
              </w:rPr>
            </w:pPr>
          </w:p>
        </w:tc>
        <w:tc>
          <w:tcPr>
            <w:tcW w:w="1200" w:type="dxa"/>
            <w:vAlign w:val="bottom"/>
            <w:vMerge w:val="restart"/>
          </w:tcPr>
          <w:p>
            <w:pPr>
              <w:jc w:val="center"/>
              <w:ind w:right="90"/>
              <w:spacing w:after="0"/>
              <w:rPr>
                <w:sz w:val="20"/>
                <w:szCs w:val="20"/>
                <w:color w:val="auto"/>
              </w:rPr>
            </w:pPr>
            <w:r>
              <w:rPr>
                <w:rFonts w:ascii="Arial" w:cs="Arial" w:eastAsia="Arial" w:hAnsi="Arial"/>
                <w:sz w:val="18"/>
                <w:szCs w:val="18"/>
                <w:b w:val="1"/>
                <w:bCs w:val="1"/>
                <w:color w:val="auto"/>
                <w:w w:val="99"/>
              </w:rPr>
              <w:t>Balance at</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30"/>
              <w:spacing w:after="0" w:line="189" w:lineRule="exact"/>
              <w:rPr>
                <w:sz w:val="20"/>
                <w:szCs w:val="20"/>
                <w:color w:val="auto"/>
              </w:rPr>
            </w:pPr>
            <w:r>
              <w:rPr>
                <w:rFonts w:ascii="Arial" w:cs="Arial" w:eastAsia="Arial" w:hAnsi="Arial"/>
                <w:sz w:val="18"/>
                <w:szCs w:val="18"/>
                <w:b w:val="1"/>
                <w:bCs w:val="1"/>
                <w:color w:val="auto"/>
              </w:rPr>
              <w:t>(Credited) to</w:t>
            </w:r>
          </w:p>
        </w:tc>
        <w:tc>
          <w:tcPr>
            <w:tcW w:w="140" w:type="dxa"/>
            <w:vAlign w:val="bottom"/>
          </w:tcPr>
          <w:p>
            <w:pPr>
              <w:spacing w:after="0"/>
              <w:rPr>
                <w:sz w:val="16"/>
                <w:szCs w:val="16"/>
                <w:color w:val="auto"/>
              </w:rPr>
            </w:pPr>
          </w:p>
        </w:tc>
        <w:tc>
          <w:tcPr>
            <w:tcW w:w="124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and Charges</w:t>
            </w:r>
          </w:p>
        </w:tc>
        <w:tc>
          <w:tcPr>
            <w:tcW w:w="1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Beginning of</w:t>
            </w:r>
          </w:p>
        </w:tc>
        <w:tc>
          <w:tcPr>
            <w:tcW w:w="16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8"/>
              </w:rPr>
              <w:t>Income Tax</w:t>
            </w: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99"/>
              </w:rPr>
              <w:t>to Other</w:t>
            </w:r>
          </w:p>
        </w:tc>
        <w:tc>
          <w:tcPr>
            <w:tcW w:w="180" w:type="dxa"/>
            <w:vAlign w:val="bottom"/>
          </w:tcPr>
          <w:p>
            <w:pPr>
              <w:spacing w:after="0"/>
              <w:rPr>
                <w:sz w:val="15"/>
                <w:szCs w:val="15"/>
                <w:color w:val="auto"/>
              </w:rPr>
            </w:pPr>
          </w:p>
        </w:tc>
        <w:tc>
          <w:tcPr>
            <w:tcW w:w="120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9"/>
              </w:rPr>
              <w:t>End of</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0090DA"/>
            </w:tcBorders>
          </w:tcPr>
          <w:p>
            <w:pPr>
              <w:spacing w:after="0"/>
              <w:rPr>
                <w:sz w:val="19"/>
                <w:szCs w:val="19"/>
                <w:color w:val="auto"/>
              </w:rPr>
            </w:pPr>
          </w:p>
        </w:tc>
        <w:tc>
          <w:tcPr>
            <w:tcW w:w="1380" w:type="dxa"/>
            <w:vAlign w:val="bottom"/>
            <w:tcBorders>
              <w:bottom w:val="single" w:sz="8" w:color="0090DA"/>
            </w:tcBorders>
          </w:tcPr>
          <w:p>
            <w:pPr>
              <w:spacing w:after="0"/>
              <w:rPr>
                <w:sz w:val="19"/>
                <w:szCs w:val="19"/>
                <w:color w:val="auto"/>
              </w:rPr>
            </w:pPr>
          </w:p>
        </w:tc>
        <w:tc>
          <w:tcPr>
            <w:tcW w:w="1220" w:type="dxa"/>
            <w:vAlign w:val="bottom"/>
            <w:tcBorders>
              <w:bottom w:val="single" w:sz="8" w:color="0090DA"/>
            </w:tcBorders>
          </w:tcPr>
          <w:p>
            <w:pPr>
              <w:jc w:val="center"/>
              <w:spacing w:after="0"/>
              <w:rPr>
                <w:sz w:val="20"/>
                <w:szCs w:val="20"/>
                <w:color w:val="auto"/>
              </w:rPr>
            </w:pPr>
            <w:r>
              <w:rPr>
                <w:rFonts w:ascii="Arial" w:cs="Arial" w:eastAsia="Arial" w:hAnsi="Arial"/>
                <w:sz w:val="18"/>
                <w:szCs w:val="18"/>
                <w:b w:val="1"/>
                <w:bCs w:val="1"/>
                <w:color w:val="auto"/>
                <w:w w:val="97"/>
              </w:rPr>
              <w:t>Year</w:t>
            </w:r>
          </w:p>
        </w:tc>
        <w:tc>
          <w:tcPr>
            <w:tcW w:w="16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Provision</w:t>
            </w:r>
          </w:p>
        </w:tc>
        <w:tc>
          <w:tcPr>
            <w:tcW w:w="140" w:type="dxa"/>
            <w:vAlign w:val="bottom"/>
            <w:tcBorders>
              <w:bottom w:val="single" w:sz="8" w:color="0090DA"/>
            </w:tcBorders>
          </w:tcPr>
          <w:p>
            <w:pPr>
              <w:spacing w:after="0"/>
              <w:rPr>
                <w:sz w:val="19"/>
                <w:szCs w:val="19"/>
                <w:color w:val="auto"/>
              </w:rPr>
            </w:pPr>
          </w:p>
        </w:tc>
        <w:tc>
          <w:tcPr>
            <w:tcW w:w="1240" w:type="dxa"/>
            <w:vAlign w:val="bottom"/>
            <w:tcBorders>
              <w:bottom w:val="single" w:sz="8" w:color="0090DA"/>
            </w:tcBorders>
          </w:tcPr>
          <w:p>
            <w:pPr>
              <w:jc w:val="center"/>
              <w:ind w:right="50"/>
              <w:spacing w:after="0"/>
              <w:rPr>
                <w:sz w:val="20"/>
                <w:szCs w:val="20"/>
                <w:color w:val="auto"/>
              </w:rPr>
            </w:pPr>
            <w:r>
              <w:rPr>
                <w:rFonts w:ascii="Arial" w:cs="Arial" w:eastAsia="Arial" w:hAnsi="Arial"/>
                <w:sz w:val="18"/>
                <w:szCs w:val="18"/>
                <w:b w:val="1"/>
                <w:bCs w:val="1"/>
                <w:color w:val="auto"/>
                <w:w w:val="99"/>
              </w:rPr>
              <w:t>Accounts</w:t>
            </w:r>
          </w:p>
        </w:tc>
        <w:tc>
          <w:tcPr>
            <w:tcW w:w="180" w:type="dxa"/>
            <w:vAlign w:val="bottom"/>
            <w:tcBorders>
              <w:bottom w:val="single" w:sz="8" w:color="0090DA"/>
            </w:tcBorders>
          </w:tcPr>
          <w:p>
            <w:pPr>
              <w:spacing w:after="0"/>
              <w:rPr>
                <w:sz w:val="19"/>
                <w:szCs w:val="19"/>
                <w:color w:val="auto"/>
              </w:rPr>
            </w:pPr>
          </w:p>
        </w:tc>
        <w:tc>
          <w:tcPr>
            <w:tcW w:w="1200" w:type="dxa"/>
            <w:vAlign w:val="bottom"/>
            <w:tcBorders>
              <w:bottom w:val="single" w:sz="8" w:color="0090DA"/>
            </w:tcBorders>
          </w:tcPr>
          <w:p>
            <w:pPr>
              <w:jc w:val="center"/>
              <w:ind w:right="90"/>
              <w:spacing w:after="0"/>
              <w:rPr>
                <w:sz w:val="20"/>
                <w:szCs w:val="20"/>
                <w:color w:val="auto"/>
              </w:rPr>
            </w:pPr>
            <w:r>
              <w:rPr>
                <w:rFonts w:ascii="Arial" w:cs="Arial" w:eastAsia="Arial" w:hAnsi="Arial"/>
                <w:sz w:val="18"/>
                <w:szCs w:val="18"/>
                <w:b w:val="1"/>
                <w:bCs w:val="1"/>
                <w:color w:val="auto"/>
                <w:w w:val="97"/>
              </w:rPr>
              <w:t>Year</w:t>
            </w:r>
          </w:p>
        </w:tc>
        <w:tc>
          <w:tcPr>
            <w:tcW w:w="0" w:type="dxa"/>
            <w:vAlign w:val="bottom"/>
          </w:tcPr>
          <w:p>
            <w:pPr>
              <w:spacing w:after="0"/>
              <w:rPr>
                <w:sz w:val="1"/>
                <w:szCs w:val="1"/>
                <w:color w:val="auto"/>
              </w:rPr>
            </w:pPr>
          </w:p>
        </w:tc>
      </w:tr>
      <w:tr>
        <w:trPr>
          <w:trHeight w:val="34"/>
        </w:trPr>
        <w:tc>
          <w:tcPr>
            <w:tcW w:w="4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480" w:type="dxa"/>
            <w:vAlign w:val="bottom"/>
            <w:shd w:val="clear" w:color="auto" w:fill="D1D2D4"/>
          </w:tcPr>
          <w:p>
            <w:pPr>
              <w:ind w:left="20"/>
              <w:spacing w:after="0"/>
              <w:rPr>
                <w:sz w:val="20"/>
                <w:szCs w:val="20"/>
                <w:color w:val="auto"/>
              </w:rPr>
            </w:pPr>
            <w:r>
              <w:rPr>
                <w:rFonts w:ascii="Arial" w:cs="Arial" w:eastAsia="Arial" w:hAnsi="Arial"/>
                <w:sz w:val="18"/>
                <w:szCs w:val="18"/>
                <w:color w:val="auto"/>
              </w:rPr>
              <w:t>Deferred Tax Asset Valuation Allowance</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Arial" w:cs="Arial" w:eastAsia="Arial" w:hAnsi="Arial"/>
                <w:sz w:val="18"/>
                <w:szCs w:val="18"/>
                <w:color w:val="auto"/>
              </w:rPr>
              <w:t>Year ended September 1, 2022</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4480" w:type="dxa"/>
            <w:vAlign w:val="bottom"/>
            <w:shd w:val="clear" w:color="auto" w:fill="D1D2D4"/>
          </w:tcPr>
          <w:p>
            <w:pPr>
              <w:ind w:left="140"/>
              <w:spacing w:after="0"/>
              <w:rPr>
                <w:sz w:val="20"/>
                <w:szCs w:val="20"/>
                <w:color w:val="auto"/>
              </w:rPr>
            </w:pPr>
            <w:r>
              <w:rPr>
                <w:rFonts w:ascii="Arial" w:cs="Arial" w:eastAsia="Arial" w:hAnsi="Arial"/>
                <w:sz w:val="18"/>
                <w:szCs w:val="18"/>
                <w:color w:val="auto"/>
              </w:rPr>
              <w:t>Year ended September 2, 2021</w:t>
            </w:r>
          </w:p>
        </w:tc>
        <w:tc>
          <w:tcPr>
            <w:tcW w:w="1380" w:type="dxa"/>
            <w:vAlign w:val="bottom"/>
            <w:shd w:val="clear" w:color="auto" w:fill="D1D2D4"/>
          </w:tcPr>
          <w:p>
            <w:pPr>
              <w:spacing w:after="0"/>
              <w:rPr>
                <w:sz w:val="19"/>
                <w:szCs w:val="19"/>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D1D2D4"/>
          </w:tcPr>
          <w:p>
            <w:pPr>
              <w:spacing w:after="0"/>
              <w:rPr>
                <w:sz w:val="19"/>
                <w:szCs w:val="19"/>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D1D2D4"/>
          </w:tcPr>
          <w:p>
            <w:pPr>
              <w:spacing w:after="0"/>
              <w:rPr>
                <w:sz w:val="19"/>
                <w:szCs w:val="19"/>
                <w:color w:val="auto"/>
              </w:rPr>
            </w:pPr>
          </w:p>
        </w:tc>
        <w:tc>
          <w:tcPr>
            <w:tcW w:w="12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9"/>
        </w:trPr>
        <w:tc>
          <w:tcPr>
            <w:tcW w:w="4480" w:type="dxa"/>
            <w:vAlign w:val="bottom"/>
          </w:tcPr>
          <w:p>
            <w:pPr>
              <w:ind w:left="140"/>
              <w:spacing w:after="0"/>
              <w:rPr>
                <w:sz w:val="20"/>
                <w:szCs w:val="20"/>
                <w:color w:val="auto"/>
              </w:rPr>
            </w:pPr>
            <w:r>
              <w:rPr>
                <w:rFonts w:ascii="Arial" w:cs="Arial" w:eastAsia="Arial" w:hAnsi="Arial"/>
                <w:sz w:val="18"/>
                <w:szCs w:val="18"/>
                <w:color w:val="auto"/>
              </w:rPr>
              <w:t>Year ended September 3, 2020</w:t>
            </w:r>
          </w:p>
        </w:tc>
        <w:tc>
          <w:tcPr>
            <w:tcW w:w="1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277</w:t>
            </w: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Index to Exhibits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80" w:type="dxa"/>
            <w:vAlign w:val="bottom"/>
            <w:gridSpan w:val="28"/>
            <w:vMerge w:val="restart"/>
          </w:tcPr>
          <w:p>
            <w:pPr>
              <w:ind w:left="160"/>
              <w:spacing w:after="0"/>
              <w:rPr>
                <w:sz w:val="20"/>
                <w:szCs w:val="20"/>
                <w:color w:val="auto"/>
              </w:rPr>
            </w:pPr>
            <w:r>
              <w:rPr>
                <w:rFonts w:ascii="Arial" w:cs="Arial" w:eastAsia="Arial" w:hAnsi="Arial"/>
                <w:sz w:val="18"/>
                <w:szCs w:val="18"/>
                <w:b w:val="1"/>
                <w:bCs w:val="1"/>
                <w:color w:val="auto"/>
              </w:rPr>
              <w:t>Description of Exhibit</w:t>
            </w:r>
          </w:p>
        </w:tc>
        <w:tc>
          <w:tcPr>
            <w:tcW w:w="1800" w:type="dxa"/>
            <w:vAlign w:val="bottom"/>
          </w:tcPr>
          <w:p>
            <w:pPr>
              <w:ind w:left="300"/>
              <w:spacing w:after="0"/>
              <w:rPr>
                <w:sz w:val="20"/>
                <w:szCs w:val="20"/>
                <w:color w:val="auto"/>
              </w:rPr>
            </w:pPr>
            <w:r>
              <w:rPr>
                <w:rFonts w:ascii="Arial" w:cs="Arial" w:eastAsia="Arial" w:hAnsi="Arial"/>
                <w:sz w:val="18"/>
                <w:szCs w:val="18"/>
                <w:b w:val="1"/>
                <w:bCs w:val="1"/>
                <w:color w:val="auto"/>
              </w:rPr>
              <w:t>Filed</w:t>
            </w:r>
          </w:p>
        </w:tc>
        <w:tc>
          <w:tcPr>
            <w:tcW w:w="860" w:type="dxa"/>
            <w:vAlign w:val="bottom"/>
          </w:tcPr>
          <w:p>
            <w:pPr>
              <w:ind w:left="20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ind w:left="280"/>
              <w:spacing w:after="0"/>
              <w:rPr>
                <w:sz w:val="20"/>
                <w:szCs w:val="20"/>
                <w:color w:val="auto"/>
              </w:rPr>
            </w:pPr>
            <w:r>
              <w:rPr>
                <w:rFonts w:ascii="Arial" w:cs="Arial" w:eastAsia="Arial" w:hAnsi="Arial"/>
                <w:sz w:val="18"/>
                <w:szCs w:val="18"/>
                <w:b w:val="1"/>
                <w:bCs w:val="1"/>
                <w:color w:val="auto"/>
              </w:rPr>
              <w:t>Exhibit/</w:t>
            </w:r>
          </w:p>
        </w:tc>
        <w:tc>
          <w:tcPr>
            <w:tcW w:w="960" w:type="dxa"/>
            <w:vAlign w:val="bottom"/>
          </w:tcPr>
          <w:p>
            <w:pPr>
              <w:ind w:left="26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35"/>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3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28"/>
            <w:vMerge w:val="continue"/>
          </w:tcPr>
          <w:p>
            <w:pPr>
              <w:spacing w:after="0"/>
              <w:rPr>
                <w:sz w:val="20"/>
                <w:szCs w:val="20"/>
                <w:color w:val="auto"/>
              </w:rPr>
            </w:pPr>
          </w:p>
        </w:tc>
        <w:tc>
          <w:tcPr>
            <w:tcW w:w="18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Herewith   Form</w:t>
            </w:r>
          </w:p>
        </w:tc>
        <w:tc>
          <w:tcPr>
            <w:tcW w:w="8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Appendix</w:t>
            </w:r>
          </w:p>
        </w:tc>
        <w:tc>
          <w:tcPr>
            <w:tcW w:w="9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3"/>
        </w:trPr>
        <w:tc>
          <w:tcPr>
            <w:tcW w:w="980" w:type="dxa"/>
            <w:vAlign w:val="bottom"/>
            <w:tcBorders>
              <w:bottom w:val="single" w:sz="8" w:color="D1D2D4"/>
            </w:tcBorders>
            <w:shd w:val="clear" w:color="auto" w:fill="D1D2D4"/>
          </w:tcPr>
          <w:p>
            <w:pPr>
              <w:ind w:left="20"/>
              <w:spacing w:after="0" w:line="182" w:lineRule="exact"/>
              <w:rPr>
                <w:sz w:val="20"/>
                <w:szCs w:val="20"/>
                <w:color w:val="auto"/>
              </w:rPr>
            </w:pPr>
            <w:r>
              <w:rPr>
                <w:rFonts w:ascii="Arial" w:cs="Arial" w:eastAsia="Arial" w:hAnsi="Arial"/>
                <w:sz w:val="18"/>
                <w:szCs w:val="18"/>
                <w:color w:val="auto"/>
              </w:rPr>
              <w:t>3.1</w:t>
            </w:r>
          </w:p>
        </w:tc>
        <w:tc>
          <w:tcPr>
            <w:tcW w:w="4260" w:type="dxa"/>
            <w:vAlign w:val="bottom"/>
            <w:tcBorders>
              <w:bottom w:val="single" w:sz="8" w:color="auto"/>
            </w:tcBorders>
            <w:gridSpan w:val="16"/>
            <w:shd w:val="clear" w:color="auto" w:fill="D1D2D4"/>
          </w:tcPr>
          <w:p>
            <w:pPr>
              <w:spacing w:after="0" w:line="182" w:lineRule="exact"/>
              <w:rPr>
                <w:rFonts w:ascii="Arial" w:cs="Arial" w:eastAsia="Arial" w:hAnsi="Arial"/>
                <w:sz w:val="18"/>
                <w:szCs w:val="18"/>
                <w:color w:val="auto"/>
                <w:w w:val="99"/>
              </w:rPr>
            </w:pPr>
            <w:hyperlink r:id="rId164">
              <w:r>
                <w:rPr>
                  <w:rFonts w:ascii="Arial" w:cs="Arial" w:eastAsia="Arial" w:hAnsi="Arial"/>
                  <w:sz w:val="18"/>
                  <w:szCs w:val="18"/>
                  <w:color w:val="auto"/>
                  <w:w w:val="99"/>
                </w:rPr>
                <w:t>Restated Certificate of Incorporation of the Registrant</w:t>
              </w:r>
            </w:hyperlink>
          </w:p>
        </w:tc>
        <w:tc>
          <w:tcPr>
            <w:tcW w:w="1300" w:type="dxa"/>
            <w:vAlign w:val="bottom"/>
            <w:tcBorders>
              <w:bottom w:val="single" w:sz="8" w:color="D1D2D4"/>
            </w:tcBorders>
            <w:gridSpan w:val="16"/>
            <w:shd w:val="clear" w:color="auto" w:fill="D1D2D4"/>
          </w:tcPr>
          <w:p>
            <w:pPr>
              <w:spacing w:after="0"/>
              <w:rPr>
                <w:sz w:val="17"/>
                <w:szCs w:val="17"/>
                <w:color w:val="auto"/>
              </w:rPr>
            </w:pPr>
          </w:p>
        </w:tc>
        <w:tc>
          <w:tcPr>
            <w:tcW w:w="1800" w:type="dxa"/>
            <w:vAlign w:val="bottom"/>
            <w:tcBorders>
              <w:bottom w:val="single" w:sz="8" w:color="D1D2D4"/>
            </w:tcBorders>
            <w:shd w:val="clear" w:color="auto" w:fill="D1D2D4"/>
          </w:tcPr>
          <w:p>
            <w:pPr>
              <w:ind w:left="1040"/>
              <w:spacing w:after="0" w:line="182"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ind w:left="80"/>
              <w:spacing w:after="0" w:line="182" w:lineRule="exact"/>
              <w:rPr>
                <w:sz w:val="20"/>
                <w:szCs w:val="20"/>
                <w:color w:val="auto"/>
              </w:rPr>
            </w:pPr>
            <w:r>
              <w:rPr>
                <w:rFonts w:ascii="Arial" w:cs="Arial" w:eastAsia="Arial" w:hAnsi="Arial"/>
                <w:sz w:val="18"/>
                <w:szCs w:val="18"/>
                <w:color w:val="auto"/>
              </w:rPr>
              <w:t>99.2</w:t>
            </w:r>
          </w:p>
        </w:tc>
        <w:tc>
          <w:tcPr>
            <w:tcW w:w="960" w:type="dxa"/>
            <w:vAlign w:val="bottom"/>
            <w:tcBorders>
              <w:bottom w:val="single" w:sz="8" w:color="D1D2D4"/>
            </w:tcBorders>
            <w:shd w:val="clear" w:color="auto" w:fill="D1D2D4"/>
          </w:tcPr>
          <w:p>
            <w:pPr>
              <w:ind w:left="60"/>
              <w:spacing w:after="0" w:line="182" w:lineRule="exact"/>
              <w:rPr>
                <w:sz w:val="20"/>
                <w:szCs w:val="20"/>
                <w:color w:val="auto"/>
              </w:rPr>
            </w:pPr>
            <w:r>
              <w:rPr>
                <w:rFonts w:ascii="Arial" w:cs="Arial" w:eastAsia="Arial" w:hAnsi="Arial"/>
                <w:sz w:val="18"/>
                <w:szCs w:val="18"/>
                <w:color w:val="auto"/>
              </w:rPr>
              <w:t>1/26/15</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3.2</w:t>
            </w:r>
          </w:p>
        </w:tc>
        <w:tc>
          <w:tcPr>
            <w:tcW w:w="5560" w:type="dxa"/>
            <w:vAlign w:val="bottom"/>
            <w:gridSpan w:val="32"/>
          </w:tcPr>
          <w:p>
            <w:pPr>
              <w:spacing w:after="0" w:line="189" w:lineRule="exact"/>
              <w:rPr>
                <w:rFonts w:ascii="Arial" w:cs="Arial" w:eastAsia="Arial" w:hAnsi="Arial"/>
                <w:sz w:val="18"/>
                <w:szCs w:val="18"/>
                <w:color w:val="auto"/>
              </w:rPr>
            </w:pPr>
            <w:hyperlink r:id="rId165">
              <w:r>
                <w:rPr>
                  <w:rFonts w:ascii="Arial" w:cs="Arial" w:eastAsia="Arial" w:hAnsi="Arial"/>
                  <w:sz w:val="18"/>
                  <w:szCs w:val="18"/>
                  <w:color w:val="auto"/>
                </w:rPr>
                <w:t>Bylaws of the Registrant, Amended and Restated</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3.1</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2/16/21</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66">
              <w:r>
                <w:rPr>
                  <w:rFonts w:ascii="Arial" w:cs="Arial" w:eastAsia="Arial" w:hAnsi="Arial"/>
                  <w:sz w:val="18"/>
                  <w:szCs w:val="18"/>
                  <w:color w:val="auto"/>
                </w:rPr>
                <w:t>Indenture, dated as of February 6, 2019, by and between Micron</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140" w:type="dxa"/>
            <w:vAlign w:val="bottom"/>
            <w:tcBorders>
              <w:top w:val="single" w:sz="8" w:color="auto"/>
            </w:tcBorders>
            <w:gridSpan w:val="23"/>
            <w:shd w:val="clear" w:color="auto" w:fill="D1D2D4"/>
          </w:tcPr>
          <w:p>
            <w:pPr>
              <w:spacing w:after="0" w:line="169" w:lineRule="exact"/>
              <w:rPr>
                <w:rFonts w:ascii="Arial" w:cs="Arial" w:eastAsia="Arial" w:hAnsi="Arial"/>
                <w:sz w:val="18"/>
                <w:szCs w:val="18"/>
                <w:color w:val="auto"/>
                <w:w w:val="99"/>
              </w:rPr>
            </w:pPr>
            <w:hyperlink r:id="rId166">
              <w:r>
                <w:rPr>
                  <w:rFonts w:ascii="Arial" w:cs="Arial" w:eastAsia="Arial" w:hAnsi="Arial"/>
                  <w:sz w:val="18"/>
                  <w:szCs w:val="18"/>
                  <w:color w:val="auto"/>
                  <w:w w:val="99"/>
                </w:rPr>
                <w:t>Technology, Inc. and U.S. Bank National Association, as Trustee</w:t>
              </w:r>
            </w:hyperlink>
          </w:p>
        </w:tc>
        <w:tc>
          <w:tcPr>
            <w:tcW w:w="20" w:type="dxa"/>
            <w:vAlign w:val="bottom"/>
            <w:tcBorders>
              <w:top w:val="single" w:sz="8" w:color="D1D2D4"/>
            </w:tcBorders>
            <w:shd w:val="clear" w:color="auto" w:fill="D1D2D4"/>
          </w:tcPr>
          <w:p>
            <w:pPr>
              <w:spacing w:after="0"/>
              <w:rPr>
                <w:sz w:val="14"/>
                <w:szCs w:val="14"/>
                <w:color w:val="auto"/>
              </w:rPr>
            </w:pPr>
          </w:p>
        </w:tc>
        <w:tc>
          <w:tcPr>
            <w:tcW w:w="14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80" w:type="dxa"/>
            <w:vAlign w:val="bottom"/>
            <w:tcBorders>
              <w:top w:val="single" w:sz="8" w:color="D1D2D4"/>
            </w:tcBorders>
            <w:shd w:val="clear" w:color="auto" w:fill="D1D2D4"/>
          </w:tcPr>
          <w:p>
            <w:pPr>
              <w:spacing w:after="0"/>
              <w:rPr>
                <w:sz w:val="14"/>
                <w:szCs w:val="14"/>
                <w:color w:val="auto"/>
              </w:rPr>
            </w:pPr>
          </w:p>
        </w:tc>
        <w:tc>
          <w:tcPr>
            <w:tcW w:w="8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48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40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32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26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auto"/>
            </w:tcBorders>
            <w:shd w:val="clear" w:color="auto" w:fill="D1D2D4"/>
          </w:tcPr>
          <w:p>
            <w:pPr>
              <w:spacing w:after="0" w:line="20" w:lineRule="exact"/>
              <w:rPr>
                <w:sz w:val="1"/>
                <w:szCs w:val="1"/>
                <w:color w:val="auto"/>
              </w:rPr>
            </w:pPr>
          </w:p>
        </w:tc>
        <w:tc>
          <w:tcPr>
            <w:tcW w:w="340" w:type="dxa"/>
            <w:vAlign w:val="bottom"/>
            <w:tcBorders>
              <w:top w:val="single" w:sz="8" w:color="auto"/>
            </w:tcBorders>
            <w:shd w:val="clear" w:color="auto" w:fill="D1D2D4"/>
          </w:tcPr>
          <w:p>
            <w:pPr>
              <w:spacing w:after="0" w:line="20" w:lineRule="exact"/>
              <w:rPr>
                <w:sz w:val="1"/>
                <w:szCs w:val="1"/>
                <w:color w:val="auto"/>
              </w:rPr>
            </w:pPr>
          </w:p>
        </w:tc>
        <w:tc>
          <w:tcPr>
            <w:tcW w:w="100" w:type="dxa"/>
            <w:vAlign w:val="bottom"/>
            <w:tcBorders>
              <w:top w:val="single" w:sz="8" w:color="auto"/>
            </w:tcBorders>
            <w:shd w:val="clear" w:color="auto" w:fill="D1D2D4"/>
          </w:tcPr>
          <w:p>
            <w:pPr>
              <w:spacing w:after="0" w:line="20" w:lineRule="exact"/>
              <w:rPr>
                <w:sz w:val="1"/>
                <w:szCs w:val="1"/>
                <w:color w:val="auto"/>
              </w:rPr>
            </w:pPr>
          </w:p>
        </w:tc>
        <w:tc>
          <w:tcPr>
            <w:tcW w:w="80" w:type="dxa"/>
            <w:vAlign w:val="bottom"/>
            <w:tcBorders>
              <w:top w:val="single" w:sz="8" w:color="auto"/>
            </w:tcBorders>
            <w:shd w:val="clear" w:color="auto" w:fill="D1D2D4"/>
          </w:tcPr>
          <w:p>
            <w:pPr>
              <w:spacing w:after="0" w:line="20" w:lineRule="exact"/>
              <w:rPr>
                <w:sz w:val="1"/>
                <w:szCs w:val="1"/>
                <w:color w:val="auto"/>
              </w:rPr>
            </w:pPr>
          </w:p>
        </w:tc>
        <w:tc>
          <w:tcPr>
            <w:tcW w:w="60" w:type="dxa"/>
            <w:vAlign w:val="bottom"/>
            <w:tcBorders>
              <w:top w:val="single" w:sz="8" w:color="auto"/>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4.2</w:t>
            </w:r>
          </w:p>
        </w:tc>
        <w:tc>
          <w:tcPr>
            <w:tcW w:w="5560" w:type="dxa"/>
            <w:vAlign w:val="bottom"/>
            <w:gridSpan w:val="32"/>
          </w:tcPr>
          <w:p>
            <w:pPr>
              <w:spacing w:after="0" w:line="189" w:lineRule="exact"/>
              <w:rPr>
                <w:rFonts w:ascii="Arial" w:cs="Arial" w:eastAsia="Arial" w:hAnsi="Arial"/>
                <w:sz w:val="18"/>
                <w:szCs w:val="18"/>
                <w:color w:val="auto"/>
              </w:rPr>
            </w:pPr>
            <w:hyperlink r:id="rId167">
              <w:r>
                <w:rPr>
                  <w:rFonts w:ascii="Arial" w:cs="Arial" w:eastAsia="Arial" w:hAnsi="Arial"/>
                  <w:sz w:val="18"/>
                  <w:szCs w:val="18"/>
                  <w:color w:val="auto"/>
                </w:rPr>
                <w:t>First Supplemental Indenture, dated as of February 6, 2019, by and</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80" w:type="dxa"/>
            <w:vAlign w:val="bottom"/>
            <w:tcBorders>
              <w:top w:val="single" w:sz="8" w:color="auto"/>
            </w:tcBorders>
            <w:gridSpan w:val="29"/>
          </w:tcPr>
          <w:p>
            <w:pPr>
              <w:spacing w:after="0" w:line="169" w:lineRule="exact"/>
              <w:rPr>
                <w:rFonts w:ascii="Arial" w:cs="Arial" w:eastAsia="Arial" w:hAnsi="Arial"/>
                <w:sz w:val="18"/>
                <w:szCs w:val="18"/>
                <w:color w:val="auto"/>
              </w:rPr>
            </w:pPr>
            <w:hyperlink r:id="rId167">
              <w:r>
                <w:rPr>
                  <w:rFonts w:ascii="Arial" w:cs="Arial" w:eastAsia="Arial" w:hAnsi="Arial"/>
                  <w:sz w:val="18"/>
                  <w:szCs w:val="18"/>
                  <w:color w:val="auto"/>
                </w:rPr>
                <w:t>between Micron Technology, Inc. and U.S. Bank National</w:t>
              </w:r>
            </w:hyperlink>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540" w:type="dxa"/>
            <w:vAlign w:val="bottom"/>
            <w:tcBorders>
              <w:top w:val="single" w:sz="8" w:color="auto"/>
            </w:tcBorders>
            <w:gridSpan w:val="18"/>
          </w:tcPr>
          <w:p>
            <w:pPr>
              <w:spacing w:after="0" w:line="156" w:lineRule="exact"/>
              <w:rPr>
                <w:rFonts w:ascii="Arial" w:cs="Arial" w:eastAsia="Arial" w:hAnsi="Arial"/>
                <w:sz w:val="18"/>
                <w:szCs w:val="18"/>
                <w:color w:val="auto"/>
              </w:rPr>
            </w:pPr>
            <w:hyperlink r:id="rId167">
              <w:r>
                <w:rPr>
                  <w:rFonts w:ascii="Arial" w:cs="Arial" w:eastAsia="Arial" w:hAnsi="Arial"/>
                  <w:sz w:val="18"/>
                  <w:szCs w:val="18"/>
                  <w:color w:val="auto"/>
                </w:rPr>
                <w:t>Association, as Trustee</w:t>
              </w:r>
            </w:hyperlink>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4.3</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67">
              <w:r>
                <w:rPr>
                  <w:rFonts w:ascii="Arial" w:cs="Arial" w:eastAsia="Arial" w:hAnsi="Arial"/>
                  <w:sz w:val="18"/>
                  <w:szCs w:val="18"/>
                  <w:color w:val="auto"/>
                </w:rPr>
                <w:t>Form of Note for Micron Technology, Inc.’s 4.975% Senior Notes due</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30"/>
            <w:shd w:val="clear" w:color="auto" w:fill="D1D2D4"/>
          </w:tcPr>
          <w:p>
            <w:pPr>
              <w:spacing w:after="0" w:line="169" w:lineRule="exact"/>
              <w:rPr>
                <w:rFonts w:ascii="Arial" w:cs="Arial" w:eastAsia="Arial" w:hAnsi="Arial"/>
                <w:sz w:val="18"/>
                <w:szCs w:val="18"/>
                <w:color w:val="auto"/>
              </w:rPr>
            </w:pPr>
            <w:hyperlink r:id="rId167">
              <w:r>
                <w:rPr>
                  <w:rFonts w:ascii="Arial" w:cs="Arial" w:eastAsia="Arial" w:hAnsi="Arial"/>
                  <w:sz w:val="18"/>
                  <w:szCs w:val="18"/>
                  <w:color w:val="auto"/>
                </w:rPr>
                <w:t>2026 (included in Exhibit 4.2)</w:t>
              </w:r>
            </w:hyperlink>
          </w:p>
        </w:tc>
        <w:tc>
          <w:tcPr>
            <w:tcW w:w="8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4.4</w:t>
            </w:r>
          </w:p>
        </w:tc>
        <w:tc>
          <w:tcPr>
            <w:tcW w:w="5560" w:type="dxa"/>
            <w:vAlign w:val="bottom"/>
            <w:gridSpan w:val="32"/>
          </w:tcPr>
          <w:p>
            <w:pPr>
              <w:spacing w:after="0" w:line="189" w:lineRule="exact"/>
              <w:rPr>
                <w:rFonts w:ascii="Arial" w:cs="Arial" w:eastAsia="Arial" w:hAnsi="Arial"/>
                <w:sz w:val="18"/>
                <w:szCs w:val="18"/>
                <w:color w:val="auto"/>
              </w:rPr>
            </w:pPr>
            <w:hyperlink r:id="rId167">
              <w:r>
                <w:rPr>
                  <w:rFonts w:ascii="Arial" w:cs="Arial" w:eastAsia="Arial" w:hAnsi="Arial"/>
                  <w:sz w:val="18"/>
                  <w:szCs w:val="18"/>
                  <w:color w:val="auto"/>
                </w:rPr>
                <w:t>Form of Note for Micron Technology, Inc.’s 5.327% Senior Notes due</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2/6/19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30"/>
          </w:tcPr>
          <w:p>
            <w:pPr>
              <w:spacing w:after="0" w:line="169" w:lineRule="exact"/>
              <w:rPr>
                <w:rFonts w:ascii="Arial" w:cs="Arial" w:eastAsia="Arial" w:hAnsi="Arial"/>
                <w:sz w:val="18"/>
                <w:szCs w:val="18"/>
                <w:color w:val="auto"/>
              </w:rPr>
            </w:pPr>
            <w:hyperlink r:id="rId167">
              <w:r>
                <w:rPr>
                  <w:rFonts w:ascii="Arial" w:cs="Arial" w:eastAsia="Arial" w:hAnsi="Arial"/>
                  <w:sz w:val="18"/>
                  <w:szCs w:val="18"/>
                  <w:color w:val="auto"/>
                </w:rPr>
                <w:t>2029 (included in Exhibit 4.2)</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4.5</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68">
              <w:r>
                <w:rPr>
                  <w:rFonts w:ascii="Arial" w:cs="Arial" w:eastAsia="Arial" w:hAnsi="Arial"/>
                  <w:sz w:val="18"/>
                  <w:szCs w:val="18"/>
                  <w:color w:val="auto"/>
                </w:rPr>
                <w:t>Second Supplemental Indenture, dated as of July 12, 2019, by and</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340" w:type="dxa"/>
            <w:vAlign w:val="bottom"/>
            <w:tcBorders>
              <w:top w:val="single" w:sz="8" w:color="auto"/>
            </w:tcBorders>
            <w:gridSpan w:val="27"/>
            <w:shd w:val="clear" w:color="auto" w:fill="D1D2D4"/>
          </w:tcPr>
          <w:p>
            <w:pPr>
              <w:spacing w:after="0" w:line="169" w:lineRule="exact"/>
              <w:rPr>
                <w:rFonts w:ascii="Arial" w:cs="Arial" w:eastAsia="Arial" w:hAnsi="Arial"/>
                <w:sz w:val="18"/>
                <w:szCs w:val="18"/>
                <w:color w:val="auto"/>
              </w:rPr>
            </w:pPr>
            <w:hyperlink r:id="rId168">
              <w:r>
                <w:rPr>
                  <w:rFonts w:ascii="Arial" w:cs="Arial" w:eastAsia="Arial" w:hAnsi="Arial"/>
                  <w:sz w:val="18"/>
                  <w:szCs w:val="18"/>
                  <w:color w:val="auto"/>
                </w:rPr>
                <w:t>between Micron Technology, Inc. and U.S. Bank National</w:t>
              </w:r>
            </w:hyperlink>
          </w:p>
        </w:tc>
        <w:tc>
          <w:tcPr>
            <w:tcW w:w="20" w:type="dxa"/>
            <w:vAlign w:val="bottom"/>
            <w:tcBorders>
              <w:top w:val="single" w:sz="8" w:color="D1D2D4"/>
            </w:tcBorders>
            <w:shd w:val="clear" w:color="auto" w:fill="D1D2D4"/>
          </w:tcPr>
          <w:p>
            <w:pPr>
              <w:spacing w:after="0"/>
              <w:rPr>
                <w:sz w:val="14"/>
                <w:szCs w:val="14"/>
                <w:color w:val="auto"/>
              </w:rPr>
            </w:pPr>
          </w:p>
        </w:tc>
        <w:tc>
          <w:tcPr>
            <w:tcW w:w="180" w:type="dxa"/>
            <w:vAlign w:val="bottom"/>
            <w:tcBorders>
              <w:top w:val="single" w:sz="8" w:color="D1D2D4"/>
            </w:tcBorders>
            <w:gridSpan w:val="3"/>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tcBorders>
            <w:shd w:val="clear" w:color="auto" w:fill="D1D2D4"/>
          </w:tcPr>
          <w:p>
            <w:pPr>
              <w:spacing w:after="0"/>
              <w:rPr>
                <w:sz w:val="13"/>
                <w:szCs w:val="13"/>
                <w:color w:val="auto"/>
              </w:rPr>
            </w:pPr>
          </w:p>
        </w:tc>
        <w:tc>
          <w:tcPr>
            <w:tcW w:w="4540" w:type="dxa"/>
            <w:vAlign w:val="bottom"/>
            <w:tcBorders>
              <w:top w:val="single" w:sz="8" w:color="auto"/>
            </w:tcBorders>
            <w:gridSpan w:val="18"/>
            <w:shd w:val="clear" w:color="auto" w:fill="D1D2D4"/>
          </w:tcPr>
          <w:p>
            <w:pPr>
              <w:spacing w:after="0" w:line="156" w:lineRule="exact"/>
              <w:rPr>
                <w:rFonts w:ascii="Arial" w:cs="Arial" w:eastAsia="Arial" w:hAnsi="Arial"/>
                <w:sz w:val="18"/>
                <w:szCs w:val="18"/>
                <w:color w:val="auto"/>
              </w:rPr>
            </w:pPr>
            <w:hyperlink r:id="rId168">
              <w:r>
                <w:rPr>
                  <w:rFonts w:ascii="Arial" w:cs="Arial" w:eastAsia="Arial" w:hAnsi="Arial"/>
                  <w:sz w:val="18"/>
                  <w:szCs w:val="18"/>
                  <w:color w:val="auto"/>
                </w:rPr>
                <w:t>Association, as Trustee</w:t>
              </w:r>
            </w:hyperlink>
          </w:p>
        </w:tc>
        <w:tc>
          <w:tcPr>
            <w:tcW w:w="340" w:type="dxa"/>
            <w:vAlign w:val="bottom"/>
            <w:tcBorders>
              <w:top w:val="single" w:sz="8" w:color="D1D2D4"/>
            </w:tcBorders>
            <w:shd w:val="clear" w:color="auto" w:fill="D1D2D4"/>
          </w:tcPr>
          <w:p>
            <w:pPr>
              <w:spacing w:after="0"/>
              <w:rPr>
                <w:sz w:val="13"/>
                <w:szCs w:val="13"/>
                <w:color w:val="auto"/>
              </w:rPr>
            </w:pPr>
          </w:p>
        </w:tc>
        <w:tc>
          <w:tcPr>
            <w:tcW w:w="100" w:type="dxa"/>
            <w:vAlign w:val="bottom"/>
            <w:tcBorders>
              <w:top w:val="single" w:sz="8" w:color="D1D2D4"/>
            </w:tcBorders>
            <w:shd w:val="clear" w:color="auto" w:fill="D1D2D4"/>
          </w:tcPr>
          <w:p>
            <w:pPr>
              <w:spacing w:after="0"/>
              <w:rPr>
                <w:sz w:val="13"/>
                <w:szCs w:val="13"/>
                <w:color w:val="auto"/>
              </w:rPr>
            </w:pPr>
          </w:p>
        </w:tc>
        <w:tc>
          <w:tcPr>
            <w:tcW w:w="80" w:type="dxa"/>
            <w:vAlign w:val="bottom"/>
            <w:tcBorders>
              <w:top w:val="single" w:sz="8" w:color="D1D2D4"/>
            </w:tcBorders>
            <w:shd w:val="clear" w:color="auto" w:fill="D1D2D4"/>
          </w:tcPr>
          <w:p>
            <w:pPr>
              <w:spacing w:after="0"/>
              <w:rPr>
                <w:sz w:val="13"/>
                <w:szCs w:val="13"/>
                <w:color w:val="auto"/>
              </w:rPr>
            </w:pPr>
          </w:p>
        </w:tc>
        <w:tc>
          <w:tcPr>
            <w:tcW w:w="100" w:type="dxa"/>
            <w:vAlign w:val="bottom"/>
            <w:tcBorders>
              <w:top w:val="single" w:sz="8" w:color="D1D2D4"/>
            </w:tcBorders>
            <w:gridSpan w:val="3"/>
            <w:shd w:val="clear" w:color="auto" w:fill="D1D2D4"/>
          </w:tcPr>
          <w:p>
            <w:pPr>
              <w:spacing w:after="0"/>
              <w:rPr>
                <w:sz w:val="13"/>
                <w:szCs w:val="13"/>
                <w:color w:val="auto"/>
              </w:rPr>
            </w:pPr>
          </w:p>
        </w:tc>
        <w:tc>
          <w:tcPr>
            <w:tcW w:w="140" w:type="dxa"/>
            <w:vAlign w:val="bottom"/>
            <w:tcBorders>
              <w:top w:val="single" w:sz="8" w:color="D1D2D4"/>
            </w:tcBorders>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40" w:type="dxa"/>
            <w:vAlign w:val="bottom"/>
            <w:tcBorders>
              <w:top w:val="single" w:sz="8" w:color="D1D2D4"/>
            </w:tcBorders>
            <w:gridSpan w:val="2"/>
            <w:shd w:val="clear" w:color="auto" w:fill="D1D2D4"/>
          </w:tcPr>
          <w:p>
            <w:pPr>
              <w:spacing w:after="0"/>
              <w:rPr>
                <w:sz w:val="13"/>
                <w:szCs w:val="13"/>
                <w:color w:val="auto"/>
              </w:rPr>
            </w:pPr>
          </w:p>
        </w:tc>
        <w:tc>
          <w:tcPr>
            <w:tcW w:w="180" w:type="dxa"/>
            <w:vAlign w:val="bottom"/>
            <w:tcBorders>
              <w:top w:val="single" w:sz="8" w:color="D1D2D4"/>
            </w:tcBorders>
            <w:gridSpan w:val="3"/>
            <w:shd w:val="clear" w:color="auto" w:fill="D1D2D4"/>
          </w:tcPr>
          <w:p>
            <w:pPr>
              <w:spacing w:after="0"/>
              <w:rPr>
                <w:sz w:val="13"/>
                <w:szCs w:val="13"/>
                <w:color w:val="auto"/>
              </w:rPr>
            </w:pPr>
          </w:p>
        </w:tc>
        <w:tc>
          <w:tcPr>
            <w:tcW w:w="20" w:type="dxa"/>
            <w:vAlign w:val="bottom"/>
            <w:tcBorders>
              <w:top w:val="single" w:sz="8" w:color="D1D2D4"/>
            </w:tcBorders>
            <w:shd w:val="clear" w:color="auto" w:fill="D1D2D4"/>
          </w:tcPr>
          <w:p>
            <w:pPr>
              <w:spacing w:after="0"/>
              <w:rPr>
                <w:sz w:val="13"/>
                <w:szCs w:val="13"/>
                <w:color w:val="auto"/>
              </w:rPr>
            </w:pPr>
          </w:p>
        </w:tc>
        <w:tc>
          <w:tcPr>
            <w:tcW w:w="1800" w:type="dxa"/>
            <w:vAlign w:val="bottom"/>
            <w:tcBorders>
              <w:top w:val="single" w:sz="8" w:color="D1D2D4"/>
            </w:tcBorders>
            <w:shd w:val="clear" w:color="auto" w:fill="D1D2D4"/>
          </w:tcPr>
          <w:p>
            <w:pPr>
              <w:spacing w:after="0"/>
              <w:rPr>
                <w:sz w:val="13"/>
                <w:szCs w:val="13"/>
                <w:color w:val="auto"/>
              </w:rPr>
            </w:pPr>
          </w:p>
        </w:tc>
        <w:tc>
          <w:tcPr>
            <w:tcW w:w="86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4.6</w:t>
            </w:r>
          </w:p>
        </w:tc>
        <w:tc>
          <w:tcPr>
            <w:tcW w:w="5560" w:type="dxa"/>
            <w:vAlign w:val="bottom"/>
            <w:gridSpan w:val="32"/>
          </w:tcPr>
          <w:p>
            <w:pPr>
              <w:spacing w:after="0" w:line="189" w:lineRule="exact"/>
              <w:rPr>
                <w:rFonts w:ascii="Arial" w:cs="Arial" w:eastAsia="Arial" w:hAnsi="Arial"/>
                <w:sz w:val="18"/>
                <w:szCs w:val="18"/>
                <w:color w:val="auto"/>
              </w:rPr>
            </w:pPr>
            <w:hyperlink r:id="rId168">
              <w:r>
                <w:rPr>
                  <w:rFonts w:ascii="Arial" w:cs="Arial" w:eastAsia="Arial" w:hAnsi="Arial"/>
                  <w:sz w:val="18"/>
                  <w:szCs w:val="18"/>
                  <w:color w:val="auto"/>
                </w:rPr>
                <w:t>Form of Note for Micron Technology, Inc.’s 4.185% Senior Notes due</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30"/>
          </w:tcPr>
          <w:p>
            <w:pPr>
              <w:spacing w:after="0" w:line="169" w:lineRule="exact"/>
              <w:rPr>
                <w:rFonts w:ascii="Arial" w:cs="Arial" w:eastAsia="Arial" w:hAnsi="Arial"/>
                <w:sz w:val="18"/>
                <w:szCs w:val="18"/>
                <w:color w:val="auto"/>
              </w:rPr>
            </w:pPr>
            <w:hyperlink r:id="rId168">
              <w:r>
                <w:rPr>
                  <w:rFonts w:ascii="Arial" w:cs="Arial" w:eastAsia="Arial" w:hAnsi="Arial"/>
                  <w:sz w:val="18"/>
                  <w:szCs w:val="18"/>
                  <w:color w:val="auto"/>
                </w:rPr>
                <w:t>2027 (included in Exhibit 4.5)</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4.7</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68">
              <w:r>
                <w:rPr>
                  <w:rFonts w:ascii="Arial" w:cs="Arial" w:eastAsia="Arial" w:hAnsi="Arial"/>
                  <w:sz w:val="18"/>
                  <w:szCs w:val="18"/>
                  <w:color w:val="auto"/>
                </w:rPr>
                <w:t>Form of Note for Micron Technology, Inc.’s 4.663% Senior Notes due</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7/12/19</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30"/>
            <w:shd w:val="clear" w:color="auto" w:fill="D1D2D4"/>
          </w:tcPr>
          <w:p>
            <w:pPr>
              <w:spacing w:after="0" w:line="169" w:lineRule="exact"/>
              <w:rPr>
                <w:rFonts w:ascii="Arial" w:cs="Arial" w:eastAsia="Arial" w:hAnsi="Arial"/>
                <w:sz w:val="18"/>
                <w:szCs w:val="18"/>
                <w:color w:val="auto"/>
              </w:rPr>
            </w:pPr>
            <w:hyperlink r:id="rId168">
              <w:r>
                <w:rPr>
                  <w:rFonts w:ascii="Arial" w:cs="Arial" w:eastAsia="Arial" w:hAnsi="Arial"/>
                  <w:sz w:val="18"/>
                  <w:szCs w:val="18"/>
                  <w:color w:val="auto"/>
                </w:rPr>
                <w:t>2030 (included in Exhibit 4.5)</w:t>
              </w:r>
            </w:hyperlink>
          </w:p>
        </w:tc>
        <w:tc>
          <w:tcPr>
            <w:tcW w:w="8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4.8</w:t>
            </w:r>
          </w:p>
        </w:tc>
        <w:tc>
          <w:tcPr>
            <w:tcW w:w="5560" w:type="dxa"/>
            <w:vAlign w:val="bottom"/>
            <w:gridSpan w:val="32"/>
          </w:tcPr>
          <w:p>
            <w:pPr>
              <w:spacing w:after="0" w:line="189" w:lineRule="exact"/>
              <w:rPr>
                <w:rFonts w:ascii="Arial" w:cs="Arial" w:eastAsia="Arial" w:hAnsi="Arial"/>
                <w:sz w:val="18"/>
                <w:szCs w:val="18"/>
                <w:color w:val="auto"/>
              </w:rPr>
            </w:pPr>
            <w:hyperlink r:id="rId169">
              <w:r>
                <w:rPr>
                  <w:rFonts w:ascii="Arial" w:cs="Arial" w:eastAsia="Arial" w:hAnsi="Arial"/>
                  <w:sz w:val="18"/>
                  <w:szCs w:val="18"/>
                  <w:color w:val="auto"/>
                </w:rPr>
                <w:t>Fourth Supplemental Indenture, dated as of November 1, 2021, by</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20" w:type="dxa"/>
            <w:vAlign w:val="bottom"/>
            <w:tcBorders>
              <w:top w:val="single" w:sz="8" w:color="auto"/>
            </w:tcBorders>
            <w:gridSpan w:val="26"/>
          </w:tcPr>
          <w:p>
            <w:pPr>
              <w:spacing w:after="0" w:line="169" w:lineRule="exact"/>
              <w:rPr>
                <w:rFonts w:ascii="Arial" w:cs="Arial" w:eastAsia="Arial" w:hAnsi="Arial"/>
                <w:sz w:val="18"/>
                <w:szCs w:val="18"/>
                <w:color w:val="auto"/>
              </w:rPr>
            </w:pPr>
            <w:hyperlink r:id="rId169">
              <w:r>
                <w:rPr>
                  <w:rFonts w:ascii="Arial" w:cs="Arial" w:eastAsia="Arial" w:hAnsi="Arial"/>
                  <w:sz w:val="18"/>
                  <w:szCs w:val="18"/>
                  <w:color w:val="auto"/>
                </w:rPr>
                <w:t>and between Micron Technology, Inc. and U.S. Bank National</w:t>
              </w:r>
            </w:hyperlink>
          </w:p>
        </w:tc>
        <w:tc>
          <w:tcPr>
            <w:tcW w:w="40" w:type="dxa"/>
            <w:vAlign w:val="bottom"/>
            <w:gridSpan w:val="2"/>
          </w:tcPr>
          <w:p>
            <w:pPr>
              <w:spacing w:after="0"/>
              <w:rPr>
                <w:sz w:val="14"/>
                <w:szCs w:val="14"/>
                <w:color w:val="auto"/>
              </w:rPr>
            </w:pPr>
          </w:p>
        </w:tc>
        <w:tc>
          <w:tcPr>
            <w:tcW w:w="1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4880" w:type="dxa"/>
            <w:vAlign w:val="bottom"/>
            <w:tcBorders>
              <w:top w:val="single" w:sz="8" w:color="auto"/>
            </w:tcBorders>
            <w:gridSpan w:val="19"/>
          </w:tcPr>
          <w:p>
            <w:pPr>
              <w:spacing w:after="0" w:line="156" w:lineRule="exact"/>
              <w:rPr>
                <w:rFonts w:ascii="Arial" w:cs="Arial" w:eastAsia="Arial" w:hAnsi="Arial"/>
                <w:sz w:val="18"/>
                <w:szCs w:val="18"/>
                <w:color w:val="auto"/>
              </w:rPr>
            </w:pPr>
            <w:hyperlink r:id="rId169">
              <w:r>
                <w:rPr>
                  <w:rFonts w:ascii="Arial" w:cs="Arial" w:eastAsia="Arial" w:hAnsi="Arial"/>
                  <w:sz w:val="18"/>
                  <w:szCs w:val="18"/>
                  <w:color w:val="auto"/>
                </w:rPr>
                <w:t>Association, as Trustee</w:t>
              </w:r>
            </w:hyperlink>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4.9</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69">
              <w:r>
                <w:rPr>
                  <w:rFonts w:ascii="Arial" w:cs="Arial" w:eastAsia="Arial" w:hAnsi="Arial"/>
                  <w:sz w:val="18"/>
                  <w:szCs w:val="18"/>
                  <w:color w:val="auto"/>
                </w:rPr>
                <w:t>Form of Note for Micron Technology, Inc.’s 2.703% Senior Notes due</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4.3</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30"/>
            <w:shd w:val="clear" w:color="auto" w:fill="D1D2D4"/>
          </w:tcPr>
          <w:p>
            <w:pPr>
              <w:spacing w:after="0" w:line="169" w:lineRule="exact"/>
              <w:rPr>
                <w:rFonts w:ascii="Arial" w:cs="Arial" w:eastAsia="Arial" w:hAnsi="Arial"/>
                <w:sz w:val="18"/>
                <w:szCs w:val="18"/>
                <w:color w:val="auto"/>
              </w:rPr>
            </w:pPr>
            <w:hyperlink r:id="rId169">
              <w:r>
                <w:rPr>
                  <w:rFonts w:ascii="Arial" w:cs="Arial" w:eastAsia="Arial" w:hAnsi="Arial"/>
                  <w:sz w:val="18"/>
                  <w:szCs w:val="18"/>
                  <w:color w:val="auto"/>
                </w:rPr>
                <w:t>2032 (included in Exhibit 4.8)</w:t>
              </w:r>
            </w:hyperlink>
          </w:p>
        </w:tc>
        <w:tc>
          <w:tcPr>
            <w:tcW w:w="8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4.10</w:t>
            </w:r>
          </w:p>
        </w:tc>
        <w:tc>
          <w:tcPr>
            <w:tcW w:w="5560" w:type="dxa"/>
            <w:vAlign w:val="bottom"/>
            <w:gridSpan w:val="32"/>
          </w:tcPr>
          <w:p>
            <w:pPr>
              <w:spacing w:after="0" w:line="189" w:lineRule="exact"/>
              <w:rPr>
                <w:rFonts w:ascii="Arial" w:cs="Arial" w:eastAsia="Arial" w:hAnsi="Arial"/>
                <w:sz w:val="18"/>
                <w:szCs w:val="18"/>
                <w:color w:val="auto"/>
              </w:rPr>
            </w:pPr>
            <w:hyperlink r:id="rId169">
              <w:r>
                <w:rPr>
                  <w:rFonts w:ascii="Arial" w:cs="Arial" w:eastAsia="Arial" w:hAnsi="Arial"/>
                  <w:sz w:val="18"/>
                  <w:szCs w:val="18"/>
                  <w:color w:val="auto"/>
                </w:rPr>
                <w:t>Form of Note for Micron Technology, Inc.’s 3.366% Senior Notes due</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4.4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460" w:type="dxa"/>
            <w:vAlign w:val="bottom"/>
            <w:tcBorders>
              <w:top w:val="single" w:sz="8" w:color="auto"/>
            </w:tcBorders>
            <w:gridSpan w:val="30"/>
          </w:tcPr>
          <w:p>
            <w:pPr>
              <w:spacing w:after="0" w:line="169" w:lineRule="exact"/>
              <w:rPr>
                <w:rFonts w:ascii="Arial" w:cs="Arial" w:eastAsia="Arial" w:hAnsi="Arial"/>
                <w:sz w:val="18"/>
                <w:szCs w:val="18"/>
                <w:color w:val="auto"/>
              </w:rPr>
            </w:pPr>
            <w:hyperlink r:id="rId169">
              <w:r>
                <w:rPr>
                  <w:rFonts w:ascii="Arial" w:cs="Arial" w:eastAsia="Arial" w:hAnsi="Arial"/>
                  <w:sz w:val="18"/>
                  <w:szCs w:val="18"/>
                  <w:color w:val="auto"/>
                </w:rPr>
                <w:t>2041 (included in Exhibit 4.8)</w:t>
              </w:r>
            </w:hyperlink>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4.11</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69">
              <w:r>
                <w:rPr>
                  <w:rFonts w:ascii="Arial" w:cs="Arial" w:eastAsia="Arial" w:hAnsi="Arial"/>
                  <w:sz w:val="18"/>
                  <w:szCs w:val="18"/>
                  <w:color w:val="auto"/>
                </w:rPr>
                <w:t>Form of Note for Micron Technology, Inc.’s 3.477% Senior Notes due</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4.5</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460" w:type="dxa"/>
            <w:vAlign w:val="bottom"/>
            <w:tcBorders>
              <w:top w:val="single" w:sz="8" w:color="auto"/>
            </w:tcBorders>
            <w:gridSpan w:val="30"/>
            <w:shd w:val="clear" w:color="auto" w:fill="D1D2D4"/>
          </w:tcPr>
          <w:p>
            <w:pPr>
              <w:spacing w:after="0" w:line="169" w:lineRule="exact"/>
              <w:rPr>
                <w:rFonts w:ascii="Arial" w:cs="Arial" w:eastAsia="Arial" w:hAnsi="Arial"/>
                <w:sz w:val="18"/>
                <w:szCs w:val="18"/>
                <w:color w:val="auto"/>
              </w:rPr>
            </w:pPr>
            <w:hyperlink r:id="rId169">
              <w:r>
                <w:rPr>
                  <w:rFonts w:ascii="Arial" w:cs="Arial" w:eastAsia="Arial" w:hAnsi="Arial"/>
                  <w:sz w:val="18"/>
                  <w:szCs w:val="18"/>
                  <w:color w:val="auto"/>
                </w:rPr>
                <w:t>2051 (included in Exhibit 4.8)</w:t>
              </w:r>
            </w:hyperlink>
          </w:p>
        </w:tc>
        <w:tc>
          <w:tcPr>
            <w:tcW w:w="80" w:type="dxa"/>
            <w:vAlign w:val="bottom"/>
            <w:tcBorders>
              <w:top w:val="single" w:sz="8" w:color="D1D2D4"/>
            </w:tcBorders>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4.12</w:t>
            </w:r>
          </w:p>
        </w:tc>
        <w:tc>
          <w:tcPr>
            <w:tcW w:w="5560" w:type="dxa"/>
            <w:vAlign w:val="bottom"/>
            <w:gridSpan w:val="32"/>
          </w:tcPr>
          <w:p>
            <w:pPr>
              <w:spacing w:after="0" w:line="189" w:lineRule="exact"/>
              <w:rPr>
                <w:sz w:val="20"/>
                <w:szCs w:val="20"/>
                <w:color w:val="auto"/>
              </w:rPr>
            </w:pPr>
            <w:r>
              <w:rPr>
                <w:rFonts w:ascii="Arial" w:cs="Arial" w:eastAsia="Arial" w:hAnsi="Arial"/>
                <w:sz w:val="18"/>
                <w:szCs w:val="18"/>
                <w:color w:val="auto"/>
              </w:rPr>
              <w:t>Description of Registrant’s Securities</w:t>
            </w:r>
          </w:p>
        </w:tc>
        <w:tc>
          <w:tcPr>
            <w:tcW w:w="1800" w:type="dxa"/>
            <w:vAlign w:val="bottom"/>
          </w:tcPr>
          <w:p>
            <w:pPr>
              <w:ind w:left="20"/>
              <w:spacing w:after="0" w:line="189" w:lineRule="exact"/>
              <w:rPr>
                <w:sz w:val="20"/>
                <w:szCs w:val="20"/>
                <w:color w:val="auto"/>
              </w:rPr>
            </w:pPr>
            <w:r>
              <w:rPr>
                <w:rFonts w:ascii="Arial" w:cs="Arial" w:eastAsia="Arial" w:hAnsi="Arial"/>
                <w:sz w:val="18"/>
                <w:szCs w:val="18"/>
                <w:color w:val="auto"/>
              </w:rPr>
              <w:t>X</w:t>
            </w:r>
          </w:p>
        </w:tc>
        <w:tc>
          <w:tcPr>
            <w:tcW w:w="8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70">
              <w:r>
                <w:rPr>
                  <w:rFonts w:ascii="Arial" w:cs="Arial" w:eastAsia="Arial" w:hAnsi="Arial"/>
                  <w:sz w:val="18"/>
                  <w:szCs w:val="18"/>
                  <w:color w:val="auto"/>
                </w:rPr>
                <w:t>Micron Technology, Inc. Executive Officer Performance Incentive</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DEF 14A</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B</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12/7/17</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160" w:type="dxa"/>
            <w:vAlign w:val="bottom"/>
            <w:tcBorders>
              <w:top w:val="single" w:sz="8" w:color="auto"/>
            </w:tcBorders>
            <w:gridSpan w:val="24"/>
            <w:shd w:val="clear" w:color="auto" w:fill="D1D2D4"/>
          </w:tcPr>
          <w:p>
            <w:pPr>
              <w:spacing w:after="0" w:line="169" w:lineRule="exact"/>
              <w:rPr>
                <w:rFonts w:ascii="Arial" w:cs="Arial" w:eastAsia="Arial" w:hAnsi="Arial"/>
                <w:sz w:val="18"/>
                <w:szCs w:val="18"/>
                <w:color w:val="auto"/>
              </w:rPr>
            </w:pPr>
            <w:hyperlink r:id="rId170">
              <w:r>
                <w:rPr>
                  <w:rFonts w:ascii="Arial" w:cs="Arial" w:eastAsia="Arial" w:hAnsi="Arial"/>
                  <w:sz w:val="18"/>
                  <w:szCs w:val="18"/>
                  <w:color w:val="auto"/>
                </w:rPr>
                <w:t>Plan</w:t>
              </w:r>
            </w:hyperlink>
          </w:p>
        </w:tc>
        <w:tc>
          <w:tcPr>
            <w:tcW w:w="140" w:type="dxa"/>
            <w:vAlign w:val="bottom"/>
            <w:tcBorders>
              <w:top w:val="single" w:sz="8" w:color="D1D2D4"/>
            </w:tcBorders>
            <w:shd w:val="clear" w:color="auto" w:fill="D1D2D4"/>
          </w:tcPr>
          <w:p>
            <w:pPr>
              <w:spacing w:after="0"/>
              <w:rPr>
                <w:sz w:val="14"/>
                <w:szCs w:val="14"/>
                <w:color w:val="auto"/>
              </w:rPr>
            </w:pPr>
          </w:p>
        </w:tc>
        <w:tc>
          <w:tcPr>
            <w:tcW w:w="60" w:type="dxa"/>
            <w:vAlign w:val="bottom"/>
            <w:tcBorders>
              <w:top w:val="single" w:sz="8" w:color="D1D2D4"/>
            </w:tcBorders>
            <w:gridSpan w:val="3"/>
            <w:shd w:val="clear" w:color="auto" w:fill="D1D2D4"/>
          </w:tcPr>
          <w:p>
            <w:pPr>
              <w:spacing w:after="0"/>
              <w:rPr>
                <w:sz w:val="14"/>
                <w:szCs w:val="14"/>
                <w:color w:val="auto"/>
              </w:rPr>
            </w:pPr>
          </w:p>
        </w:tc>
        <w:tc>
          <w:tcPr>
            <w:tcW w:w="180" w:type="dxa"/>
            <w:vAlign w:val="bottom"/>
            <w:tcBorders>
              <w:top w:val="single" w:sz="8" w:color="D1D2D4"/>
            </w:tcBorders>
            <w:gridSpan w:val="3"/>
            <w:shd w:val="clear" w:color="auto" w:fill="D1D2D4"/>
          </w:tcPr>
          <w:p>
            <w:pPr>
              <w:spacing w:after="0"/>
              <w:rPr>
                <w:sz w:val="14"/>
                <w:szCs w:val="14"/>
                <w:color w:val="auto"/>
              </w:rPr>
            </w:pPr>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68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10.2*</w:t>
            </w:r>
          </w:p>
        </w:tc>
        <w:tc>
          <w:tcPr>
            <w:tcW w:w="5560" w:type="dxa"/>
            <w:vAlign w:val="bottom"/>
            <w:gridSpan w:val="32"/>
          </w:tcPr>
          <w:p>
            <w:pPr>
              <w:spacing w:after="0" w:line="189" w:lineRule="exact"/>
              <w:rPr>
                <w:rFonts w:ascii="Arial" w:cs="Arial" w:eastAsia="Arial" w:hAnsi="Arial"/>
                <w:sz w:val="18"/>
                <w:szCs w:val="18"/>
                <w:color w:val="auto"/>
              </w:rPr>
            </w:pPr>
            <w:hyperlink r:id="rId171">
              <w:r>
                <w:rPr>
                  <w:rFonts w:ascii="Arial" w:cs="Arial" w:eastAsia="Arial" w:hAnsi="Arial"/>
                  <w:sz w:val="18"/>
                  <w:szCs w:val="18"/>
                  <w:color w:val="auto"/>
                </w:rPr>
                <w:t>Amended and Restated 2004 Equity Incentive Plan</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10.6</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10.3*</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72">
              <w:r>
                <w:rPr>
                  <w:rFonts w:ascii="Arial" w:cs="Arial" w:eastAsia="Arial" w:hAnsi="Arial"/>
                  <w:sz w:val="18"/>
                  <w:szCs w:val="18"/>
                  <w:color w:val="auto"/>
                </w:rPr>
                <w:t>2004 Equity Incentive Plan Forms of Agreement and Terms and</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10-K</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10.7</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auto"/>
              <w:bottom w:val="single" w:sz="8" w:color="auto"/>
            </w:tcBorders>
            <w:gridSpan w:val="2"/>
            <w:shd w:val="clear" w:color="auto" w:fill="D1D2D4"/>
          </w:tcPr>
          <w:p>
            <w:pPr>
              <w:spacing w:after="0" w:line="169" w:lineRule="exact"/>
              <w:rPr>
                <w:rFonts w:ascii="Arial" w:cs="Arial" w:eastAsia="Arial" w:hAnsi="Arial"/>
                <w:sz w:val="18"/>
                <w:szCs w:val="18"/>
                <w:color w:val="auto"/>
                <w:w w:val="98"/>
              </w:rPr>
            </w:pPr>
            <w:hyperlink r:id="rId172">
              <w:r>
                <w:rPr>
                  <w:rFonts w:ascii="Arial" w:cs="Arial" w:eastAsia="Arial" w:hAnsi="Arial"/>
                  <w:sz w:val="18"/>
                  <w:szCs w:val="18"/>
                  <w:color w:val="auto"/>
                  <w:w w:val="98"/>
                </w:rPr>
                <w:t>Conditions</w:t>
              </w:r>
            </w:hyperlink>
          </w:p>
        </w:tc>
        <w:tc>
          <w:tcPr>
            <w:tcW w:w="4200" w:type="dxa"/>
            <w:vAlign w:val="bottom"/>
            <w:tcBorders>
              <w:top w:val="single" w:sz="8" w:color="auto"/>
              <w:bottom w:val="single" w:sz="8" w:color="D1D2D4"/>
            </w:tcBorders>
            <w:gridSpan w:val="19"/>
            <w:shd w:val="clear" w:color="auto" w:fill="D1D2D4"/>
          </w:tcPr>
          <w:p>
            <w:pPr>
              <w:spacing w:after="0"/>
              <w:rPr>
                <w:sz w:val="16"/>
                <w:szCs w:val="16"/>
                <w:color w:val="auto"/>
              </w:rPr>
            </w:pPr>
          </w:p>
        </w:tc>
        <w:tc>
          <w:tcPr>
            <w:tcW w:w="240" w:type="dxa"/>
            <w:vAlign w:val="bottom"/>
            <w:tcBorders>
              <w:top w:val="single" w:sz="8" w:color="D1D2D4"/>
              <w:bottom w:val="single" w:sz="8" w:color="D1D2D4"/>
            </w:tcBorders>
            <w:gridSpan w:val="4"/>
            <w:shd w:val="clear" w:color="auto" w:fill="D1D2D4"/>
          </w:tcPr>
          <w:p>
            <w:pPr>
              <w:spacing w:after="0"/>
              <w:rPr>
                <w:sz w:val="16"/>
                <w:szCs w:val="16"/>
                <w:color w:val="auto"/>
              </w:rPr>
            </w:pPr>
          </w:p>
        </w:tc>
        <w:tc>
          <w:tcPr>
            <w:tcW w:w="6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18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80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10.4*</w:t>
            </w:r>
          </w:p>
        </w:tc>
        <w:tc>
          <w:tcPr>
            <w:tcW w:w="5560" w:type="dxa"/>
            <w:vAlign w:val="bottom"/>
            <w:gridSpan w:val="32"/>
          </w:tcPr>
          <w:p>
            <w:pPr>
              <w:spacing w:after="0" w:line="189" w:lineRule="exact"/>
              <w:rPr>
                <w:rFonts w:ascii="Arial" w:cs="Arial" w:eastAsia="Arial" w:hAnsi="Arial"/>
                <w:sz w:val="18"/>
                <w:szCs w:val="18"/>
                <w:color w:val="auto"/>
              </w:rPr>
            </w:pPr>
            <w:hyperlink r:id="rId173">
              <w:r>
                <w:rPr>
                  <w:rFonts w:ascii="Arial" w:cs="Arial" w:eastAsia="Arial" w:hAnsi="Arial"/>
                  <w:sz w:val="18"/>
                  <w:szCs w:val="18"/>
                  <w:color w:val="auto"/>
                </w:rPr>
                <w:t>Amended and Restated 2007 Equity Incentive Plan</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DEF 14A</w:t>
            </w:r>
          </w:p>
        </w:tc>
        <w:tc>
          <w:tcPr>
            <w:tcW w:w="860" w:type="dxa"/>
            <w:vAlign w:val="bottom"/>
          </w:tcPr>
          <w:p>
            <w:pPr>
              <w:spacing w:after="0"/>
              <w:rPr>
                <w:sz w:val="16"/>
                <w:szCs w:val="16"/>
                <w:color w:val="auto"/>
              </w:rPr>
            </w:pP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A</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12/1/20</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10.5*</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74">
              <w:r>
                <w:rPr>
                  <w:rFonts w:ascii="Arial" w:cs="Arial" w:eastAsia="Arial" w:hAnsi="Arial"/>
                  <w:sz w:val="18"/>
                  <w:szCs w:val="18"/>
                  <w:color w:val="auto"/>
                </w:rPr>
                <w:t>2007 Equity Incentive Plan Forms of Agreement and Terms and</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12/2/21</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auto"/>
              <w:bottom w:val="single" w:sz="8" w:color="auto"/>
            </w:tcBorders>
            <w:gridSpan w:val="2"/>
            <w:shd w:val="clear" w:color="auto" w:fill="D1D2D4"/>
          </w:tcPr>
          <w:p>
            <w:pPr>
              <w:spacing w:after="0" w:line="169" w:lineRule="exact"/>
              <w:rPr>
                <w:rFonts w:ascii="Arial" w:cs="Arial" w:eastAsia="Arial" w:hAnsi="Arial"/>
                <w:sz w:val="18"/>
                <w:szCs w:val="18"/>
                <w:color w:val="auto"/>
                <w:w w:val="98"/>
              </w:rPr>
            </w:pPr>
            <w:hyperlink r:id="rId174">
              <w:r>
                <w:rPr>
                  <w:rFonts w:ascii="Arial" w:cs="Arial" w:eastAsia="Arial" w:hAnsi="Arial"/>
                  <w:sz w:val="18"/>
                  <w:szCs w:val="18"/>
                  <w:color w:val="auto"/>
                  <w:w w:val="98"/>
                </w:rPr>
                <w:t>Conditions</w:t>
              </w:r>
            </w:hyperlink>
          </w:p>
        </w:tc>
        <w:tc>
          <w:tcPr>
            <w:tcW w:w="4200" w:type="dxa"/>
            <w:vAlign w:val="bottom"/>
            <w:tcBorders>
              <w:top w:val="single" w:sz="8" w:color="auto"/>
              <w:bottom w:val="single" w:sz="8" w:color="D1D2D4"/>
            </w:tcBorders>
            <w:gridSpan w:val="19"/>
            <w:shd w:val="clear" w:color="auto" w:fill="D1D2D4"/>
          </w:tcPr>
          <w:p>
            <w:pPr>
              <w:spacing w:after="0"/>
              <w:rPr>
                <w:sz w:val="16"/>
                <w:szCs w:val="16"/>
                <w:color w:val="auto"/>
              </w:rPr>
            </w:pPr>
          </w:p>
        </w:tc>
        <w:tc>
          <w:tcPr>
            <w:tcW w:w="240" w:type="dxa"/>
            <w:vAlign w:val="bottom"/>
            <w:tcBorders>
              <w:top w:val="single" w:sz="8" w:color="D1D2D4"/>
              <w:bottom w:val="single" w:sz="8" w:color="D1D2D4"/>
            </w:tcBorders>
            <w:gridSpan w:val="4"/>
            <w:shd w:val="clear" w:color="auto" w:fill="D1D2D4"/>
          </w:tcPr>
          <w:p>
            <w:pPr>
              <w:spacing w:after="0"/>
              <w:rPr>
                <w:sz w:val="16"/>
                <w:szCs w:val="16"/>
                <w:color w:val="auto"/>
              </w:rPr>
            </w:pPr>
          </w:p>
        </w:tc>
        <w:tc>
          <w:tcPr>
            <w:tcW w:w="6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18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80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10.6*</w:t>
            </w:r>
          </w:p>
        </w:tc>
        <w:tc>
          <w:tcPr>
            <w:tcW w:w="5560" w:type="dxa"/>
            <w:vAlign w:val="bottom"/>
            <w:gridSpan w:val="32"/>
          </w:tcPr>
          <w:p>
            <w:pPr>
              <w:spacing w:after="0" w:line="189" w:lineRule="exact"/>
              <w:rPr>
                <w:rFonts w:ascii="Arial" w:cs="Arial" w:eastAsia="Arial" w:hAnsi="Arial"/>
                <w:sz w:val="18"/>
                <w:szCs w:val="18"/>
                <w:color w:val="auto"/>
              </w:rPr>
            </w:pPr>
            <w:hyperlink r:id="rId175">
              <w:r>
                <w:rPr>
                  <w:rFonts w:ascii="Arial" w:cs="Arial" w:eastAsia="Arial" w:hAnsi="Arial"/>
                  <w:sz w:val="18"/>
                  <w:szCs w:val="18"/>
                  <w:color w:val="auto"/>
                </w:rPr>
                <w:t>Nonstatutory Stock Option Plan, as Amended</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10-K</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10.10</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10.7*</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76">
              <w:r>
                <w:rPr>
                  <w:rFonts w:ascii="Arial" w:cs="Arial" w:eastAsia="Arial" w:hAnsi="Arial"/>
                  <w:sz w:val="18"/>
                  <w:szCs w:val="18"/>
                  <w:color w:val="auto"/>
                </w:rPr>
                <w:t>Nonstatutory Stock Option Plan Form of Agreement and Terms and</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10-K</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9/1/16</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10/28/16</w:t>
            </w: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auto"/>
              <w:bottom w:val="single" w:sz="8" w:color="auto"/>
            </w:tcBorders>
            <w:gridSpan w:val="2"/>
            <w:shd w:val="clear" w:color="auto" w:fill="D1D2D4"/>
          </w:tcPr>
          <w:p>
            <w:pPr>
              <w:spacing w:after="0" w:line="169" w:lineRule="exact"/>
              <w:rPr>
                <w:rFonts w:ascii="Arial" w:cs="Arial" w:eastAsia="Arial" w:hAnsi="Arial"/>
                <w:sz w:val="18"/>
                <w:szCs w:val="18"/>
                <w:color w:val="auto"/>
                <w:w w:val="98"/>
              </w:rPr>
            </w:pPr>
            <w:hyperlink r:id="rId176">
              <w:r>
                <w:rPr>
                  <w:rFonts w:ascii="Arial" w:cs="Arial" w:eastAsia="Arial" w:hAnsi="Arial"/>
                  <w:sz w:val="18"/>
                  <w:szCs w:val="18"/>
                  <w:color w:val="auto"/>
                  <w:w w:val="98"/>
                </w:rPr>
                <w:t>Conditions</w:t>
              </w:r>
            </w:hyperlink>
          </w:p>
        </w:tc>
        <w:tc>
          <w:tcPr>
            <w:tcW w:w="4500" w:type="dxa"/>
            <w:vAlign w:val="bottom"/>
            <w:tcBorders>
              <w:top w:val="single" w:sz="8" w:color="auto"/>
              <w:bottom w:val="single" w:sz="8" w:color="D1D2D4"/>
            </w:tcBorders>
            <w:gridSpan w:val="26"/>
            <w:shd w:val="clear" w:color="auto" w:fill="D1D2D4"/>
          </w:tcPr>
          <w:p>
            <w:pPr>
              <w:spacing w:after="0"/>
              <w:rPr>
                <w:sz w:val="16"/>
                <w:szCs w:val="16"/>
                <w:color w:val="auto"/>
              </w:rPr>
            </w:pPr>
          </w:p>
        </w:tc>
        <w:tc>
          <w:tcPr>
            <w:tcW w:w="180" w:type="dxa"/>
            <w:vAlign w:val="bottom"/>
            <w:tcBorders>
              <w:top w:val="single" w:sz="8" w:color="D1D2D4"/>
              <w:bottom w:val="single" w:sz="8" w:color="D1D2D4"/>
            </w:tcBorders>
            <w:gridSpan w:val="3"/>
            <w:shd w:val="clear" w:color="auto" w:fill="D1D2D4"/>
          </w:tcPr>
          <w:p>
            <w:pPr>
              <w:spacing w:after="0"/>
              <w:rPr>
                <w:sz w:val="16"/>
                <w:szCs w:val="16"/>
                <w:color w:val="auto"/>
              </w:rPr>
            </w:pPr>
          </w:p>
        </w:tc>
        <w:tc>
          <w:tcPr>
            <w:tcW w:w="20" w:type="dxa"/>
            <w:vAlign w:val="bottom"/>
            <w:tcBorders>
              <w:top w:val="single" w:sz="8" w:color="D1D2D4"/>
              <w:bottom w:val="single" w:sz="8" w:color="D1D2D4"/>
            </w:tcBorders>
            <w:shd w:val="clear" w:color="auto" w:fill="D1D2D4"/>
          </w:tcPr>
          <w:p>
            <w:pPr>
              <w:spacing w:after="0"/>
              <w:rPr>
                <w:sz w:val="16"/>
                <w:szCs w:val="16"/>
                <w:color w:val="auto"/>
              </w:rPr>
            </w:pPr>
          </w:p>
        </w:tc>
        <w:tc>
          <w:tcPr>
            <w:tcW w:w="1800" w:type="dxa"/>
            <w:vAlign w:val="bottom"/>
            <w:tcBorders>
              <w:top w:val="single" w:sz="8" w:color="D1D2D4"/>
              <w:bottom w:val="single" w:sz="8" w:color="D1D2D4"/>
            </w:tcBorders>
            <w:shd w:val="clear" w:color="auto" w:fill="D1D2D4"/>
          </w:tcPr>
          <w:p>
            <w:pPr>
              <w:spacing w:after="0"/>
              <w:rPr>
                <w:sz w:val="16"/>
                <w:szCs w:val="16"/>
                <w:color w:val="auto"/>
              </w:rPr>
            </w:pPr>
          </w:p>
        </w:tc>
        <w:tc>
          <w:tcPr>
            <w:tcW w:w="860" w:type="dxa"/>
            <w:vAlign w:val="bottom"/>
            <w:tcBorders>
              <w:top w:val="single" w:sz="8" w:color="D1D2D4"/>
              <w:bottom w:val="single" w:sz="8" w:color="D1D2D4"/>
            </w:tcBorders>
            <w:shd w:val="clear" w:color="auto" w:fill="D1D2D4"/>
          </w:tcPr>
          <w:p>
            <w:pPr>
              <w:spacing w:after="0"/>
              <w:rPr>
                <w:sz w:val="16"/>
                <w:szCs w:val="16"/>
                <w:color w:val="auto"/>
              </w:rPr>
            </w:pPr>
          </w:p>
        </w:tc>
        <w:tc>
          <w:tcPr>
            <w:tcW w:w="1080" w:type="dxa"/>
            <w:vAlign w:val="bottom"/>
            <w:tcBorders>
              <w:top w:val="single" w:sz="8" w:color="D1D2D4"/>
              <w:bottom w:val="single" w:sz="8" w:color="D1D2D4"/>
            </w:tcBorders>
            <w:shd w:val="clear" w:color="auto" w:fill="D1D2D4"/>
          </w:tcPr>
          <w:p>
            <w:pPr>
              <w:spacing w:after="0"/>
              <w:rPr>
                <w:sz w:val="16"/>
                <w:szCs w:val="16"/>
                <w:color w:val="auto"/>
              </w:rPr>
            </w:pPr>
          </w:p>
        </w:tc>
        <w:tc>
          <w:tcPr>
            <w:tcW w:w="960" w:type="dxa"/>
            <w:vAlign w:val="bottom"/>
            <w:tcBorders>
              <w:top w:val="single" w:sz="8" w:color="D1D2D4"/>
              <w:bottom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10.8*</w:t>
            </w:r>
          </w:p>
        </w:tc>
        <w:tc>
          <w:tcPr>
            <w:tcW w:w="5560" w:type="dxa"/>
            <w:vAlign w:val="bottom"/>
            <w:gridSpan w:val="32"/>
          </w:tcPr>
          <w:p>
            <w:pPr>
              <w:spacing w:after="0" w:line="189" w:lineRule="exact"/>
              <w:rPr>
                <w:rFonts w:ascii="Arial" w:cs="Arial" w:eastAsia="Arial" w:hAnsi="Arial"/>
                <w:sz w:val="18"/>
                <w:szCs w:val="18"/>
                <w:color w:val="auto"/>
              </w:rPr>
            </w:pPr>
            <w:hyperlink r:id="rId177">
              <w:r>
                <w:rPr>
                  <w:rFonts w:ascii="Arial" w:cs="Arial" w:eastAsia="Arial" w:hAnsi="Arial"/>
                  <w:sz w:val="18"/>
                  <w:szCs w:val="18"/>
                  <w:color w:val="auto"/>
                </w:rPr>
                <w:t>Form of Indemnification Agreement between the Registrant and its</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2/27/14</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10.3</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4/7/14</w:t>
            </w: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300" w:type="dxa"/>
            <w:vAlign w:val="bottom"/>
            <w:tcBorders>
              <w:top w:val="single" w:sz="8" w:color="auto"/>
            </w:tcBorders>
            <w:gridSpan w:val="25"/>
          </w:tcPr>
          <w:p>
            <w:pPr>
              <w:spacing w:after="0" w:line="169" w:lineRule="exact"/>
              <w:rPr>
                <w:rFonts w:ascii="Arial" w:cs="Arial" w:eastAsia="Arial" w:hAnsi="Arial"/>
                <w:sz w:val="18"/>
                <w:szCs w:val="18"/>
                <w:color w:val="auto"/>
              </w:rPr>
            </w:pPr>
            <w:hyperlink r:id="rId177">
              <w:r>
                <w:rPr>
                  <w:rFonts w:ascii="Arial" w:cs="Arial" w:eastAsia="Arial" w:hAnsi="Arial"/>
                  <w:sz w:val="18"/>
                  <w:szCs w:val="18"/>
                  <w:color w:val="auto"/>
                </w:rPr>
                <w:t>officers and directors</w:t>
              </w:r>
            </w:hyperlink>
          </w:p>
        </w:tc>
        <w:tc>
          <w:tcPr>
            <w:tcW w:w="240" w:type="dxa"/>
            <w:vAlign w:val="bottom"/>
            <w:gridSpan w:val="6"/>
          </w:tcPr>
          <w:p>
            <w:pPr>
              <w:spacing w:after="0"/>
              <w:rPr>
                <w:sz w:val="14"/>
                <w:szCs w:val="14"/>
                <w:color w:val="auto"/>
              </w:rPr>
            </w:pPr>
          </w:p>
        </w:tc>
        <w:tc>
          <w:tcPr>
            <w:tcW w:w="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10.9*</w:t>
            </w:r>
          </w:p>
        </w:tc>
        <w:tc>
          <w:tcPr>
            <w:tcW w:w="5560" w:type="dxa"/>
            <w:vAlign w:val="bottom"/>
            <w:gridSpan w:val="32"/>
            <w:shd w:val="clear" w:color="auto" w:fill="D1D2D4"/>
          </w:tcPr>
          <w:p>
            <w:pPr>
              <w:spacing w:after="0" w:line="189" w:lineRule="exact"/>
              <w:rPr>
                <w:rFonts w:ascii="Arial" w:cs="Arial" w:eastAsia="Arial" w:hAnsi="Arial"/>
                <w:sz w:val="18"/>
                <w:szCs w:val="18"/>
                <w:color w:val="auto"/>
              </w:rPr>
            </w:pPr>
            <w:hyperlink r:id="rId178">
              <w:r>
                <w:rPr>
                  <w:rFonts w:ascii="Arial" w:cs="Arial" w:eastAsia="Arial" w:hAnsi="Arial"/>
                  <w:sz w:val="18"/>
                  <w:szCs w:val="18"/>
                  <w:color w:val="auto"/>
                </w:rPr>
                <w:t>Form of Severance Agreement</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99.2</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11/1/07</w:t>
            </w: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auto"/>
            </w:tcBorders>
            <w:shd w:val="clear" w:color="auto" w:fill="D1D2D4"/>
          </w:tcPr>
          <w:p>
            <w:pPr>
              <w:spacing w:after="0" w:line="20" w:lineRule="exact"/>
              <w:rPr>
                <w:sz w:val="1"/>
                <w:szCs w:val="1"/>
                <w:color w:val="auto"/>
              </w:rPr>
            </w:pPr>
          </w:p>
        </w:tc>
        <w:tc>
          <w:tcPr>
            <w:tcW w:w="180" w:type="dxa"/>
            <w:vAlign w:val="bottom"/>
            <w:tcBorders>
              <w:top w:val="single" w:sz="8" w:color="auto"/>
            </w:tcBorders>
            <w:shd w:val="clear" w:color="auto" w:fill="D1D2D4"/>
          </w:tcPr>
          <w:p>
            <w:pPr>
              <w:spacing w:after="0" w:line="20" w:lineRule="exact"/>
              <w:rPr>
                <w:sz w:val="1"/>
                <w:szCs w:val="1"/>
                <w:color w:val="auto"/>
              </w:rPr>
            </w:pPr>
          </w:p>
        </w:tc>
        <w:tc>
          <w:tcPr>
            <w:tcW w:w="46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10.10*</w:t>
            </w:r>
          </w:p>
        </w:tc>
        <w:tc>
          <w:tcPr>
            <w:tcW w:w="5560" w:type="dxa"/>
            <w:vAlign w:val="bottom"/>
            <w:gridSpan w:val="32"/>
          </w:tcPr>
          <w:p>
            <w:pPr>
              <w:spacing w:after="0" w:line="189" w:lineRule="exact"/>
              <w:rPr>
                <w:rFonts w:ascii="Arial" w:cs="Arial" w:eastAsia="Arial" w:hAnsi="Arial"/>
                <w:sz w:val="18"/>
                <w:szCs w:val="18"/>
                <w:color w:val="auto"/>
              </w:rPr>
            </w:pPr>
            <w:hyperlink r:id="rId179">
              <w:r>
                <w:rPr>
                  <w:rFonts w:ascii="Arial" w:cs="Arial" w:eastAsia="Arial" w:hAnsi="Arial"/>
                  <w:sz w:val="18"/>
                  <w:szCs w:val="18"/>
                  <w:color w:val="auto"/>
                </w:rPr>
                <w:t>Deferred Compensation Plan, as amended</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6/2/22</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10.2</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10.11*</w:t>
            </w:r>
          </w:p>
        </w:tc>
        <w:tc>
          <w:tcPr>
            <w:tcW w:w="5560" w:type="dxa"/>
            <w:vAlign w:val="bottom"/>
            <w:gridSpan w:val="32"/>
            <w:shd w:val="clear" w:color="auto" w:fill="D1D2D4"/>
          </w:tcPr>
          <w:p>
            <w:pPr>
              <w:spacing w:after="0" w:line="189" w:lineRule="exact"/>
              <w:rPr>
                <w:sz w:val="20"/>
                <w:szCs w:val="20"/>
                <w:color w:val="auto"/>
              </w:rPr>
            </w:pPr>
            <w:r>
              <w:rPr>
                <w:rFonts w:ascii="Arial" w:cs="Arial" w:eastAsia="Arial" w:hAnsi="Arial"/>
                <w:sz w:val="18"/>
                <w:szCs w:val="18"/>
                <w:color w:val="auto"/>
              </w:rPr>
              <w:t>Amended and Restated Executive Agreement by and between</w:t>
            </w:r>
          </w:p>
        </w:tc>
        <w:tc>
          <w:tcPr>
            <w:tcW w:w="180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X</w:t>
            </w:r>
          </w:p>
        </w:tc>
        <w:tc>
          <w:tcPr>
            <w:tcW w:w="860" w:type="dxa"/>
            <w:vAlign w:val="bottom"/>
            <w:shd w:val="clear" w:color="auto" w:fill="D1D2D4"/>
          </w:tcPr>
          <w:p>
            <w:pPr>
              <w:spacing w:after="0"/>
              <w:rPr>
                <w:sz w:val="16"/>
                <w:szCs w:val="16"/>
                <w:color w:val="auto"/>
              </w:rPr>
            </w:pPr>
          </w:p>
        </w:tc>
        <w:tc>
          <w:tcPr>
            <w:tcW w:w="1080" w:type="dxa"/>
            <w:vAlign w:val="bottom"/>
            <w:shd w:val="clear" w:color="auto" w:fill="D1D2D4"/>
          </w:tcPr>
          <w:p>
            <w:pPr>
              <w:spacing w:after="0"/>
              <w:rPr>
                <w:sz w:val="16"/>
                <w:szCs w:val="16"/>
                <w:color w:val="auto"/>
              </w:rPr>
            </w:pPr>
          </w:p>
        </w:tc>
        <w:tc>
          <w:tcPr>
            <w:tcW w:w="960" w:type="dxa"/>
            <w:vAlign w:val="bottom"/>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980" w:type="dxa"/>
            <w:vAlign w:val="bottom"/>
            <w:tcBorders>
              <w:top w:val="single" w:sz="8" w:color="D1D2D4"/>
            </w:tcBorders>
            <w:shd w:val="clear" w:color="auto" w:fill="D1D2D4"/>
          </w:tcPr>
          <w:p>
            <w:pPr>
              <w:spacing w:after="0"/>
              <w:rPr>
                <w:sz w:val="16"/>
                <w:szCs w:val="16"/>
                <w:color w:val="auto"/>
              </w:rPr>
            </w:pPr>
          </w:p>
        </w:tc>
        <w:tc>
          <w:tcPr>
            <w:tcW w:w="4980" w:type="dxa"/>
            <w:vAlign w:val="bottom"/>
            <w:tcBorders>
              <w:top w:val="single" w:sz="8" w:color="auto"/>
            </w:tcBorders>
            <w:gridSpan w:val="20"/>
            <w:shd w:val="clear" w:color="auto" w:fill="D1D2D4"/>
          </w:tcPr>
          <w:p>
            <w:pPr>
              <w:spacing w:after="0" w:line="169" w:lineRule="exact"/>
              <w:rPr>
                <w:sz w:val="20"/>
                <w:szCs w:val="20"/>
                <w:color w:val="auto"/>
              </w:rPr>
            </w:pPr>
            <w:r>
              <w:rPr>
                <w:rFonts w:ascii="Arial" w:cs="Arial" w:eastAsia="Arial" w:hAnsi="Arial"/>
                <w:sz w:val="18"/>
                <w:szCs w:val="18"/>
                <w:color w:val="auto"/>
              </w:rPr>
              <w:t>Micron Technology, Inc. and Sanjay Mehrotra</w:t>
            </w:r>
          </w:p>
        </w:tc>
        <w:tc>
          <w:tcPr>
            <w:tcW w:w="560" w:type="dxa"/>
            <w:vAlign w:val="bottom"/>
            <w:tcBorders>
              <w:top w:val="single" w:sz="8" w:color="D1D2D4"/>
            </w:tcBorders>
            <w:gridSpan w:val="11"/>
            <w:shd w:val="clear" w:color="auto" w:fill="D1D2D4"/>
          </w:tcPr>
          <w:p>
            <w:pPr>
              <w:spacing w:after="0"/>
              <w:rPr>
                <w:sz w:val="16"/>
                <w:szCs w:val="16"/>
                <w:color w:val="auto"/>
              </w:rPr>
            </w:pPr>
          </w:p>
        </w:tc>
        <w:tc>
          <w:tcPr>
            <w:tcW w:w="20" w:type="dxa"/>
            <w:vAlign w:val="bottom"/>
            <w:tcBorders>
              <w:top w:val="single" w:sz="8" w:color="D1D2D4"/>
            </w:tcBorders>
            <w:shd w:val="clear" w:color="auto" w:fill="D1D2D4"/>
          </w:tcPr>
          <w:p>
            <w:pPr>
              <w:spacing w:after="0"/>
              <w:rPr>
                <w:sz w:val="16"/>
                <w:szCs w:val="16"/>
                <w:color w:val="auto"/>
              </w:rPr>
            </w:pPr>
          </w:p>
        </w:tc>
        <w:tc>
          <w:tcPr>
            <w:tcW w:w="1800" w:type="dxa"/>
            <w:vAlign w:val="bottom"/>
            <w:tcBorders>
              <w:top w:val="single" w:sz="8" w:color="D1D2D4"/>
            </w:tcBorders>
            <w:shd w:val="clear" w:color="auto" w:fill="D1D2D4"/>
          </w:tcPr>
          <w:p>
            <w:pPr>
              <w:spacing w:after="0"/>
              <w:rPr>
                <w:sz w:val="16"/>
                <w:szCs w:val="16"/>
                <w:color w:val="auto"/>
              </w:rPr>
            </w:pPr>
          </w:p>
        </w:tc>
        <w:tc>
          <w:tcPr>
            <w:tcW w:w="860" w:type="dxa"/>
            <w:vAlign w:val="bottom"/>
            <w:tcBorders>
              <w:top w:val="single" w:sz="8" w:color="D1D2D4"/>
            </w:tcBorders>
            <w:shd w:val="clear" w:color="auto" w:fill="D1D2D4"/>
          </w:tcPr>
          <w:p>
            <w:pPr>
              <w:spacing w:after="0"/>
              <w:rPr>
                <w:sz w:val="16"/>
                <w:szCs w:val="16"/>
                <w:color w:val="auto"/>
              </w:rPr>
            </w:pPr>
          </w:p>
        </w:tc>
        <w:tc>
          <w:tcPr>
            <w:tcW w:w="1080" w:type="dxa"/>
            <w:vAlign w:val="bottom"/>
            <w:tcBorders>
              <w:top w:val="single" w:sz="8" w:color="D1D2D4"/>
            </w:tcBorders>
            <w:shd w:val="clear" w:color="auto" w:fill="D1D2D4"/>
          </w:tcPr>
          <w:p>
            <w:pPr>
              <w:spacing w:after="0"/>
              <w:rPr>
                <w:sz w:val="16"/>
                <w:szCs w:val="16"/>
                <w:color w:val="auto"/>
              </w:rPr>
            </w:pPr>
          </w:p>
        </w:tc>
        <w:tc>
          <w:tcPr>
            <w:tcW w:w="960" w:type="dxa"/>
            <w:vAlign w:val="bottom"/>
            <w:tcBorders>
              <w:top w:val="single" w:sz="8" w:color="D1D2D4"/>
            </w:tcBorders>
            <w:shd w:val="clear" w:color="auto" w:fill="D1D2D4"/>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10.12*</w:t>
            </w:r>
          </w:p>
        </w:tc>
        <w:tc>
          <w:tcPr>
            <w:tcW w:w="3600" w:type="dxa"/>
            <w:vAlign w:val="bottom"/>
            <w:tcBorders>
              <w:top w:val="single" w:sz="8" w:color="auto"/>
            </w:tcBorders>
            <w:gridSpan w:val="12"/>
          </w:tcPr>
          <w:p>
            <w:pPr>
              <w:spacing w:after="0" w:line="189" w:lineRule="exact"/>
              <w:rPr>
                <w:rFonts w:ascii="Arial" w:cs="Arial" w:eastAsia="Arial" w:hAnsi="Arial"/>
                <w:sz w:val="18"/>
                <w:szCs w:val="18"/>
                <w:color w:val="auto"/>
              </w:rPr>
            </w:pPr>
            <w:hyperlink r:id="rId180">
              <w:r>
                <w:rPr>
                  <w:rFonts w:ascii="Arial" w:cs="Arial" w:eastAsia="Arial" w:hAnsi="Arial"/>
                  <w:sz w:val="18"/>
                  <w:szCs w:val="18"/>
                  <w:color w:val="auto"/>
                </w:rPr>
                <w:t>Severance Benefits for Sumit Sadana</w:t>
              </w:r>
            </w:hyperlink>
          </w:p>
        </w:tc>
        <w:tc>
          <w:tcPr>
            <w:tcW w:w="1960" w:type="dxa"/>
            <w:vAlign w:val="bottom"/>
            <w:tcBorders>
              <w:top w:val="single" w:sz="8" w:color="D1D2D4"/>
            </w:tcBorders>
            <w:gridSpan w:val="20"/>
          </w:tcPr>
          <w:p>
            <w:pPr>
              <w:spacing w:after="0"/>
              <w:rPr>
                <w:sz w:val="16"/>
                <w:szCs w:val="16"/>
                <w:color w:val="auto"/>
              </w:rPr>
            </w:pPr>
          </w:p>
        </w:tc>
        <w:tc>
          <w:tcPr>
            <w:tcW w:w="1800" w:type="dxa"/>
            <w:vAlign w:val="bottom"/>
            <w:tcBorders>
              <w:top w:val="single" w:sz="8" w:color="D1D2D4"/>
            </w:tcBorders>
          </w:tcPr>
          <w:p>
            <w:pPr>
              <w:ind w:left="1040"/>
              <w:spacing w:after="0" w:line="189" w:lineRule="exact"/>
              <w:rPr>
                <w:sz w:val="20"/>
                <w:szCs w:val="20"/>
                <w:color w:val="auto"/>
              </w:rPr>
            </w:pPr>
            <w:r>
              <w:rPr>
                <w:rFonts w:ascii="Arial" w:cs="Arial" w:eastAsia="Arial" w:hAnsi="Arial"/>
                <w:sz w:val="18"/>
                <w:szCs w:val="18"/>
                <w:color w:val="auto"/>
              </w:rPr>
              <w:t>10-Q</w:t>
            </w:r>
          </w:p>
        </w:tc>
        <w:tc>
          <w:tcPr>
            <w:tcW w:w="86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11/30/17</w:t>
            </w:r>
          </w:p>
        </w:tc>
        <w:tc>
          <w:tcPr>
            <w:tcW w:w="1080" w:type="dxa"/>
            <w:vAlign w:val="bottom"/>
            <w:tcBorders>
              <w:top w:val="single" w:sz="8" w:color="D1D2D4"/>
            </w:tcBorders>
          </w:tcPr>
          <w:p>
            <w:pPr>
              <w:ind w:left="80"/>
              <w:spacing w:after="0" w:line="189" w:lineRule="exact"/>
              <w:rPr>
                <w:sz w:val="20"/>
                <w:szCs w:val="20"/>
                <w:color w:val="auto"/>
              </w:rPr>
            </w:pPr>
            <w:r>
              <w:rPr>
                <w:rFonts w:ascii="Arial" w:cs="Arial" w:eastAsia="Arial" w:hAnsi="Arial"/>
                <w:sz w:val="18"/>
                <w:szCs w:val="18"/>
                <w:color w:val="auto"/>
              </w:rPr>
              <w:t>10.70</w:t>
            </w:r>
          </w:p>
        </w:tc>
        <w:tc>
          <w:tcPr>
            <w:tcW w:w="960" w:type="dxa"/>
            <w:vAlign w:val="bottom"/>
            <w:tcBorders>
              <w:top w:val="single" w:sz="8" w:color="D1D2D4"/>
            </w:tcBorders>
          </w:tcPr>
          <w:p>
            <w:pPr>
              <w:ind w:left="60"/>
              <w:spacing w:after="0" w:line="189"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10.13*</w:t>
            </w:r>
          </w:p>
        </w:tc>
        <w:tc>
          <w:tcPr>
            <w:tcW w:w="4520" w:type="dxa"/>
            <w:vAlign w:val="bottom"/>
            <w:tcBorders>
              <w:bottom w:val="single" w:sz="8" w:color="auto"/>
            </w:tcBorders>
            <w:gridSpan w:val="17"/>
            <w:shd w:val="clear" w:color="auto" w:fill="D1D2D4"/>
          </w:tcPr>
          <w:p>
            <w:pPr>
              <w:spacing w:after="0" w:line="189" w:lineRule="exact"/>
              <w:rPr>
                <w:rFonts w:ascii="Arial" w:cs="Arial" w:eastAsia="Arial" w:hAnsi="Arial"/>
                <w:sz w:val="18"/>
                <w:szCs w:val="18"/>
                <w:color w:val="auto"/>
                <w:w w:val="99"/>
              </w:rPr>
            </w:pPr>
            <w:hyperlink r:id="rId181">
              <w:r>
                <w:rPr>
                  <w:rFonts w:ascii="Arial" w:cs="Arial" w:eastAsia="Arial" w:hAnsi="Arial"/>
                  <w:sz w:val="18"/>
                  <w:szCs w:val="18"/>
                  <w:color w:val="auto"/>
                  <w:w w:val="99"/>
                </w:rPr>
                <w:t>Form of Amendment to Executive/Severance Agreement</w:t>
              </w:r>
            </w:hyperlink>
          </w:p>
        </w:tc>
        <w:tc>
          <w:tcPr>
            <w:tcW w:w="1040" w:type="dxa"/>
            <w:vAlign w:val="bottom"/>
            <w:tcBorders>
              <w:bottom w:val="single" w:sz="8" w:color="D1D2D4"/>
            </w:tcBorders>
            <w:gridSpan w:val="15"/>
            <w:shd w:val="clear" w:color="auto" w:fill="D1D2D4"/>
          </w:tcPr>
          <w:p>
            <w:pPr>
              <w:spacing w:after="0"/>
              <w:rPr>
                <w:sz w:val="18"/>
                <w:szCs w:val="18"/>
                <w:color w:val="auto"/>
              </w:rPr>
            </w:pPr>
          </w:p>
        </w:tc>
        <w:tc>
          <w:tcPr>
            <w:tcW w:w="1800" w:type="dxa"/>
            <w:vAlign w:val="bottom"/>
            <w:tcBorders>
              <w:bottom w:val="single" w:sz="8" w:color="D1D2D4"/>
            </w:tcBorders>
            <w:shd w:val="clear" w:color="auto" w:fill="D1D2D4"/>
          </w:tcPr>
          <w:p>
            <w:pPr>
              <w:ind w:left="1040"/>
              <w:spacing w:after="0" w:line="189" w:lineRule="exact"/>
              <w:rPr>
                <w:sz w:val="20"/>
                <w:szCs w:val="20"/>
                <w:color w:val="auto"/>
              </w:rPr>
            </w:pPr>
            <w:r>
              <w:rPr>
                <w:rFonts w:ascii="Arial" w:cs="Arial" w:eastAsia="Arial" w:hAnsi="Arial"/>
                <w:sz w:val="18"/>
                <w:szCs w:val="18"/>
                <w:color w:val="auto"/>
              </w:rPr>
              <w:t>8-K</w:t>
            </w:r>
          </w:p>
        </w:tc>
        <w:tc>
          <w:tcPr>
            <w:tcW w:w="86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99.1</w:t>
            </w:r>
          </w:p>
        </w:tc>
        <w:tc>
          <w:tcPr>
            <w:tcW w:w="960" w:type="dxa"/>
            <w:vAlign w:val="bottom"/>
            <w:tcBorders>
              <w:bottom w:val="single" w:sz="8" w:color="D1D2D4"/>
            </w:tcBorders>
            <w:shd w:val="clear" w:color="auto" w:fill="D1D2D4"/>
          </w:tcPr>
          <w:p>
            <w:pPr>
              <w:ind w:left="60"/>
              <w:spacing w:after="0" w:line="189" w:lineRule="exact"/>
              <w:rPr>
                <w:sz w:val="20"/>
                <w:szCs w:val="20"/>
                <w:color w:val="auto"/>
              </w:rPr>
            </w:pPr>
            <w:r>
              <w:rPr>
                <w:rFonts w:ascii="Arial" w:cs="Arial" w:eastAsia="Arial" w:hAnsi="Arial"/>
                <w:sz w:val="18"/>
                <w:szCs w:val="18"/>
                <w:color w:val="auto"/>
              </w:rPr>
              <w:t>11/13/17</w:t>
            </w: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10.14*</w:t>
            </w:r>
          </w:p>
        </w:tc>
        <w:tc>
          <w:tcPr>
            <w:tcW w:w="5560" w:type="dxa"/>
            <w:vAlign w:val="bottom"/>
            <w:gridSpan w:val="32"/>
          </w:tcPr>
          <w:p>
            <w:pPr>
              <w:spacing w:after="0" w:line="189" w:lineRule="exact"/>
              <w:rPr>
                <w:rFonts w:ascii="Arial" w:cs="Arial" w:eastAsia="Arial" w:hAnsi="Arial"/>
                <w:sz w:val="18"/>
                <w:szCs w:val="18"/>
                <w:color w:val="auto"/>
              </w:rPr>
            </w:pPr>
            <w:hyperlink r:id="rId182">
              <w:r>
                <w:rPr>
                  <w:rFonts w:ascii="Arial" w:cs="Arial" w:eastAsia="Arial" w:hAnsi="Arial"/>
                  <w:sz w:val="18"/>
                  <w:szCs w:val="18"/>
                  <w:color w:val="auto"/>
                </w:rPr>
                <w:t>Severance Benefits for Manish Bhatia</w:t>
              </w:r>
            </w:hyperlink>
          </w:p>
        </w:tc>
        <w:tc>
          <w:tcPr>
            <w:tcW w:w="1800" w:type="dxa"/>
            <w:vAlign w:val="bottom"/>
          </w:tcPr>
          <w:p>
            <w:pPr>
              <w:ind w:left="1040"/>
              <w:spacing w:after="0" w:line="189" w:lineRule="exact"/>
              <w:rPr>
                <w:sz w:val="20"/>
                <w:szCs w:val="20"/>
                <w:color w:val="auto"/>
              </w:rPr>
            </w:pPr>
            <w:r>
              <w:rPr>
                <w:rFonts w:ascii="Arial" w:cs="Arial" w:eastAsia="Arial" w:hAnsi="Arial"/>
                <w:sz w:val="18"/>
                <w:szCs w:val="18"/>
                <w:color w:val="auto"/>
              </w:rPr>
              <w:t>10-Q</w:t>
            </w:r>
          </w:p>
        </w:tc>
        <w:tc>
          <w:tcPr>
            <w:tcW w:w="860" w:type="dxa"/>
            <w:vAlign w:val="bottom"/>
          </w:tcPr>
          <w:p>
            <w:pPr>
              <w:ind w:left="20"/>
              <w:spacing w:after="0" w:line="189" w:lineRule="exact"/>
              <w:rPr>
                <w:sz w:val="20"/>
                <w:szCs w:val="20"/>
                <w:color w:val="auto"/>
              </w:rPr>
            </w:pPr>
            <w:r>
              <w:rPr>
                <w:rFonts w:ascii="Arial" w:cs="Arial" w:eastAsia="Arial" w:hAnsi="Arial"/>
                <w:sz w:val="18"/>
                <w:szCs w:val="18"/>
                <w:color w:val="auto"/>
              </w:rPr>
              <w:t>11/30/17</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10.74</w:t>
            </w:r>
          </w:p>
        </w:tc>
        <w:tc>
          <w:tcPr>
            <w:tcW w:w="960" w:type="dxa"/>
            <w:vAlign w:val="bottom"/>
          </w:tcPr>
          <w:p>
            <w:pPr>
              <w:ind w:left="60"/>
              <w:spacing w:after="0" w:line="189" w:lineRule="exact"/>
              <w:rPr>
                <w:sz w:val="20"/>
                <w:szCs w:val="20"/>
                <w:color w:val="auto"/>
              </w:rPr>
            </w:pPr>
            <w:r>
              <w:rPr>
                <w:rFonts w:ascii="Arial" w:cs="Arial" w:eastAsia="Arial" w:hAnsi="Arial"/>
                <w:sz w:val="18"/>
                <w:szCs w:val="18"/>
                <w:color w:val="auto"/>
              </w:rPr>
              <w:t>12/20/17</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10.15*</w:t>
            </w:r>
          </w:p>
        </w:tc>
        <w:tc>
          <w:tcPr>
            <w:tcW w:w="5560" w:type="dxa"/>
            <w:vAlign w:val="bottom"/>
            <w:gridSpan w:val="32"/>
            <w:shd w:val="clear" w:color="auto" w:fill="D1D2D4"/>
          </w:tcPr>
          <w:p>
            <w:pPr>
              <w:spacing w:after="0" w:line="189" w:lineRule="exact"/>
              <w:rPr>
                <w:rFonts w:ascii="Arial" w:cs="Arial" w:eastAsia="Arial" w:hAnsi="Arial"/>
                <w:sz w:val="18"/>
                <w:szCs w:val="18"/>
                <w:color w:val="auto"/>
                <w:w w:val="99"/>
              </w:rPr>
            </w:pPr>
            <w:hyperlink r:id="rId183">
              <w:r>
                <w:rPr>
                  <w:rFonts w:ascii="Arial" w:cs="Arial" w:eastAsia="Arial" w:hAnsi="Arial"/>
                  <w:sz w:val="18"/>
                  <w:szCs w:val="18"/>
                  <w:color w:val="auto"/>
                  <w:w w:val="99"/>
                </w:rPr>
                <w:t>Micron Technology, Inc. Employee Stock Purchase Plan, as amended</w:t>
              </w:r>
            </w:hyperlink>
          </w:p>
        </w:tc>
        <w:tc>
          <w:tcPr>
            <w:tcW w:w="1800" w:type="dxa"/>
            <w:vAlign w:val="bottom"/>
            <w:shd w:val="clear" w:color="auto" w:fill="D1D2D4"/>
          </w:tcPr>
          <w:p>
            <w:pPr>
              <w:ind w:left="1040"/>
              <w:spacing w:after="0" w:line="189" w:lineRule="exact"/>
              <w:rPr>
                <w:sz w:val="20"/>
                <w:szCs w:val="20"/>
                <w:color w:val="auto"/>
              </w:rPr>
            </w:pPr>
            <w:r>
              <w:rPr>
                <w:rFonts w:ascii="Arial" w:cs="Arial" w:eastAsia="Arial" w:hAnsi="Arial"/>
                <w:sz w:val="18"/>
                <w:szCs w:val="18"/>
                <w:color w:val="auto"/>
              </w:rPr>
              <w:t>10-Q</w:t>
            </w:r>
          </w:p>
        </w:tc>
        <w:tc>
          <w:tcPr>
            <w:tcW w:w="86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6/2/22</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10.1</w:t>
            </w:r>
          </w:p>
        </w:tc>
        <w:tc>
          <w:tcPr>
            <w:tcW w:w="960" w:type="dxa"/>
            <w:vAlign w:val="bottom"/>
            <w:shd w:val="clear" w:color="auto" w:fill="D1D2D4"/>
          </w:tcPr>
          <w:p>
            <w:pPr>
              <w:ind w:left="60"/>
              <w:spacing w:after="0" w:line="189"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169"/>
        </w:trPr>
        <w:tc>
          <w:tcPr>
            <w:tcW w:w="980" w:type="dxa"/>
            <w:vAlign w:val="bottom"/>
            <w:tcBorders>
              <w:top w:val="single" w:sz="8" w:color="D1D2D4"/>
            </w:tcBorders>
            <w:shd w:val="clear" w:color="auto" w:fill="D1D2D4"/>
          </w:tcPr>
          <w:p>
            <w:pPr>
              <w:spacing w:after="0"/>
              <w:rPr>
                <w:sz w:val="14"/>
                <w:szCs w:val="14"/>
                <w:color w:val="auto"/>
              </w:rPr>
            </w:pPr>
          </w:p>
        </w:tc>
        <w:tc>
          <w:tcPr>
            <w:tcW w:w="5540" w:type="dxa"/>
            <w:vAlign w:val="bottom"/>
            <w:tcBorders>
              <w:top w:val="single" w:sz="8" w:color="auto"/>
            </w:tcBorders>
            <w:gridSpan w:val="31"/>
            <w:shd w:val="clear" w:color="auto" w:fill="D1D2D4"/>
          </w:tcPr>
          <w:p>
            <w:pPr>
              <w:spacing w:after="0" w:line="169" w:lineRule="exact"/>
              <w:rPr>
                <w:rFonts w:ascii="Arial" w:cs="Arial" w:eastAsia="Arial" w:hAnsi="Arial"/>
                <w:sz w:val="18"/>
                <w:szCs w:val="18"/>
                <w:color w:val="auto"/>
              </w:rPr>
            </w:pPr>
            <w:hyperlink r:id="rId183">
              <w:r>
                <w:rPr>
                  <w:rFonts w:ascii="Arial" w:cs="Arial" w:eastAsia="Arial" w:hAnsi="Arial"/>
                  <w:sz w:val="18"/>
                  <w:szCs w:val="18"/>
                  <w:color w:val="auto"/>
                </w:rPr>
                <w:t>and restated</w:t>
              </w:r>
            </w:hyperlink>
          </w:p>
        </w:tc>
        <w:tc>
          <w:tcPr>
            <w:tcW w:w="20" w:type="dxa"/>
            <w:vAlign w:val="bottom"/>
            <w:tcBorders>
              <w:top w:val="single" w:sz="8" w:color="D1D2D4"/>
            </w:tcBorders>
            <w:shd w:val="clear" w:color="auto" w:fill="D1D2D4"/>
          </w:tcPr>
          <w:p>
            <w:pPr>
              <w:spacing w:after="0"/>
              <w:rPr>
                <w:sz w:val="14"/>
                <w:szCs w:val="14"/>
                <w:color w:val="auto"/>
              </w:rPr>
            </w:pPr>
          </w:p>
        </w:tc>
        <w:tc>
          <w:tcPr>
            <w:tcW w:w="1800" w:type="dxa"/>
            <w:vAlign w:val="bottom"/>
            <w:tcBorders>
              <w:top w:val="single" w:sz="8" w:color="D1D2D4"/>
            </w:tcBorders>
            <w:shd w:val="clear" w:color="auto" w:fill="D1D2D4"/>
          </w:tcPr>
          <w:p>
            <w:pPr>
              <w:spacing w:after="0"/>
              <w:rPr>
                <w:sz w:val="14"/>
                <w:szCs w:val="14"/>
                <w:color w:val="auto"/>
              </w:rPr>
            </w:pPr>
          </w:p>
        </w:tc>
        <w:tc>
          <w:tcPr>
            <w:tcW w:w="860" w:type="dxa"/>
            <w:vAlign w:val="bottom"/>
            <w:tcBorders>
              <w:top w:val="single" w:sz="8" w:color="D1D2D4"/>
            </w:tcBorders>
            <w:shd w:val="clear" w:color="auto" w:fill="D1D2D4"/>
          </w:tcPr>
          <w:p>
            <w:pPr>
              <w:spacing w:after="0"/>
              <w:rPr>
                <w:sz w:val="14"/>
                <w:szCs w:val="14"/>
                <w:color w:val="auto"/>
              </w:rPr>
            </w:pPr>
          </w:p>
        </w:tc>
        <w:tc>
          <w:tcPr>
            <w:tcW w:w="1080" w:type="dxa"/>
            <w:vAlign w:val="bottom"/>
            <w:tcBorders>
              <w:top w:val="single" w:sz="8" w:color="D1D2D4"/>
            </w:tcBorders>
            <w:shd w:val="clear" w:color="auto" w:fill="D1D2D4"/>
          </w:tcPr>
          <w:p>
            <w:pPr>
              <w:spacing w:after="0"/>
              <w:rPr>
                <w:sz w:val="14"/>
                <w:szCs w:val="14"/>
                <w:color w:val="auto"/>
              </w:rPr>
            </w:pPr>
          </w:p>
        </w:tc>
        <w:tc>
          <w:tcPr>
            <w:tcW w:w="960" w:type="dxa"/>
            <w:vAlign w:val="bottom"/>
            <w:tcBorders>
              <w:top w:val="single" w:sz="8" w:color="D1D2D4"/>
            </w:tcBorders>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Borders>
              <w:top w:val="single" w:sz="8" w:color="D1D2D4"/>
            </w:tcBorders>
            <w:shd w:val="clear" w:color="auto" w:fill="D1D2D4"/>
          </w:tcPr>
          <w:p>
            <w:pPr>
              <w:spacing w:after="0" w:line="20" w:lineRule="exact"/>
              <w:rPr>
                <w:sz w:val="1"/>
                <w:szCs w:val="1"/>
                <w:color w:val="auto"/>
              </w:rPr>
            </w:pPr>
          </w:p>
        </w:tc>
        <w:tc>
          <w:tcPr>
            <w:tcW w:w="360" w:type="dxa"/>
            <w:vAlign w:val="bottom"/>
            <w:tcBorders>
              <w:top w:val="single" w:sz="8" w:color="auto"/>
            </w:tcBorders>
            <w:shd w:val="clear" w:color="auto" w:fill="D1D2D4"/>
          </w:tcPr>
          <w:p>
            <w:pPr>
              <w:spacing w:after="0" w:line="20" w:lineRule="exact"/>
              <w:rPr>
                <w:sz w:val="1"/>
                <w:szCs w:val="1"/>
                <w:color w:val="auto"/>
              </w:rPr>
            </w:pPr>
          </w:p>
        </w:tc>
        <w:tc>
          <w:tcPr>
            <w:tcW w:w="500" w:type="dxa"/>
            <w:vAlign w:val="bottom"/>
            <w:tcBorders>
              <w:top w:val="single" w:sz="8" w:color="auto"/>
            </w:tcBorders>
            <w:shd w:val="clear" w:color="auto" w:fill="D1D2D4"/>
          </w:tcPr>
          <w:p>
            <w:pPr>
              <w:spacing w:after="0" w:line="20" w:lineRule="exact"/>
              <w:rPr>
                <w:sz w:val="1"/>
                <w:szCs w:val="1"/>
                <w:color w:val="auto"/>
              </w:rPr>
            </w:pPr>
          </w:p>
        </w:tc>
        <w:tc>
          <w:tcPr>
            <w:tcW w:w="140" w:type="dxa"/>
            <w:vAlign w:val="bottom"/>
            <w:tcBorders>
              <w:top w:val="single" w:sz="8" w:color="auto"/>
            </w:tcBorders>
            <w:shd w:val="clear" w:color="auto" w:fill="D1D2D4"/>
          </w:tcPr>
          <w:p>
            <w:pPr>
              <w:spacing w:after="0" w:line="20" w:lineRule="exact"/>
              <w:rPr>
                <w:sz w:val="1"/>
                <w:szCs w:val="1"/>
                <w:color w:val="auto"/>
              </w:rPr>
            </w:pPr>
          </w:p>
        </w:tc>
        <w:tc>
          <w:tcPr>
            <w:tcW w:w="68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46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4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40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180" w:type="dxa"/>
            <w:vAlign w:val="bottom"/>
            <w:tcBorders>
              <w:top w:val="single" w:sz="8" w:color="D1D2D4"/>
            </w:tcBorders>
            <w:shd w:val="clear" w:color="auto" w:fill="D1D2D4"/>
          </w:tcPr>
          <w:p>
            <w:pPr>
              <w:spacing w:after="0" w:line="20" w:lineRule="exact"/>
              <w:rPr>
                <w:sz w:val="1"/>
                <w:szCs w:val="1"/>
                <w:color w:val="auto"/>
              </w:rPr>
            </w:pPr>
          </w:p>
        </w:tc>
        <w:tc>
          <w:tcPr>
            <w:tcW w:w="2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340" w:type="dxa"/>
            <w:vAlign w:val="bottom"/>
            <w:tcBorders>
              <w:top w:val="single" w:sz="8" w:color="D1D2D4"/>
            </w:tcBorders>
            <w:shd w:val="clear" w:color="auto" w:fill="D1D2D4"/>
          </w:tcPr>
          <w:p>
            <w:pPr>
              <w:spacing w:after="0" w:line="20" w:lineRule="exact"/>
              <w:rPr>
                <w:sz w:val="1"/>
                <w:szCs w:val="1"/>
                <w:color w:val="auto"/>
              </w:rPr>
            </w:pPr>
          </w:p>
        </w:tc>
        <w:tc>
          <w:tcPr>
            <w:tcW w:w="10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6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4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80" w:type="dxa"/>
            <w:vAlign w:val="bottom"/>
            <w:tcBorders>
              <w:top w:val="single" w:sz="8" w:color="D1D2D4"/>
            </w:tcBorders>
            <w:shd w:val="clear" w:color="auto" w:fill="D1D2D4"/>
          </w:tcPr>
          <w:p>
            <w:pPr>
              <w:spacing w:after="0" w:line="20" w:lineRule="exact"/>
              <w:rPr>
                <w:sz w:val="1"/>
                <w:szCs w:val="1"/>
                <w:color w:val="auto"/>
              </w:rPr>
            </w:pPr>
          </w:p>
        </w:tc>
        <w:tc>
          <w:tcPr>
            <w:tcW w:w="20" w:type="dxa"/>
            <w:vAlign w:val="bottom"/>
            <w:tcBorders>
              <w:top w:val="single" w:sz="8" w:color="D1D2D4"/>
            </w:tcBorders>
            <w:shd w:val="clear" w:color="auto" w:fill="D1D2D4"/>
          </w:tcPr>
          <w:p>
            <w:pPr>
              <w:spacing w:after="0" w:line="20" w:lineRule="exact"/>
              <w:rPr>
                <w:sz w:val="1"/>
                <w:szCs w:val="1"/>
                <w:color w:val="auto"/>
              </w:rPr>
            </w:pPr>
          </w:p>
        </w:tc>
        <w:tc>
          <w:tcPr>
            <w:tcW w:w="1800" w:type="dxa"/>
            <w:vAlign w:val="bottom"/>
            <w:tcBorders>
              <w:top w:val="single" w:sz="8" w:color="D1D2D4"/>
            </w:tcBorders>
            <w:shd w:val="clear" w:color="auto" w:fill="D1D2D4"/>
          </w:tcPr>
          <w:p>
            <w:pPr>
              <w:spacing w:after="0" w:line="20" w:lineRule="exact"/>
              <w:rPr>
                <w:sz w:val="1"/>
                <w:szCs w:val="1"/>
                <w:color w:val="auto"/>
              </w:rPr>
            </w:pPr>
          </w:p>
        </w:tc>
        <w:tc>
          <w:tcPr>
            <w:tcW w:w="860" w:type="dxa"/>
            <w:vAlign w:val="bottom"/>
            <w:tcBorders>
              <w:top w:val="single" w:sz="8" w:color="D1D2D4"/>
            </w:tcBorders>
            <w:shd w:val="clear" w:color="auto" w:fill="D1D2D4"/>
          </w:tcPr>
          <w:p>
            <w:pPr>
              <w:spacing w:after="0" w:line="20" w:lineRule="exact"/>
              <w:rPr>
                <w:sz w:val="1"/>
                <w:szCs w:val="1"/>
                <w:color w:val="auto"/>
              </w:rPr>
            </w:pPr>
          </w:p>
        </w:tc>
        <w:tc>
          <w:tcPr>
            <w:tcW w:w="1080" w:type="dxa"/>
            <w:vAlign w:val="bottom"/>
            <w:tcBorders>
              <w:top w:val="single" w:sz="8" w:color="D1D2D4"/>
            </w:tcBorders>
            <w:shd w:val="clear" w:color="auto" w:fill="D1D2D4"/>
          </w:tcPr>
          <w:p>
            <w:pPr>
              <w:spacing w:after="0" w:line="20" w:lineRule="exact"/>
              <w:rPr>
                <w:sz w:val="1"/>
                <w:szCs w:val="1"/>
                <w:color w:val="auto"/>
              </w:rPr>
            </w:pPr>
          </w:p>
        </w:tc>
        <w:tc>
          <w:tcPr>
            <w:tcW w:w="960" w:type="dxa"/>
            <w:vAlign w:val="bottom"/>
            <w:tcBorders>
              <w:top w:val="single" w:sz="8" w:color="D1D2D4"/>
            </w:tcBorders>
            <w:shd w:val="clear" w:color="auto" w:fill="D1D2D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95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180"/>
              <w:spacing w:after="0"/>
              <w:rPr>
                <w:sz w:val="20"/>
                <w:szCs w:val="20"/>
                <w:color w:val="auto"/>
              </w:rPr>
            </w:pPr>
            <w:r>
              <w:rPr>
                <w:rFonts w:ascii="Arial" w:cs="Arial" w:eastAsia="Arial" w:hAnsi="Arial"/>
                <w:sz w:val="18"/>
                <w:szCs w:val="18"/>
                <w:b w:val="1"/>
                <w:bCs w:val="1"/>
                <w:color w:val="auto"/>
              </w:rPr>
              <w:t>Exhibit</w:t>
            </w:r>
          </w:p>
        </w:tc>
        <w:tc>
          <w:tcPr>
            <w:tcW w:w="5500" w:type="dxa"/>
            <w:vAlign w:val="bottom"/>
            <w:gridSpan w:val="15"/>
            <w:vMerge w:val="restart"/>
          </w:tcPr>
          <w:p>
            <w:pPr>
              <w:ind w:left="1840"/>
              <w:spacing w:after="0"/>
              <w:rPr>
                <w:sz w:val="20"/>
                <w:szCs w:val="20"/>
                <w:color w:val="auto"/>
              </w:rPr>
            </w:pPr>
            <w:r>
              <w:rPr>
                <w:rFonts w:ascii="Arial" w:cs="Arial" w:eastAsia="Arial" w:hAnsi="Arial"/>
                <w:sz w:val="18"/>
                <w:szCs w:val="18"/>
                <w:b w:val="1"/>
                <w:bCs w:val="1"/>
                <w:color w:val="auto"/>
              </w:rPr>
              <w:t>Description of Exhibit</w:t>
            </w:r>
          </w:p>
        </w:tc>
        <w:tc>
          <w:tcPr>
            <w:tcW w:w="1800" w:type="dxa"/>
            <w:vAlign w:val="bottom"/>
          </w:tcPr>
          <w:p>
            <w:pPr>
              <w:ind w:left="360"/>
              <w:spacing w:after="0"/>
              <w:rPr>
                <w:sz w:val="20"/>
                <w:szCs w:val="20"/>
                <w:color w:val="auto"/>
              </w:rPr>
            </w:pPr>
            <w:r>
              <w:rPr>
                <w:rFonts w:ascii="Arial" w:cs="Arial" w:eastAsia="Arial" w:hAnsi="Arial"/>
                <w:sz w:val="18"/>
                <w:szCs w:val="18"/>
                <w:b w:val="1"/>
                <w:bCs w:val="1"/>
                <w:color w:val="auto"/>
              </w:rPr>
              <w:t>Filed</w:t>
            </w:r>
          </w:p>
        </w:tc>
        <w:tc>
          <w:tcPr>
            <w:tcW w:w="920" w:type="dxa"/>
            <w:vAlign w:val="bottom"/>
          </w:tcPr>
          <w:p>
            <w:pPr>
              <w:jc w:val="right"/>
              <w:ind w:right="10"/>
              <w:spacing w:after="0"/>
              <w:rPr>
                <w:sz w:val="20"/>
                <w:szCs w:val="20"/>
                <w:color w:val="auto"/>
              </w:rPr>
            </w:pPr>
            <w:r>
              <w:rPr>
                <w:rFonts w:ascii="Arial" w:cs="Arial" w:eastAsia="Arial" w:hAnsi="Arial"/>
                <w:sz w:val="18"/>
                <w:szCs w:val="18"/>
                <w:b w:val="1"/>
                <w:bCs w:val="1"/>
                <w:color w:val="auto"/>
              </w:rPr>
              <w:t>Period</w:t>
            </w:r>
          </w:p>
        </w:tc>
        <w:tc>
          <w:tcPr>
            <w:tcW w:w="1080" w:type="dxa"/>
            <w:vAlign w:val="bottom"/>
          </w:tcPr>
          <w:p>
            <w:pPr>
              <w:jc w:val="center"/>
              <w:ind w:left="30"/>
              <w:spacing w:after="0"/>
              <w:rPr>
                <w:sz w:val="20"/>
                <w:szCs w:val="20"/>
                <w:color w:val="auto"/>
              </w:rPr>
            </w:pPr>
            <w:r>
              <w:rPr>
                <w:rFonts w:ascii="Arial" w:cs="Arial" w:eastAsia="Arial" w:hAnsi="Arial"/>
                <w:sz w:val="18"/>
                <w:szCs w:val="18"/>
                <w:b w:val="1"/>
                <w:bCs w:val="1"/>
                <w:color w:val="auto"/>
                <w:w w:val="98"/>
              </w:rPr>
              <w:t>Exhibit/</w:t>
            </w: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Filing</w:t>
            </w:r>
          </w:p>
        </w:tc>
        <w:tc>
          <w:tcPr>
            <w:tcW w:w="0" w:type="dxa"/>
            <w:vAlign w:val="bottom"/>
          </w:tcPr>
          <w:p>
            <w:pPr>
              <w:spacing w:after="0"/>
              <w:rPr>
                <w:sz w:val="1"/>
                <w:szCs w:val="1"/>
                <w:color w:val="auto"/>
              </w:rPr>
            </w:pPr>
          </w:p>
        </w:tc>
      </w:tr>
      <w:tr>
        <w:trPr>
          <w:trHeight w:val="243"/>
        </w:trPr>
        <w:tc>
          <w:tcPr>
            <w:tcW w:w="9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5500" w:type="dxa"/>
            <w:vAlign w:val="bottom"/>
            <w:tcBorders>
              <w:bottom w:val="single" w:sz="8" w:color="auto"/>
            </w:tcBorders>
            <w:gridSpan w:val="15"/>
            <w:vMerge w:val="continue"/>
          </w:tcPr>
          <w:p>
            <w:pPr>
              <w:spacing w:after="0"/>
              <w:rPr>
                <w:sz w:val="21"/>
                <w:szCs w:val="21"/>
                <w:color w:val="auto"/>
              </w:rPr>
            </w:pPr>
          </w:p>
        </w:tc>
        <w:tc>
          <w:tcPr>
            <w:tcW w:w="18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Herewith   Form</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Ending</w:t>
            </w:r>
          </w:p>
        </w:tc>
        <w:tc>
          <w:tcPr>
            <w:tcW w:w="10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Appendix</w:t>
            </w: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82"/>
        </w:trPr>
        <w:tc>
          <w:tcPr>
            <w:tcW w:w="980" w:type="dxa"/>
            <w:vAlign w:val="bottom"/>
          </w:tcPr>
          <w:p>
            <w:pPr>
              <w:ind w:left="20"/>
              <w:spacing w:after="0" w:line="182" w:lineRule="exact"/>
              <w:rPr>
                <w:sz w:val="20"/>
                <w:szCs w:val="20"/>
                <w:color w:val="auto"/>
              </w:rPr>
            </w:pPr>
            <w:r>
              <w:rPr>
                <w:rFonts w:ascii="Arial" w:cs="Arial" w:eastAsia="Arial" w:hAnsi="Arial"/>
                <w:sz w:val="18"/>
                <w:szCs w:val="18"/>
                <w:color w:val="auto"/>
              </w:rPr>
              <w:t>10.16*</w:t>
            </w:r>
          </w:p>
        </w:tc>
        <w:tc>
          <w:tcPr>
            <w:tcW w:w="5500" w:type="dxa"/>
            <w:vAlign w:val="bottom"/>
            <w:gridSpan w:val="15"/>
          </w:tcPr>
          <w:p>
            <w:pPr>
              <w:spacing w:after="0" w:line="182" w:lineRule="exact"/>
              <w:rPr>
                <w:rFonts w:ascii="Arial" w:cs="Arial" w:eastAsia="Arial" w:hAnsi="Arial"/>
                <w:sz w:val="18"/>
                <w:szCs w:val="18"/>
                <w:color w:val="auto"/>
              </w:rPr>
            </w:pPr>
            <w:hyperlink r:id="rId185">
              <w:r>
                <w:rPr>
                  <w:rFonts w:ascii="Arial" w:cs="Arial" w:eastAsia="Arial" w:hAnsi="Arial"/>
                  <w:sz w:val="18"/>
                  <w:szCs w:val="18"/>
                  <w:color w:val="auto"/>
                </w:rPr>
                <w:t>Severance Benefits for Mark Murphy</w:t>
              </w:r>
            </w:hyperlink>
          </w:p>
        </w:tc>
        <w:tc>
          <w:tcPr>
            <w:tcW w:w="1800" w:type="dxa"/>
            <w:vAlign w:val="bottom"/>
          </w:tcPr>
          <w:p>
            <w:pPr>
              <w:ind w:left="1100"/>
              <w:spacing w:after="0" w:line="182" w:lineRule="exact"/>
              <w:rPr>
                <w:sz w:val="20"/>
                <w:szCs w:val="20"/>
                <w:color w:val="auto"/>
              </w:rPr>
            </w:pPr>
            <w:r>
              <w:rPr>
                <w:rFonts w:ascii="Arial" w:cs="Arial" w:eastAsia="Arial" w:hAnsi="Arial"/>
                <w:sz w:val="18"/>
                <w:szCs w:val="18"/>
                <w:color w:val="auto"/>
              </w:rPr>
              <w:t>10-Q</w:t>
            </w:r>
          </w:p>
        </w:tc>
        <w:tc>
          <w:tcPr>
            <w:tcW w:w="920" w:type="dxa"/>
            <w:vAlign w:val="bottom"/>
          </w:tcPr>
          <w:p>
            <w:pPr>
              <w:jc w:val="right"/>
              <w:ind w:right="250"/>
              <w:spacing w:after="0" w:line="182" w:lineRule="exact"/>
              <w:rPr>
                <w:sz w:val="20"/>
                <w:szCs w:val="20"/>
                <w:color w:val="auto"/>
              </w:rPr>
            </w:pPr>
            <w:r>
              <w:rPr>
                <w:rFonts w:ascii="Arial" w:cs="Arial" w:eastAsia="Arial" w:hAnsi="Arial"/>
                <w:sz w:val="18"/>
                <w:szCs w:val="18"/>
                <w:color w:val="auto"/>
              </w:rPr>
              <w:t>6/2/22</w:t>
            </w:r>
          </w:p>
        </w:tc>
        <w:tc>
          <w:tcPr>
            <w:tcW w:w="1080" w:type="dxa"/>
            <w:vAlign w:val="bottom"/>
          </w:tcPr>
          <w:p>
            <w:pPr>
              <w:ind w:left="80"/>
              <w:spacing w:after="0" w:line="182" w:lineRule="exact"/>
              <w:rPr>
                <w:sz w:val="20"/>
                <w:szCs w:val="20"/>
                <w:color w:val="auto"/>
              </w:rPr>
            </w:pPr>
            <w:r>
              <w:rPr>
                <w:rFonts w:ascii="Arial" w:cs="Arial" w:eastAsia="Arial" w:hAnsi="Arial"/>
                <w:sz w:val="18"/>
                <w:szCs w:val="18"/>
                <w:color w:val="auto"/>
              </w:rPr>
              <w:t>10.3</w:t>
            </w:r>
          </w:p>
        </w:tc>
        <w:tc>
          <w:tcPr>
            <w:tcW w:w="960" w:type="dxa"/>
            <w:vAlign w:val="bottom"/>
          </w:tcPr>
          <w:p>
            <w:pPr>
              <w:jc w:val="right"/>
              <w:ind w:right="310"/>
              <w:spacing w:after="0" w:line="182" w:lineRule="exact"/>
              <w:rPr>
                <w:sz w:val="20"/>
                <w:szCs w:val="20"/>
                <w:color w:val="auto"/>
              </w:rPr>
            </w:pPr>
            <w:r>
              <w:rPr>
                <w:rFonts w:ascii="Arial" w:cs="Arial" w:eastAsia="Arial" w:hAnsi="Arial"/>
                <w:sz w:val="18"/>
                <w:szCs w:val="18"/>
                <w:color w:val="auto"/>
              </w:rPr>
              <w:t>7/1/22</w:t>
            </w: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10.17</w:t>
            </w:r>
          </w:p>
        </w:tc>
        <w:tc>
          <w:tcPr>
            <w:tcW w:w="5500" w:type="dxa"/>
            <w:vAlign w:val="bottom"/>
            <w:gridSpan w:val="15"/>
            <w:shd w:val="clear" w:color="auto" w:fill="D1D2D4"/>
          </w:tcPr>
          <w:p>
            <w:pPr>
              <w:spacing w:after="0" w:line="189" w:lineRule="exact"/>
              <w:rPr>
                <w:rFonts w:ascii="Arial" w:cs="Arial" w:eastAsia="Arial" w:hAnsi="Arial"/>
                <w:sz w:val="18"/>
                <w:szCs w:val="18"/>
                <w:color w:val="auto"/>
              </w:rPr>
            </w:pPr>
            <w:hyperlink r:id="rId186">
              <w:r>
                <w:rPr>
                  <w:rFonts w:ascii="Arial" w:cs="Arial" w:eastAsia="Arial" w:hAnsi="Arial"/>
                  <w:sz w:val="18"/>
                  <w:szCs w:val="18"/>
                  <w:color w:val="auto"/>
                </w:rPr>
                <w:t>Credit Agreement, dated as of May 14, 2021, by and among Micron</w:t>
              </w:r>
            </w:hyperlink>
          </w:p>
        </w:tc>
        <w:tc>
          <w:tcPr>
            <w:tcW w:w="1800" w:type="dxa"/>
            <w:vAlign w:val="bottom"/>
            <w:shd w:val="clear" w:color="auto" w:fill="D1D2D4"/>
          </w:tcPr>
          <w:p>
            <w:pPr>
              <w:ind w:left="1100"/>
              <w:spacing w:after="0" w:line="189" w:lineRule="exact"/>
              <w:rPr>
                <w:sz w:val="20"/>
                <w:szCs w:val="20"/>
                <w:color w:val="auto"/>
              </w:rPr>
            </w:pPr>
            <w:r>
              <w:rPr>
                <w:rFonts w:ascii="Arial" w:cs="Arial" w:eastAsia="Arial" w:hAnsi="Arial"/>
                <w:sz w:val="18"/>
                <w:szCs w:val="18"/>
                <w:color w:val="auto"/>
              </w:rPr>
              <w:t>10-Q</w:t>
            </w:r>
          </w:p>
        </w:tc>
        <w:tc>
          <w:tcPr>
            <w:tcW w:w="920" w:type="dxa"/>
            <w:vAlign w:val="bottom"/>
            <w:shd w:val="clear" w:color="auto" w:fill="D1D2D4"/>
          </w:tcPr>
          <w:p>
            <w:pPr>
              <w:jc w:val="right"/>
              <w:ind w:right="250"/>
              <w:spacing w:after="0" w:line="189" w:lineRule="exact"/>
              <w:rPr>
                <w:sz w:val="20"/>
                <w:szCs w:val="20"/>
                <w:color w:val="auto"/>
              </w:rPr>
            </w:pPr>
            <w:r>
              <w:rPr>
                <w:rFonts w:ascii="Arial" w:cs="Arial" w:eastAsia="Arial" w:hAnsi="Arial"/>
                <w:sz w:val="18"/>
                <w:szCs w:val="18"/>
                <w:color w:val="auto"/>
              </w:rPr>
              <w:t>6/3/21</w:t>
            </w:r>
          </w:p>
        </w:tc>
        <w:tc>
          <w:tcPr>
            <w:tcW w:w="108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10.22</w:t>
            </w:r>
          </w:p>
        </w:tc>
        <w:tc>
          <w:tcPr>
            <w:tcW w:w="960" w:type="dxa"/>
            <w:vAlign w:val="bottom"/>
            <w:shd w:val="clear" w:color="auto" w:fill="D1D2D4"/>
          </w:tcPr>
          <w:p>
            <w:pPr>
              <w:jc w:val="right"/>
              <w:ind w:right="31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6"/>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4580" w:type="dxa"/>
            <w:vAlign w:val="bottom"/>
            <w:tcBorders>
              <w:top w:val="single" w:sz="8" w:color="auto"/>
              <w:bottom w:val="single" w:sz="8" w:color="auto"/>
            </w:tcBorders>
            <w:gridSpan w:val="5"/>
            <w:shd w:val="clear" w:color="auto" w:fill="D1D2D4"/>
          </w:tcPr>
          <w:p>
            <w:pPr>
              <w:spacing w:after="0" w:line="156" w:lineRule="exact"/>
              <w:rPr>
                <w:rFonts w:ascii="Arial" w:cs="Arial" w:eastAsia="Arial" w:hAnsi="Arial"/>
                <w:sz w:val="18"/>
                <w:szCs w:val="18"/>
                <w:color w:val="auto"/>
                <w:w w:val="98"/>
              </w:rPr>
            </w:pPr>
            <w:hyperlink r:id="rId186">
              <w:r>
                <w:rPr>
                  <w:rFonts w:ascii="Arial" w:cs="Arial" w:eastAsia="Arial" w:hAnsi="Arial"/>
                  <w:sz w:val="18"/>
                  <w:szCs w:val="18"/>
                  <w:color w:val="auto"/>
                  <w:w w:val="98"/>
                </w:rPr>
                <w:t>Technology, Inc., as borrower, HSBC Bank USA, National</w:t>
              </w:r>
            </w:hyperlink>
          </w:p>
        </w:tc>
        <w:tc>
          <w:tcPr>
            <w:tcW w:w="800" w:type="dxa"/>
            <w:vAlign w:val="bottom"/>
            <w:tcBorders>
              <w:top w:val="single" w:sz="8" w:color="auto"/>
              <w:bottom w:val="single" w:sz="8" w:color="D1D2D4"/>
            </w:tcBorders>
            <w:gridSpan w:val="7"/>
            <w:shd w:val="clear" w:color="auto" w:fill="D1D2D4"/>
          </w:tcPr>
          <w:p>
            <w:pPr>
              <w:spacing w:after="0"/>
              <w:rPr>
                <w:sz w:val="13"/>
                <w:szCs w:val="13"/>
                <w:color w:val="auto"/>
              </w:rPr>
            </w:pPr>
          </w:p>
        </w:tc>
        <w:tc>
          <w:tcPr>
            <w:tcW w:w="20" w:type="dxa"/>
            <w:vAlign w:val="bottom"/>
            <w:tcBorders>
              <w:top w:val="single" w:sz="8" w:color="D1D2D4"/>
              <w:bottom w:val="single" w:sz="8" w:color="D1D2D4"/>
            </w:tcBorders>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60" w:type="dxa"/>
            <w:vAlign w:val="bottom"/>
            <w:tcBorders>
              <w:top w:val="single" w:sz="8" w:color="D1D2D4"/>
              <w:bottom w:val="single" w:sz="8" w:color="D1D2D4"/>
            </w:tcBorders>
            <w:shd w:val="clear" w:color="auto" w:fill="D1D2D4"/>
          </w:tcPr>
          <w:p>
            <w:pPr>
              <w:spacing w:after="0"/>
              <w:rPr>
                <w:sz w:val="13"/>
                <w:szCs w:val="13"/>
                <w:color w:val="auto"/>
              </w:rPr>
            </w:pPr>
          </w:p>
        </w:tc>
        <w:tc>
          <w:tcPr>
            <w:tcW w:w="1800" w:type="dxa"/>
            <w:vAlign w:val="bottom"/>
            <w:tcBorders>
              <w:top w:val="single" w:sz="8" w:color="D1D2D4"/>
              <w:bottom w:val="single" w:sz="8" w:color="D1D2D4"/>
            </w:tcBorders>
            <w:shd w:val="clear" w:color="auto" w:fill="D1D2D4"/>
          </w:tcPr>
          <w:p>
            <w:pPr>
              <w:spacing w:after="0"/>
              <w:rPr>
                <w:sz w:val="13"/>
                <w:szCs w:val="13"/>
                <w:color w:val="auto"/>
              </w:rPr>
            </w:pPr>
          </w:p>
        </w:tc>
        <w:tc>
          <w:tcPr>
            <w:tcW w:w="920" w:type="dxa"/>
            <w:vAlign w:val="bottom"/>
            <w:tcBorders>
              <w:top w:val="single" w:sz="8" w:color="D1D2D4"/>
              <w:bottom w:val="single" w:sz="8" w:color="D1D2D4"/>
            </w:tcBorders>
            <w:shd w:val="clear" w:color="auto" w:fill="D1D2D4"/>
          </w:tcPr>
          <w:p>
            <w:pPr>
              <w:spacing w:after="0"/>
              <w:rPr>
                <w:sz w:val="13"/>
                <w:szCs w:val="13"/>
                <w:color w:val="auto"/>
              </w:rPr>
            </w:pPr>
          </w:p>
        </w:tc>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96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shd w:val="clear" w:color="auto" w:fill="D1D2D4"/>
          </w:tcPr>
          <w:p>
            <w:pPr>
              <w:spacing w:after="0"/>
              <w:rPr>
                <w:sz w:val="14"/>
                <w:szCs w:val="14"/>
                <w:color w:val="auto"/>
              </w:rPr>
            </w:pPr>
          </w:p>
        </w:tc>
        <w:tc>
          <w:tcPr>
            <w:tcW w:w="5500" w:type="dxa"/>
            <w:vAlign w:val="bottom"/>
            <w:gridSpan w:val="15"/>
            <w:shd w:val="clear" w:color="auto" w:fill="D1D2D4"/>
          </w:tcPr>
          <w:p>
            <w:pPr>
              <w:spacing w:after="0" w:line="169" w:lineRule="exact"/>
              <w:rPr>
                <w:rFonts w:ascii="Arial" w:cs="Arial" w:eastAsia="Arial" w:hAnsi="Arial"/>
                <w:sz w:val="18"/>
                <w:szCs w:val="18"/>
                <w:color w:val="auto"/>
              </w:rPr>
            </w:pPr>
            <w:hyperlink r:id="rId186">
              <w:r>
                <w:rPr>
                  <w:rFonts w:ascii="Arial" w:cs="Arial" w:eastAsia="Arial" w:hAnsi="Arial"/>
                  <w:sz w:val="18"/>
                  <w:szCs w:val="18"/>
                  <w:color w:val="auto"/>
                </w:rPr>
                <w:t>Association, as administrative agent, the other agents party thereto,</w:t>
              </w:r>
            </w:hyperlink>
          </w:p>
        </w:tc>
        <w:tc>
          <w:tcPr>
            <w:tcW w:w="1800" w:type="dxa"/>
            <w:vAlign w:val="bottom"/>
            <w:shd w:val="clear" w:color="auto" w:fill="D1D2D4"/>
          </w:tcPr>
          <w:p>
            <w:pPr>
              <w:spacing w:after="0"/>
              <w:rPr>
                <w:sz w:val="14"/>
                <w:szCs w:val="14"/>
                <w:color w:val="auto"/>
              </w:rPr>
            </w:pPr>
          </w:p>
        </w:tc>
        <w:tc>
          <w:tcPr>
            <w:tcW w:w="92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96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80" w:type="dxa"/>
            <w:vAlign w:val="bottom"/>
            <w:tcBorders>
              <w:top w:val="single" w:sz="8" w:color="D1D2D4"/>
              <w:bottom w:val="single" w:sz="8" w:color="D1D2D4"/>
            </w:tcBorders>
            <w:shd w:val="clear" w:color="auto" w:fill="D1D2D4"/>
          </w:tcPr>
          <w:p>
            <w:pPr>
              <w:spacing w:after="0"/>
              <w:rPr>
                <w:sz w:val="15"/>
                <w:szCs w:val="15"/>
                <w:color w:val="auto"/>
              </w:rPr>
            </w:pPr>
          </w:p>
        </w:tc>
        <w:tc>
          <w:tcPr>
            <w:tcW w:w="4720" w:type="dxa"/>
            <w:vAlign w:val="bottom"/>
            <w:tcBorders>
              <w:top w:val="single" w:sz="8" w:color="auto"/>
              <w:bottom w:val="single" w:sz="8" w:color="auto"/>
            </w:tcBorders>
            <w:gridSpan w:val="6"/>
            <w:shd w:val="clear" w:color="auto" w:fill="D1D2D4"/>
          </w:tcPr>
          <w:p>
            <w:pPr>
              <w:spacing w:after="0" w:line="156" w:lineRule="exact"/>
              <w:rPr>
                <w:rFonts w:ascii="Arial" w:cs="Arial" w:eastAsia="Arial" w:hAnsi="Arial"/>
                <w:sz w:val="18"/>
                <w:szCs w:val="18"/>
                <w:color w:val="auto"/>
                <w:w w:val="99"/>
              </w:rPr>
            </w:pPr>
            <w:hyperlink r:id="rId186">
              <w:r>
                <w:rPr>
                  <w:rFonts w:ascii="Arial" w:cs="Arial" w:eastAsia="Arial" w:hAnsi="Arial"/>
                  <w:sz w:val="18"/>
                  <w:szCs w:val="18"/>
                  <w:color w:val="auto"/>
                  <w:w w:val="99"/>
                </w:rPr>
                <w:t>and each financial institution party from time to time thereto</w:t>
              </w:r>
            </w:hyperlink>
          </w:p>
        </w:tc>
        <w:tc>
          <w:tcPr>
            <w:tcW w:w="680" w:type="dxa"/>
            <w:vAlign w:val="bottom"/>
            <w:tcBorders>
              <w:top w:val="single" w:sz="8" w:color="auto"/>
              <w:bottom w:val="single" w:sz="8" w:color="D1D2D4"/>
            </w:tcBorders>
            <w:gridSpan w:val="7"/>
            <w:shd w:val="clear" w:color="auto" w:fill="D1D2D4"/>
          </w:tcPr>
          <w:p>
            <w:pPr>
              <w:spacing w:after="0"/>
              <w:rPr>
                <w:sz w:val="15"/>
                <w:szCs w:val="15"/>
                <w:color w:val="auto"/>
              </w:rPr>
            </w:pPr>
          </w:p>
        </w:tc>
        <w:tc>
          <w:tcPr>
            <w:tcW w:w="40" w:type="dxa"/>
            <w:vAlign w:val="bottom"/>
            <w:tcBorders>
              <w:top w:val="single" w:sz="8" w:color="D1D2D4"/>
              <w:bottom w:val="single" w:sz="8" w:color="D1D2D4"/>
            </w:tcBorders>
            <w:shd w:val="clear" w:color="auto" w:fill="D1D2D4"/>
          </w:tcPr>
          <w:p>
            <w:pPr>
              <w:spacing w:after="0"/>
              <w:rPr>
                <w:sz w:val="15"/>
                <w:szCs w:val="15"/>
                <w:color w:val="auto"/>
              </w:rPr>
            </w:pPr>
          </w:p>
        </w:tc>
        <w:tc>
          <w:tcPr>
            <w:tcW w:w="60" w:type="dxa"/>
            <w:vAlign w:val="bottom"/>
            <w:tcBorders>
              <w:top w:val="single" w:sz="8" w:color="D1D2D4"/>
              <w:bottom w:val="single" w:sz="8" w:color="D1D2D4"/>
            </w:tcBorders>
            <w:shd w:val="clear" w:color="auto" w:fill="D1D2D4"/>
          </w:tcPr>
          <w:p>
            <w:pPr>
              <w:spacing w:after="0"/>
              <w:rPr>
                <w:sz w:val="15"/>
                <w:szCs w:val="15"/>
                <w:color w:val="auto"/>
              </w:rPr>
            </w:pPr>
          </w:p>
        </w:tc>
        <w:tc>
          <w:tcPr>
            <w:tcW w:w="1800" w:type="dxa"/>
            <w:vAlign w:val="bottom"/>
            <w:tcBorders>
              <w:top w:val="single" w:sz="8" w:color="D1D2D4"/>
              <w:bottom w:val="single" w:sz="8" w:color="D1D2D4"/>
            </w:tcBorders>
            <w:shd w:val="clear" w:color="auto" w:fill="D1D2D4"/>
          </w:tcPr>
          <w:p>
            <w:pPr>
              <w:spacing w:after="0"/>
              <w:rPr>
                <w:sz w:val="15"/>
                <w:szCs w:val="15"/>
                <w:color w:val="auto"/>
              </w:rPr>
            </w:pPr>
          </w:p>
        </w:tc>
        <w:tc>
          <w:tcPr>
            <w:tcW w:w="920" w:type="dxa"/>
            <w:vAlign w:val="bottom"/>
            <w:tcBorders>
              <w:top w:val="single" w:sz="8" w:color="D1D2D4"/>
              <w:bottom w:val="single" w:sz="8" w:color="D1D2D4"/>
            </w:tcBorders>
            <w:shd w:val="clear" w:color="auto" w:fill="D1D2D4"/>
          </w:tcPr>
          <w:p>
            <w:pPr>
              <w:spacing w:after="0"/>
              <w:rPr>
                <w:sz w:val="15"/>
                <w:szCs w:val="15"/>
                <w:color w:val="auto"/>
              </w:rPr>
            </w:pPr>
          </w:p>
        </w:tc>
        <w:tc>
          <w:tcPr>
            <w:tcW w:w="1080" w:type="dxa"/>
            <w:vAlign w:val="bottom"/>
            <w:tcBorders>
              <w:top w:val="single" w:sz="8" w:color="D1D2D4"/>
              <w:bottom w:val="single" w:sz="8" w:color="D1D2D4"/>
            </w:tcBorders>
            <w:shd w:val="clear" w:color="auto" w:fill="D1D2D4"/>
          </w:tcPr>
          <w:p>
            <w:pPr>
              <w:spacing w:after="0"/>
              <w:rPr>
                <w:sz w:val="15"/>
                <w:szCs w:val="15"/>
                <w:color w:val="auto"/>
              </w:rPr>
            </w:pPr>
          </w:p>
        </w:tc>
        <w:tc>
          <w:tcPr>
            <w:tcW w:w="960" w:type="dxa"/>
            <w:vAlign w:val="bottom"/>
            <w:tcBorders>
              <w:top w:val="single" w:sz="8" w:color="D1D2D4"/>
              <w:bottom w:val="single" w:sz="8" w:color="D1D2D4"/>
            </w:tcBorders>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10.18</w:t>
            </w:r>
          </w:p>
        </w:tc>
        <w:tc>
          <w:tcPr>
            <w:tcW w:w="5500" w:type="dxa"/>
            <w:vAlign w:val="bottom"/>
            <w:gridSpan w:val="15"/>
          </w:tcPr>
          <w:p>
            <w:pPr>
              <w:spacing w:after="0" w:line="189" w:lineRule="exact"/>
              <w:rPr>
                <w:rFonts w:ascii="Arial" w:cs="Arial" w:eastAsia="Arial" w:hAnsi="Arial"/>
                <w:sz w:val="18"/>
                <w:szCs w:val="18"/>
                <w:color w:val="auto"/>
              </w:rPr>
            </w:pPr>
            <w:hyperlink r:id="rId187">
              <w:r>
                <w:rPr>
                  <w:rFonts w:ascii="Arial" w:cs="Arial" w:eastAsia="Arial" w:hAnsi="Arial"/>
                  <w:sz w:val="18"/>
                  <w:szCs w:val="18"/>
                  <w:color w:val="auto"/>
                </w:rPr>
                <w:t>Term Loan Credit Agreement, dated as of May 14, 2021, by and</w:t>
              </w:r>
            </w:hyperlink>
          </w:p>
        </w:tc>
        <w:tc>
          <w:tcPr>
            <w:tcW w:w="1800" w:type="dxa"/>
            <w:vAlign w:val="bottom"/>
          </w:tcPr>
          <w:p>
            <w:pPr>
              <w:ind w:left="1100"/>
              <w:spacing w:after="0" w:line="189" w:lineRule="exact"/>
              <w:rPr>
                <w:sz w:val="20"/>
                <w:szCs w:val="20"/>
                <w:color w:val="auto"/>
              </w:rPr>
            </w:pPr>
            <w:r>
              <w:rPr>
                <w:rFonts w:ascii="Arial" w:cs="Arial" w:eastAsia="Arial" w:hAnsi="Arial"/>
                <w:sz w:val="18"/>
                <w:szCs w:val="18"/>
                <w:color w:val="auto"/>
              </w:rPr>
              <w:t>10-Q</w:t>
            </w:r>
          </w:p>
        </w:tc>
        <w:tc>
          <w:tcPr>
            <w:tcW w:w="920" w:type="dxa"/>
            <w:vAlign w:val="bottom"/>
          </w:tcPr>
          <w:p>
            <w:pPr>
              <w:jc w:val="right"/>
              <w:ind w:right="250"/>
              <w:spacing w:after="0" w:line="189" w:lineRule="exact"/>
              <w:rPr>
                <w:sz w:val="20"/>
                <w:szCs w:val="20"/>
                <w:color w:val="auto"/>
              </w:rPr>
            </w:pPr>
            <w:r>
              <w:rPr>
                <w:rFonts w:ascii="Arial" w:cs="Arial" w:eastAsia="Arial" w:hAnsi="Arial"/>
                <w:sz w:val="18"/>
                <w:szCs w:val="18"/>
                <w:color w:val="auto"/>
              </w:rPr>
              <w:t>6/3/21</w:t>
            </w:r>
          </w:p>
        </w:tc>
        <w:tc>
          <w:tcPr>
            <w:tcW w:w="1080" w:type="dxa"/>
            <w:vAlign w:val="bottom"/>
          </w:tcPr>
          <w:p>
            <w:pPr>
              <w:ind w:left="80"/>
              <w:spacing w:after="0" w:line="189" w:lineRule="exact"/>
              <w:rPr>
                <w:sz w:val="20"/>
                <w:szCs w:val="20"/>
                <w:color w:val="auto"/>
              </w:rPr>
            </w:pPr>
            <w:r>
              <w:rPr>
                <w:rFonts w:ascii="Arial" w:cs="Arial" w:eastAsia="Arial" w:hAnsi="Arial"/>
                <w:sz w:val="18"/>
                <w:szCs w:val="18"/>
                <w:color w:val="auto"/>
              </w:rPr>
              <w:t>10.23</w:t>
            </w:r>
          </w:p>
        </w:tc>
        <w:tc>
          <w:tcPr>
            <w:tcW w:w="960" w:type="dxa"/>
            <w:vAlign w:val="bottom"/>
          </w:tcPr>
          <w:p>
            <w:pPr>
              <w:jc w:val="right"/>
              <w:ind w:right="310"/>
              <w:spacing w:after="0" w:line="189" w:lineRule="exact"/>
              <w:rPr>
                <w:sz w:val="20"/>
                <w:szCs w:val="20"/>
                <w:color w:val="auto"/>
              </w:rPr>
            </w:pPr>
            <w:r>
              <w:rPr>
                <w:rFonts w:ascii="Arial" w:cs="Arial" w:eastAsia="Arial" w:hAnsi="Arial"/>
                <w:sz w:val="18"/>
                <w:szCs w:val="18"/>
                <w:color w:val="auto"/>
              </w:rPr>
              <w:t>7/1/21</w:t>
            </w: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5080" w:type="dxa"/>
            <w:vAlign w:val="bottom"/>
            <w:tcBorders>
              <w:top w:val="single" w:sz="8" w:color="auto"/>
              <w:bottom w:val="single" w:sz="8" w:color="auto"/>
            </w:tcBorders>
            <w:gridSpan w:val="8"/>
          </w:tcPr>
          <w:p>
            <w:pPr>
              <w:spacing w:after="0" w:line="156" w:lineRule="exact"/>
              <w:rPr>
                <w:rFonts w:ascii="Arial" w:cs="Arial" w:eastAsia="Arial" w:hAnsi="Arial"/>
                <w:sz w:val="18"/>
                <w:szCs w:val="18"/>
                <w:color w:val="auto"/>
                <w:w w:val="98"/>
              </w:rPr>
            </w:pPr>
            <w:hyperlink r:id="rId187">
              <w:r>
                <w:rPr>
                  <w:rFonts w:ascii="Arial" w:cs="Arial" w:eastAsia="Arial" w:hAnsi="Arial"/>
                  <w:sz w:val="18"/>
                  <w:szCs w:val="18"/>
                  <w:color w:val="auto"/>
                  <w:w w:val="98"/>
                </w:rPr>
                <w:t>among Micron Technology, Inc., as borrower, Wells Fargo Bank,</w:t>
              </w:r>
            </w:hyperlink>
          </w:p>
        </w:tc>
        <w:tc>
          <w:tcPr>
            <w:tcW w:w="20" w:type="dxa"/>
            <w:vAlign w:val="bottom"/>
            <w:tcBorders>
              <w:bottom w:val="single" w:sz="8" w:color="auto"/>
            </w:tcBorders>
          </w:tcPr>
          <w:p>
            <w:pPr>
              <w:spacing w:after="0"/>
              <w:rPr>
                <w:sz w:val="13"/>
                <w:szCs w:val="13"/>
                <w:color w:val="auto"/>
              </w:rPr>
            </w:pPr>
          </w:p>
        </w:tc>
        <w:tc>
          <w:tcPr>
            <w:tcW w:w="400" w:type="dxa"/>
            <w:vAlign w:val="bottom"/>
            <w:gridSpan w:val="6"/>
            <w:vMerge w:val="restart"/>
          </w:tcPr>
          <w:p>
            <w:pPr>
              <w:spacing w:after="0"/>
              <w:rPr>
                <w:rFonts w:ascii="Arial" w:cs="Arial" w:eastAsia="Arial" w:hAnsi="Arial"/>
                <w:sz w:val="18"/>
                <w:szCs w:val="18"/>
                <w:color w:val="auto"/>
                <w:w w:val="94"/>
              </w:rPr>
            </w:pPr>
            <w:hyperlink r:id="rId187">
              <w:r>
                <w:rPr>
                  <w:rFonts w:ascii="Arial" w:cs="Arial" w:eastAsia="Arial" w:hAnsi="Arial"/>
                  <w:sz w:val="18"/>
                  <w:szCs w:val="18"/>
                  <w:color w:val="auto"/>
                  <w:w w:val="94"/>
                </w:rPr>
                <w:t>party</w:t>
              </w:r>
            </w:hyperlink>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5100" w:type="dxa"/>
            <w:vAlign w:val="bottom"/>
            <w:gridSpan w:val="9"/>
          </w:tcPr>
          <w:p>
            <w:pPr>
              <w:spacing w:after="0" w:line="169" w:lineRule="exact"/>
              <w:rPr>
                <w:rFonts w:ascii="Arial" w:cs="Arial" w:eastAsia="Arial" w:hAnsi="Arial"/>
                <w:sz w:val="18"/>
                <w:szCs w:val="18"/>
                <w:color w:val="auto"/>
              </w:rPr>
            </w:pPr>
            <w:hyperlink r:id="rId187">
              <w:r>
                <w:rPr>
                  <w:rFonts w:ascii="Arial" w:cs="Arial" w:eastAsia="Arial" w:hAnsi="Arial"/>
                  <w:sz w:val="18"/>
                  <w:szCs w:val="18"/>
                  <w:color w:val="auto"/>
                </w:rPr>
                <w:t>National Association, as administrative agent, the other agents</w:t>
              </w:r>
            </w:hyperlink>
          </w:p>
        </w:tc>
        <w:tc>
          <w:tcPr>
            <w:tcW w:w="400" w:type="dxa"/>
            <w:vAlign w:val="bottom"/>
            <w:gridSpan w:val="6"/>
            <w:vMerge w:val="continue"/>
          </w:tcPr>
          <w:p>
            <w:pPr>
              <w:spacing w:after="0"/>
              <w:rPr>
                <w:sz w:val="14"/>
                <w:szCs w:val="14"/>
                <w:color w:val="auto"/>
              </w:rPr>
            </w:pPr>
          </w:p>
        </w:tc>
        <w:tc>
          <w:tcPr>
            <w:tcW w:w="1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80" w:type="dxa"/>
            <w:vAlign w:val="bottom"/>
          </w:tcPr>
          <w:p>
            <w:pPr>
              <w:spacing w:after="0"/>
              <w:rPr>
                <w:sz w:val="13"/>
                <w:szCs w:val="13"/>
                <w:color w:val="auto"/>
              </w:rPr>
            </w:pPr>
          </w:p>
        </w:tc>
        <w:tc>
          <w:tcPr>
            <w:tcW w:w="5440" w:type="dxa"/>
            <w:vAlign w:val="bottom"/>
            <w:tcBorders>
              <w:top w:val="single" w:sz="8" w:color="auto"/>
            </w:tcBorders>
            <w:gridSpan w:val="14"/>
          </w:tcPr>
          <w:p>
            <w:pPr>
              <w:spacing w:after="0" w:line="156" w:lineRule="exact"/>
              <w:rPr>
                <w:rFonts w:ascii="Arial" w:cs="Arial" w:eastAsia="Arial" w:hAnsi="Arial"/>
                <w:sz w:val="18"/>
                <w:szCs w:val="18"/>
                <w:color w:val="auto"/>
              </w:rPr>
            </w:pPr>
            <w:hyperlink r:id="rId187">
              <w:r>
                <w:rPr>
                  <w:rFonts w:ascii="Arial" w:cs="Arial" w:eastAsia="Arial" w:hAnsi="Arial"/>
                  <w:sz w:val="18"/>
                  <w:szCs w:val="18"/>
                  <w:color w:val="auto"/>
                </w:rPr>
                <w:t>thereto, and each financial institution party from time to time thereto</w:t>
              </w:r>
            </w:hyperlink>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Borders>
              <w:bottom w:val="single" w:sz="8" w:color="D1D2D4"/>
            </w:tcBorders>
            <w:shd w:val="clear" w:color="auto" w:fill="D1D2D4"/>
          </w:tcPr>
          <w:p>
            <w:pPr>
              <w:ind w:left="20"/>
              <w:spacing w:after="0" w:line="189" w:lineRule="exact"/>
              <w:rPr>
                <w:sz w:val="20"/>
                <w:szCs w:val="20"/>
                <w:color w:val="auto"/>
              </w:rPr>
            </w:pPr>
            <w:r>
              <w:rPr>
                <w:rFonts w:ascii="Arial" w:cs="Arial" w:eastAsia="Arial" w:hAnsi="Arial"/>
                <w:sz w:val="18"/>
                <w:szCs w:val="18"/>
                <w:color w:val="auto"/>
              </w:rPr>
              <w:t>21.1</w:t>
            </w:r>
          </w:p>
        </w:tc>
        <w:tc>
          <w:tcPr>
            <w:tcW w:w="2360" w:type="dxa"/>
            <w:vAlign w:val="bottom"/>
            <w:tcBorders>
              <w:bottom w:val="single" w:sz="8" w:color="auto"/>
            </w:tcBorders>
            <w:shd w:val="clear" w:color="auto" w:fill="D1D2D4"/>
          </w:tcPr>
          <w:p>
            <w:pPr>
              <w:spacing w:after="0" w:line="189" w:lineRule="exact"/>
              <w:rPr>
                <w:sz w:val="20"/>
                <w:szCs w:val="20"/>
                <w:color w:val="auto"/>
              </w:rPr>
            </w:pPr>
            <w:r>
              <w:rPr>
                <w:rFonts w:ascii="Arial" w:cs="Arial" w:eastAsia="Arial" w:hAnsi="Arial"/>
                <w:sz w:val="18"/>
                <w:szCs w:val="18"/>
                <w:color w:val="auto"/>
                <w:w w:val="99"/>
              </w:rPr>
              <w:t>Subsidiaries of the Registrant</w:t>
            </w:r>
          </w:p>
        </w:tc>
        <w:tc>
          <w:tcPr>
            <w:tcW w:w="3140" w:type="dxa"/>
            <w:vAlign w:val="bottom"/>
            <w:tcBorders>
              <w:bottom w:val="single" w:sz="8" w:color="D1D2D4"/>
            </w:tcBorders>
            <w:gridSpan w:val="14"/>
            <w:shd w:val="clear" w:color="auto" w:fill="D1D2D4"/>
          </w:tcPr>
          <w:p>
            <w:pPr>
              <w:spacing w:after="0"/>
              <w:rPr>
                <w:sz w:val="18"/>
                <w:szCs w:val="18"/>
                <w:color w:val="auto"/>
              </w:rPr>
            </w:pPr>
          </w:p>
        </w:tc>
        <w:tc>
          <w:tcPr>
            <w:tcW w:w="1800" w:type="dxa"/>
            <w:vAlign w:val="bottom"/>
            <w:tcBorders>
              <w:bottom w:val="single" w:sz="8" w:color="D1D2D4"/>
            </w:tcBorders>
            <w:shd w:val="clear" w:color="auto" w:fill="D1D2D4"/>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bottom w:val="single" w:sz="8" w:color="D1D2D4"/>
            </w:tcBorders>
            <w:shd w:val="clear" w:color="auto" w:fill="D1D2D4"/>
          </w:tcPr>
          <w:p>
            <w:pPr>
              <w:spacing w:after="0"/>
              <w:rPr>
                <w:sz w:val="18"/>
                <w:szCs w:val="18"/>
                <w:color w:val="auto"/>
              </w:rPr>
            </w:pPr>
          </w:p>
        </w:tc>
        <w:tc>
          <w:tcPr>
            <w:tcW w:w="1080" w:type="dxa"/>
            <w:vAlign w:val="bottom"/>
            <w:tcBorders>
              <w:bottom w:val="single" w:sz="8" w:color="D1D2D4"/>
            </w:tcBorders>
            <w:shd w:val="clear" w:color="auto" w:fill="D1D2D4"/>
          </w:tcPr>
          <w:p>
            <w:pPr>
              <w:spacing w:after="0"/>
              <w:rPr>
                <w:sz w:val="18"/>
                <w:szCs w:val="18"/>
                <w:color w:val="auto"/>
              </w:rPr>
            </w:pPr>
          </w:p>
        </w:tc>
        <w:tc>
          <w:tcPr>
            <w:tcW w:w="960" w:type="dxa"/>
            <w:vAlign w:val="bottom"/>
            <w:tcBorders>
              <w:bottom w:val="single" w:sz="8" w:color="D1D2D4"/>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23.1</w:t>
            </w:r>
          </w:p>
        </w:tc>
        <w:tc>
          <w:tcPr>
            <w:tcW w:w="5500" w:type="dxa"/>
            <w:vAlign w:val="bottom"/>
            <w:gridSpan w:val="15"/>
          </w:tcPr>
          <w:p>
            <w:pPr>
              <w:spacing w:after="0" w:line="189" w:lineRule="exact"/>
              <w:rPr>
                <w:sz w:val="20"/>
                <w:szCs w:val="20"/>
                <w:color w:val="auto"/>
              </w:rPr>
            </w:pPr>
            <w:r>
              <w:rPr>
                <w:rFonts w:ascii="Arial" w:cs="Arial" w:eastAsia="Arial" w:hAnsi="Arial"/>
                <w:sz w:val="18"/>
                <w:szCs w:val="18"/>
                <w:color w:val="auto"/>
              </w:rPr>
              <w:t>Consent of Independent Registered Public Accounting Firm</w:t>
            </w:r>
          </w:p>
        </w:tc>
        <w:tc>
          <w:tcPr>
            <w:tcW w:w="1800" w:type="dxa"/>
            <w:vAlign w:val="bottom"/>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31.1</w:t>
            </w:r>
          </w:p>
        </w:tc>
        <w:tc>
          <w:tcPr>
            <w:tcW w:w="5500" w:type="dxa"/>
            <w:vAlign w:val="bottom"/>
            <w:gridSpan w:val="15"/>
            <w:shd w:val="clear" w:color="auto" w:fill="D1D2D4"/>
          </w:tcPr>
          <w:p>
            <w:pPr>
              <w:spacing w:after="0" w:line="189" w:lineRule="exact"/>
              <w:rPr>
                <w:sz w:val="20"/>
                <w:szCs w:val="20"/>
                <w:color w:val="auto"/>
              </w:rPr>
            </w:pPr>
            <w:r>
              <w:rPr>
                <w:rFonts w:ascii="Arial" w:cs="Arial" w:eastAsia="Arial" w:hAnsi="Arial"/>
                <w:sz w:val="18"/>
                <w:szCs w:val="18"/>
                <w:color w:val="auto"/>
              </w:rPr>
              <w:t>Rule 13a-14(a) Certification of Chief Executive Officer</w:t>
            </w:r>
          </w:p>
        </w:tc>
        <w:tc>
          <w:tcPr>
            <w:tcW w:w="180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31.2</w:t>
            </w:r>
          </w:p>
        </w:tc>
        <w:tc>
          <w:tcPr>
            <w:tcW w:w="4280" w:type="dxa"/>
            <w:vAlign w:val="bottom"/>
            <w:tcBorders>
              <w:top w:val="single" w:sz="8" w:color="auto"/>
            </w:tcBorders>
            <w:gridSpan w:val="4"/>
          </w:tcPr>
          <w:p>
            <w:pPr>
              <w:spacing w:after="0" w:line="189" w:lineRule="exact"/>
              <w:rPr>
                <w:sz w:val="20"/>
                <w:szCs w:val="20"/>
                <w:color w:val="auto"/>
              </w:rPr>
            </w:pPr>
            <w:r>
              <w:rPr>
                <w:rFonts w:ascii="Arial" w:cs="Arial" w:eastAsia="Arial" w:hAnsi="Arial"/>
                <w:sz w:val="18"/>
                <w:szCs w:val="18"/>
                <w:color w:val="auto"/>
              </w:rPr>
              <w:t>Rule 13a-14(a) Certification of Chief Financial Officer</w:t>
            </w:r>
          </w:p>
        </w:tc>
        <w:tc>
          <w:tcPr>
            <w:tcW w:w="1220" w:type="dxa"/>
            <w:vAlign w:val="bottom"/>
            <w:tcBorders>
              <w:top w:val="single" w:sz="8" w:color="D1D2D4"/>
            </w:tcBorders>
            <w:gridSpan w:val="11"/>
          </w:tcPr>
          <w:p>
            <w:pPr>
              <w:spacing w:after="0"/>
              <w:rPr>
                <w:sz w:val="16"/>
                <w:szCs w:val="16"/>
                <w:color w:val="auto"/>
              </w:rPr>
            </w:pPr>
          </w:p>
        </w:tc>
        <w:tc>
          <w:tcPr>
            <w:tcW w:w="1800" w:type="dxa"/>
            <w:vAlign w:val="bottom"/>
            <w:tcBorders>
              <w:top w:val="single" w:sz="8" w:color="D1D2D4"/>
            </w:tcBorders>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shd w:val="clear" w:color="auto" w:fill="D1D2D4"/>
          </w:tcPr>
          <w:p>
            <w:pPr>
              <w:ind w:left="20"/>
              <w:spacing w:after="0" w:line="189" w:lineRule="exact"/>
              <w:rPr>
                <w:sz w:val="20"/>
                <w:szCs w:val="20"/>
                <w:color w:val="auto"/>
              </w:rPr>
            </w:pPr>
            <w:r>
              <w:rPr>
                <w:rFonts w:ascii="Arial" w:cs="Arial" w:eastAsia="Arial" w:hAnsi="Arial"/>
                <w:sz w:val="18"/>
                <w:szCs w:val="18"/>
                <w:color w:val="auto"/>
              </w:rPr>
              <w:t>32.1</w:t>
            </w:r>
          </w:p>
        </w:tc>
        <w:tc>
          <w:tcPr>
            <w:tcW w:w="5500" w:type="dxa"/>
            <w:vAlign w:val="bottom"/>
            <w:gridSpan w:val="15"/>
            <w:shd w:val="clear" w:color="auto" w:fill="D1D2D4"/>
          </w:tcPr>
          <w:p>
            <w:pPr>
              <w:spacing w:after="0" w:line="189" w:lineRule="exact"/>
              <w:rPr>
                <w:sz w:val="20"/>
                <w:szCs w:val="20"/>
                <w:color w:val="auto"/>
              </w:rPr>
            </w:pPr>
            <w:r>
              <w:rPr>
                <w:rFonts w:ascii="Arial" w:cs="Arial" w:eastAsia="Arial" w:hAnsi="Arial"/>
                <w:sz w:val="18"/>
                <w:szCs w:val="18"/>
                <w:color w:val="auto"/>
              </w:rPr>
              <w:t>Certification of Chief Executive Officer Pursuant to 18 U.S.C. 1350</w:t>
            </w:r>
          </w:p>
        </w:tc>
        <w:tc>
          <w:tcPr>
            <w:tcW w:w="1800" w:type="dxa"/>
            <w:vAlign w:val="bottom"/>
            <w:shd w:val="clear" w:color="auto" w:fill="D1D2D4"/>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980" w:type="dxa"/>
            <w:vAlign w:val="bottom"/>
            <w:tcBorders>
              <w:top w:val="single" w:sz="8" w:color="D1D2D4"/>
            </w:tcBorders>
          </w:tcPr>
          <w:p>
            <w:pPr>
              <w:ind w:left="20"/>
              <w:spacing w:after="0" w:line="189" w:lineRule="exact"/>
              <w:rPr>
                <w:sz w:val="20"/>
                <w:szCs w:val="20"/>
                <w:color w:val="auto"/>
              </w:rPr>
            </w:pPr>
            <w:r>
              <w:rPr>
                <w:rFonts w:ascii="Arial" w:cs="Arial" w:eastAsia="Arial" w:hAnsi="Arial"/>
                <w:sz w:val="18"/>
                <w:szCs w:val="18"/>
                <w:color w:val="auto"/>
              </w:rPr>
              <w:t>32.2</w:t>
            </w:r>
          </w:p>
        </w:tc>
        <w:tc>
          <w:tcPr>
            <w:tcW w:w="5280" w:type="dxa"/>
            <w:vAlign w:val="bottom"/>
            <w:tcBorders>
              <w:top w:val="single" w:sz="8" w:color="auto"/>
            </w:tcBorders>
            <w:gridSpan w:val="11"/>
          </w:tcPr>
          <w:p>
            <w:pPr>
              <w:spacing w:after="0" w:line="189" w:lineRule="exact"/>
              <w:rPr>
                <w:sz w:val="20"/>
                <w:szCs w:val="20"/>
                <w:color w:val="auto"/>
              </w:rPr>
            </w:pPr>
            <w:r>
              <w:rPr>
                <w:rFonts w:ascii="Arial" w:cs="Arial" w:eastAsia="Arial" w:hAnsi="Arial"/>
                <w:sz w:val="18"/>
                <w:szCs w:val="18"/>
                <w:color w:val="auto"/>
              </w:rPr>
              <w:t>Certification of Chief Financial Officer Pursuant to 18 U.S.C. 1350</w:t>
            </w:r>
          </w:p>
        </w:tc>
        <w:tc>
          <w:tcPr>
            <w:tcW w:w="220" w:type="dxa"/>
            <w:vAlign w:val="bottom"/>
            <w:tcBorders>
              <w:top w:val="single" w:sz="8" w:color="D1D2D4"/>
            </w:tcBorders>
            <w:gridSpan w:val="4"/>
          </w:tcPr>
          <w:p>
            <w:pPr>
              <w:spacing w:after="0"/>
              <w:rPr>
                <w:sz w:val="16"/>
                <w:szCs w:val="16"/>
                <w:color w:val="auto"/>
              </w:rPr>
            </w:pPr>
          </w:p>
        </w:tc>
        <w:tc>
          <w:tcPr>
            <w:tcW w:w="1800" w:type="dxa"/>
            <w:vAlign w:val="bottom"/>
            <w:tcBorders>
              <w:top w:val="single" w:sz="8" w:color="D1D2D4"/>
            </w:tcBorders>
          </w:tcPr>
          <w:p>
            <w:pPr>
              <w:ind w:left="80"/>
              <w:spacing w:after="0" w:line="189" w:lineRule="exact"/>
              <w:rPr>
                <w:sz w:val="20"/>
                <w:szCs w:val="20"/>
                <w:color w:val="auto"/>
              </w:rPr>
            </w:pPr>
            <w:r>
              <w:rPr>
                <w:rFonts w:ascii="Arial" w:cs="Arial" w:eastAsia="Arial" w:hAnsi="Arial"/>
                <w:sz w:val="18"/>
                <w:szCs w:val="18"/>
                <w:color w:val="auto"/>
              </w:rPr>
              <w:t>X</w:t>
            </w:r>
          </w:p>
        </w:tc>
        <w:tc>
          <w:tcPr>
            <w:tcW w:w="920" w:type="dxa"/>
            <w:vAlign w:val="bottom"/>
            <w:tcBorders>
              <w:top w:val="single" w:sz="8" w:color="D1D2D4"/>
            </w:tcBorders>
          </w:tcPr>
          <w:p>
            <w:pPr>
              <w:spacing w:after="0"/>
              <w:rPr>
                <w:sz w:val="16"/>
                <w:szCs w:val="16"/>
                <w:color w:val="auto"/>
              </w:rPr>
            </w:pPr>
          </w:p>
        </w:tc>
        <w:tc>
          <w:tcPr>
            <w:tcW w:w="1080" w:type="dxa"/>
            <w:vAlign w:val="bottom"/>
            <w:tcBorders>
              <w:top w:val="single" w:sz="8" w:color="D1D2D4"/>
            </w:tcBorders>
          </w:tcPr>
          <w:p>
            <w:pPr>
              <w:spacing w:after="0"/>
              <w:rPr>
                <w:sz w:val="16"/>
                <w:szCs w:val="16"/>
                <w:color w:val="auto"/>
              </w:rPr>
            </w:pPr>
          </w:p>
        </w:tc>
        <w:tc>
          <w:tcPr>
            <w:tcW w:w="960" w:type="dxa"/>
            <w:vAlign w:val="bottom"/>
            <w:tcBorders>
              <w:top w:val="single" w:sz="8" w:color="D1D2D4"/>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80" w:type="dxa"/>
            <w:vAlign w:val="bottom"/>
          </w:tcPr>
          <w:p>
            <w:pPr>
              <w:spacing w:after="0" w:line="20" w:lineRule="exact"/>
              <w:rPr>
                <w:sz w:val="1"/>
                <w:szCs w:val="1"/>
                <w:color w:val="auto"/>
              </w:rPr>
            </w:pPr>
          </w:p>
        </w:tc>
        <w:tc>
          <w:tcPr>
            <w:tcW w:w="23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0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101.INS</w:t>
            </w:r>
          </w:p>
        </w:tc>
        <w:tc>
          <w:tcPr>
            <w:tcW w:w="5500" w:type="dxa"/>
            <w:vAlign w:val="bottom"/>
            <w:gridSpan w:val="15"/>
            <w:shd w:val="clear" w:color="auto" w:fill="D1D2D4"/>
          </w:tcPr>
          <w:p>
            <w:pPr>
              <w:spacing w:after="0" w:line="176" w:lineRule="exact"/>
              <w:rPr>
                <w:sz w:val="20"/>
                <w:szCs w:val="20"/>
                <w:color w:val="auto"/>
              </w:rPr>
            </w:pPr>
            <w:r>
              <w:rPr>
                <w:rFonts w:ascii="Arial" w:cs="Arial" w:eastAsia="Arial" w:hAnsi="Arial"/>
                <w:sz w:val="18"/>
                <w:szCs w:val="18"/>
                <w:color w:val="auto"/>
              </w:rPr>
              <w:t>Inline XBRL Instance Document - the instance document does not</w:t>
            </w:r>
          </w:p>
        </w:tc>
        <w:tc>
          <w:tcPr>
            <w:tcW w:w="1800" w:type="dxa"/>
            <w:vAlign w:val="bottom"/>
            <w:shd w:val="clear" w:color="auto" w:fill="D1D2D4"/>
          </w:tcPr>
          <w:p>
            <w:pPr>
              <w:ind w:left="80"/>
              <w:spacing w:after="0" w:line="176"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80" w:type="dxa"/>
            <w:vAlign w:val="bottom"/>
            <w:shd w:val="clear" w:color="auto" w:fill="D1D2D4"/>
          </w:tcPr>
          <w:p>
            <w:pPr>
              <w:spacing w:after="0"/>
              <w:rPr>
                <w:sz w:val="15"/>
                <w:szCs w:val="15"/>
                <w:color w:val="auto"/>
              </w:rPr>
            </w:pPr>
          </w:p>
        </w:tc>
        <w:tc>
          <w:tcPr>
            <w:tcW w:w="5500" w:type="dxa"/>
            <w:vAlign w:val="bottom"/>
            <w:gridSpan w:val="15"/>
            <w:shd w:val="clear" w:color="auto" w:fill="D1D2D4"/>
          </w:tcPr>
          <w:p>
            <w:pPr>
              <w:spacing w:after="0" w:line="183" w:lineRule="exact"/>
              <w:rPr>
                <w:sz w:val="20"/>
                <w:szCs w:val="20"/>
                <w:color w:val="auto"/>
              </w:rPr>
            </w:pPr>
            <w:r>
              <w:rPr>
                <w:rFonts w:ascii="Arial" w:cs="Arial" w:eastAsia="Arial" w:hAnsi="Arial"/>
                <w:sz w:val="18"/>
                <w:szCs w:val="18"/>
                <w:color w:val="auto"/>
              </w:rPr>
              <w:t>appear in the Interactive Data File because its XBRL tags are</w:t>
            </w:r>
          </w:p>
        </w:tc>
        <w:tc>
          <w:tcPr>
            <w:tcW w:w="1800" w:type="dxa"/>
            <w:vAlign w:val="bottom"/>
            <w:shd w:val="clear" w:color="auto" w:fill="D1D2D4"/>
          </w:tcPr>
          <w:p>
            <w:pPr>
              <w:spacing w:after="0"/>
              <w:rPr>
                <w:sz w:val="15"/>
                <w:szCs w:val="15"/>
                <w:color w:val="auto"/>
              </w:rPr>
            </w:pPr>
          </w:p>
        </w:tc>
        <w:tc>
          <w:tcPr>
            <w:tcW w:w="92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980" w:type="dxa"/>
            <w:vAlign w:val="bottom"/>
            <w:shd w:val="clear" w:color="auto" w:fill="D1D2D4"/>
          </w:tcPr>
          <w:p>
            <w:pPr>
              <w:spacing w:after="0"/>
              <w:rPr>
                <w:sz w:val="20"/>
                <w:szCs w:val="20"/>
                <w:color w:val="auto"/>
              </w:rPr>
            </w:pPr>
          </w:p>
        </w:tc>
        <w:tc>
          <w:tcPr>
            <w:tcW w:w="5500" w:type="dxa"/>
            <w:vAlign w:val="bottom"/>
            <w:gridSpan w:val="15"/>
            <w:shd w:val="clear" w:color="auto" w:fill="D1D2D4"/>
          </w:tcPr>
          <w:p>
            <w:pPr>
              <w:spacing w:after="0"/>
              <w:rPr>
                <w:sz w:val="20"/>
                <w:szCs w:val="20"/>
                <w:color w:val="auto"/>
              </w:rPr>
            </w:pPr>
            <w:r>
              <w:rPr>
                <w:rFonts w:ascii="Arial" w:cs="Arial" w:eastAsia="Arial" w:hAnsi="Arial"/>
                <w:sz w:val="18"/>
                <w:szCs w:val="18"/>
                <w:color w:val="auto"/>
              </w:rPr>
              <w:t>embedded within the Inline XBRL document</w:t>
            </w:r>
          </w:p>
        </w:tc>
        <w:tc>
          <w:tcPr>
            <w:tcW w:w="1800" w:type="dxa"/>
            <w:vAlign w:val="bottom"/>
            <w:shd w:val="clear" w:color="auto" w:fill="D1D2D4"/>
          </w:tcPr>
          <w:p>
            <w:pPr>
              <w:spacing w:after="0"/>
              <w:rPr>
                <w:sz w:val="20"/>
                <w:szCs w:val="20"/>
                <w:color w:val="auto"/>
              </w:rPr>
            </w:pPr>
          </w:p>
        </w:tc>
        <w:tc>
          <w:tcPr>
            <w:tcW w:w="920" w:type="dxa"/>
            <w:vAlign w:val="bottom"/>
            <w:shd w:val="clear" w:color="auto" w:fill="D1D2D4"/>
          </w:tcPr>
          <w:p>
            <w:pPr>
              <w:spacing w:after="0"/>
              <w:rPr>
                <w:sz w:val="20"/>
                <w:szCs w:val="20"/>
                <w:color w:val="auto"/>
              </w:rPr>
            </w:pPr>
          </w:p>
        </w:tc>
        <w:tc>
          <w:tcPr>
            <w:tcW w:w="1080" w:type="dxa"/>
            <w:vAlign w:val="bottom"/>
            <w:shd w:val="clear" w:color="auto" w:fill="D1D2D4"/>
          </w:tcPr>
          <w:p>
            <w:pPr>
              <w:spacing w:after="0"/>
              <w:rPr>
                <w:sz w:val="20"/>
                <w:szCs w:val="20"/>
                <w:color w:val="auto"/>
              </w:rPr>
            </w:pPr>
          </w:p>
        </w:tc>
        <w:tc>
          <w:tcPr>
            <w:tcW w:w="96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101.SCH</w:t>
            </w: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1800" w:type="dxa"/>
            <w:vAlign w:val="bottom"/>
          </w:tcPr>
          <w:p>
            <w:pPr>
              <w:ind w:left="8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101.CAL</w:t>
            </w:r>
          </w:p>
        </w:tc>
        <w:tc>
          <w:tcPr>
            <w:tcW w:w="5500" w:type="dxa"/>
            <w:vAlign w:val="bottom"/>
            <w:gridSpan w:val="15"/>
            <w:shd w:val="clear" w:color="auto" w:fill="D1D2D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800" w:type="dxa"/>
            <w:vAlign w:val="bottom"/>
            <w:shd w:val="clear" w:color="auto" w:fill="D1D2D4"/>
          </w:tcPr>
          <w:p>
            <w:pPr>
              <w:ind w:lef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tcPr>
          <w:p>
            <w:pPr>
              <w:ind w:left="20"/>
              <w:spacing w:after="0"/>
              <w:rPr>
                <w:sz w:val="20"/>
                <w:szCs w:val="20"/>
                <w:color w:val="auto"/>
              </w:rPr>
            </w:pPr>
            <w:r>
              <w:rPr>
                <w:rFonts w:ascii="Arial" w:cs="Arial" w:eastAsia="Arial" w:hAnsi="Arial"/>
                <w:sz w:val="18"/>
                <w:szCs w:val="18"/>
                <w:color w:val="auto"/>
              </w:rPr>
              <w:t>101.DEF</w:t>
            </w: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800" w:type="dxa"/>
            <w:vAlign w:val="bottom"/>
          </w:tcPr>
          <w:p>
            <w:pPr>
              <w:ind w:left="8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80" w:type="dxa"/>
            <w:vAlign w:val="bottom"/>
            <w:shd w:val="clear" w:color="auto" w:fill="D1D2D4"/>
          </w:tcPr>
          <w:p>
            <w:pPr>
              <w:ind w:left="20"/>
              <w:spacing w:after="0"/>
              <w:rPr>
                <w:sz w:val="20"/>
                <w:szCs w:val="20"/>
                <w:color w:val="auto"/>
              </w:rPr>
            </w:pPr>
            <w:r>
              <w:rPr>
                <w:rFonts w:ascii="Arial" w:cs="Arial" w:eastAsia="Arial" w:hAnsi="Arial"/>
                <w:sz w:val="18"/>
                <w:szCs w:val="18"/>
                <w:color w:val="auto"/>
              </w:rPr>
              <w:t>101.LAB</w:t>
            </w:r>
          </w:p>
        </w:tc>
        <w:tc>
          <w:tcPr>
            <w:tcW w:w="5500" w:type="dxa"/>
            <w:vAlign w:val="bottom"/>
            <w:gridSpan w:val="15"/>
            <w:shd w:val="clear" w:color="auto" w:fill="D1D2D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800" w:type="dxa"/>
            <w:vAlign w:val="bottom"/>
            <w:shd w:val="clear" w:color="auto" w:fill="D1D2D4"/>
          </w:tcPr>
          <w:p>
            <w:pPr>
              <w:ind w:left="80"/>
              <w:spacing w:after="0"/>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9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101.PRE</w:t>
            </w:r>
          </w:p>
        </w:tc>
        <w:tc>
          <w:tcPr>
            <w:tcW w:w="5500" w:type="dxa"/>
            <w:vAlign w:val="bottom"/>
            <w:gridSpan w:val="15"/>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1800" w:type="dxa"/>
            <w:vAlign w:val="bottom"/>
          </w:tcPr>
          <w:p>
            <w:pPr>
              <w:ind w:left="80"/>
              <w:spacing w:after="0"/>
              <w:rPr>
                <w:sz w:val="20"/>
                <w:szCs w:val="20"/>
                <w:color w:val="auto"/>
              </w:rPr>
            </w:pPr>
            <w:r>
              <w:rPr>
                <w:rFonts w:ascii="Arial" w:cs="Arial" w:eastAsia="Arial" w:hAnsi="Arial"/>
                <w:sz w:val="18"/>
                <w:szCs w:val="18"/>
                <w:color w:val="auto"/>
              </w:rPr>
              <w:t>X</w:t>
            </w: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80" w:type="dxa"/>
            <w:vAlign w:val="bottom"/>
            <w:shd w:val="clear" w:color="auto" w:fill="D1D2D4"/>
          </w:tcPr>
          <w:p>
            <w:pPr>
              <w:ind w:left="20"/>
              <w:spacing w:after="0" w:line="176" w:lineRule="exact"/>
              <w:rPr>
                <w:sz w:val="20"/>
                <w:szCs w:val="20"/>
                <w:color w:val="auto"/>
              </w:rPr>
            </w:pPr>
            <w:r>
              <w:rPr>
                <w:rFonts w:ascii="Arial" w:cs="Arial" w:eastAsia="Arial" w:hAnsi="Arial"/>
                <w:sz w:val="18"/>
                <w:szCs w:val="18"/>
                <w:color w:val="auto"/>
              </w:rPr>
              <w:t>104</w:t>
            </w:r>
          </w:p>
        </w:tc>
        <w:tc>
          <w:tcPr>
            <w:tcW w:w="5500" w:type="dxa"/>
            <w:vAlign w:val="bottom"/>
            <w:gridSpan w:val="15"/>
            <w:shd w:val="clear" w:color="auto" w:fill="D1D2D4"/>
          </w:tcPr>
          <w:p>
            <w:pPr>
              <w:spacing w:after="0" w:line="176" w:lineRule="exact"/>
              <w:rPr>
                <w:sz w:val="20"/>
                <w:szCs w:val="20"/>
                <w:color w:val="auto"/>
              </w:rPr>
            </w:pPr>
            <w:r>
              <w:rPr>
                <w:rFonts w:ascii="Arial" w:cs="Arial" w:eastAsia="Arial" w:hAnsi="Arial"/>
                <w:sz w:val="18"/>
                <w:szCs w:val="18"/>
                <w:color w:val="auto"/>
              </w:rPr>
              <w:t>Cover Page Interactive Data File (formatted as Inline XBRL and</w:t>
            </w:r>
          </w:p>
        </w:tc>
        <w:tc>
          <w:tcPr>
            <w:tcW w:w="1800" w:type="dxa"/>
            <w:vAlign w:val="bottom"/>
            <w:shd w:val="clear" w:color="auto" w:fill="D1D2D4"/>
          </w:tcPr>
          <w:p>
            <w:pPr>
              <w:ind w:left="80"/>
              <w:spacing w:after="0" w:line="176" w:lineRule="exact"/>
              <w:rPr>
                <w:sz w:val="20"/>
                <w:szCs w:val="20"/>
                <w:color w:val="auto"/>
              </w:rPr>
            </w:pPr>
            <w:r>
              <w:rPr>
                <w:rFonts w:ascii="Arial" w:cs="Arial" w:eastAsia="Arial" w:hAnsi="Arial"/>
                <w:sz w:val="18"/>
                <w:szCs w:val="18"/>
                <w:color w:val="auto"/>
              </w:rPr>
              <w:t>X</w:t>
            </w:r>
          </w:p>
        </w:tc>
        <w:tc>
          <w:tcPr>
            <w:tcW w:w="92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980" w:type="dxa"/>
            <w:vAlign w:val="bottom"/>
            <w:shd w:val="clear" w:color="auto" w:fill="D1D2D4"/>
          </w:tcPr>
          <w:p>
            <w:pPr>
              <w:spacing w:after="0"/>
              <w:rPr>
                <w:sz w:val="21"/>
                <w:szCs w:val="21"/>
                <w:color w:val="auto"/>
              </w:rPr>
            </w:pPr>
          </w:p>
        </w:tc>
        <w:tc>
          <w:tcPr>
            <w:tcW w:w="5500" w:type="dxa"/>
            <w:vAlign w:val="bottom"/>
            <w:gridSpan w:val="15"/>
            <w:shd w:val="clear" w:color="auto" w:fill="D1D2D4"/>
          </w:tcPr>
          <w:p>
            <w:pPr>
              <w:spacing w:after="0"/>
              <w:rPr>
                <w:sz w:val="20"/>
                <w:szCs w:val="20"/>
                <w:color w:val="auto"/>
              </w:rPr>
            </w:pPr>
            <w:r>
              <w:rPr>
                <w:rFonts w:ascii="Arial" w:cs="Arial" w:eastAsia="Arial" w:hAnsi="Arial"/>
                <w:sz w:val="18"/>
                <w:szCs w:val="18"/>
                <w:color w:val="auto"/>
              </w:rPr>
              <w:t>contained in Exhibit 101)</w:t>
            </w:r>
          </w:p>
        </w:tc>
        <w:tc>
          <w:tcPr>
            <w:tcW w:w="1800" w:type="dxa"/>
            <w:vAlign w:val="bottom"/>
            <w:shd w:val="clear" w:color="auto" w:fill="D1D2D4"/>
          </w:tcPr>
          <w:p>
            <w:pPr>
              <w:spacing w:after="0"/>
              <w:rPr>
                <w:sz w:val="21"/>
                <w:szCs w:val="21"/>
                <w:color w:val="auto"/>
              </w:rPr>
            </w:pPr>
          </w:p>
        </w:tc>
        <w:tc>
          <w:tcPr>
            <w:tcW w:w="920" w:type="dxa"/>
            <w:vAlign w:val="bottom"/>
            <w:shd w:val="clear" w:color="auto" w:fill="D1D2D4"/>
          </w:tcPr>
          <w:p>
            <w:pPr>
              <w:spacing w:after="0"/>
              <w:rPr>
                <w:sz w:val="21"/>
                <w:szCs w:val="21"/>
                <w:color w:val="auto"/>
              </w:rPr>
            </w:pPr>
          </w:p>
        </w:tc>
        <w:tc>
          <w:tcPr>
            <w:tcW w:w="1080" w:type="dxa"/>
            <w:vAlign w:val="bottom"/>
            <w:shd w:val="clear" w:color="auto" w:fill="D1D2D4"/>
          </w:tcPr>
          <w:p>
            <w:pPr>
              <w:spacing w:after="0"/>
              <w:rPr>
                <w:sz w:val="21"/>
                <w:szCs w:val="21"/>
                <w:color w:val="auto"/>
              </w:rPr>
            </w:pPr>
          </w:p>
        </w:tc>
        <w:tc>
          <w:tcPr>
            <w:tcW w:w="960" w:type="dxa"/>
            <w:vAlign w:val="bottom"/>
            <w:shd w:val="clear" w:color="auto" w:fill="D1D2D4"/>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ITEM 16. FORM 10-K SUMMARY</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0000"/>
        <w:spacing w:after="0"/>
        <w:rPr>
          <w:sz w:val="20"/>
          <w:szCs w:val="20"/>
          <w:color w:val="auto"/>
        </w:rPr>
      </w:pPr>
      <w:r>
        <w:rPr>
          <w:sz w:val="1"/>
          <w:szCs w:val="1"/>
          <w:color w:val="auto"/>
        </w:rPr>
        <w:drawing>
          <wp:inline distT="0" distB="0" distL="0" distR="0">
            <wp:extent cx="643255" cy="18034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8">
                      <a:extLst>
                        <a:ext uri="{28A0092B-C50C-407E-A947-70E740481C1C}"/>
                      </a:extLst>
                    </a:blip>
                    <a:srcRect/>
                    <a:stretch>
                      <a:fillRect/>
                    </a:stretch>
                  </pic:blipFill>
                  <pic:spPr bwMode="auto">
                    <a:xfrm>
                      <a:off x="0" y="0"/>
                      <a:ext cx="643255" cy="180340"/>
                    </a:xfrm>
                    <a:prstGeom prst="rect">
                      <a:avLst/>
                    </a:prstGeom>
                    <a:noFill/>
                    <a:ln>
                      <a:noFill/>
                    </a:ln>
                  </pic:spPr>
                </pic:pic>
              </a:graphicData>
            </a:graphic>
          </wp:inline>
        </w:drawing>
      </w:r>
      <w:r>
        <w:rPr>
          <w:rFonts w:ascii="Arial" w:cs="Arial" w:eastAsia="Arial" w:hAnsi="Arial"/>
          <w:sz w:val="13"/>
          <w:szCs w:val="13"/>
          <w:b w:val="1"/>
          <w:bCs w:val="1"/>
          <w:color w:val="auto"/>
        </w:rPr>
        <w:t xml:space="preserve">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98425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6"/>
          <w:szCs w:val="16"/>
          <w:b w:val="1"/>
          <w:bCs w:val="1"/>
          <w:u w:val="single" w:color="auto"/>
          <w:color w:val="0090DA"/>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Micron Technology, Inc.</w:t>
      </w:r>
    </w:p>
    <w:p>
      <w:pPr>
        <w:spacing w:after="0" w:line="32" w:lineRule="exact"/>
        <w:rPr>
          <w:sz w:val="20"/>
          <w:szCs w:val="20"/>
          <w:color w:val="auto"/>
        </w:rPr>
      </w:pPr>
    </w:p>
    <w:p>
      <w:pPr>
        <w:ind w:left="20"/>
        <w:spacing w:after="0"/>
        <w:tabs>
          <w:tab w:leader="none" w:pos="5600" w:val="left"/>
          <w:tab w:leader="none" w:pos="7980" w:val="left"/>
        </w:tabs>
        <w:rPr>
          <w:sz w:val="20"/>
          <w:szCs w:val="20"/>
          <w:color w:val="auto"/>
        </w:rPr>
      </w:pPr>
      <w:r>
        <w:rPr>
          <w:rFonts w:ascii="Arial" w:cs="Arial" w:eastAsia="Arial" w:hAnsi="Arial"/>
          <w:sz w:val="18"/>
          <w:szCs w:val="18"/>
          <w:color w:val="auto"/>
        </w:rPr>
        <w:t>Date  October 7,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12065</wp:posOffset>
            </wp:positionV>
            <wp:extent cx="32918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 w:lineRule="exact"/>
        <w:rPr>
          <w:sz w:val="20"/>
          <w:szCs w:val="20"/>
          <w:color w:val="auto"/>
        </w:rPr>
      </w:pPr>
    </w:p>
    <w:p>
      <w:pPr>
        <w:jc w:val="center"/>
        <w:ind w:left="6040"/>
        <w:spacing w:after="0"/>
        <w:rPr>
          <w:sz w:val="20"/>
          <w:szCs w:val="20"/>
          <w:color w:val="auto"/>
        </w:rPr>
      </w:pPr>
      <w:r>
        <w:rPr>
          <w:rFonts w:ascii="Arial" w:cs="Arial" w:eastAsia="Arial" w:hAnsi="Arial"/>
          <w:sz w:val="18"/>
          <w:szCs w:val="18"/>
          <w:b w:val="1"/>
          <w:bCs w:val="1"/>
          <w:color w:val="auto"/>
        </w:rPr>
        <w:t>Mark Murphy</w:t>
      </w:r>
    </w:p>
    <w:p>
      <w:pPr>
        <w:jc w:val="center"/>
        <w:ind w:left="6040"/>
        <w:spacing w:after="0"/>
        <w:rPr>
          <w:sz w:val="20"/>
          <w:szCs w:val="20"/>
          <w:color w:val="auto"/>
        </w:rPr>
      </w:pPr>
      <w:r>
        <w:rPr>
          <w:rFonts w:ascii="Arial" w:cs="Arial" w:eastAsia="Arial" w:hAnsi="Arial"/>
          <w:sz w:val="18"/>
          <w:szCs w:val="18"/>
          <w:color w:val="auto"/>
        </w:rPr>
        <w:t>Executive Vice President and Chief Financial Officer</w:t>
      </w:r>
    </w:p>
    <w:p>
      <w:pPr>
        <w:spacing w:after="0" w:line="14" w:lineRule="exact"/>
        <w:rPr>
          <w:sz w:val="20"/>
          <w:szCs w:val="20"/>
          <w:color w:val="auto"/>
        </w:rPr>
      </w:pPr>
    </w:p>
    <w:p>
      <w:pPr>
        <w:ind w:left="75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45" w:lineRule="exact"/>
        <w:rPr>
          <w:sz w:val="20"/>
          <w:szCs w:val="20"/>
          <w:color w:val="auto"/>
        </w:rPr>
      </w:pPr>
    </w:p>
    <w:p>
      <w:pPr>
        <w:ind w:right="200"/>
        <w:spacing w:after="0" w:line="273"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0" w:type="dxa"/>
        <w:tblCellMar>
          <w:top w:w="0" w:type="dxa"/>
          <w:left w:w="0" w:type="dxa"/>
          <w:bottom w:w="0" w:type="dxa"/>
          <w:right w:w="0" w:type="dxa"/>
        </w:tblCellMar>
      </w:tblPr>
      <w:tr>
        <w:trPr>
          <w:trHeight w:val="196"/>
        </w:trPr>
        <w:tc>
          <w:tcPr>
            <w:tcW w:w="2740" w:type="dxa"/>
            <w:vAlign w:val="bottom"/>
          </w:tcPr>
          <w:p>
            <w:pPr>
              <w:spacing w:after="0"/>
              <w:rPr>
                <w:sz w:val="17"/>
                <w:szCs w:val="17"/>
                <w:color w:val="auto"/>
              </w:rPr>
            </w:pPr>
          </w:p>
        </w:tc>
        <w:tc>
          <w:tcPr>
            <w:tcW w:w="8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rPr>
              <w:t>Signature</w:t>
            </w:r>
          </w:p>
        </w:tc>
        <w:tc>
          <w:tcPr>
            <w:tcW w:w="2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Title</w:t>
            </w:r>
          </w:p>
        </w:tc>
        <w:tc>
          <w:tcPr>
            <w:tcW w:w="1900" w:type="dxa"/>
            <w:vAlign w:val="bottom"/>
            <w:gridSpan w:val="3"/>
          </w:tcPr>
          <w:p>
            <w:pPr>
              <w:ind w:left="800"/>
              <w:spacing w:after="0" w:line="196" w:lineRule="exact"/>
              <w:rPr>
                <w:sz w:val="20"/>
                <w:szCs w:val="20"/>
                <w:color w:val="auto"/>
              </w:rPr>
            </w:pPr>
            <w:r>
              <w:rPr>
                <w:rFonts w:ascii="Arial" w:cs="Arial" w:eastAsia="Arial" w:hAnsi="Arial"/>
                <w:sz w:val="18"/>
                <w:szCs w:val="18"/>
                <w:b w:val="1"/>
                <w:bCs w:val="1"/>
                <w:color w:val="auto"/>
              </w:rPr>
              <w:t>Date</w:t>
            </w:r>
          </w:p>
        </w:tc>
      </w:tr>
      <w:tr>
        <w:trPr>
          <w:trHeight w:val="20"/>
        </w:trPr>
        <w:tc>
          <w:tcPr>
            <w:tcW w:w="27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466"/>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18"/>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(Sanjay Mehrotra)</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Executive Officer and</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9"/>
        </w:trPr>
        <w:tc>
          <w:tcPr>
            <w:tcW w:w="2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9"/>
        </w:trPr>
        <w:tc>
          <w:tcPr>
            <w:tcW w:w="2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Executive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2"/>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Mark Murphy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Executive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18"/>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(Mark Murphy)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Financial Officer</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9"/>
        </w:trPr>
        <w:tc>
          <w:tcPr>
            <w:tcW w:w="2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Financial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1"/>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Corporate Vice President and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18"/>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(Scott Allen)</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Chief Accounting Officer</w:t>
            </w: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9"/>
        </w:trPr>
        <w:tc>
          <w:tcPr>
            <w:tcW w:w="2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(Principal Accounting Officer)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42"/>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Richard M. Beyer</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(Richard M. Beyer)</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rPr>
              <w:t>/s/ Lynn Dugle</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8"/>
              </w:rPr>
              <w:t>(Lynn Dugle)</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Steve Gomo</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(Steve Gomo)</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Linnie Haynesworth</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(Linnie Haynesworth)</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69"/>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 Pat McCarthy</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9"/>
              </w:rPr>
              <w:t>(Mary Pat McCarthy)</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Chair of the Board</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(Robert E. Switz)</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28"/>
        </w:trPr>
        <w:tc>
          <w:tcPr>
            <w:tcW w:w="6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99"/>
              </w:rPr>
              <w:t>/s/ MaryAnn Wright</w:t>
            </w:r>
          </w:p>
        </w:tc>
        <w:tc>
          <w:tcPr>
            <w:tcW w:w="2960" w:type="dxa"/>
            <w:vAlign w:val="bottom"/>
            <w:gridSpan w:val="3"/>
          </w:tcPr>
          <w:p>
            <w:pPr>
              <w:ind w:left="20"/>
              <w:spacing w:after="0"/>
              <w:rPr>
                <w:sz w:val="20"/>
                <w:szCs w:val="20"/>
                <w:color w:val="auto"/>
              </w:rPr>
            </w:pPr>
            <w:r>
              <w:rPr>
                <w:rFonts w:ascii="Arial" w:cs="Arial" w:eastAsia="Arial" w:hAnsi="Arial"/>
                <w:sz w:val="18"/>
                <w:szCs w:val="18"/>
                <w:color w:val="auto"/>
              </w:rPr>
              <w:t>Director</w:t>
            </w:r>
          </w:p>
        </w:tc>
        <w:tc>
          <w:tcPr>
            <w:tcW w:w="1900" w:type="dxa"/>
            <w:vAlign w:val="bottom"/>
            <w:gridSpan w:val="3"/>
          </w:tcPr>
          <w:p>
            <w:pPr>
              <w:ind w:left="620"/>
              <w:spacing w:after="0"/>
              <w:rPr>
                <w:sz w:val="20"/>
                <w:szCs w:val="20"/>
                <w:color w:val="auto"/>
              </w:rPr>
            </w:pPr>
            <w:r>
              <w:rPr>
                <w:rFonts w:ascii="Arial" w:cs="Arial" w:eastAsia="Arial" w:hAnsi="Arial"/>
                <w:sz w:val="18"/>
                <w:szCs w:val="18"/>
                <w:color w:val="auto"/>
                <w:w w:val="97"/>
              </w:rPr>
              <w:t>October 7, 2022</w:t>
            </w:r>
          </w:p>
        </w:tc>
      </w:tr>
      <w:tr>
        <w:trPr>
          <w:trHeight w:val="240"/>
        </w:trPr>
        <w:tc>
          <w:tcPr>
            <w:tcW w:w="6320" w:type="dxa"/>
            <w:vAlign w:val="bottom"/>
            <w:gridSpan w:val="3"/>
          </w:tcPr>
          <w:p>
            <w:pPr>
              <w:jc w:val="center"/>
              <w:spacing w:after="0"/>
              <w:rPr>
                <w:sz w:val="20"/>
                <w:szCs w:val="20"/>
                <w:color w:val="auto"/>
              </w:rPr>
            </w:pPr>
            <w:r>
              <w:rPr>
                <w:rFonts w:ascii="Arial" w:cs="Arial" w:eastAsia="Arial" w:hAnsi="Arial"/>
                <w:sz w:val="18"/>
                <w:szCs w:val="18"/>
                <w:b w:val="1"/>
                <w:bCs w:val="1"/>
                <w:color w:val="auto"/>
              </w:rPr>
              <w:t>(MaryAnn Wright)</w:t>
            </w: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97 </w:t>
      </w:r>
      <w:r>
        <w:rPr>
          <w:rFonts w:ascii="Arial" w:cs="Arial" w:eastAsia="Arial" w:hAnsi="Arial"/>
          <w:sz w:val="16"/>
          <w:szCs w:val="16"/>
          <w:b w:val="1"/>
          <w:bCs w:val="1"/>
          <w:color w:val="0090DA"/>
        </w:rPr>
        <w:t>|</w:t>
      </w:r>
      <w:r>
        <w:rPr>
          <w:rFonts w:ascii="Arial" w:cs="Arial" w:eastAsia="Arial" w:hAnsi="Arial"/>
          <w:sz w:val="16"/>
          <w:szCs w:val="16"/>
          <w:b w:val="1"/>
          <w:bCs w:val="1"/>
          <w:color w:val="auto"/>
        </w:rPr>
        <w:t xml:space="preserve"> 2022 10-K</w:t>
      </w:r>
    </w:p>
    <w:p>
      <w:pPr>
        <w:sectPr>
          <w:pgSz w:w="11900" w:h="16838" w:orient="portrait"/>
          <w:cols w:equalWidth="0" w:num="1">
            <w:col w:w="11240"/>
          </w:cols>
          <w:pgMar w:left="320" w:top="125" w:right="339" w:bottom="1440" w:gutter="0" w:footer="0" w:header="0"/>
        </w:sectPr>
      </w:pPr>
    </w:p>
    <w:bookmarkStart w:id="97" w:name="page98"/>
    <w:bookmarkEnd w:id="97"/>
    <w:p>
      <w:pPr>
        <w:spacing w:after="0" w:line="215"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4.12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THE REGISTRANT’S SECURITIES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REGISTERED PURSUANT TO SECTION 12 OF THE SECURITIES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EXCHANGE ACT OF 1934</w:t>
      </w:r>
    </w:p>
    <w:p>
      <w:pPr>
        <w:spacing w:after="0" w:line="225" w:lineRule="exact"/>
        <w:rPr>
          <w:sz w:val="20"/>
          <w:szCs w:val="20"/>
          <w:color w:val="auto"/>
        </w:rPr>
      </w:pPr>
    </w:p>
    <w:p>
      <w:pPr>
        <w:ind w:right="580"/>
        <w:spacing w:after="0" w:line="286" w:lineRule="auto"/>
        <w:rPr>
          <w:sz w:val="20"/>
          <w:szCs w:val="20"/>
          <w:color w:val="auto"/>
        </w:rPr>
      </w:pPr>
      <w:r>
        <w:rPr>
          <w:rFonts w:ascii="Arial" w:cs="Arial" w:eastAsia="Arial" w:hAnsi="Arial"/>
          <w:sz w:val="20"/>
          <w:szCs w:val="20"/>
          <w:color w:val="auto"/>
        </w:rPr>
        <w:t>Micron Technology, Inc. (the “Company,” “we,” “our,” or “us”) has one class of securities registered under Section 12 of the Securities Exchange Act of 1934, as amended: our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Description of Common Stock</w:t>
      </w:r>
    </w:p>
    <w:p>
      <w:pPr>
        <w:spacing w:after="0" w:line="245" w:lineRule="exact"/>
        <w:rPr>
          <w:sz w:val="20"/>
          <w:szCs w:val="20"/>
          <w:color w:val="auto"/>
        </w:rPr>
      </w:pPr>
    </w:p>
    <w:p>
      <w:pPr>
        <w:ind w:right="80"/>
        <w:spacing w:after="0" w:line="258" w:lineRule="auto"/>
        <w:rPr>
          <w:sz w:val="20"/>
          <w:szCs w:val="20"/>
          <w:color w:val="auto"/>
        </w:rPr>
      </w:pPr>
      <w:r>
        <w:rPr>
          <w:rFonts w:ascii="Arial" w:cs="Arial" w:eastAsia="Arial" w:hAnsi="Arial"/>
          <w:sz w:val="20"/>
          <w:szCs w:val="20"/>
          <w:i w:val="1"/>
          <w:iCs w:val="1"/>
          <w:color w:val="auto"/>
        </w:rPr>
        <w:t>The following summary describes our common stock and certain provisions of our amended and restated certificate of incorporation and our by-Laws, as amended, and the General Corporation Law of the State of Delaware (the "DGCL"). Because the following is only a summary, it does not contain all of the information that may be important to you. For a complete description, you should refer to our amended and restated certificate of incorporation and by-Laws, as amended, copies of which are exhibits to the Annual Report on Form 10-K to which this description is an exhibit.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Our authorized common stock consists of 3,000,000,000 shares, $0.10 par value per share.</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w:t>
      </w:r>
    </w:p>
    <w:p>
      <w:pPr>
        <w:spacing w:after="0" w:line="245"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The holders of common stock are entitled to one vote per share on all matters to be voted on by stockholders, including the election of directors. Stockholders are not entitled to cumulative voting rights, and, accordingly, the holders of a majority of the shares voting for the election of directors can elect the entire board if they choose to do so and, in that event, the holders of the remaining shares will not be able to elect any person to the board of directors.</w:t>
      </w:r>
    </w:p>
    <w:p>
      <w:pPr>
        <w:spacing w:after="0" w:line="209" w:lineRule="exact"/>
        <w:rPr>
          <w:sz w:val="20"/>
          <w:szCs w:val="20"/>
          <w:color w:val="auto"/>
        </w:rPr>
      </w:pPr>
    </w:p>
    <w:p>
      <w:pPr>
        <w:ind w:right="80"/>
        <w:spacing w:after="0" w:line="251" w:lineRule="auto"/>
        <w:rPr>
          <w:sz w:val="20"/>
          <w:szCs w:val="20"/>
          <w:color w:val="auto"/>
        </w:rPr>
      </w:pPr>
      <w:r>
        <w:rPr>
          <w:rFonts w:ascii="Arial" w:cs="Arial" w:eastAsia="Arial" w:hAnsi="Arial"/>
          <w:sz w:val="20"/>
          <w:szCs w:val="20"/>
          <w:color w:val="auto"/>
        </w:rPr>
        <w:t>The holders of common stock are entitled to receive ratably such dividends, if any, as may be declared from time to time by the board of directors, in its discretion, from funds legally available therefor and subject to prior dividend rights of holders of shares of preferred stock or other senior equity, if any, which may be outstanding. Upon liquidation or dissolution of the Company, subject to prior liquidation rights of the holders of shares of preferred stock, if any, the holders of common stock are entitled to receive on a pro rata basis the remaining assets of the Company available for distribution. Holders of common stock have no preemptive or other subscription rights, and there are no conversion rights or redemption or sinking fund provisions with respect to such shares. All outstanding shares of common stock are fully paid and non-assessable.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Anti-takeover effects of Delaware law</w:t>
      </w:r>
    </w:p>
    <w:p>
      <w:pPr>
        <w:spacing w:after="0" w:line="245" w:lineRule="exact"/>
        <w:rPr>
          <w:sz w:val="20"/>
          <w:szCs w:val="20"/>
          <w:color w:val="auto"/>
        </w:rPr>
      </w:pPr>
    </w:p>
    <w:p>
      <w:pPr>
        <w:ind w:right="380"/>
        <w:spacing w:after="0" w:line="269" w:lineRule="auto"/>
        <w:rPr>
          <w:sz w:val="20"/>
          <w:szCs w:val="20"/>
          <w:color w:val="auto"/>
        </w:rPr>
      </w:pPr>
      <w:r>
        <w:rPr>
          <w:rFonts w:ascii="Arial" w:cs="Arial" w:eastAsia="Arial" w:hAnsi="Arial"/>
          <w:sz w:val="20"/>
          <w:szCs w:val="20"/>
          <w:color w:val="auto"/>
        </w:rPr>
        <w:t>We are subject to the provisions of Section 203 of the DGCL. Under Section 203, we would generally be prohibited from engaging in any business combination (as defined in Section 203) with any interested stockholder for a period of three years following the time that this stockholder became an interested stockholder unless:</w:t>
      </w:r>
    </w:p>
    <w:p>
      <w:pPr>
        <w:sectPr>
          <w:pgSz w:w="11900" w:h="16838" w:orient="portrait"/>
          <w:cols w:equalWidth="0" w:num="1">
            <w:col w:w="11240"/>
          </w:cols>
          <w:pgMar w:left="320" w:top="1440" w:right="339" w:bottom="1440" w:gutter="0" w:footer="0" w:header="0"/>
        </w:sectPr>
      </w:pPr>
    </w:p>
    <w:bookmarkStart w:id="98" w:name="page99"/>
    <w:bookmarkEnd w:id="98"/>
    <w:p>
      <w:pPr>
        <w:ind w:left="660" w:right="200" w:hanging="328"/>
        <w:spacing w:after="0" w:line="286"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prior to this time, our board of directors approved either the business combination or the transaction that resulted in the stockholder becoming an interested stockholder;</w:t>
      </w:r>
    </w:p>
    <w:p>
      <w:pPr>
        <w:spacing w:after="0" w:line="167" w:lineRule="exact"/>
        <w:rPr>
          <w:rFonts w:ascii="Arial" w:cs="Arial" w:eastAsia="Arial" w:hAnsi="Arial"/>
          <w:sz w:val="20"/>
          <w:szCs w:val="20"/>
          <w:color w:val="auto"/>
        </w:rPr>
      </w:pPr>
    </w:p>
    <w:p>
      <w:pPr>
        <w:ind w:left="660" w:hanging="328"/>
        <w:spacing w:after="0" w:line="258"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upon consummation of the transaction that resulted in the stockholder becoming an interested stockholder, the interested stockholder owned (as defined in Section 203) at least 85% of our voting stock (as defined in Section 203) outstanding at the time the transaction commenced, excluding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194" w:lineRule="exact"/>
        <w:rPr>
          <w:rFonts w:ascii="Arial" w:cs="Arial" w:eastAsia="Arial" w:hAnsi="Arial"/>
          <w:sz w:val="20"/>
          <w:szCs w:val="20"/>
          <w:color w:val="auto"/>
        </w:rPr>
      </w:pPr>
    </w:p>
    <w:p>
      <w:pPr>
        <w:ind w:left="660" w:right="220" w:hanging="328"/>
        <w:spacing w:after="0" w:line="262"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at or subsequent to such time, the business combination is approved by our board of directors and authorized at an annual or special meeting of stockholders, and not by written consent, by the affirmative vote of at least 66 2/3% of the outstanding voting stock that is not owned by the interested stockholder.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Under Section 203, a "business combination" generally includes:</w:t>
      </w:r>
    </w:p>
    <w:p>
      <w:pPr>
        <w:spacing w:after="0" w:line="256"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merger or consolidation involving us and the interested stockholder;</w:t>
      </w:r>
    </w:p>
    <w:p>
      <w:pPr>
        <w:spacing w:after="0" w:line="242" w:lineRule="exact"/>
        <w:rPr>
          <w:rFonts w:ascii="Arial" w:cs="Arial" w:eastAsia="Arial" w:hAnsi="Arial"/>
          <w:sz w:val="20"/>
          <w:szCs w:val="20"/>
          <w:color w:val="auto"/>
        </w:rPr>
      </w:pPr>
    </w:p>
    <w:p>
      <w:pPr>
        <w:ind w:left="640" w:hanging="308"/>
        <w:spacing w:after="0"/>
        <w:tabs>
          <w:tab w:leader="none" w:pos="6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sale, transfer, pledge or other disposition of 10% or more of our assets involving the interested stockholder;</w:t>
      </w:r>
    </w:p>
    <w:p>
      <w:pPr>
        <w:spacing w:after="0" w:line="256" w:lineRule="exact"/>
        <w:rPr>
          <w:rFonts w:ascii="Arial" w:cs="Arial" w:eastAsia="Arial" w:hAnsi="Arial"/>
          <w:sz w:val="20"/>
          <w:szCs w:val="20"/>
          <w:color w:val="auto"/>
        </w:rPr>
      </w:pPr>
    </w:p>
    <w:p>
      <w:pPr>
        <w:ind w:left="660" w:right="60" w:hanging="328"/>
        <w:spacing w:after="0" w:line="271" w:lineRule="auto"/>
        <w:tabs>
          <w:tab w:leader="none" w:pos="6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transaction that results in the issuance or transfer by us of any of the Company's stock to the interested stockholder, subject to limited exceptions;</w:t>
      </w:r>
    </w:p>
    <w:p>
      <w:pPr>
        <w:spacing w:after="0" w:line="196" w:lineRule="exact"/>
        <w:rPr>
          <w:rFonts w:ascii="Arial" w:cs="Arial" w:eastAsia="Arial" w:hAnsi="Arial"/>
          <w:sz w:val="20"/>
          <w:szCs w:val="20"/>
          <w:color w:val="auto"/>
        </w:rPr>
      </w:pPr>
    </w:p>
    <w:p>
      <w:pPr>
        <w:ind w:left="660" w:right="40" w:hanging="328"/>
        <w:spacing w:after="0" w:line="286" w:lineRule="auto"/>
        <w:tabs>
          <w:tab w:leader="none" w:pos="6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 transaction involving us that has the effect of increasing the proportionate share of the stock of any class or series of the Company beneficially owned by the interested stockholder; or</w:t>
      </w:r>
    </w:p>
    <w:p>
      <w:pPr>
        <w:spacing w:after="0" w:line="167" w:lineRule="exact"/>
        <w:rPr>
          <w:rFonts w:ascii="Arial" w:cs="Arial" w:eastAsia="Arial" w:hAnsi="Arial"/>
          <w:sz w:val="20"/>
          <w:szCs w:val="20"/>
          <w:color w:val="auto"/>
        </w:rPr>
      </w:pPr>
    </w:p>
    <w:p>
      <w:pPr>
        <w:ind w:left="660" w:right="360" w:hanging="328"/>
        <w:spacing w:after="0" w:line="286" w:lineRule="auto"/>
        <w:tabs>
          <w:tab w:leader="none" w:pos="648"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receipt by the interested stockholder of the benefit of any loans, advances, guarantees, pledges or other financial benefits provided by or through us.</w:t>
      </w:r>
    </w:p>
    <w:p>
      <w:pPr>
        <w:spacing w:after="0" w:line="167" w:lineRule="exact"/>
        <w:rPr>
          <w:sz w:val="20"/>
          <w:szCs w:val="20"/>
          <w:color w:val="auto"/>
        </w:rPr>
      </w:pPr>
    </w:p>
    <w:p>
      <w:pPr>
        <w:ind w:right="800"/>
        <w:spacing w:after="0" w:line="313" w:lineRule="auto"/>
        <w:rPr>
          <w:sz w:val="20"/>
          <w:szCs w:val="20"/>
          <w:color w:val="auto"/>
        </w:rPr>
      </w:pPr>
      <w:r>
        <w:rPr>
          <w:rFonts w:ascii="Arial" w:cs="Arial" w:eastAsia="Arial" w:hAnsi="Arial"/>
          <w:sz w:val="19"/>
          <w:szCs w:val="19"/>
          <w:color w:val="auto"/>
        </w:rPr>
        <w:t>In general, Section 203 defines an interested stockholder as an entity or person beneficially owning 15% or more of our outstanding voting stock and any entity or person affiliated with or controlling or controlled by such entity or person.</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Transfer agent</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transfer agent and registrar for our common stock is Equiniti Trust Company.</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Listing</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Our common stock is listed on The Nasdaq Global Select Market under the symbol "MU".</w:t>
      </w:r>
    </w:p>
    <w:p>
      <w:pPr>
        <w:sectPr>
          <w:pgSz w:w="11900" w:h="16838" w:orient="portrait"/>
          <w:cols w:equalWidth="0" w:num="1">
            <w:col w:w="11220"/>
          </w:cols>
          <w:pgMar w:left="320" w:top="1414"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b w:val="1"/>
          <w:bCs w:val="1"/>
          <w:color w:val="auto"/>
        </w:rPr>
        <w:t>Exhibit 10.11</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EXECUTIVE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20"/>
          <w:szCs w:val="20"/>
          <w:color w:val="auto"/>
        </w:rPr>
        <w:t>This Amended and Restated Executive Agreement (the “</w:t>
      </w:r>
      <w:r>
        <w:rPr>
          <w:rFonts w:ascii="Arial" w:cs="Arial" w:eastAsia="Arial" w:hAnsi="Arial"/>
          <w:sz w:val="20"/>
          <w:szCs w:val="20"/>
          <w:b w:val="1"/>
          <w:bCs w:val="1"/>
          <w:color w:val="auto"/>
        </w:rPr>
        <w:t>Agreement</w:t>
      </w:r>
      <w:r>
        <w:rPr>
          <w:rFonts w:ascii="Arial" w:cs="Arial" w:eastAsia="Arial" w:hAnsi="Arial"/>
          <w:sz w:val="20"/>
          <w:szCs w:val="20"/>
          <w:color w:val="auto"/>
        </w:rPr>
        <w:t>”) is made and entered into by and between Micron Technology,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Sanjay Mehrotra, an individual and Officer of the Company, (the “</w:t>
      </w:r>
      <w:r>
        <w:rPr>
          <w:rFonts w:ascii="Arial" w:cs="Arial" w:eastAsia="Arial" w:hAnsi="Arial"/>
          <w:sz w:val="20"/>
          <w:szCs w:val="20"/>
          <w:b w:val="1"/>
          <w:bCs w:val="1"/>
          <w:color w:val="auto"/>
        </w:rPr>
        <w:t>Officer</w:t>
      </w:r>
      <w:r>
        <w:rPr>
          <w:rFonts w:ascii="Arial" w:cs="Arial" w:eastAsia="Arial" w:hAnsi="Arial"/>
          <w:sz w:val="20"/>
          <w:szCs w:val="20"/>
          <w:color w:val="auto"/>
        </w:rPr>
        <w:t>”) and effective as of January 1, 2022.</w:t>
      </w:r>
    </w:p>
    <w:p>
      <w:pPr>
        <w:spacing w:after="0" w:line="188" w:lineRule="exact"/>
        <w:rPr>
          <w:sz w:val="20"/>
          <w:szCs w:val="20"/>
          <w:color w:val="auto"/>
        </w:rPr>
      </w:pPr>
    </w:p>
    <w:p>
      <w:pPr>
        <w:ind w:right="300" w:firstLine="648"/>
        <w:spacing w:after="0" w:line="263" w:lineRule="auto"/>
        <w:rPr>
          <w:sz w:val="20"/>
          <w:szCs w:val="20"/>
          <w:color w:val="auto"/>
        </w:rPr>
      </w:pPr>
      <w:r>
        <w:rPr>
          <w:rFonts w:ascii="Arial" w:cs="Arial" w:eastAsia="Arial" w:hAnsi="Arial"/>
          <w:sz w:val="20"/>
          <w:szCs w:val="20"/>
          <w:color w:val="auto"/>
        </w:rPr>
        <w:t>WHEREAS, the Board of Directors of the Company (the “</w:t>
      </w:r>
      <w:r>
        <w:rPr>
          <w:rFonts w:ascii="Arial" w:cs="Arial" w:eastAsia="Arial" w:hAnsi="Arial"/>
          <w:sz w:val="20"/>
          <w:szCs w:val="20"/>
          <w:b w:val="1"/>
          <w:bCs w:val="1"/>
          <w:color w:val="auto"/>
        </w:rPr>
        <w:t>Board</w:t>
      </w:r>
      <w:r>
        <w:rPr>
          <w:rFonts w:ascii="Arial" w:cs="Arial" w:eastAsia="Arial" w:hAnsi="Arial"/>
          <w:sz w:val="20"/>
          <w:szCs w:val="20"/>
          <w:color w:val="auto"/>
        </w:rPr>
        <w:t>”) and the Officer previously entered into an Executive Agreement dated April 26, 2017 (the “</w:t>
      </w:r>
      <w:r>
        <w:rPr>
          <w:rFonts w:ascii="Arial" w:cs="Arial" w:eastAsia="Arial" w:hAnsi="Arial"/>
          <w:sz w:val="20"/>
          <w:szCs w:val="20"/>
          <w:b w:val="1"/>
          <w:bCs w:val="1"/>
          <w:color w:val="auto"/>
        </w:rPr>
        <w:t>Original Agreement</w:t>
      </w:r>
      <w:r>
        <w:rPr>
          <w:rFonts w:ascii="Arial" w:cs="Arial" w:eastAsia="Arial" w:hAnsi="Arial"/>
          <w:sz w:val="20"/>
          <w:szCs w:val="20"/>
          <w:color w:val="auto"/>
        </w:rPr>
        <w:t>”) and desire to amend and restate the Original Agreement in its entirety;</w:t>
      </w:r>
    </w:p>
    <w:p>
      <w:pPr>
        <w:spacing w:after="0" w:line="191" w:lineRule="exact"/>
        <w:rPr>
          <w:sz w:val="20"/>
          <w:szCs w:val="20"/>
          <w:color w:val="auto"/>
        </w:rPr>
      </w:pPr>
    </w:p>
    <w:p>
      <w:pPr>
        <w:ind w:right="460" w:firstLine="648"/>
        <w:spacing w:after="0" w:line="313" w:lineRule="auto"/>
        <w:rPr>
          <w:sz w:val="20"/>
          <w:szCs w:val="20"/>
          <w:color w:val="auto"/>
        </w:rPr>
      </w:pPr>
      <w:r>
        <w:rPr>
          <w:rFonts w:ascii="Arial" w:cs="Arial" w:eastAsia="Arial" w:hAnsi="Arial"/>
          <w:sz w:val="19"/>
          <w:szCs w:val="19"/>
          <w:color w:val="auto"/>
        </w:rPr>
        <w:t>WHEREAS the Board and the Officer recognize that it is in the best interest of the Company to provide for a smooth transition when there is a change in management, and wish to recognize the valued contributions of the Officer; and</w:t>
      </w:r>
    </w:p>
    <w:p>
      <w:pPr>
        <w:spacing w:after="0" w:line="159" w:lineRule="exact"/>
        <w:rPr>
          <w:sz w:val="20"/>
          <w:szCs w:val="20"/>
          <w:color w:val="auto"/>
        </w:rPr>
      </w:pPr>
    </w:p>
    <w:p>
      <w:pPr>
        <w:ind w:right="460" w:firstLine="648"/>
        <w:spacing w:after="0" w:line="271" w:lineRule="auto"/>
        <w:rPr>
          <w:sz w:val="20"/>
          <w:szCs w:val="20"/>
          <w:color w:val="auto"/>
        </w:rPr>
      </w:pPr>
      <w:r>
        <w:rPr>
          <w:rFonts w:ascii="Arial" w:cs="Arial" w:eastAsia="Arial" w:hAnsi="Arial"/>
          <w:sz w:val="20"/>
          <w:szCs w:val="20"/>
          <w:color w:val="auto"/>
        </w:rPr>
        <w:t>WHEREAS, the Company desires to provide the Officer with benefits in consideration for his or her execution of this Agreement, the Release (as defined below) and the instrument titled the Executive Covenant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hereby agree to amend and restate the Original Agreement in its entirety as follows:</w:t>
      </w:r>
    </w:p>
    <w:p>
      <w:pPr>
        <w:spacing w:after="0" w:line="243" w:lineRule="exact"/>
        <w:rPr>
          <w:sz w:val="20"/>
          <w:szCs w:val="20"/>
          <w:color w:val="auto"/>
        </w:rPr>
      </w:pPr>
    </w:p>
    <w:p>
      <w:pPr>
        <w:ind w:right="160" w:firstLine="648"/>
        <w:spacing w:after="0" w:line="265" w:lineRule="auto"/>
        <w:rPr>
          <w:sz w:val="20"/>
          <w:szCs w:val="20"/>
          <w:color w:val="auto"/>
        </w:rPr>
      </w:pPr>
      <w:r>
        <w:rPr>
          <w:rFonts w:ascii="Arial" w:cs="Arial" w:eastAsia="Arial" w:hAnsi="Arial"/>
          <w:sz w:val="19"/>
          <w:szCs w:val="19"/>
          <w:color w:val="auto"/>
        </w:rPr>
        <w:t>1(a). TERMINATION OF THE OFFICER. The Company or the Officer may at any time terminate the Officer’s active employment with the Company for any reason, voluntary or involuntary, with or without Cause, by providing notice to that effect in writing. Subject to the Officer signing and not revoking the release required in Section 7, upon the Officer’s “</w:t>
      </w:r>
      <w:r>
        <w:rPr>
          <w:rFonts w:ascii="Arial" w:cs="Arial" w:eastAsia="Arial" w:hAnsi="Arial"/>
          <w:sz w:val="19"/>
          <w:szCs w:val="19"/>
          <w:b w:val="1"/>
          <w:bCs w:val="1"/>
          <w:color w:val="auto"/>
        </w:rPr>
        <w:t>Qualifying</w:t>
      </w:r>
      <w:r>
        <w:rPr>
          <w:rFonts w:ascii="Arial" w:cs="Arial" w:eastAsia="Arial" w:hAnsi="Arial"/>
          <w:sz w:val="19"/>
          <w:szCs w:val="19"/>
          <w:color w:val="auto"/>
        </w:rPr>
        <w:t xml:space="preserve"> </w:t>
      </w:r>
      <w:r>
        <w:rPr>
          <w:rFonts w:ascii="Arial" w:cs="Arial" w:eastAsia="Arial" w:hAnsi="Arial"/>
          <w:sz w:val="19"/>
          <w:szCs w:val="19"/>
          <w:b w:val="1"/>
          <w:bCs w:val="1"/>
          <w:color w:val="auto"/>
        </w:rPr>
        <w:t>Termination of Employment</w:t>
      </w:r>
      <w:r>
        <w:rPr>
          <w:rFonts w:ascii="Arial" w:cs="Arial" w:eastAsia="Arial" w:hAnsi="Arial"/>
          <w:sz w:val="19"/>
          <w:szCs w:val="19"/>
          <w:color w:val="auto"/>
        </w:rPr>
        <w:t>”, the Officer shall be entitled to the compensation and benefits described in Section 5(a). Except</w:t>
      </w:r>
      <w:r>
        <w:rPr>
          <w:rFonts w:ascii="Arial" w:cs="Arial" w:eastAsia="Arial" w:hAnsi="Arial"/>
          <w:sz w:val="19"/>
          <w:szCs w:val="19"/>
          <w:b w:val="1"/>
          <w:bCs w:val="1"/>
          <w:color w:val="auto"/>
        </w:rPr>
        <w:t xml:space="preserve"> </w:t>
      </w:r>
      <w:r>
        <w:rPr>
          <w:rFonts w:ascii="Arial" w:cs="Arial" w:eastAsia="Arial" w:hAnsi="Arial"/>
          <w:sz w:val="19"/>
          <w:szCs w:val="19"/>
          <w:color w:val="auto"/>
        </w:rPr>
        <w:t>as provided in Section 5(a), upon the Officer’s Separation from Service, the Officer shall only be entitled to (i) those payments and benefits required by law, (ii) unpaid base salary, (iii) reimbursement of unreimbursed business expenses and (iv) such employee benefits (including equity compensation and paid time off), if any, to which the Officer may be entitled under the Company’s employee benefit plans (“</w:t>
      </w:r>
      <w:r>
        <w:rPr>
          <w:rFonts w:ascii="Arial" w:cs="Arial" w:eastAsia="Arial" w:hAnsi="Arial"/>
          <w:sz w:val="19"/>
          <w:szCs w:val="19"/>
          <w:b w:val="1"/>
          <w:bCs w:val="1"/>
          <w:color w:val="auto"/>
        </w:rPr>
        <w:t>Accrued Amounts</w:t>
      </w:r>
      <w:r>
        <w:rPr>
          <w:rFonts w:ascii="Arial" w:cs="Arial" w:eastAsia="Arial" w:hAnsi="Arial"/>
          <w:sz w:val="19"/>
          <w:szCs w:val="19"/>
          <w:color w:val="auto"/>
        </w:rPr>
        <w:t>”). To the extent there is any conflict between the terms and benefits provided under any bonus or incentive program of the Company and this Agreement, the terms of this Agreement shall prevail. The Accrued Amounts shall be paid in accordance with the applicable plan or reimbursement policy, provided that the Officer’s final pay check will be paid as soon as administratively practicable following the Officer’s Separation from Service.</w:t>
      </w:r>
    </w:p>
    <w:p>
      <w:pPr>
        <w:spacing w:after="0" w:line="208" w:lineRule="exact"/>
        <w:rPr>
          <w:sz w:val="20"/>
          <w:szCs w:val="20"/>
          <w:color w:val="auto"/>
        </w:rPr>
      </w:pPr>
    </w:p>
    <w:p>
      <w:pPr>
        <w:ind w:right="240" w:firstLine="648"/>
        <w:spacing w:after="0" w:line="254" w:lineRule="auto"/>
        <w:rPr>
          <w:sz w:val="20"/>
          <w:szCs w:val="20"/>
          <w:color w:val="auto"/>
        </w:rPr>
      </w:pPr>
      <w:r>
        <w:rPr>
          <w:rFonts w:ascii="Arial" w:cs="Arial" w:eastAsia="Arial" w:hAnsi="Arial"/>
          <w:sz w:val="20"/>
          <w:szCs w:val="20"/>
          <w:color w:val="auto"/>
        </w:rPr>
        <w:t>1(b). QUALIFYING TERMINATION OF EMPLOYMENT. For purposes of this Agreement, Officer experiences a Qualifying Termination of Employment if the Officer’s employment is terminated (i) by the Company for a reason other than for Cause, (ii) by the Officer for Good Reason, or (iii) as a result of the death or Disability of the Officer. For purposes of this Agreement, “</w:t>
      </w:r>
      <w:r>
        <w:rPr>
          <w:rFonts w:ascii="Arial" w:cs="Arial" w:eastAsia="Arial" w:hAnsi="Arial"/>
          <w:sz w:val="20"/>
          <w:szCs w:val="20"/>
          <w:b w:val="1"/>
          <w:bCs w:val="1"/>
          <w:color w:val="auto"/>
        </w:rPr>
        <w:t>Cause</w:t>
      </w:r>
      <w:r>
        <w:rPr>
          <w:rFonts w:ascii="Arial" w:cs="Arial" w:eastAsia="Arial" w:hAnsi="Arial"/>
          <w:sz w:val="20"/>
          <w:szCs w:val="20"/>
          <w:color w:val="auto"/>
        </w:rPr>
        <w:t>”, “</w:t>
      </w:r>
      <w:r>
        <w:rPr>
          <w:rFonts w:ascii="Arial" w:cs="Arial" w:eastAsia="Arial" w:hAnsi="Arial"/>
          <w:sz w:val="20"/>
          <w:szCs w:val="20"/>
          <w:b w:val="1"/>
          <w:bCs w:val="1"/>
          <w:color w:val="auto"/>
        </w:rPr>
        <w:t>Good Reason</w:t>
      </w:r>
      <w:r>
        <w:rPr>
          <w:rFonts w:ascii="Arial" w:cs="Arial" w:eastAsia="Arial" w:hAnsi="Arial"/>
          <w:sz w:val="20"/>
          <w:szCs w:val="20"/>
          <w:color w:val="auto"/>
        </w:rPr>
        <w:t>” and “</w:t>
      </w:r>
      <w:r>
        <w:rPr>
          <w:rFonts w:ascii="Arial" w:cs="Arial" w:eastAsia="Arial" w:hAnsi="Arial"/>
          <w:sz w:val="20"/>
          <w:szCs w:val="20"/>
          <w:b w:val="1"/>
          <w:bCs w:val="1"/>
          <w:color w:val="auto"/>
        </w:rPr>
        <w:t>Disability</w:t>
      </w:r>
      <w:r>
        <w:rPr>
          <w:rFonts w:ascii="Arial" w:cs="Arial" w:eastAsia="Arial" w:hAnsi="Arial"/>
          <w:sz w:val="20"/>
          <w:szCs w:val="20"/>
          <w:color w:val="auto"/>
        </w:rPr>
        <w:t>” shall have the meaning set forth on Exhibit 1(b), attached hereto and incorporated herein by this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w:t>
      </w:r>
    </w:p>
    <w:p>
      <w:pPr>
        <w:sectPr>
          <w:pgSz w:w="11900" w:h="16838" w:orient="portrait"/>
          <w:cols w:equalWidth="0" w:num="1">
            <w:col w:w="11240"/>
          </w:cols>
          <w:pgMar w:left="320" w:top="1425" w:right="339" w:bottom="1440" w:gutter="0" w:footer="0" w:header="0"/>
        </w:sectPr>
      </w:pPr>
    </w:p>
    <w:bookmarkStart w:id="100" w:name="page101"/>
    <w:bookmarkEnd w:id="100"/>
    <w:p>
      <w:pPr>
        <w:ind w:right="300" w:firstLine="656"/>
        <w:spacing w:after="0" w:line="313" w:lineRule="auto"/>
        <w:tabs>
          <w:tab w:leader="none" w:pos="1033" w:val="left"/>
        </w:tabs>
        <w:numPr>
          <w:ilvl w:val="0"/>
          <w:numId w:val="44"/>
        </w:numPr>
        <w:rPr>
          <w:rFonts w:ascii="Arial" w:cs="Arial" w:eastAsia="Arial" w:hAnsi="Arial"/>
          <w:sz w:val="19"/>
          <w:szCs w:val="19"/>
          <w:color w:val="auto"/>
        </w:rPr>
      </w:pPr>
      <w:r>
        <w:rPr>
          <w:rFonts w:ascii="Arial" w:cs="Arial" w:eastAsia="Arial" w:hAnsi="Arial"/>
          <w:sz w:val="19"/>
          <w:szCs w:val="19"/>
          <w:color w:val="auto"/>
        </w:rPr>
        <w:t>LOSS OF OFFICER STATUS. Upon receipt by the Officer of a notice of termination from the Company, or at any other time upon the Company’s request, the Officer shall resign immediately as an officer and/or director of the Company.</w:t>
      </w:r>
    </w:p>
    <w:p>
      <w:pPr>
        <w:spacing w:after="0" w:line="143" w:lineRule="exact"/>
        <w:rPr>
          <w:rFonts w:ascii="Arial" w:cs="Arial" w:eastAsia="Arial" w:hAnsi="Arial"/>
          <w:sz w:val="19"/>
          <w:szCs w:val="19"/>
          <w:color w:val="auto"/>
        </w:rPr>
      </w:pPr>
    </w:p>
    <w:p>
      <w:pPr>
        <w:ind w:right="40" w:firstLine="656"/>
        <w:spacing w:after="0" w:line="254" w:lineRule="auto"/>
        <w:tabs>
          <w:tab w:leader="none" w:pos="1033" w:val="left"/>
        </w:tabs>
        <w:numPr>
          <w:ilvl w:val="0"/>
          <w:numId w:val="44"/>
        </w:numPr>
        <w:rPr>
          <w:rFonts w:ascii="Arial" w:cs="Arial" w:eastAsia="Arial" w:hAnsi="Arial"/>
          <w:sz w:val="20"/>
          <w:szCs w:val="20"/>
          <w:color w:val="auto"/>
        </w:rPr>
      </w:pPr>
      <w:r>
        <w:rPr>
          <w:rFonts w:ascii="Arial" w:cs="Arial" w:eastAsia="Arial" w:hAnsi="Arial"/>
          <w:sz w:val="20"/>
          <w:szCs w:val="20"/>
          <w:color w:val="auto"/>
        </w:rPr>
        <w:t>SEPARATION FROM SERVICE. The date of the Officer’s “</w:t>
      </w:r>
      <w:r>
        <w:rPr>
          <w:rFonts w:ascii="Arial" w:cs="Arial" w:eastAsia="Arial" w:hAnsi="Arial"/>
          <w:sz w:val="20"/>
          <w:szCs w:val="20"/>
          <w:b w:val="1"/>
          <w:bCs w:val="1"/>
          <w:color w:val="auto"/>
        </w:rPr>
        <w:t>Separation from Service</w:t>
      </w:r>
      <w:r>
        <w:rPr>
          <w:rFonts w:ascii="Arial" w:cs="Arial" w:eastAsia="Arial" w:hAnsi="Arial"/>
          <w:sz w:val="20"/>
          <w:szCs w:val="20"/>
          <w:color w:val="auto"/>
        </w:rPr>
        <w:t>” shall be the earliest of: (i) the date of the Officer’s death; or (ii) the date after which the Company and the Officer reasonably anticipate that the level of bona fide services the Officer will perform, whether as an employee or consultant, will permanently decrease to 20 percent or less of the average level of bona fide services performed (whether as an employee or contractor) over the immediately preceding 36-month period (or the full period of services to the Company if the Officer provided services to the Company for less than 36 months).</w:t>
      </w:r>
    </w:p>
    <w:p>
      <w:pPr>
        <w:spacing w:after="0" w:line="213" w:lineRule="exact"/>
        <w:rPr>
          <w:rFonts w:ascii="Arial" w:cs="Arial" w:eastAsia="Arial" w:hAnsi="Arial"/>
          <w:sz w:val="20"/>
          <w:szCs w:val="20"/>
          <w:color w:val="auto"/>
        </w:rPr>
      </w:pPr>
    </w:p>
    <w:p>
      <w:pPr>
        <w:jc w:val="both"/>
        <w:ind w:right="740" w:firstLine="656"/>
        <w:spacing w:after="0" w:line="301" w:lineRule="auto"/>
        <w:tabs>
          <w:tab w:leader="none" w:pos="1029" w:val="left"/>
        </w:tabs>
        <w:numPr>
          <w:ilvl w:val="0"/>
          <w:numId w:val="44"/>
        </w:numPr>
        <w:rPr>
          <w:rFonts w:ascii="Arial" w:cs="Arial" w:eastAsia="Arial" w:hAnsi="Arial"/>
          <w:sz w:val="19"/>
          <w:szCs w:val="19"/>
          <w:color w:val="auto"/>
        </w:rPr>
      </w:pPr>
      <w:r>
        <w:rPr>
          <w:rFonts w:ascii="Arial" w:cs="Arial" w:eastAsia="Arial" w:hAnsi="Arial"/>
          <w:sz w:val="19"/>
          <w:szCs w:val="19"/>
          <w:color w:val="auto"/>
        </w:rPr>
        <w:t>TRANSITION PERIOD. For purposes of this agreement, the “</w:t>
      </w:r>
      <w:r>
        <w:rPr>
          <w:rFonts w:ascii="Arial" w:cs="Arial" w:eastAsia="Arial" w:hAnsi="Arial"/>
          <w:sz w:val="19"/>
          <w:szCs w:val="19"/>
          <w:b w:val="1"/>
          <w:bCs w:val="1"/>
          <w:color w:val="auto"/>
        </w:rPr>
        <w:t>Transition Period</w:t>
      </w:r>
      <w:r>
        <w:rPr>
          <w:rFonts w:ascii="Arial" w:cs="Arial" w:eastAsia="Arial" w:hAnsi="Arial"/>
          <w:sz w:val="19"/>
          <w:szCs w:val="19"/>
          <w:color w:val="auto"/>
        </w:rPr>
        <w:t>” shall be a one year period immediately following the date of the Officer’s Separation from Service due to a Qualifying Termination of Employment.</w:t>
      </w:r>
    </w:p>
    <w:p>
      <w:pPr>
        <w:spacing w:after="0" w:line="169" w:lineRule="exact"/>
        <w:rPr>
          <w:sz w:val="20"/>
          <w:szCs w:val="20"/>
          <w:color w:val="auto"/>
        </w:rPr>
      </w:pPr>
    </w:p>
    <w:p>
      <w:pPr>
        <w:ind w:right="120" w:firstLine="648"/>
        <w:spacing w:after="0" w:line="254" w:lineRule="auto"/>
        <w:rPr>
          <w:sz w:val="20"/>
          <w:szCs w:val="20"/>
          <w:color w:val="auto"/>
        </w:rPr>
      </w:pPr>
      <w:r>
        <w:rPr>
          <w:rFonts w:ascii="Arial" w:cs="Arial" w:eastAsia="Arial" w:hAnsi="Arial"/>
          <w:sz w:val="20"/>
          <w:szCs w:val="20"/>
          <w:color w:val="auto"/>
        </w:rPr>
        <w:t>5(a). COMPENSATION DURING THE TRANSITION PERIOD. Upon the Officer’s Qualifying Termination of Employment, and provided the Officer complies with the terms of this Agreement (including the requirements of Section 7) and the terms of the Executive Covenant Agreement, the Officer, or the Officer’s estate in the event of the Officer’s death, will receive during the Transition Period compensation and cash in lieu of employee benefits as provided on Exhibit 5(a), attached hereto and incorporated herein by this reference.</w:t>
      </w:r>
    </w:p>
    <w:p>
      <w:pPr>
        <w:spacing w:after="0" w:line="214"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20"/>
          <w:szCs w:val="20"/>
          <w:color w:val="auto"/>
        </w:rPr>
        <w:t>5(b).</w:t>
      </w:r>
      <w:r>
        <w:rPr>
          <w:sz w:val="20"/>
          <w:szCs w:val="20"/>
          <w:color w:val="auto"/>
        </w:rPr>
        <w:tab/>
      </w:r>
      <w:r>
        <w:rPr>
          <w:rFonts w:ascii="Arial" w:cs="Arial" w:eastAsia="Arial" w:hAnsi="Arial"/>
          <w:sz w:val="19"/>
          <w:szCs w:val="19"/>
          <w:color w:val="auto"/>
        </w:rPr>
        <w:t>EXECUTIVE BONUS AFTER LOSS OF OFFICER STATUS. An Officer who ceases to be an Officer but does not</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cease to be an employee of the Company, and who has not yet incurred a Separation from Service (referred to herein as a</w:t>
      </w: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Non-Officer Employee</w:t>
      </w:r>
      <w:r>
        <w:rPr>
          <w:rFonts w:ascii="Arial" w:cs="Arial" w:eastAsia="Arial" w:hAnsi="Arial"/>
          <w:sz w:val="19"/>
          <w:szCs w:val="19"/>
          <w:color w:val="auto"/>
        </w:rPr>
        <w:t>”), shall receive, in lieu of an executive bonus pursuant to Section 5(a)(ii)(A) of Exhibit 5(a), a pro-rated</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executive bonus, if at all, subject to the following terms and conditions:</w:t>
      </w:r>
    </w:p>
    <w:p>
      <w:pPr>
        <w:spacing w:after="0" w:line="225" w:lineRule="exact"/>
        <w:rPr>
          <w:sz w:val="20"/>
          <w:szCs w:val="20"/>
          <w:color w:val="auto"/>
        </w:rPr>
      </w:pPr>
    </w:p>
    <w:p>
      <w:pPr>
        <w:ind w:right="40" w:firstLine="648"/>
        <w:spacing w:after="0" w:line="240" w:lineRule="exact"/>
        <w:rPr>
          <w:sz w:val="20"/>
          <w:szCs w:val="20"/>
          <w:color w:val="auto"/>
        </w:rPr>
      </w:pPr>
      <w:r>
        <w:rPr>
          <w:rFonts w:ascii="Arial" w:cs="Arial" w:eastAsia="Arial" w:hAnsi="Arial"/>
          <w:sz w:val="20"/>
          <w:szCs w:val="20"/>
          <w:color w:val="auto"/>
        </w:rPr>
        <w:t>If as of the date of the Officer’s loss of officer status the Non-Officer Employee was a designated participant for an executive bonus plan performance period but the Board or a committee thereof has not yet taken action on any required goal achievement certification for such performance period, the Non-Officer Employee will be entitled to receive his or her executive bonus in the amount so certified, at the same time and in the same manner as the continuing officers of the Company receive payment of their executive bonuses for such performance period, if and only if (A) the specified goals are achieved, as certified by the Company’s Board or a committee thereof, (B) payment is made for such achievement pursuant to the terms and conditions of the bonus program to the other participating officers, (C) the Non</w:t>
      </w:r>
      <w:r>
        <w:rPr>
          <w:rFonts w:ascii="MS PGothic" w:cs="MS PGothic" w:eastAsia="MS PGothic" w:hAnsi="MS PGothic"/>
          <w:sz w:val="20"/>
          <w:szCs w:val="20"/>
          <w:color w:val="auto"/>
        </w:rPr>
        <w:t>‑</w:t>
      </w:r>
      <w:r>
        <w:rPr>
          <w:rFonts w:ascii="Arial" w:cs="Arial" w:eastAsia="Arial" w:hAnsi="Arial"/>
          <w:sz w:val="20"/>
          <w:szCs w:val="20"/>
          <w:color w:val="auto"/>
        </w:rPr>
        <w:t>Officer Employee is an employee of the Company at the time of payment and (D) the Non-Officer Employee complies with the terms of this Agreement and the terms of the Executive Covenant Agreement.</w:t>
      </w:r>
    </w:p>
    <w:p>
      <w:pPr>
        <w:spacing w:after="0" w:line="233" w:lineRule="exact"/>
        <w:rPr>
          <w:sz w:val="20"/>
          <w:szCs w:val="20"/>
          <w:color w:val="auto"/>
        </w:rPr>
      </w:pPr>
    </w:p>
    <w:p>
      <w:pPr>
        <w:ind w:firstLine="648"/>
        <w:spacing w:after="0" w:line="262" w:lineRule="auto"/>
        <w:rPr>
          <w:sz w:val="20"/>
          <w:szCs w:val="20"/>
          <w:color w:val="auto"/>
        </w:rPr>
      </w:pPr>
      <w:r>
        <w:rPr>
          <w:rFonts w:ascii="Arial" w:cs="Arial" w:eastAsia="Arial" w:hAnsi="Arial"/>
          <w:sz w:val="20"/>
          <w:szCs w:val="20"/>
          <w:color w:val="auto"/>
        </w:rPr>
        <w:t>A Non-Officer Employee that receives a bonus pursuant to the terms of this Section 5(b) shall not be entitled to receive an additional bonus pursuant to Section 5(a)(ii)(A) of Exhibit 5(a) during his or her Transition Period. The amount payable under this Section 5(b) shall be payable at the time and form provided in the applicable bonus plan.</w:t>
      </w:r>
    </w:p>
    <w:p>
      <w:pPr>
        <w:spacing w:after="0" w:line="192" w:lineRule="exact"/>
        <w:rPr>
          <w:sz w:val="20"/>
          <w:szCs w:val="20"/>
          <w:color w:val="auto"/>
        </w:rPr>
      </w:pPr>
    </w:p>
    <w:p>
      <w:pPr>
        <w:ind w:right="220" w:firstLine="648"/>
        <w:spacing w:after="0" w:line="286" w:lineRule="auto"/>
        <w:rPr>
          <w:sz w:val="20"/>
          <w:szCs w:val="20"/>
          <w:color w:val="auto"/>
        </w:rPr>
      </w:pPr>
      <w:r>
        <w:rPr>
          <w:rFonts w:ascii="Arial" w:cs="Arial" w:eastAsia="Arial" w:hAnsi="Arial"/>
          <w:sz w:val="20"/>
          <w:szCs w:val="20"/>
          <w:color w:val="auto"/>
        </w:rPr>
        <w:t>5(c). FURTHER CLARIFICATIONS. It is understood that the Officer, during the period of time in which he or she is a Non-Officer Employee and at any time during the Transition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- 2</w:t>
      </w:r>
    </w:p>
    <w:p>
      <w:pPr>
        <w:sectPr>
          <w:pgSz w:w="11900" w:h="16838" w:orient="portrait"/>
          <w:cols w:equalWidth="0" w:num="1">
            <w:col w:w="11160"/>
          </w:cols>
          <w:pgMar w:left="320" w:top="1414" w:right="419" w:bottom="1440" w:gutter="0" w:footer="0" w:header="0"/>
        </w:sectPr>
      </w:pPr>
    </w:p>
    <w:bookmarkStart w:id="101" w:name="page102"/>
    <w:bookmarkEnd w:id="101"/>
    <w:p>
      <w:pPr>
        <w:ind w:right="20"/>
        <w:spacing w:after="0" w:line="269" w:lineRule="auto"/>
        <w:rPr>
          <w:sz w:val="20"/>
          <w:szCs w:val="20"/>
          <w:color w:val="auto"/>
        </w:rPr>
      </w:pPr>
      <w:r>
        <w:rPr>
          <w:rFonts w:ascii="Arial" w:cs="Arial" w:eastAsia="Arial" w:hAnsi="Arial"/>
          <w:sz w:val="19"/>
          <w:szCs w:val="19"/>
          <w:color w:val="auto"/>
        </w:rPr>
        <w:t>Period, is not entitled pursuant to this Agreement to renew his or her participation in any executive bonus program, receive any new grants of stock options or restricted stock or to the accrual of TOP time (however, Non-Officer Employees would participate in the Company’s Time Off Plan). It is further understood that the Officer is not entitled to payment of any compensation that is deferred past the Transition Period due to payment criteria of an incentive program, as those criteria existed as of the date of the Officer’s Separation from Service. For the avoidance of doubt, the Officer shall not be entitled to any payment which is earned and payable after the Transition Period pursuant to the terms of the applicable plan or program. No action by the Company or the Company’s Board may affect the Officer’s receipt of the benefits set forth above, other than as provided herein.</w:t>
      </w:r>
    </w:p>
    <w:p>
      <w:pPr>
        <w:spacing w:after="0" w:line="189" w:lineRule="exact"/>
        <w:rPr>
          <w:sz w:val="20"/>
          <w:szCs w:val="20"/>
          <w:color w:val="auto"/>
        </w:rPr>
      </w:pPr>
    </w:p>
    <w:p>
      <w:pPr>
        <w:ind w:right="100" w:firstLine="656"/>
        <w:spacing w:after="0" w:line="259" w:lineRule="auto"/>
        <w:tabs>
          <w:tab w:leader="none" w:pos="1033"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CONFIDENTIALITY. The reasons for, and circumstances of, an Officer’s termination of employment or change in officer status shall be kept confidential and shall not be disclosed; provided that the Company may disclose such information as the Company determines, in its sole discretion, is either required by law to be disclosed or necessary to be disclosed to serve a valid business purpose.</w:t>
      </w:r>
    </w:p>
    <w:p>
      <w:pPr>
        <w:spacing w:after="0" w:line="208" w:lineRule="exact"/>
        <w:rPr>
          <w:rFonts w:ascii="Arial" w:cs="Arial" w:eastAsia="Arial" w:hAnsi="Arial"/>
          <w:sz w:val="20"/>
          <w:szCs w:val="20"/>
          <w:color w:val="auto"/>
        </w:rPr>
      </w:pPr>
    </w:p>
    <w:p>
      <w:pPr>
        <w:ind w:firstLine="656"/>
        <w:spacing w:after="0" w:line="258" w:lineRule="auto"/>
        <w:tabs>
          <w:tab w:leader="none" w:pos="1033" w:val="left"/>
        </w:tabs>
        <w:numPr>
          <w:ilvl w:val="0"/>
          <w:numId w:val="45"/>
        </w:numPr>
        <w:rPr>
          <w:rFonts w:ascii="Arial" w:cs="Arial" w:eastAsia="Arial" w:hAnsi="Arial"/>
          <w:sz w:val="20"/>
          <w:szCs w:val="20"/>
          <w:color w:val="auto"/>
        </w:rPr>
      </w:pPr>
      <w:r>
        <w:rPr>
          <w:rFonts w:ascii="Arial" w:cs="Arial" w:eastAsia="Arial" w:hAnsi="Arial"/>
          <w:sz w:val="20"/>
          <w:szCs w:val="20"/>
          <w:color w:val="auto"/>
        </w:rPr>
        <w:t>RELEASE. No amount shall be payable to the Officer under Section 5(a) until the Officer signs, and does not revoke, a release of claims in favor of the Company, its affiliates and their respective officers and directors in substantially the form attached hereto as Appendix A (the “</w:t>
      </w:r>
      <w:r>
        <w:rPr>
          <w:rFonts w:ascii="Arial" w:cs="Arial" w:eastAsia="Arial" w:hAnsi="Arial"/>
          <w:sz w:val="20"/>
          <w:szCs w:val="20"/>
          <w:b w:val="1"/>
          <w:bCs w:val="1"/>
          <w:color w:val="auto"/>
        </w:rPr>
        <w:t>Release</w:t>
      </w:r>
      <w:r>
        <w:rPr>
          <w:rFonts w:ascii="Arial" w:cs="Arial" w:eastAsia="Arial" w:hAnsi="Arial"/>
          <w:sz w:val="20"/>
          <w:szCs w:val="20"/>
          <w:color w:val="auto"/>
        </w:rPr>
        <w:t>”) during the Release Execution Period. For purposes of this Agreement, the “</w:t>
      </w:r>
      <w:r>
        <w:rPr>
          <w:rFonts w:ascii="Arial" w:cs="Arial" w:eastAsia="Arial" w:hAnsi="Arial"/>
          <w:sz w:val="20"/>
          <w:szCs w:val="20"/>
          <w:b w:val="1"/>
          <w:bCs w:val="1"/>
          <w:color w:val="auto"/>
        </w:rPr>
        <w:t>Release Execution Period</w:t>
      </w:r>
      <w:r>
        <w:rPr>
          <w:rFonts w:ascii="Arial" w:cs="Arial" w:eastAsia="Arial" w:hAnsi="Arial"/>
          <w:sz w:val="20"/>
          <w:szCs w:val="20"/>
          <w:color w:val="auto"/>
        </w:rPr>
        <w:t>” shall be the 60-day period commencing on the date of the Officer’s Separation from Service.</w:t>
      </w:r>
    </w:p>
    <w:p>
      <w:pPr>
        <w:spacing w:after="0" w:line="199" w:lineRule="exact"/>
        <w:rPr>
          <w:rFonts w:ascii="Arial" w:cs="Arial" w:eastAsia="Arial" w:hAnsi="Arial"/>
          <w:sz w:val="20"/>
          <w:szCs w:val="20"/>
          <w:color w:val="auto"/>
        </w:rPr>
      </w:pPr>
    </w:p>
    <w:p>
      <w:pPr>
        <w:ind w:right="100" w:firstLine="656"/>
        <w:spacing w:after="0" w:line="250" w:lineRule="auto"/>
        <w:tabs>
          <w:tab w:leader="none" w:pos="1033" w:val="left"/>
        </w:tabs>
        <w:numPr>
          <w:ilvl w:val="0"/>
          <w:numId w:val="45"/>
        </w:numPr>
        <w:rPr>
          <w:rFonts w:ascii="Arial" w:cs="Arial" w:eastAsia="Arial" w:hAnsi="Arial"/>
          <w:sz w:val="20"/>
          <w:szCs w:val="20"/>
          <w:color w:val="auto"/>
        </w:rPr>
      </w:pPr>
      <w:r>
        <w:rPr>
          <w:rFonts w:ascii="Arial" w:cs="Arial" w:eastAsia="Arial" w:hAnsi="Arial"/>
          <w:sz w:val="20"/>
          <w:szCs w:val="20"/>
          <w:color w:val="auto"/>
        </w:rPr>
        <w:t>ENTIRE AGREEMENT. Except as otherwise specifically provided herein, this Agreement sets forth the entire agreement and understanding between Micron and Officer relating to the subject matter hereof and supersedes all prior understandings and agreements with respect thereto. No modification of or amendment to this Agreement, or any waiver of any rights under this Agreement, will be effective unless contained in a writing signed by both of the parties hereto in accordance with Section 11. Any subsequent change or changes in Officer’s duties, salary or compensation will not affect the validity or scope of this Agreement. This Agreement is in addition to, and does not supersede or modify in any fashion, the provisions of the Executive Offer Letter, Executive Covenant Agreement, or the provisions of any confidentiality and intellectual property agreement(s) entered into by the parties hereto (collectively, “</w:t>
      </w:r>
      <w:r>
        <w:rPr>
          <w:rFonts w:ascii="Arial" w:cs="Arial" w:eastAsia="Arial" w:hAnsi="Arial"/>
          <w:sz w:val="20"/>
          <w:szCs w:val="20"/>
          <w:b w:val="1"/>
          <w:bCs w:val="1"/>
          <w:color w:val="auto"/>
        </w:rPr>
        <w:t>Additional Agreements</w:t>
      </w:r>
      <w:r>
        <w:rPr>
          <w:rFonts w:ascii="Arial" w:cs="Arial" w:eastAsia="Arial" w:hAnsi="Arial"/>
          <w:sz w:val="20"/>
          <w:szCs w:val="20"/>
          <w:color w:val="auto"/>
        </w:rPr>
        <w:t>”) (and all documents and forms referenced therein), all of which are being executed at or about the same time. The obligations contained in the Additional Agreements shall continue independent of the obligations of one another and of this Agreement.</w:t>
      </w:r>
    </w:p>
    <w:p>
      <w:pPr>
        <w:spacing w:after="0" w:line="221" w:lineRule="exact"/>
        <w:rPr>
          <w:sz w:val="20"/>
          <w:szCs w:val="20"/>
          <w:color w:val="auto"/>
        </w:rPr>
      </w:pPr>
    </w:p>
    <w:p>
      <w:pPr>
        <w:ind w:right="40" w:firstLine="648"/>
        <w:spacing w:after="0" w:line="252" w:lineRule="auto"/>
        <w:rPr>
          <w:sz w:val="20"/>
          <w:szCs w:val="20"/>
          <w:color w:val="auto"/>
        </w:rPr>
      </w:pPr>
      <w:r>
        <w:rPr>
          <w:rFonts w:ascii="Arial" w:cs="Arial" w:eastAsia="Arial" w:hAnsi="Arial"/>
          <w:sz w:val="20"/>
          <w:szCs w:val="20"/>
          <w:color w:val="auto"/>
        </w:rPr>
        <w:t>9(a). SECTION 409A COMPLIANCE. This Agreement is intended to comply with Internal Revenue Code (“</w:t>
      </w:r>
      <w:r>
        <w:rPr>
          <w:rFonts w:ascii="Arial" w:cs="Arial" w:eastAsia="Arial" w:hAnsi="Arial"/>
          <w:sz w:val="20"/>
          <w:szCs w:val="20"/>
          <w:b w:val="1"/>
          <w:bCs w:val="1"/>
          <w:color w:val="auto"/>
        </w:rPr>
        <w:t>Code</w:t>
      </w:r>
      <w:r>
        <w:rPr>
          <w:rFonts w:ascii="Arial" w:cs="Arial" w:eastAsia="Arial" w:hAnsi="Arial"/>
          <w:sz w:val="20"/>
          <w:szCs w:val="20"/>
          <w:color w:val="auto"/>
        </w:rPr>
        <w:t>”) Section 409A and the applicable Treasury Regulations (together, “</w:t>
      </w:r>
      <w:r>
        <w:rPr>
          <w:rFonts w:ascii="Arial" w:cs="Arial" w:eastAsia="Arial" w:hAnsi="Arial"/>
          <w:sz w:val="20"/>
          <w:szCs w:val="20"/>
          <w:b w:val="1"/>
          <w:bCs w:val="1"/>
          <w:color w:val="auto"/>
        </w:rPr>
        <w:t>Section 409A</w:t>
      </w:r>
      <w:r>
        <w:rPr>
          <w:rFonts w:ascii="Arial" w:cs="Arial" w:eastAsia="Arial" w:hAnsi="Arial"/>
          <w:sz w:val="20"/>
          <w:szCs w:val="20"/>
          <w:color w:val="auto"/>
        </w:rPr>
        <w:t>”) or an exemption thereunder and shall be construed and administered in accordance with Section 409A. Notwithstanding any other provision of this Agreement, payments provided under this Agreement may only be made upon an event and in a manner that complies with Section 409A or an applicable exemption.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- 3</w:t>
      </w:r>
    </w:p>
    <w:p>
      <w:pPr>
        <w:sectPr>
          <w:pgSz w:w="11900" w:h="16838" w:orient="portrait"/>
          <w:cols w:equalWidth="0" w:num="1">
            <w:col w:w="11240"/>
          </w:cols>
          <w:pgMar w:left="320" w:top="1414" w:right="339" w:bottom="1440" w:gutter="0" w:footer="0" w:header="0"/>
        </w:sectPr>
      </w:pPr>
    </w:p>
    <w:bookmarkStart w:id="102" w:name="page103"/>
    <w:bookmarkEnd w:id="102"/>
    <w:p>
      <w:pPr>
        <w:ind w:right="40"/>
        <w:spacing w:after="0" w:line="254" w:lineRule="auto"/>
        <w:rPr>
          <w:sz w:val="20"/>
          <w:szCs w:val="20"/>
          <w:color w:val="auto"/>
        </w:rPr>
      </w:pPr>
      <w:r>
        <w:rPr>
          <w:rFonts w:ascii="Arial" w:cs="Arial" w:eastAsia="Arial" w:hAnsi="Arial"/>
          <w:sz w:val="20"/>
          <w:szCs w:val="20"/>
          <w:color w:val="auto"/>
        </w:rPr>
        <w:t>“separation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Officer on account of non-compliance with Section 409A. In the event an amount payable under this Agreement is contingent upon the Officer signing a Release during a Release Execution Period and such Release Execution Period begins in one tax year and ends in the next tax year, such amount shall be paid on the later of (i) the last day of the Release Execution Period, (ii) if applicable, the date specified in Section 9(b), or (iii) the payment date otherwise set forth in this Agreement.</w:t>
      </w:r>
    </w:p>
    <w:p>
      <w:pPr>
        <w:spacing w:after="0" w:line="200" w:lineRule="exact"/>
        <w:rPr>
          <w:sz w:val="20"/>
          <w:szCs w:val="20"/>
          <w:color w:val="auto"/>
        </w:rPr>
      </w:pPr>
    </w:p>
    <w:p>
      <w:pPr>
        <w:ind w:right="20" w:firstLine="648"/>
        <w:spacing w:after="0" w:line="254" w:lineRule="auto"/>
        <w:rPr>
          <w:sz w:val="20"/>
          <w:szCs w:val="20"/>
          <w:color w:val="auto"/>
        </w:rPr>
      </w:pPr>
      <w:r>
        <w:rPr>
          <w:rFonts w:ascii="Arial" w:cs="Arial" w:eastAsia="Arial" w:hAnsi="Arial"/>
          <w:sz w:val="20"/>
          <w:szCs w:val="20"/>
          <w:color w:val="auto"/>
        </w:rPr>
        <w:t>9(b). SPECIFIED EMPLOYEE PAYMENTS; TIMING. Notwithstanding anything in this Agreement to the contrary, if any amount or benefit that would constitute non-exempt “deferred compensation” for purposes Section 409A would otherwise be payable or distributable under this Agreement by reason of the Officer’s Separation from Service during a period in which the Officer is a Specified Employee (as defined below), then, subject to any permissible acceleration of payment by the Company under Treas. Reg. Section l.409A-3(j)(4)(ii) (domestic relations order), (j)(4)(iii) (conflicts of interest), or (j)(4)(vi) (payment of employment taxes):</w:t>
      </w:r>
    </w:p>
    <w:p>
      <w:pPr>
        <w:spacing w:after="0" w:line="214" w:lineRule="exact"/>
        <w:rPr>
          <w:sz w:val="20"/>
          <w:szCs w:val="20"/>
          <w:color w:val="auto"/>
        </w:rPr>
      </w:pPr>
    </w:p>
    <w:p>
      <w:pPr>
        <w:ind w:left="1960" w:hanging="656"/>
        <w:spacing w:after="0" w:line="262" w:lineRule="auto"/>
        <w:tabs>
          <w:tab w:leader="none" w:pos="1708"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Officer’s right to receive payment or distribution of such non-exempt deferred compensation will be delayed until the earlier of the Officer’s death or the first day of the seventh month following the Officer’s Separation from Service; and</w:t>
      </w:r>
    </w:p>
    <w:p>
      <w:pPr>
        <w:spacing w:after="0" w:line="205" w:lineRule="exact"/>
        <w:rPr>
          <w:rFonts w:ascii="Arial" w:cs="Arial" w:eastAsia="Arial" w:hAnsi="Arial"/>
          <w:sz w:val="20"/>
          <w:szCs w:val="20"/>
          <w:color w:val="auto"/>
        </w:rPr>
      </w:pPr>
    </w:p>
    <w:p>
      <w:pPr>
        <w:ind w:left="1960" w:right="200" w:hanging="656"/>
        <w:spacing w:after="0" w:line="251" w:lineRule="auto"/>
        <w:tabs>
          <w:tab w:leader="none" w:pos="1752"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the payment or distribution is payable over time, the amount of such non-exempt deferred compensation that would otherwise be payable during the six-month period immediately following the Officer’s Separation from Service will be accumulated and the Officer’s right to receive payment or distribution of such accumulated amount will be delayed until the earlier of the Officer’s death or the first day of the seventh month following the Officer’s Separation from Service, whereupon the accumulated amount will be paid or distributed to the Officer and the normal payment or distribution schedule for any remaining payments or distributions will resume.</w:t>
      </w:r>
    </w:p>
    <w:p>
      <w:pPr>
        <w:spacing w:after="0" w:line="218" w:lineRule="exact"/>
        <w:rPr>
          <w:sz w:val="20"/>
          <w:szCs w:val="20"/>
          <w:color w:val="auto"/>
        </w:rPr>
      </w:pPr>
    </w:p>
    <w:p>
      <w:pPr>
        <w:ind w:right="140" w:firstLine="648"/>
        <w:spacing w:after="0" w:line="255" w:lineRule="auto"/>
        <w:rPr>
          <w:sz w:val="20"/>
          <w:szCs w:val="20"/>
          <w:color w:val="auto"/>
        </w:rPr>
      </w:pPr>
      <w:r>
        <w:rPr>
          <w:rFonts w:ascii="Arial" w:cs="Arial" w:eastAsia="Arial" w:hAnsi="Arial"/>
          <w:sz w:val="20"/>
          <w:szCs w:val="20"/>
          <w:color w:val="auto"/>
        </w:rPr>
        <w:t>For purposes of this Agreement, the term “</w:t>
      </w:r>
      <w:r>
        <w:rPr>
          <w:rFonts w:ascii="Arial" w:cs="Arial" w:eastAsia="Arial" w:hAnsi="Arial"/>
          <w:sz w:val="20"/>
          <w:szCs w:val="20"/>
          <w:b w:val="1"/>
          <w:bCs w:val="1"/>
          <w:color w:val="auto"/>
        </w:rPr>
        <w:t>Specified Employee</w:t>
      </w:r>
      <w:r>
        <w:rPr>
          <w:rFonts w:ascii="Arial" w:cs="Arial" w:eastAsia="Arial" w:hAnsi="Arial"/>
          <w:sz w:val="20"/>
          <w:szCs w:val="20"/>
          <w:color w:val="auto"/>
        </w:rPr>
        <w:t>” has the meaning given such term in Section 409A, provided, however, that, as permitted in Treas. Reg. §l.409A-l(i), the Company’s Specified Employees and its application of the six-month delay rule of Code Section 409A(a)(2)(B)(i) shall be determined in accordance with rules adopted by the Compensation Committee of the Board, which shall be applied consistently with respect to all nonqualified deferred compensation arrangements of the Company, including this Agreement.</w:t>
      </w:r>
    </w:p>
    <w:p>
      <w:pPr>
        <w:spacing w:after="0" w:line="211" w:lineRule="exact"/>
        <w:rPr>
          <w:sz w:val="20"/>
          <w:szCs w:val="20"/>
          <w:color w:val="auto"/>
        </w:rPr>
      </w:pPr>
    </w:p>
    <w:p>
      <w:pPr>
        <w:ind w:right="540" w:firstLine="648"/>
        <w:spacing w:after="0" w:line="282" w:lineRule="auto"/>
        <w:rPr>
          <w:sz w:val="20"/>
          <w:szCs w:val="20"/>
          <w:color w:val="auto"/>
        </w:rPr>
      </w:pPr>
      <w:r>
        <w:rPr>
          <w:rFonts w:ascii="Arial" w:cs="Arial" w:eastAsia="Arial" w:hAnsi="Arial"/>
          <w:sz w:val="19"/>
          <w:szCs w:val="19"/>
          <w:color w:val="auto"/>
        </w:rPr>
        <w:t>9(c). SECTION 280G. This section will be construed in accordance with Code Sections 280G and 4999, or any successor provisions thereto, and the guidance issued thereunder (collectively, “Section 280G”), and the terms “parachute payment” and “excess parachute payment” as used herein have the meanings ascribed to them under Section 280G.</w:t>
      </w:r>
    </w:p>
    <w:p>
      <w:pPr>
        <w:spacing w:after="0" w:line="175" w:lineRule="exact"/>
        <w:rPr>
          <w:sz w:val="20"/>
          <w:szCs w:val="20"/>
          <w:color w:val="auto"/>
        </w:rPr>
      </w:pPr>
    </w:p>
    <w:p>
      <w:pPr>
        <w:ind w:left="1960" w:right="140" w:hanging="8"/>
        <w:spacing w:after="0" w:line="286" w:lineRule="auto"/>
        <w:tabs>
          <w:tab w:leader="none" w:pos="2356"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it is determined that the aggregate payments and benefits constituting parachute payments which, but for the operation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- 4</w:t>
      </w:r>
    </w:p>
    <w:p>
      <w:pPr>
        <w:sectPr>
          <w:pgSz w:w="11900" w:h="16838" w:orient="portrait"/>
          <w:cols w:equalWidth="0" w:num="1">
            <w:col w:w="11220"/>
          </w:cols>
          <w:pgMar w:left="320" w:top="1414" w:right="359" w:bottom="1440" w:gutter="0" w:footer="0" w:header="0"/>
        </w:sectPr>
      </w:pPr>
    </w:p>
    <w:bookmarkStart w:id="103" w:name="page104"/>
    <w:bookmarkEnd w:id="103"/>
    <w:p>
      <w:pPr>
        <w:ind w:left="1960"/>
        <w:spacing w:after="0" w:line="251" w:lineRule="auto"/>
        <w:rPr>
          <w:sz w:val="20"/>
          <w:szCs w:val="20"/>
          <w:color w:val="auto"/>
        </w:rPr>
      </w:pPr>
      <w:r>
        <w:rPr>
          <w:rFonts w:ascii="Arial" w:cs="Arial" w:eastAsia="Arial" w:hAnsi="Arial"/>
          <w:sz w:val="20"/>
          <w:szCs w:val="20"/>
          <w:color w:val="auto"/>
        </w:rPr>
        <w:t>provision, would become payable or distributable by the Company to or for the benefit of Officer, pursuant to this Agreement, any other agreement, or any benefit plan (collectively, the “Total Payments”), would result in any excess parachute payments becoming subject to the excise tax imposed by Code Section 4999, or any successor provision thereto, or any interest or penalties with respect to such excise tax (such excise tax, together with such interest and penalties, collectively, the “Excise Tax”), then the Total Payments shall be reduced to an amount equal to One Dollar ($1) less than the maximum amount that could be paid to Officer without giving rise to any Excise Tax (the “Safe Harbor Cap”); provided, however, that this reduction shall be applied only if the net after-tax benefit to Officer after such reduction would be greater than the net after-tax benefit to Officer without such reduction (notwithstanding the application of the Excise Tax on the unreduced Total Payments). For the avoidance of doubt, Officer shall be responsible for the payment of any Excise Tax arising from the Total Payments and there shall be no tax gross up on any amounts paid under this Agreement.</w:t>
      </w:r>
    </w:p>
    <w:p>
      <w:pPr>
        <w:spacing w:after="0" w:line="205" w:lineRule="exact"/>
        <w:rPr>
          <w:sz w:val="20"/>
          <w:szCs w:val="20"/>
          <w:color w:val="auto"/>
        </w:rPr>
      </w:pPr>
    </w:p>
    <w:p>
      <w:pPr>
        <w:ind w:left="1960" w:right="180" w:hanging="8"/>
        <w:spacing w:after="0" w:line="252" w:lineRule="auto"/>
        <w:tabs>
          <w:tab w:leader="none" w:pos="2389" w:val="left"/>
        </w:tabs>
        <w:numPr>
          <w:ilvl w:val="0"/>
          <w:numId w:val="48"/>
        </w:numPr>
        <w:rPr>
          <w:rFonts w:ascii="Arial" w:cs="Arial" w:eastAsia="Arial" w:hAnsi="Arial"/>
          <w:sz w:val="20"/>
          <w:szCs w:val="20"/>
          <w:color w:val="auto"/>
        </w:rPr>
      </w:pPr>
      <w:r>
        <w:rPr>
          <w:rFonts w:ascii="Arial" w:cs="Arial" w:eastAsia="Arial" w:hAnsi="Arial"/>
          <w:sz w:val="20"/>
          <w:szCs w:val="20"/>
          <w:color w:val="auto"/>
        </w:rPr>
        <w:t>Any reduction in Total Payments required by this prov1s1on shall be applied in the following order and, to the extent applicable, in accordance with the rules under Section 409A: (i) first, reduction of cash payments and benefits, in reverse order of the date of payment; (ii) second, cancellation of vesting acceleration of equity awards, in reverse order of the date of grant; and (iii) third, reduction of other non-cash payments and benefits, in reverse order of the date the payment or benefit is to be provided. If the same payment or award date applies to more than one payment or benefit within any of the foregoing categories, the reduction will apply to each such payment or benefit on a pro-rata basis. Subject to the foregoing, the Total Payments shall be reduced so that the reduction of compensation to be provided to Officer is otherwise minimized.</w:t>
      </w:r>
    </w:p>
    <w:p>
      <w:pPr>
        <w:spacing w:after="0" w:line="202" w:lineRule="exact"/>
        <w:rPr>
          <w:rFonts w:ascii="Arial" w:cs="Arial" w:eastAsia="Arial" w:hAnsi="Arial"/>
          <w:sz w:val="20"/>
          <w:szCs w:val="20"/>
          <w:color w:val="auto"/>
        </w:rPr>
      </w:pPr>
    </w:p>
    <w:p>
      <w:pPr>
        <w:ind w:left="1960" w:hanging="8"/>
        <w:spacing w:after="0" w:line="251" w:lineRule="auto"/>
        <w:tabs>
          <w:tab w:leader="none" w:pos="24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Unless the Company and Officer otherwise agree in writing, all calculations and determinations necessary to effectuate this provision, including without limitation determinations as to whether a reduction in payments or benefits is required and the amount thereof, whether any item of compensation constitutes a parachute payment, the amount, if any, subject to the Excise Tax (including determinations as to whether any portion of the excess parachute payments constitutes reasonable compensation for services actually rendered, within the meaning of Code Section 280G(b)(4)(B)), and the present value of any parachute payment, shall be made, consistent with Section 280G, by a public accounting firm and/or tax counsel selected by the Company (which may be the Company’s independent public accounting firm or outside tax counsel) (the “Advisors”). For this purpose, the Advisors may make reasonable assumptions and approximations; may rely on reasonable, good faith interpretations concerning the application of Section 280G; and may rely upon such other tax, legal, valuation or other specialists as they deem appropriate. Officer’s applicable federal, state, and local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- 5</w:t>
      </w:r>
    </w:p>
    <w:p>
      <w:pPr>
        <w:sectPr>
          <w:pgSz w:w="11900" w:h="16838" w:orient="portrait"/>
          <w:cols w:equalWidth="0" w:num="1">
            <w:col w:w="11240"/>
          </w:cols>
          <w:pgMar w:left="320" w:top="1414" w:right="339" w:bottom="1440" w:gutter="0" w:footer="0" w:header="0"/>
        </w:sectPr>
      </w:pPr>
    </w:p>
    <w:bookmarkStart w:id="104" w:name="page105"/>
    <w:bookmarkEnd w:id="104"/>
    <w:p>
      <w:pPr>
        <w:ind w:left="1960"/>
        <w:spacing w:after="0" w:line="264" w:lineRule="auto"/>
        <w:rPr>
          <w:sz w:val="20"/>
          <w:szCs w:val="20"/>
          <w:color w:val="auto"/>
        </w:rPr>
      </w:pPr>
      <w:r>
        <w:rPr>
          <w:rFonts w:ascii="Arial" w:cs="Arial" w:eastAsia="Arial" w:hAnsi="Arial"/>
          <w:sz w:val="19"/>
          <w:szCs w:val="19"/>
          <w:color w:val="auto"/>
        </w:rPr>
        <w:t>shall be computed at the highest applicable marginal rate, net of the maximum reduction in federal income taxes which could be obtained from a deduction of such state and local taxes. The Company and Officer agree to furnish the Advisors with such information and documents as the Advisors reasonably request to make such calculations and determinations as soon as practicable upon such request. The Company shall direct the Advisors to provide Officer with a written statement of its conclusions, setting forth the basis therefor, including detailed supporting calculations and copies of any written opinions or advice upon which such conclusions rely (the “Report”), within ten (10) business days after their receipt of all required information and documents. Officer shall have five (5) business days thereafter to notify the Advisors and the Company in writing of any reasonable and substantive objections to the Report. The Company shall direct the Advisors to promptly consider in good faith and respond to such objections, and provide Officer a revised Report reflecting appropriate adjustments (unless the Advisors determine that no adjustments are necessary). The Advisors’ final calculations and determinations (as adjusted, if applicable) shall be conclusive and binding on all parties for all purposes. The Company shall bear all costs the Advisors may reasonably incur in connection with the process contemplated by this paragraph.</w:t>
      </w:r>
    </w:p>
    <w:p>
      <w:pPr>
        <w:spacing w:after="0" w:line="199" w:lineRule="exact"/>
        <w:rPr>
          <w:sz w:val="20"/>
          <w:szCs w:val="20"/>
          <w:color w:val="auto"/>
        </w:rPr>
      </w:pPr>
    </w:p>
    <w:p>
      <w:pPr>
        <w:ind w:right="20" w:firstLine="656"/>
        <w:spacing w:after="0" w:line="258" w:lineRule="auto"/>
        <w:tabs>
          <w:tab w:leader="none" w:pos="1143" w:val="left"/>
        </w:tabs>
        <w:numPr>
          <w:ilvl w:val="0"/>
          <w:numId w:val="49"/>
        </w:numPr>
        <w:rPr>
          <w:rFonts w:ascii="Arial" w:cs="Arial" w:eastAsia="Arial" w:hAnsi="Arial"/>
          <w:sz w:val="20"/>
          <w:szCs w:val="20"/>
          <w:color w:val="auto"/>
        </w:rPr>
      </w:pPr>
      <w:r>
        <w:rPr>
          <w:rFonts w:ascii="Arial" w:cs="Arial" w:eastAsia="Arial" w:hAnsi="Arial"/>
          <w:sz w:val="20"/>
          <w:szCs w:val="20"/>
          <w:color w:val="auto"/>
        </w:rPr>
        <w:t>IDAHO OPERATIONS, GOVERNING LAW, AND VENUE. Officer understands and agrees that Micron is headquartered in Idaho and its executive management team is located in Idaho. While Officer will be allowed, for his convenience, to perform work for Micron out of Milpitas, California, Officer will maintain an office at Micron’s headquarters in Boise, Idaho and will work out of that office with such regularity as the Board and Officer determine to be necessary for Officer to fulfill my duties as CEO. Officer understands that it is his responsibility to run a company headquartered in Boise, Idaho.</w:t>
      </w:r>
    </w:p>
    <w:p>
      <w:pPr>
        <w:spacing w:after="0" w:line="195" w:lineRule="exact"/>
        <w:rPr>
          <w:sz w:val="20"/>
          <w:szCs w:val="20"/>
          <w:color w:val="auto"/>
        </w:rPr>
      </w:pPr>
    </w:p>
    <w:p>
      <w:pPr>
        <w:ind w:right="160" w:firstLine="648"/>
        <w:spacing w:after="0" w:line="259" w:lineRule="auto"/>
        <w:rPr>
          <w:sz w:val="20"/>
          <w:szCs w:val="20"/>
          <w:color w:val="auto"/>
        </w:rPr>
      </w:pPr>
      <w:r>
        <w:rPr>
          <w:rFonts w:ascii="Arial" w:cs="Arial" w:eastAsia="Arial" w:hAnsi="Arial"/>
          <w:sz w:val="20"/>
          <w:szCs w:val="20"/>
          <w:color w:val="auto"/>
        </w:rPr>
        <w:t>Accordingly, this Agreement, for all purposes, shall be construed in accordance with the laws of Idaho without regard to conflicts of law principles. Any action or proceeding by either of the parties to enforce this Agreement shall be brought only in a state or federal court located in the state of Idaho. The parties hereby irrevocably submit to the jurisdiction of such courts and waive the defense of inconvenient forum to the maintenance of any such action or proceeding in such venue.</w:t>
      </w:r>
    </w:p>
    <w:p>
      <w:pPr>
        <w:spacing w:after="0" w:line="209" w:lineRule="exact"/>
        <w:rPr>
          <w:sz w:val="20"/>
          <w:szCs w:val="20"/>
          <w:color w:val="auto"/>
        </w:rPr>
      </w:pPr>
    </w:p>
    <w:p>
      <w:pPr>
        <w:ind w:right="120" w:firstLine="656"/>
        <w:spacing w:after="0" w:line="251" w:lineRule="auto"/>
        <w:tabs>
          <w:tab w:leader="none" w:pos="1128" w:val="left"/>
        </w:tabs>
        <w:numPr>
          <w:ilvl w:val="0"/>
          <w:numId w:val="50"/>
        </w:numPr>
        <w:rPr>
          <w:rFonts w:ascii="Arial" w:cs="Arial" w:eastAsia="Arial" w:hAnsi="Arial"/>
          <w:sz w:val="20"/>
          <w:szCs w:val="20"/>
          <w:color w:val="auto"/>
        </w:rPr>
      </w:pPr>
      <w:r>
        <w:rPr>
          <w:rFonts w:ascii="Arial" w:cs="Arial" w:eastAsia="Arial" w:hAnsi="Arial"/>
          <w:sz w:val="20"/>
          <w:szCs w:val="20"/>
          <w:color w:val="auto"/>
        </w:rPr>
        <w:t>MODIFICATION. No provision of this Agreement may be amended or modified unless such amendment or modification is agreed to in writing and signed by the Officer and by an authorized officer of the Company as directed by the Board.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- 6</w:t>
      </w:r>
    </w:p>
    <w:p>
      <w:pPr>
        <w:sectPr>
          <w:pgSz w:w="11900" w:h="16838" w:orient="portrait"/>
          <w:cols w:equalWidth="0" w:num="1">
            <w:col w:w="11240"/>
          </w:cols>
          <w:pgMar w:left="320" w:top="1414" w:right="339" w:bottom="1440" w:gutter="0" w:footer="0" w:header="0"/>
        </w:sectPr>
      </w:pPr>
    </w:p>
    <w:bookmarkStart w:id="105" w:name="page106"/>
    <w:bookmarkEnd w:id="105"/>
    <w:p>
      <w:pPr>
        <w:jc w:val="both"/>
        <w:ind w:right="500" w:firstLine="656"/>
        <w:spacing w:after="0" w:line="262" w:lineRule="auto"/>
        <w:tabs>
          <w:tab w:leader="none" w:pos="1143" w:val="left"/>
        </w:tabs>
        <w:numPr>
          <w:ilvl w:val="0"/>
          <w:numId w:val="51"/>
        </w:numPr>
        <w:rPr>
          <w:rFonts w:ascii="Arial" w:cs="Arial" w:eastAsia="Arial" w:hAnsi="Arial"/>
          <w:sz w:val="20"/>
          <w:szCs w:val="20"/>
          <w:color w:val="auto"/>
        </w:rPr>
      </w:pPr>
      <w:r>
        <w:rPr>
          <w:rFonts w:ascii="Arial" w:cs="Arial" w:eastAsia="Arial" w:hAnsi="Arial"/>
          <w:sz w:val="20"/>
          <w:szCs w:val="20"/>
          <w:color w:val="auto"/>
        </w:rPr>
        <w:t>CAPTIONS. Captions and headings of the sections and paragraphs of this Agreement are intended solely for convenience and no provision of this Agreement is to be construed by reference to the caption or heading of any section or paragraph.</w:t>
      </w:r>
    </w:p>
    <w:p>
      <w:pPr>
        <w:spacing w:after="0" w:line="205" w:lineRule="exact"/>
        <w:rPr>
          <w:rFonts w:ascii="Arial" w:cs="Arial" w:eastAsia="Arial" w:hAnsi="Arial"/>
          <w:sz w:val="20"/>
          <w:szCs w:val="20"/>
          <w:color w:val="auto"/>
        </w:rPr>
      </w:pPr>
    </w:p>
    <w:p>
      <w:pPr>
        <w:ind w:right="20" w:firstLine="656"/>
        <w:spacing w:after="0" w:line="259" w:lineRule="auto"/>
        <w:tabs>
          <w:tab w:leader="none" w:pos="1143" w:val="left"/>
        </w:tabs>
        <w:numPr>
          <w:ilvl w:val="0"/>
          <w:numId w:val="51"/>
        </w:numPr>
        <w:rPr>
          <w:rFonts w:ascii="Arial" w:cs="Arial" w:eastAsia="Arial" w:hAnsi="Arial"/>
          <w:sz w:val="20"/>
          <w:szCs w:val="20"/>
          <w:color w:val="auto"/>
        </w:rPr>
      </w:pPr>
      <w:r>
        <w:rPr>
          <w:rFonts w:ascii="Arial" w:cs="Arial" w:eastAsia="Arial" w:hAnsi="Arial"/>
          <w:sz w:val="20"/>
          <w:szCs w:val="20"/>
          <w:color w:val="auto"/>
        </w:rPr>
        <w:t>SEVERABILITY. Should any provision of this Agreement be held by a court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w:t>
      </w:r>
    </w:p>
    <w:p>
      <w:pPr>
        <w:spacing w:after="0" w:line="195" w:lineRule="exact"/>
        <w:rPr>
          <w:sz w:val="20"/>
          <w:szCs w:val="20"/>
          <w:color w:val="auto"/>
        </w:rPr>
      </w:pPr>
    </w:p>
    <w:p>
      <w:pPr>
        <w:ind w:right="160" w:firstLine="648"/>
        <w:spacing w:after="0" w:line="258" w:lineRule="auto"/>
        <w:rPr>
          <w:sz w:val="20"/>
          <w:szCs w:val="20"/>
          <w:color w:val="auto"/>
        </w:rPr>
      </w:pPr>
      <w:r>
        <w:rPr>
          <w:rFonts w:ascii="Arial" w:cs="Arial" w:eastAsia="Arial" w:hAnsi="Arial"/>
          <w:sz w:val="20"/>
          <w:szCs w:val="20"/>
          <w:color w:val="auto"/>
        </w:rPr>
        <w:t>The parties further agree that any such court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w:t>
      </w:r>
    </w:p>
    <w:p>
      <w:pPr>
        <w:spacing w:after="0" w:line="195" w:lineRule="exact"/>
        <w:rPr>
          <w:sz w:val="20"/>
          <w:szCs w:val="20"/>
          <w:color w:val="auto"/>
        </w:rPr>
      </w:pPr>
    </w:p>
    <w:p>
      <w:pPr>
        <w:ind w:firstLine="648"/>
        <w:spacing w:after="0" w:line="258" w:lineRule="auto"/>
        <w:rPr>
          <w:sz w:val="20"/>
          <w:szCs w:val="20"/>
          <w:color w:val="auto"/>
        </w:rPr>
      </w:pPr>
      <w:r>
        <w:rPr>
          <w:rFonts w:ascii="Arial" w:cs="Arial" w:eastAsia="Arial" w:hAnsi="Arial"/>
          <w:sz w:val="20"/>
          <w:szCs w:val="20"/>
          <w:color w:val="auto"/>
        </w:rPr>
        <w:t>The parties expressly agree that this Agreement as so modified by the court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95" w:lineRule="exact"/>
        <w:rPr>
          <w:sz w:val="20"/>
          <w:szCs w:val="20"/>
          <w:color w:val="auto"/>
        </w:rPr>
      </w:pPr>
    </w:p>
    <w:p>
      <w:pPr>
        <w:ind w:right="200" w:firstLine="656"/>
        <w:spacing w:after="0" w:line="262" w:lineRule="auto"/>
        <w:tabs>
          <w:tab w:leader="none" w:pos="1143" w:val="left"/>
        </w:tabs>
        <w:numPr>
          <w:ilvl w:val="0"/>
          <w:numId w:val="52"/>
        </w:numPr>
        <w:rPr>
          <w:rFonts w:ascii="Arial" w:cs="Arial" w:eastAsia="Arial" w:hAnsi="Arial"/>
          <w:sz w:val="20"/>
          <w:szCs w:val="20"/>
          <w:color w:val="auto"/>
        </w:rPr>
      </w:pPr>
      <w:r>
        <w:rPr>
          <w:rFonts w:ascii="Arial" w:cs="Arial" w:eastAsia="Arial" w:hAnsi="Arial"/>
          <w:sz w:val="20"/>
          <w:szCs w:val="20"/>
          <w:color w:val="auto"/>
        </w:rPr>
        <w:t>REPRESENTATION BY COUNSEL. Officer acknowledges that he has been represented by independent counsel in the negotiation and execution of this Agreement, specifically including but not limited to its choice of law, jurisdiction, and venue provisions.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have executed this Agreement, effective as of the date of later signature below.</w:t>
      </w:r>
    </w:p>
    <w:p>
      <w:pPr>
        <w:sectPr>
          <w:pgSz w:w="11900" w:h="16838" w:orient="portrait"/>
          <w:cols w:equalWidth="0" w:num="1">
            <w:col w:w="11240"/>
          </w:cols>
          <w:pgMar w:left="320" w:top="1414" w:right="339" w:bottom="1440" w:gutter="0" w:footer="0" w:header="0"/>
        </w:sect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MICRON TECHNOLOGY, INC.</w:t>
      </w:r>
    </w:p>
    <w:p>
      <w:pPr>
        <w:spacing w:after="0" w:line="29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 April Arnzen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3432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By: April Arnzen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9"/>
          <w:szCs w:val="19"/>
          <w:color w:val="auto"/>
        </w:rPr>
        <w:t>Title: Senior Vice President and Chief People Officer</w:t>
      </w:r>
    </w:p>
    <w:p>
      <w:pPr>
        <w:spacing w:after="0" w:line="200" w:lineRule="exact"/>
        <w:rPr>
          <w:sz w:val="20"/>
          <w:szCs w:val="20"/>
          <w:color w:val="auto"/>
        </w:rPr>
      </w:pPr>
    </w:p>
    <w:p>
      <w:pPr>
        <w:spacing w:after="0" w:line="292" w:lineRule="exact"/>
        <w:rPr>
          <w:sz w:val="20"/>
          <w:szCs w:val="20"/>
          <w:color w:val="auto"/>
        </w:rPr>
      </w:pPr>
    </w:p>
    <w:p>
      <w:pPr>
        <w:ind w:left="20"/>
        <w:spacing w:after="0"/>
        <w:rPr>
          <w:sz w:val="20"/>
          <w:szCs w:val="20"/>
          <w:color w:val="auto"/>
        </w:rPr>
      </w:pPr>
      <w:r>
        <w:rPr>
          <w:rFonts w:ascii="Arial" w:cs="Arial" w:eastAsia="Arial" w:hAnsi="Arial"/>
          <w:sz w:val="20"/>
          <w:szCs w:val="20"/>
          <w:color w:val="auto"/>
        </w:rPr>
        <w:t>October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34327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20"/>
          <w:szCs w:val="20"/>
          <w:color w:val="auto"/>
        </w:rPr>
        <w:t>Date</w:t>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rPr>
          <w:sz w:val="20"/>
          <w:szCs w:val="20"/>
          <w:color w:val="auto"/>
        </w:rPr>
      </w:pPr>
      <w:r>
        <w:rPr>
          <w:rFonts w:ascii="Arial" w:cs="Arial" w:eastAsia="Arial" w:hAnsi="Arial"/>
          <w:sz w:val="20"/>
          <w:szCs w:val="20"/>
          <w:color w:val="auto"/>
        </w:rPr>
        <w:t>OFFICER</w:t>
      </w:r>
    </w:p>
    <w:p>
      <w:pPr>
        <w:spacing w:after="0" w:line="297" w:lineRule="exact"/>
        <w:rPr>
          <w:sz w:val="20"/>
          <w:szCs w:val="20"/>
          <w:color w:val="auto"/>
        </w:rPr>
      </w:pPr>
    </w:p>
    <w:p>
      <w:pPr>
        <w:spacing w:after="0"/>
        <w:rPr>
          <w:sz w:val="20"/>
          <w:szCs w:val="20"/>
          <w:color w:val="auto"/>
        </w:rPr>
      </w:pPr>
      <w:r>
        <w:rPr>
          <w:rFonts w:ascii="Arial" w:cs="Arial" w:eastAsia="Arial" w:hAnsi="Arial"/>
          <w:sz w:val="20"/>
          <w:szCs w:val="20"/>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342011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3">
                      <a:extLst>
                        <a:ext uri="{28A0092B-C50C-407E-A947-70E740481C1C}"/>
                      </a:extLst>
                    </a:blip>
                    <a:srcRect/>
                    <a:stretch>
                      <a:fillRect/>
                    </a:stretch>
                  </pic:blipFill>
                  <pic:spPr bwMode="auto">
                    <a:xfrm>
                      <a:off x="0" y="0"/>
                      <a:ext cx="342011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Name: Sanjay Mehrotra</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Title: President and Chief Executive Officer, Micron</w:t>
      </w:r>
    </w:p>
    <w:p>
      <w:pPr>
        <w:spacing w:after="0"/>
        <w:rPr>
          <w:sz w:val="20"/>
          <w:szCs w:val="20"/>
          <w:color w:val="auto"/>
        </w:rPr>
      </w:pPr>
      <w:r>
        <w:rPr>
          <w:rFonts w:ascii="Arial" w:cs="Arial" w:eastAsia="Arial" w:hAnsi="Arial"/>
          <w:sz w:val="20"/>
          <w:szCs w:val="20"/>
          <w:color w:val="auto"/>
        </w:rPr>
        <w:t>Technology, Inc.</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October 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22225</wp:posOffset>
            </wp:positionV>
            <wp:extent cx="342011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4">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ectPr>
          <w:pgSz w:w="11900" w:h="16838" w:orient="portrait"/>
          <w:cols w:equalWidth="0" w:num="2">
            <w:col w:w="5120" w:space="720"/>
            <w:col w:w="5400"/>
          </w:cols>
          <w:pgMar w:left="320" w:top="141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9"/>
          <w:szCs w:val="19"/>
          <w:color w:val="auto"/>
        </w:rPr>
        <w:t>EXECUTIVE AGREEMENT - 7</w:t>
      </w:r>
    </w:p>
    <w:p>
      <w:pPr>
        <w:sectPr>
          <w:pgSz w:w="11900" w:h="16838" w:orient="portrait"/>
          <w:cols w:equalWidth="0" w:num="1">
            <w:col w:w="11240"/>
          </w:cols>
          <w:pgMar w:left="320" w:top="1414" w:right="339" w:bottom="1440" w:gutter="0" w:footer="0" w:header="0"/>
          <w:type w:val="continuous"/>
        </w:sectPr>
      </w:pPr>
    </w:p>
    <w:bookmarkStart w:id="106" w:name="page107"/>
    <w:bookmarkEnd w:id="106"/>
    <w:p>
      <w:pPr>
        <w:jc w:val="center"/>
        <w:ind w:right="-39"/>
        <w:spacing w:after="0"/>
        <w:rPr>
          <w:sz w:val="20"/>
          <w:szCs w:val="20"/>
          <w:color w:val="auto"/>
        </w:rPr>
      </w:pPr>
      <w:r>
        <w:rPr>
          <w:rFonts w:ascii="Arial" w:cs="Arial" w:eastAsia="Arial" w:hAnsi="Arial"/>
          <w:sz w:val="20"/>
          <w:szCs w:val="20"/>
          <w:color w:val="auto"/>
        </w:rPr>
        <w:t>Exhibit 1(b)</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Special Defined Terms</w:t>
      </w:r>
    </w:p>
    <w:p>
      <w:pPr>
        <w:spacing w:after="0" w:line="225" w:lineRule="exact"/>
        <w:rPr>
          <w:sz w:val="20"/>
          <w:szCs w:val="20"/>
          <w:color w:val="auto"/>
        </w:rPr>
      </w:pPr>
    </w:p>
    <w:p>
      <w:pPr>
        <w:spacing w:after="0"/>
        <w:tabs>
          <w:tab w:leader="none" w:pos="4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19"/>
          <w:szCs w:val="19"/>
          <w:color w:val="auto"/>
        </w:rPr>
        <w:t>For purposes of this Agreement, the following terms shall have the meaning set forth below:</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“Cause” shall mean any of the following acts by the Officer, as determined by the Board:</w:t>
      </w:r>
    </w:p>
    <w:p>
      <w:pPr>
        <w:spacing w:after="0" w:line="243" w:lineRule="exact"/>
        <w:rPr>
          <w:sz w:val="20"/>
          <w:szCs w:val="20"/>
          <w:color w:val="auto"/>
        </w:rPr>
      </w:pPr>
    </w:p>
    <w:p>
      <w:pPr>
        <w:ind w:left="660" w:right="200" w:firstLine="644"/>
        <w:spacing w:after="0" w:line="259" w:lineRule="auto"/>
        <w:tabs>
          <w:tab w:leader="none" w:pos="177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commission by the Officer of, or the Officer’s pleading guilty or nolo contendere to, a felony or a crime involving moral turpitude (including pleading guilty or nolo contendere to a felony or lesser charge which results from plea bargaining), whether or not such felony, crime or lesser offense is connected with the business of the Company or any of its affiliates;</w:t>
      </w:r>
    </w:p>
    <w:p>
      <w:pPr>
        <w:spacing w:after="0" w:line="208" w:lineRule="exact"/>
        <w:rPr>
          <w:rFonts w:ascii="Arial" w:cs="Arial" w:eastAsia="Arial" w:hAnsi="Arial"/>
          <w:sz w:val="20"/>
          <w:szCs w:val="20"/>
          <w:color w:val="auto"/>
        </w:rPr>
      </w:pPr>
    </w:p>
    <w:p>
      <w:pPr>
        <w:ind w:left="660" w:right="140" w:firstLine="644"/>
        <w:spacing w:after="0" w:line="262" w:lineRule="auto"/>
        <w:tabs>
          <w:tab w:leader="none" w:pos="177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Officer’s engaging in any other act of dishonesty, fraud, intentional misrepresentation, moral turpitude, illegality or harassment, whether or not such act was committed in connection with the business of the Company or any of its affiliates;</w:t>
      </w:r>
    </w:p>
    <w:p>
      <w:pPr>
        <w:spacing w:after="0" w:line="205" w:lineRule="exact"/>
        <w:rPr>
          <w:rFonts w:ascii="Arial" w:cs="Arial" w:eastAsia="Arial" w:hAnsi="Arial"/>
          <w:sz w:val="20"/>
          <w:szCs w:val="20"/>
          <w:color w:val="auto"/>
        </w:rPr>
      </w:pPr>
    </w:p>
    <w:p>
      <w:pPr>
        <w:ind w:left="1760" w:hanging="456"/>
        <w:spacing w:after="0"/>
        <w:tabs>
          <w:tab w:leader="none" w:pos="17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willful and repeated failure by the Officer to follow the valid and lawful directives of the Board;</w:t>
      </w:r>
    </w:p>
    <w:p>
      <w:pPr>
        <w:spacing w:after="0" w:line="242" w:lineRule="exact"/>
        <w:rPr>
          <w:rFonts w:ascii="Arial" w:cs="Arial" w:eastAsia="Arial" w:hAnsi="Arial"/>
          <w:sz w:val="20"/>
          <w:szCs w:val="20"/>
          <w:color w:val="auto"/>
        </w:rPr>
      </w:pPr>
    </w:p>
    <w:p>
      <w:pPr>
        <w:ind w:left="1760" w:hanging="456"/>
        <w:spacing w:after="0"/>
        <w:tabs>
          <w:tab w:leader="none" w:pos="176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any material violation of the Company’s written policies;</w:t>
      </w:r>
    </w:p>
    <w:p>
      <w:pPr>
        <w:spacing w:after="0" w:line="256" w:lineRule="exact"/>
        <w:rPr>
          <w:rFonts w:ascii="Arial" w:cs="Arial" w:eastAsia="Arial" w:hAnsi="Arial"/>
          <w:sz w:val="20"/>
          <w:szCs w:val="20"/>
          <w:color w:val="auto"/>
        </w:rPr>
      </w:pPr>
    </w:p>
    <w:p>
      <w:pPr>
        <w:ind w:left="660" w:right="980" w:firstLine="644"/>
        <w:spacing w:after="0" w:line="298" w:lineRule="auto"/>
        <w:tabs>
          <w:tab w:leader="none" w:pos="1770" w:val="left"/>
        </w:tabs>
        <w:numPr>
          <w:ilvl w:val="0"/>
          <w:numId w:val="53"/>
        </w:numPr>
        <w:rPr>
          <w:rFonts w:ascii="Arial" w:cs="Arial" w:eastAsia="Arial" w:hAnsi="Arial"/>
          <w:sz w:val="19"/>
          <w:szCs w:val="19"/>
          <w:color w:val="auto"/>
        </w:rPr>
      </w:pPr>
      <w:r>
        <w:rPr>
          <w:rFonts w:ascii="Arial" w:cs="Arial" w:eastAsia="Arial" w:hAnsi="Arial"/>
          <w:sz w:val="19"/>
          <w:szCs w:val="19"/>
          <w:color w:val="auto"/>
        </w:rPr>
        <w:t>any intentional misconduct by the Officer in connection with the Company and any of its affiliates’ businesses or relating to the Officer’s duties, or any willful violation of any laws, rules or regulations; or</w:t>
      </w:r>
    </w:p>
    <w:p>
      <w:pPr>
        <w:spacing w:after="0" w:line="172" w:lineRule="exact"/>
        <w:rPr>
          <w:rFonts w:ascii="Arial" w:cs="Arial" w:eastAsia="Arial" w:hAnsi="Arial"/>
          <w:sz w:val="19"/>
          <w:szCs w:val="19"/>
          <w:color w:val="auto"/>
        </w:rPr>
      </w:pPr>
    </w:p>
    <w:p>
      <w:pPr>
        <w:ind w:left="660" w:right="300" w:firstLine="644"/>
        <w:spacing w:after="0" w:line="286" w:lineRule="auto"/>
        <w:tabs>
          <w:tab w:leader="none" w:pos="1715" w:val="left"/>
        </w:tabs>
        <w:numPr>
          <w:ilvl w:val="0"/>
          <w:numId w:val="53"/>
        </w:numPr>
        <w:rPr>
          <w:rFonts w:ascii="Arial" w:cs="Arial" w:eastAsia="Arial" w:hAnsi="Arial"/>
          <w:sz w:val="20"/>
          <w:szCs w:val="20"/>
          <w:color w:val="auto"/>
        </w:rPr>
      </w:pPr>
      <w:r>
        <w:rPr>
          <w:rFonts w:ascii="Arial" w:cs="Arial" w:eastAsia="Arial" w:hAnsi="Arial"/>
          <w:sz w:val="20"/>
          <w:szCs w:val="20"/>
          <w:color w:val="auto"/>
        </w:rPr>
        <w:t>the Officer’s material breach of any employment, severance, noncompetition, non-solicitation, confidential information, or restrictive covenant agreement, or similar agreement, with the Company or an affiliate.</w:t>
      </w:r>
    </w:p>
    <w:p>
      <w:pPr>
        <w:spacing w:after="0" w:line="167" w:lineRule="exact"/>
        <w:rPr>
          <w:sz w:val="20"/>
          <w:szCs w:val="20"/>
          <w:color w:val="auto"/>
        </w:rPr>
      </w:pPr>
    </w:p>
    <w:p>
      <w:pPr>
        <w:ind w:left="660" w:right="840" w:firstLine="648"/>
        <w:spacing w:after="0" w:line="286" w:lineRule="auto"/>
        <w:rPr>
          <w:sz w:val="20"/>
          <w:szCs w:val="20"/>
          <w:color w:val="auto"/>
        </w:rPr>
      </w:pPr>
      <w:r>
        <w:rPr>
          <w:rFonts w:ascii="Arial" w:cs="Arial" w:eastAsia="Arial" w:hAnsi="Arial"/>
          <w:sz w:val="20"/>
          <w:szCs w:val="20"/>
          <w:color w:val="auto"/>
        </w:rPr>
        <w:t>The determination of the Board as to the existence of “Cause” shall be conclusive on the Officer and the Company.</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“Change in Control” means and includes the occurrence of any one of the following events:</w:t>
      </w:r>
    </w:p>
    <w:p>
      <w:pPr>
        <w:spacing w:after="0" w:line="254" w:lineRule="exact"/>
        <w:rPr>
          <w:sz w:val="20"/>
          <w:szCs w:val="20"/>
          <w:color w:val="auto"/>
        </w:rPr>
      </w:pPr>
    </w:p>
    <w:p>
      <w:pPr>
        <w:ind w:left="660" w:firstLine="644"/>
        <w:spacing w:after="0" w:line="252" w:lineRule="auto"/>
        <w:tabs>
          <w:tab w:leader="none" w:pos="1770"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individuals who, as of the effective date of the Agreement (the “</w:t>
      </w:r>
      <w:r>
        <w:rPr>
          <w:rFonts w:ascii="Arial" w:cs="Arial" w:eastAsia="Arial" w:hAnsi="Arial"/>
          <w:sz w:val="20"/>
          <w:szCs w:val="20"/>
          <w:b w:val="1"/>
          <w:bCs w:val="1"/>
          <w:color w:val="auto"/>
        </w:rPr>
        <w:t>Effective Date</w:t>
      </w:r>
      <w:r>
        <w:rPr>
          <w:rFonts w:ascii="Arial" w:cs="Arial" w:eastAsia="Arial" w:hAnsi="Arial"/>
          <w:sz w:val="20"/>
          <w:szCs w:val="20"/>
          <w:color w:val="auto"/>
        </w:rPr>
        <w:t>”), constitute the Board of Directors of the Company (the “</w:t>
      </w:r>
      <w:r>
        <w:rPr>
          <w:rFonts w:ascii="Arial" w:cs="Arial" w:eastAsia="Arial" w:hAnsi="Arial"/>
          <w:sz w:val="20"/>
          <w:szCs w:val="20"/>
          <w:b w:val="1"/>
          <w:bCs w:val="1"/>
          <w:color w:val="auto"/>
        </w:rPr>
        <w:t>Incumbent Directors</w:t>
      </w:r>
      <w:r>
        <w:rPr>
          <w:rFonts w:ascii="Arial" w:cs="Arial" w:eastAsia="Arial" w:hAnsi="Arial"/>
          <w:sz w:val="20"/>
          <w:szCs w:val="20"/>
          <w:color w:val="auto"/>
        </w:rPr>
        <w:t>”)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provided, however, that no individual initially elected or nominated as a director of the Company as a result of an actual or threatened election contest with respect to the election or removal of directors (“</w:t>
      </w:r>
      <w:r>
        <w:rPr>
          <w:rFonts w:ascii="Arial" w:cs="Arial" w:eastAsia="Arial" w:hAnsi="Arial"/>
          <w:sz w:val="20"/>
          <w:szCs w:val="20"/>
          <w:b w:val="1"/>
          <w:bCs w:val="1"/>
          <w:color w:val="auto"/>
        </w:rPr>
        <w:t>Election Contest</w:t>
      </w:r>
      <w:r>
        <w:rPr>
          <w:rFonts w:ascii="Arial" w:cs="Arial" w:eastAsia="Arial" w:hAnsi="Arial"/>
          <w:sz w:val="20"/>
          <w:szCs w:val="20"/>
          <w:color w:val="auto"/>
        </w:rPr>
        <w:t>”) or other actual or threatened solicitation of proxies or consents by or on behalf of any Person other than the Board (“</w:t>
      </w:r>
      <w:r>
        <w:rPr>
          <w:rFonts w:ascii="Arial" w:cs="Arial" w:eastAsia="Arial" w:hAnsi="Arial"/>
          <w:sz w:val="20"/>
          <w:szCs w:val="20"/>
          <w:b w:val="1"/>
          <w:bCs w:val="1"/>
          <w:color w:val="auto"/>
        </w:rPr>
        <w:t>Proxy Contest</w:t>
      </w:r>
      <w:r>
        <w:rPr>
          <w:rFonts w:ascii="Arial" w:cs="Arial" w:eastAsia="Arial" w:hAnsi="Arial"/>
          <w:sz w:val="20"/>
          <w:szCs w:val="20"/>
          <w:color w:val="auto"/>
        </w:rPr>
        <w:t>”), including by reason of any agreement intended to avoid or settle any Election Contest or Proxy Contest, shall be deemed an Incumbent Director;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- 8</w:t>
      </w:r>
    </w:p>
    <w:p>
      <w:pPr>
        <w:sectPr>
          <w:pgSz w:w="11900" w:h="16838" w:orient="portrait"/>
          <w:cols w:equalWidth="0" w:num="1">
            <w:col w:w="11220"/>
          </w:cols>
          <w:pgMar w:left="320" w:top="1414" w:right="359" w:bottom="1440" w:gutter="0" w:footer="0" w:header="0"/>
        </w:sectPr>
      </w:pPr>
    </w:p>
    <w:bookmarkStart w:id="107" w:name="page108"/>
    <w:bookmarkEnd w:id="107"/>
    <w:p>
      <w:pPr>
        <w:ind w:left="660" w:right="20" w:firstLine="644"/>
        <w:spacing w:after="0" w:line="252" w:lineRule="auto"/>
        <w:tabs>
          <w:tab w:leader="none" w:pos="177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person is or becomes a “beneficial owner” (as defined in Rule 13d-3 under the Securities Exchange Act of 1934 (the “</w:t>
      </w:r>
      <w:r>
        <w:rPr>
          <w:rFonts w:ascii="Arial" w:cs="Arial" w:eastAsia="Arial" w:hAnsi="Arial"/>
          <w:sz w:val="20"/>
          <w:szCs w:val="20"/>
          <w:b w:val="1"/>
          <w:bCs w:val="1"/>
          <w:color w:val="auto"/>
        </w:rPr>
        <w:t>1934 Act</w:t>
      </w:r>
      <w:r>
        <w:rPr>
          <w:rFonts w:ascii="Arial" w:cs="Arial" w:eastAsia="Arial" w:hAnsi="Arial"/>
          <w:sz w:val="20"/>
          <w:szCs w:val="20"/>
          <w:color w:val="auto"/>
        </w:rPr>
        <w:t>”)), directly or indirectly, of either (A) 35% or more of the then-outstanding shares of common stock of the Company (“</w:t>
      </w:r>
      <w:r>
        <w:rPr>
          <w:rFonts w:ascii="Arial" w:cs="Arial" w:eastAsia="Arial" w:hAnsi="Arial"/>
          <w:sz w:val="20"/>
          <w:szCs w:val="20"/>
          <w:b w:val="1"/>
          <w:bCs w:val="1"/>
          <w:color w:val="auto"/>
        </w:rPr>
        <w:t>Company Common Stock</w:t>
      </w:r>
      <w:r>
        <w:rPr>
          <w:rFonts w:ascii="Arial" w:cs="Arial" w:eastAsia="Arial" w:hAnsi="Arial"/>
          <w:sz w:val="20"/>
          <w:szCs w:val="20"/>
          <w:color w:val="auto"/>
        </w:rPr>
        <w:t>”) or (B) securities of the Company representing 35% or more of the combined voting power of the Company’s then outstanding securities eligible to vote for the election of directors (the “</w:t>
      </w:r>
      <w:r>
        <w:rPr>
          <w:rFonts w:ascii="Arial" w:cs="Arial" w:eastAsia="Arial" w:hAnsi="Arial"/>
          <w:sz w:val="20"/>
          <w:szCs w:val="20"/>
          <w:b w:val="1"/>
          <w:bCs w:val="1"/>
          <w:color w:val="auto"/>
        </w:rPr>
        <w:t>Company Voting Securities</w:t>
      </w:r>
      <w:r>
        <w:rPr>
          <w:rFonts w:ascii="Arial" w:cs="Arial" w:eastAsia="Arial" w:hAnsi="Arial"/>
          <w:sz w:val="20"/>
          <w:szCs w:val="20"/>
          <w:color w:val="auto"/>
        </w:rPr>
        <w:t>”); provided, however, that for purposes of this subsection (b),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(c) below); or</w:t>
      </w:r>
    </w:p>
    <w:p>
      <w:pPr>
        <w:spacing w:after="0" w:line="202" w:lineRule="exact"/>
        <w:rPr>
          <w:rFonts w:ascii="Arial" w:cs="Arial" w:eastAsia="Arial" w:hAnsi="Arial"/>
          <w:sz w:val="20"/>
          <w:szCs w:val="20"/>
          <w:color w:val="auto"/>
        </w:rPr>
      </w:pPr>
    </w:p>
    <w:p>
      <w:pPr>
        <w:ind w:left="660" w:firstLine="644"/>
        <w:spacing w:after="0" w:line="250" w:lineRule="auto"/>
        <w:tabs>
          <w:tab w:leader="none" w:pos="1759"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consummation of a reorganization, merger, consolidation, statutory share exchange or similar form of corporate transaction involving the Company or a Subsidiary (a “</w:t>
      </w:r>
      <w:r>
        <w:rPr>
          <w:rFonts w:ascii="Arial" w:cs="Arial" w:eastAsia="Arial" w:hAnsi="Arial"/>
          <w:sz w:val="20"/>
          <w:szCs w:val="20"/>
          <w:b w:val="1"/>
          <w:bCs w:val="1"/>
          <w:color w:val="auto"/>
        </w:rPr>
        <w:t>Reorganization</w:t>
      </w:r>
      <w:r>
        <w:rPr>
          <w:rFonts w:ascii="Arial" w:cs="Arial" w:eastAsia="Arial" w:hAnsi="Arial"/>
          <w:sz w:val="20"/>
          <w:szCs w:val="20"/>
          <w:color w:val="auto"/>
        </w:rPr>
        <w:t>”), or the sale or other disposition of all or substantially all of the Company’s assets (a “</w:t>
      </w:r>
      <w:r>
        <w:rPr>
          <w:rFonts w:ascii="Arial" w:cs="Arial" w:eastAsia="Arial" w:hAnsi="Arial"/>
          <w:sz w:val="20"/>
          <w:szCs w:val="20"/>
          <w:b w:val="1"/>
          <w:bCs w:val="1"/>
          <w:color w:val="auto"/>
        </w:rPr>
        <w:t>Sale</w:t>
      </w:r>
      <w:r>
        <w:rPr>
          <w:rFonts w:ascii="Arial" w:cs="Arial" w:eastAsia="Arial" w:hAnsi="Arial"/>
          <w:sz w:val="20"/>
          <w:szCs w:val="20"/>
          <w:color w:val="auto"/>
        </w:rPr>
        <w:t>”) or the acquisition of assets or stock of another corporation (an “</w:t>
      </w:r>
      <w:r>
        <w:rPr>
          <w:rFonts w:ascii="Arial" w:cs="Arial" w:eastAsia="Arial" w:hAnsi="Arial"/>
          <w:sz w:val="20"/>
          <w:szCs w:val="20"/>
          <w:b w:val="1"/>
          <w:bCs w:val="1"/>
          <w:color w:val="auto"/>
        </w:rPr>
        <w:t>Acquisition</w:t>
      </w:r>
      <w:r>
        <w:rPr>
          <w:rFonts w:ascii="Arial" w:cs="Arial" w:eastAsia="Arial" w:hAnsi="Arial"/>
          <w:sz w:val="20"/>
          <w:szCs w:val="20"/>
          <w:color w:val="auto"/>
        </w:rPr>
        <w:t>”),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w:t>
      </w:r>
      <w:r>
        <w:rPr>
          <w:rFonts w:ascii="Arial" w:cs="Arial" w:eastAsia="Arial" w:hAnsi="Arial"/>
          <w:sz w:val="20"/>
          <w:szCs w:val="20"/>
          <w:b w:val="1"/>
          <w:bCs w:val="1"/>
          <w:color w:val="auto"/>
        </w:rPr>
        <w:t>Non-Qualifying Transaction</w:t>
      </w:r>
      <w:r>
        <w:rPr>
          <w:rFonts w:ascii="Arial" w:cs="Arial" w:eastAsia="Arial" w:hAnsi="Arial"/>
          <w:sz w:val="20"/>
          <w:szCs w:val="20"/>
          <w:color w:val="auto"/>
        </w:rPr>
        <w:t>”); or</w:t>
      </w:r>
    </w:p>
    <w:p>
      <w:pPr>
        <w:spacing w:after="0" w:line="207" w:lineRule="exact"/>
        <w:rPr>
          <w:rFonts w:ascii="Arial" w:cs="Arial" w:eastAsia="Arial" w:hAnsi="Arial"/>
          <w:sz w:val="20"/>
          <w:szCs w:val="20"/>
          <w:color w:val="auto"/>
        </w:rPr>
      </w:pPr>
    </w:p>
    <w:p>
      <w:pPr>
        <w:ind w:left="1760" w:hanging="456"/>
        <w:spacing w:after="0"/>
        <w:tabs>
          <w:tab w:leader="none" w:pos="176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w:t>
      </w:r>
    </w:p>
    <w:p>
      <w:pPr>
        <w:spacing w:after="0" w:line="241" w:lineRule="exact"/>
        <w:rPr>
          <w:sz w:val="20"/>
          <w:szCs w:val="20"/>
          <w:color w:val="auto"/>
        </w:rPr>
      </w:pPr>
    </w:p>
    <w:p>
      <w:pPr>
        <w:ind w:left="660" w:right="200"/>
        <w:spacing w:after="0" w:line="260" w:lineRule="auto"/>
        <w:rPr>
          <w:sz w:val="20"/>
          <w:szCs w:val="20"/>
          <w:color w:val="auto"/>
        </w:rPr>
      </w:pPr>
      <w:r>
        <w:rPr>
          <w:rFonts w:ascii="Arial" w:cs="Arial" w:eastAsia="Arial" w:hAnsi="Arial"/>
          <w:sz w:val="20"/>
          <w:szCs w:val="20"/>
          <w:color w:val="auto"/>
        </w:rPr>
        <w:t>For purposes of the foregoing Change in Control definition, (i) “</w:t>
      </w:r>
      <w:r>
        <w:rPr>
          <w:rFonts w:ascii="Arial" w:cs="Arial" w:eastAsia="Arial" w:hAnsi="Arial"/>
          <w:sz w:val="20"/>
          <w:szCs w:val="20"/>
          <w:b w:val="1"/>
          <w:bCs w:val="1"/>
          <w:color w:val="auto"/>
        </w:rPr>
        <w:t>Subsidiary</w:t>
      </w:r>
      <w:r>
        <w:rPr>
          <w:rFonts w:ascii="Arial" w:cs="Arial" w:eastAsia="Arial" w:hAnsi="Arial"/>
          <w:sz w:val="20"/>
          <w:szCs w:val="20"/>
          <w:color w:val="auto"/>
        </w:rPr>
        <w:t>” means any corporation, limited liability company, partnership or other entity of which a majority of the outstanding voting stock or voting power is beneficially owned directly or indirectly by the Company and (ii) “</w:t>
      </w:r>
      <w:r>
        <w:rPr>
          <w:rFonts w:ascii="Arial" w:cs="Arial" w:eastAsia="Arial" w:hAnsi="Arial"/>
          <w:sz w:val="20"/>
          <w:szCs w:val="20"/>
          <w:b w:val="1"/>
          <w:bCs w:val="1"/>
          <w:color w:val="auto"/>
        </w:rPr>
        <w:t>Person</w:t>
      </w:r>
      <w:r>
        <w:rPr>
          <w:rFonts w:ascii="Arial" w:cs="Arial" w:eastAsia="Arial" w:hAnsi="Arial"/>
          <w:sz w:val="20"/>
          <w:szCs w:val="20"/>
          <w:color w:val="auto"/>
        </w:rPr>
        <w:t>” means any individual, entity or group,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- 9</w:t>
      </w:r>
    </w:p>
    <w:p>
      <w:pPr>
        <w:sectPr>
          <w:pgSz w:w="11900" w:h="16838" w:orient="portrait"/>
          <w:cols w:equalWidth="0" w:num="1">
            <w:col w:w="11240"/>
          </w:cols>
          <w:pgMar w:left="320" w:top="1414" w:right="339" w:bottom="1440" w:gutter="0" w:footer="0" w:header="0"/>
        </w:sectPr>
      </w:pPr>
    </w:p>
    <w:bookmarkStart w:id="108" w:name="page109"/>
    <w:bookmarkEnd w:id="108"/>
    <w:p>
      <w:pPr>
        <w:ind w:left="660"/>
        <w:spacing w:after="0"/>
        <w:rPr>
          <w:sz w:val="20"/>
          <w:szCs w:val="20"/>
          <w:color w:val="auto"/>
        </w:rPr>
      </w:pPr>
      <w:r>
        <w:rPr>
          <w:rFonts w:ascii="Arial" w:cs="Arial" w:eastAsia="Arial" w:hAnsi="Arial"/>
          <w:sz w:val="20"/>
          <w:szCs w:val="20"/>
          <w:color w:val="auto"/>
        </w:rPr>
        <w:t>Section 3(a)(9) of the 1934 Act and as used in Section 13(d)(3) or 14(d)(2) of the 1934 Act.</w:t>
      </w:r>
    </w:p>
    <w:p>
      <w:pPr>
        <w:spacing w:after="0" w:line="256" w:lineRule="exact"/>
        <w:rPr>
          <w:sz w:val="20"/>
          <w:szCs w:val="20"/>
          <w:color w:val="auto"/>
        </w:rPr>
      </w:pPr>
    </w:p>
    <w:p>
      <w:pPr>
        <w:ind w:left="660" w:right="180"/>
        <w:spacing w:after="0" w:line="254" w:lineRule="auto"/>
        <w:rPr>
          <w:sz w:val="20"/>
          <w:szCs w:val="20"/>
          <w:color w:val="auto"/>
        </w:rPr>
      </w:pPr>
      <w:r>
        <w:rPr>
          <w:rFonts w:ascii="Arial" w:cs="Arial" w:eastAsia="Arial" w:hAnsi="Arial"/>
          <w:sz w:val="20"/>
          <w:szCs w:val="20"/>
          <w:color w:val="auto"/>
        </w:rPr>
        <w:t>“Compensation for Services” means any form of compensation (including cash, property, or contractual right to future compensation) given or promised in exchange for services provided by the Officer during the Transition Period as an employee, consultant, board member, owner, service partner, advisor or in any other similar capacity, excluding compensation for services to a board previously approved by the Board and excluding earnings the Officer receives for his own personal investing activities in public companies or investments in which he does not actively participate as an employee, consultant, board member, owner, service partner, advisor or in any other similar capacity.</w:t>
      </w:r>
    </w:p>
    <w:p>
      <w:pPr>
        <w:spacing w:after="0" w:line="200" w:lineRule="exact"/>
        <w:rPr>
          <w:sz w:val="20"/>
          <w:szCs w:val="20"/>
          <w:color w:val="auto"/>
        </w:rPr>
      </w:pPr>
    </w:p>
    <w:p>
      <w:pPr>
        <w:ind w:left="660" w:right="80"/>
        <w:spacing w:after="0" w:line="254" w:lineRule="auto"/>
        <w:rPr>
          <w:sz w:val="20"/>
          <w:szCs w:val="20"/>
          <w:color w:val="auto"/>
        </w:rPr>
      </w:pPr>
      <w:r>
        <w:rPr>
          <w:rFonts w:ascii="Arial" w:cs="Arial" w:eastAsia="Arial" w:hAnsi="Arial"/>
          <w:sz w:val="20"/>
          <w:szCs w:val="20"/>
          <w:color w:val="auto"/>
        </w:rPr>
        <w:t>“Disability” means the Separation from Service of the Officer after the applicable authorized party under the long-term disability plan (the “</w:t>
      </w:r>
      <w:r>
        <w:rPr>
          <w:rFonts w:ascii="Arial" w:cs="Arial" w:eastAsia="Arial" w:hAnsi="Arial"/>
          <w:sz w:val="20"/>
          <w:szCs w:val="20"/>
          <w:b w:val="1"/>
          <w:bCs w:val="1"/>
          <w:color w:val="auto"/>
        </w:rPr>
        <w:t>LTD Plan</w:t>
      </w:r>
      <w:r>
        <w:rPr>
          <w:rFonts w:ascii="Arial" w:cs="Arial" w:eastAsia="Arial" w:hAnsi="Arial"/>
          <w:sz w:val="20"/>
          <w:szCs w:val="20"/>
          <w:color w:val="auto"/>
        </w:rPr>
        <w:t>”) maintained by the Company or its affiliate has provided written notification to the Human Resources Department that the Officer qualifies for disability benefits under the LTD Plan (a “</w:t>
      </w:r>
      <w:r>
        <w:rPr>
          <w:rFonts w:ascii="Arial" w:cs="Arial" w:eastAsia="Arial" w:hAnsi="Arial"/>
          <w:sz w:val="20"/>
          <w:szCs w:val="20"/>
          <w:b w:val="1"/>
          <w:bCs w:val="1"/>
          <w:color w:val="auto"/>
        </w:rPr>
        <w:t>Disability Notice</w:t>
      </w:r>
      <w:r>
        <w:rPr>
          <w:rFonts w:ascii="Arial" w:cs="Arial" w:eastAsia="Arial" w:hAnsi="Arial"/>
          <w:sz w:val="20"/>
          <w:szCs w:val="20"/>
          <w:color w:val="auto"/>
        </w:rPr>
        <w:t>”). If the Officer is not eligible for disability benefits under any applicable LTD Plan, then the Officer shall not be able to incur a Disability termination under this Agreement. For purposes of the foregoing, the Officer shall be treated as terminating for Disability under this Agreement only if the Human Resources Department has received a copy of the Disability Notice before processing the Officer’s termination.</w:t>
      </w:r>
    </w:p>
    <w:p>
      <w:pPr>
        <w:spacing w:after="0" w:line="200" w:lineRule="exact"/>
        <w:rPr>
          <w:sz w:val="20"/>
          <w:szCs w:val="20"/>
          <w:color w:val="auto"/>
        </w:rPr>
      </w:pPr>
    </w:p>
    <w:p>
      <w:pPr>
        <w:ind w:left="660" w:right="40"/>
        <w:spacing w:after="0" w:line="259" w:lineRule="auto"/>
        <w:rPr>
          <w:sz w:val="20"/>
          <w:szCs w:val="20"/>
          <w:color w:val="auto"/>
        </w:rPr>
      </w:pPr>
      <w:r>
        <w:rPr>
          <w:rFonts w:ascii="Arial" w:cs="Arial" w:eastAsia="Arial" w:hAnsi="Arial"/>
          <w:sz w:val="20"/>
          <w:szCs w:val="20"/>
          <w:color w:val="auto"/>
        </w:rPr>
        <w:t>Notwithstanding the foregoing, for purposes of changing the form of payment from installments to lump sum under Section (i) of Exhibit 5(a), a Change in Control shall not be deemed to have occurred unless such transaction constitutes a change in the ownership of the Company, a change in effective control of the Company, or a change in the ownership of a substantial portion of the Company’s assets, each within the meaning of Section 409A.</w:t>
      </w:r>
    </w:p>
    <w:p>
      <w:pPr>
        <w:spacing w:after="0" w:line="209" w:lineRule="exact"/>
        <w:rPr>
          <w:sz w:val="20"/>
          <w:szCs w:val="20"/>
          <w:color w:val="auto"/>
        </w:rPr>
      </w:pPr>
    </w:p>
    <w:p>
      <w:pPr>
        <w:ind w:left="660"/>
        <w:spacing w:after="0" w:line="250" w:lineRule="auto"/>
        <w:rPr>
          <w:sz w:val="20"/>
          <w:szCs w:val="20"/>
          <w:color w:val="auto"/>
        </w:rPr>
      </w:pPr>
      <w:r>
        <w:rPr>
          <w:rFonts w:ascii="Arial" w:cs="Arial" w:eastAsia="Arial" w:hAnsi="Arial"/>
          <w:sz w:val="20"/>
          <w:szCs w:val="20"/>
          <w:color w:val="auto"/>
        </w:rPr>
        <w:t>“Good Reason” shall mean any of the following, without the Officer’s consent: (i) a material diminution in Officer’s base salary (other than an across-the-board reduction in base salary that affects all peer employees); (ii) a material diminution in Officer’s authority, duties, or responsibilities; or Company’s failure to nominate the Officer for election to the Board and to use its best efforts to have him elected or re-elected to the Board, as applicable; (iii) the relocation of Officer’s principal office to a location that is more than twenty-five (25) miles from the location of Officer’s principal office on the effective date of the Agreement; provided, however, that Good Reason shall not include (A) any relocation of Officer’s principal office which is proposed or initiated by Officer; (B) a relocation to Boise, Idaho, or (C) any relocation that results in Officer’s principal place office being closer to Officer’s then-current principal residence, or (iv) a material breach by Company of this Agreement or other written material obligation of the Company to the Officer.</w:t>
      </w:r>
    </w:p>
    <w:p>
      <w:pPr>
        <w:spacing w:after="0" w:line="220" w:lineRule="exact"/>
        <w:rPr>
          <w:sz w:val="20"/>
          <w:szCs w:val="20"/>
          <w:color w:val="auto"/>
        </w:rPr>
      </w:pPr>
    </w:p>
    <w:p>
      <w:pPr>
        <w:jc w:val="both"/>
        <w:ind w:left="660" w:right="140"/>
        <w:spacing w:after="0" w:line="259" w:lineRule="auto"/>
        <w:rPr>
          <w:sz w:val="20"/>
          <w:szCs w:val="20"/>
          <w:color w:val="auto"/>
        </w:rPr>
      </w:pPr>
      <w:r>
        <w:rPr>
          <w:rFonts w:ascii="Arial" w:cs="Arial" w:eastAsia="Arial" w:hAnsi="Arial"/>
          <w:sz w:val="20"/>
          <w:szCs w:val="20"/>
          <w:color w:val="auto"/>
        </w:rPr>
        <w:t>A termination by Officer shall not constitute termination for Good Reason unless Officer shall first have delivered to the Company written notice setting forth with specificity the occurrence deemed to give rise to a right to terminate for Good Reason (which notice must be given no later than ninety (90) days after the initial occurrence of such event) (the “Good Reason Notice”), and the Company has not taken action to correct, rescind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- 10</w:t>
      </w:r>
    </w:p>
    <w:p>
      <w:pPr>
        <w:sectPr>
          <w:pgSz w:w="11900" w:h="16838" w:orient="portrait"/>
          <w:cols w:equalWidth="0" w:num="1">
            <w:col w:w="11220"/>
          </w:cols>
          <w:pgMar w:left="320" w:top="1414" w:right="359" w:bottom="1440" w:gutter="0" w:footer="0" w:header="0"/>
        </w:sectPr>
      </w:pPr>
    </w:p>
    <w:bookmarkStart w:id="109" w:name="page110"/>
    <w:bookmarkEnd w:id="109"/>
    <w:p>
      <w:pPr>
        <w:ind w:left="660"/>
        <w:spacing w:after="0" w:line="282" w:lineRule="auto"/>
        <w:rPr>
          <w:sz w:val="20"/>
          <w:szCs w:val="20"/>
          <w:color w:val="auto"/>
        </w:rPr>
      </w:pPr>
      <w:r>
        <w:rPr>
          <w:rFonts w:ascii="Arial" w:cs="Arial" w:eastAsia="Arial" w:hAnsi="Arial"/>
          <w:sz w:val="19"/>
          <w:szCs w:val="19"/>
          <w:color w:val="auto"/>
        </w:rPr>
        <w:t>or otherwise substantially reverse the occurrence supporting termination for Good Reason as identified by Officer within thirty (30) days following its receipt of such Good Reason Notice. Officer’s date of termination for Good Reason must occur within a period of three hundred and sixty five (365) days after the initial occurrence of an event of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- 11</w:t>
      </w:r>
    </w:p>
    <w:p>
      <w:pPr>
        <w:sectPr>
          <w:pgSz w:w="11900" w:h="16838" w:orient="portrait"/>
          <w:cols w:equalWidth="0" w:num="1">
            <w:col w:w="11100"/>
          </w:cols>
          <w:pgMar w:left="320" w:top="1414" w:right="47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20"/>
          <w:szCs w:val="20"/>
          <w:color w:val="auto"/>
        </w:rPr>
        <w:t>Exhibit 5(a)</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Compensation During the Transition Period</w:t>
      </w:r>
    </w:p>
    <w:p>
      <w:pPr>
        <w:spacing w:after="0" w:line="225" w:lineRule="exact"/>
        <w:rPr>
          <w:sz w:val="20"/>
          <w:szCs w:val="20"/>
          <w:color w:val="auto"/>
        </w:rPr>
      </w:pPr>
    </w:p>
    <w:p>
      <w:pPr>
        <w:ind w:left="660" w:hanging="4"/>
        <w:spacing w:after="0" w:line="274" w:lineRule="auto"/>
        <w:tabs>
          <w:tab w:leader="none" w:pos="1045" w:val="left"/>
        </w:tabs>
        <w:numPr>
          <w:ilvl w:val="0"/>
          <w:numId w:val="56"/>
        </w:numPr>
        <w:rPr>
          <w:rFonts w:ascii="Arial" w:cs="Arial" w:eastAsia="Arial" w:hAnsi="Arial"/>
          <w:sz w:val="19"/>
          <w:szCs w:val="19"/>
          <w:color w:val="auto"/>
        </w:rPr>
      </w:pPr>
      <w:r>
        <w:rPr>
          <w:rFonts w:ascii="Arial" w:cs="Arial" w:eastAsia="Arial" w:hAnsi="Arial"/>
          <w:sz w:val="19"/>
          <w:szCs w:val="19"/>
          <w:color w:val="auto"/>
        </w:rPr>
        <w:t>An amount equal to two times the Officer’s annual base salary as of the date of the Officer’s Separation from Service paid bi-weekly during the Transition Period in roughly equal installments in accordance with the Company’s normal payroll cycle commencing (or in the case of Separation from Service that occurs on, or within one year following, a Change in Control (as defined in Exhibit l(b)), paid in a single lump sum payment) within 60 days following the Officer’s Separation from Service (or such later date as may be required by Section 9 of the Agreement), provided, however:</w:t>
      </w:r>
    </w:p>
    <w:p>
      <w:pPr>
        <w:spacing w:after="0" w:line="183" w:lineRule="exact"/>
        <w:rPr>
          <w:rFonts w:ascii="Arial" w:cs="Arial" w:eastAsia="Arial" w:hAnsi="Arial"/>
          <w:sz w:val="19"/>
          <w:szCs w:val="19"/>
          <w:color w:val="auto"/>
        </w:rPr>
      </w:pPr>
    </w:p>
    <w:p>
      <w:pPr>
        <w:ind w:left="1300" w:right="80" w:firstLine="4"/>
        <w:spacing w:after="0" w:line="258" w:lineRule="auto"/>
        <w:tabs>
          <w:tab w:leader="none" w:pos="1784" w:val="left"/>
        </w:tabs>
        <w:numPr>
          <w:ilvl w:val="1"/>
          <w:numId w:val="56"/>
        </w:numPr>
        <w:rPr>
          <w:rFonts w:ascii="Arial" w:cs="Arial" w:eastAsia="Arial" w:hAnsi="Arial"/>
          <w:sz w:val="20"/>
          <w:szCs w:val="20"/>
          <w:color w:val="auto"/>
        </w:rPr>
      </w:pPr>
      <w:r>
        <w:rPr>
          <w:rFonts w:ascii="Arial" w:cs="Arial" w:eastAsia="Arial" w:hAnsi="Arial"/>
          <w:sz w:val="20"/>
          <w:szCs w:val="20"/>
          <w:color w:val="auto"/>
        </w:rPr>
        <w:t>if the Officer or the Company terminated the Officer’s status as an officer of the Company but not as an employee prior to the date of the Officer’s Separation from Service, then the base salary payable pursuant to this subsection during the Transition Period shall be the greater of (1) the Officer’s base salary in effect immediately prior to the Officer’s loss of officer status or (2) the Officer’s base salary as of the date of the Officer’s Separation from Service;</w:t>
      </w:r>
    </w:p>
    <w:p>
      <w:pPr>
        <w:spacing w:after="0" w:line="194" w:lineRule="exact"/>
        <w:rPr>
          <w:rFonts w:ascii="Arial" w:cs="Arial" w:eastAsia="Arial" w:hAnsi="Arial"/>
          <w:sz w:val="20"/>
          <w:szCs w:val="20"/>
          <w:color w:val="auto"/>
        </w:rPr>
      </w:pPr>
    </w:p>
    <w:p>
      <w:pPr>
        <w:ind w:left="1300" w:right="120" w:firstLine="4"/>
        <w:spacing w:after="0" w:line="262" w:lineRule="auto"/>
        <w:tabs>
          <w:tab w:leader="none" w:pos="1784" w:val="left"/>
        </w:tabs>
        <w:numPr>
          <w:ilvl w:val="1"/>
          <w:numId w:val="56"/>
        </w:numPr>
        <w:rPr>
          <w:rFonts w:ascii="Arial" w:cs="Arial" w:eastAsia="Arial" w:hAnsi="Arial"/>
          <w:sz w:val="20"/>
          <w:szCs w:val="20"/>
          <w:color w:val="auto"/>
        </w:rPr>
      </w:pPr>
      <w:r>
        <w:rPr>
          <w:rFonts w:ascii="Arial" w:cs="Arial" w:eastAsia="Arial" w:hAnsi="Arial"/>
          <w:sz w:val="20"/>
          <w:szCs w:val="20"/>
          <w:color w:val="auto"/>
        </w:rPr>
        <w:t>if as of the date of the Separation from Service the Officer’s base salary is subject to a temporary reduction in an effort to save costs, then the base salary payable pursuant to this subsection during the Transition Period shall be the Officer’s base salary immediately prior to such reduction.</w:t>
      </w:r>
    </w:p>
    <w:p>
      <w:pPr>
        <w:spacing w:after="0" w:line="205" w:lineRule="exact"/>
        <w:rPr>
          <w:rFonts w:ascii="Arial" w:cs="Arial" w:eastAsia="Arial" w:hAnsi="Arial"/>
          <w:sz w:val="20"/>
          <w:szCs w:val="20"/>
          <w:color w:val="auto"/>
        </w:rPr>
      </w:pPr>
    </w:p>
    <w:p>
      <w:pPr>
        <w:ind w:left="1300" w:right="400" w:firstLine="4"/>
        <w:spacing w:after="0" w:line="259" w:lineRule="auto"/>
        <w:tabs>
          <w:tab w:leader="none" w:pos="1795" w:val="left"/>
        </w:tabs>
        <w:numPr>
          <w:ilvl w:val="1"/>
          <w:numId w:val="56"/>
        </w:numPr>
        <w:rPr>
          <w:rFonts w:ascii="Arial" w:cs="Arial" w:eastAsia="Arial" w:hAnsi="Arial"/>
          <w:sz w:val="20"/>
          <w:szCs w:val="20"/>
          <w:color w:val="auto"/>
        </w:rPr>
      </w:pPr>
      <w:r>
        <w:rPr>
          <w:rFonts w:ascii="Arial" w:cs="Arial" w:eastAsia="Arial" w:hAnsi="Arial"/>
          <w:sz w:val="20"/>
          <w:szCs w:val="20"/>
          <w:color w:val="auto"/>
        </w:rPr>
        <w:t>if the Officer has become entitled to the payment provided under this Section (i) of Exhibit 5(a) solely on account of his Good Reason resignation that does not occur on, or within one year following, a Change in Control, then the amount payable under this Section (i) of Exhibit 5(a) may be forfeited in accordance with Section (vii) of this Exhibit 5(a).</w:t>
      </w:r>
    </w:p>
    <w:p>
      <w:pPr>
        <w:spacing w:after="0" w:line="195" w:lineRule="exact"/>
        <w:rPr>
          <w:rFonts w:ascii="Arial" w:cs="Arial" w:eastAsia="Arial" w:hAnsi="Arial"/>
          <w:sz w:val="20"/>
          <w:szCs w:val="20"/>
          <w:color w:val="auto"/>
        </w:rPr>
      </w:pPr>
    </w:p>
    <w:p>
      <w:pPr>
        <w:ind w:left="1300" w:right="60" w:firstLine="4"/>
        <w:spacing w:after="0" w:line="270" w:lineRule="auto"/>
        <w:tabs>
          <w:tab w:leader="none" w:pos="1795" w:val="left"/>
        </w:tabs>
        <w:numPr>
          <w:ilvl w:val="1"/>
          <w:numId w:val="56"/>
        </w:numPr>
        <w:rPr>
          <w:rFonts w:ascii="Arial" w:cs="Arial" w:eastAsia="Arial" w:hAnsi="Arial"/>
          <w:sz w:val="19"/>
          <w:szCs w:val="19"/>
          <w:color w:val="auto"/>
        </w:rPr>
      </w:pPr>
      <w:r>
        <w:rPr>
          <w:rFonts w:ascii="Arial" w:cs="Arial" w:eastAsia="Arial" w:hAnsi="Arial"/>
          <w:sz w:val="19"/>
          <w:szCs w:val="19"/>
          <w:color w:val="auto"/>
        </w:rPr>
        <w:t>if an installment payment otherwise payable under this Section (i) of Exhibit 5(a) is not paid during the Release Execution Period (and the Officer is otherwise entitled to such payment hereunder), then in a manner consistent with Section 9(b), the first installment that becomes payable to the Officer shall include any installment payments that would have been paid (but were not paid) during the Release Execution Period so that the Officer remains entitled to the full benefit provided under Section (i) of Exhibit 5(a), notwithstanding the suspension of payments that may occur as a result of any suspension of payments during the Release Execution Period.</w:t>
      </w:r>
    </w:p>
    <w:p>
      <w:pPr>
        <w:spacing w:after="0" w:line="199" w:lineRule="exact"/>
        <w:rPr>
          <w:sz w:val="20"/>
          <w:szCs w:val="20"/>
          <w:color w:val="auto"/>
        </w:rPr>
      </w:pPr>
    </w:p>
    <w:p>
      <w:pPr>
        <w:ind w:left="660" w:right="360"/>
        <w:spacing w:after="0" w:line="262" w:lineRule="auto"/>
        <w:rPr>
          <w:sz w:val="20"/>
          <w:szCs w:val="20"/>
          <w:color w:val="auto"/>
        </w:rPr>
      </w:pPr>
      <w:r>
        <w:rPr>
          <w:rFonts w:ascii="Arial" w:cs="Arial" w:eastAsia="Arial" w:hAnsi="Arial"/>
          <w:sz w:val="20"/>
          <w:szCs w:val="20"/>
          <w:color w:val="auto"/>
        </w:rPr>
        <w:t>(ii)(A) A pro-rated executive bonus based on the number of days the Officer was employed during the applicable performance period, payable at the same time and in the same form the bonus will be paid under the applicable plan, subject to the following terms and conditions:</w:t>
      </w:r>
    </w:p>
    <w:p>
      <w:pPr>
        <w:spacing w:after="0" w:line="205" w:lineRule="exact"/>
        <w:rPr>
          <w:sz w:val="20"/>
          <w:szCs w:val="20"/>
          <w:color w:val="auto"/>
        </w:rPr>
      </w:pPr>
    </w:p>
    <w:p>
      <w:pPr>
        <w:ind w:left="1300" w:right="40"/>
        <w:spacing w:after="0" w:line="255" w:lineRule="auto"/>
        <w:rPr>
          <w:sz w:val="20"/>
          <w:szCs w:val="20"/>
          <w:color w:val="auto"/>
        </w:rPr>
      </w:pPr>
      <w:r>
        <w:rPr>
          <w:rFonts w:ascii="Arial" w:cs="Arial" w:eastAsia="Arial" w:hAnsi="Arial"/>
          <w:sz w:val="20"/>
          <w:szCs w:val="20"/>
          <w:color w:val="auto"/>
        </w:rPr>
        <w:t>If as of the date of the Officer’s Separation from Service, the Officer was a designated participant for an executive bonus plan performance period but the Board or a committee thereof has not yet taken action on any required goal achievement certification for such performance period, the Officer will be entitled to receive his or her executive bonus in the amount so certified, at the same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- 12</w:t>
      </w:r>
    </w:p>
    <w:p>
      <w:pPr>
        <w:sectPr>
          <w:pgSz w:w="11900" w:h="16838" w:orient="portrait"/>
          <w:cols w:equalWidth="0" w:num="1">
            <w:col w:w="11240"/>
          </w:cols>
          <w:pgMar w:left="320" w:top="1414" w:right="339" w:bottom="1440" w:gutter="0" w:footer="0" w:header="0"/>
        </w:sectPr>
      </w:pPr>
    </w:p>
    <w:bookmarkStart w:id="111" w:name="page112"/>
    <w:bookmarkEnd w:id="111"/>
    <w:p>
      <w:pPr>
        <w:ind w:left="1300" w:right="220"/>
        <w:spacing w:after="0" w:line="254" w:lineRule="auto"/>
        <w:rPr>
          <w:sz w:val="20"/>
          <w:szCs w:val="20"/>
          <w:color w:val="auto"/>
        </w:rPr>
      </w:pPr>
      <w:r>
        <w:rPr>
          <w:rFonts w:ascii="Arial" w:cs="Arial" w:eastAsia="Arial" w:hAnsi="Arial"/>
          <w:sz w:val="20"/>
          <w:szCs w:val="20"/>
          <w:color w:val="auto"/>
        </w:rPr>
        <w:t>and in the same manner as the continuing officers of the Company receive payment of their executive bonuses for such performance period, if and only if (A) any required certification thereof by the Board or a committee thereof occurs during the Transition Period, (B) the specified goals are achieved, as certified by the Company’s Board or a committee thereof, and (C) payment is made for such achievement pursuant to the terms and conditions of the bonus program to the other participating officers during the Transition Period.</w:t>
      </w:r>
    </w:p>
    <w:p>
      <w:pPr>
        <w:spacing w:after="0" w:line="214" w:lineRule="exact"/>
        <w:rPr>
          <w:sz w:val="20"/>
          <w:szCs w:val="20"/>
          <w:color w:val="auto"/>
        </w:rPr>
      </w:pPr>
    </w:p>
    <w:p>
      <w:pPr>
        <w:ind w:left="1300" w:right="200"/>
        <w:spacing w:after="0" w:line="286" w:lineRule="auto"/>
        <w:rPr>
          <w:sz w:val="20"/>
          <w:szCs w:val="20"/>
          <w:color w:val="auto"/>
        </w:rPr>
      </w:pPr>
      <w:r>
        <w:rPr>
          <w:rFonts w:ascii="Arial" w:cs="Arial" w:eastAsia="Arial" w:hAnsi="Arial"/>
          <w:sz w:val="20"/>
          <w:szCs w:val="20"/>
          <w:color w:val="auto"/>
        </w:rPr>
        <w:t>An Officer that receives a bonus, including a pro-rated bonus, pursuant to the terms of Section 5(b) shall not be entitled to receive an additional bonus pursuant to this Section (ii)(A) of Exhibit 5(a).</w:t>
      </w:r>
    </w:p>
    <w:p>
      <w:pPr>
        <w:spacing w:after="0" w:line="167" w:lineRule="exact"/>
        <w:rPr>
          <w:sz w:val="20"/>
          <w:szCs w:val="20"/>
          <w:color w:val="auto"/>
        </w:rPr>
      </w:pPr>
    </w:p>
    <w:p>
      <w:pPr>
        <w:jc w:val="both"/>
        <w:ind w:left="660" w:right="160"/>
        <w:spacing w:after="0" w:line="259" w:lineRule="auto"/>
        <w:rPr>
          <w:sz w:val="20"/>
          <w:szCs w:val="20"/>
          <w:color w:val="auto"/>
        </w:rPr>
      </w:pPr>
      <w:r>
        <w:rPr>
          <w:rFonts w:ascii="Arial" w:cs="Arial" w:eastAsia="Arial" w:hAnsi="Arial"/>
          <w:sz w:val="20"/>
          <w:szCs w:val="20"/>
          <w:color w:val="auto"/>
        </w:rPr>
        <w:t>(ii)(B) An additional executive bonus equal to two times the Officer’s target annual bonus under the plan described in Section 5(a)(ii)(A) of this Exhibit 5(a) in effect for the performance period in which his Separation from Service occurred (without regard to achievement of the applicable annual performance objectives), payable in a single lump sum on the last day of the Transition Period (or such later date as may be required by Section 9 of the Agreement).</w:t>
      </w:r>
    </w:p>
    <w:p>
      <w:pPr>
        <w:spacing w:after="0" w:line="209" w:lineRule="exact"/>
        <w:rPr>
          <w:sz w:val="20"/>
          <w:szCs w:val="20"/>
          <w:color w:val="auto"/>
        </w:rPr>
      </w:pPr>
    </w:p>
    <w:p>
      <w:pPr>
        <w:ind w:left="660" w:right="20" w:hanging="4"/>
        <w:spacing w:after="0" w:line="252" w:lineRule="auto"/>
        <w:tabs>
          <w:tab w:leader="none" w:pos="1144" w:val="left"/>
        </w:tabs>
        <w:numPr>
          <w:ilvl w:val="0"/>
          <w:numId w:val="57"/>
        </w:numPr>
        <w:rPr>
          <w:rFonts w:ascii="Arial" w:cs="Arial" w:eastAsia="Arial" w:hAnsi="Arial"/>
          <w:sz w:val="20"/>
          <w:szCs w:val="20"/>
          <w:color w:val="auto"/>
        </w:rPr>
      </w:pPr>
      <w:r>
        <w:rPr>
          <w:rFonts w:ascii="Arial" w:cs="Arial" w:eastAsia="Arial" w:hAnsi="Arial"/>
          <w:sz w:val="20"/>
          <w:szCs w:val="20"/>
          <w:color w:val="auto"/>
        </w:rPr>
        <w:t>Subject to Section (vii) of this Exhibit 5(a), with respect to “time-based” options (including the Offer Options granted to the Officer under his Offer Letter, dated April 26, 2017), and/or “performance-based” options that have not previously become vested, the continued vesting and exercisability of any granted stock options in accordance with the terms of the applicable stock plan as if the Officer’s employment as an officer had continued during the Transition Period, provided, however, and for purposes of clarification, the parties agree that the Officer shall be entitled to vesting for the completion of “</w:t>
      </w:r>
      <w:r>
        <w:rPr>
          <w:rFonts w:ascii="Arial" w:cs="Arial" w:eastAsia="Arial" w:hAnsi="Arial"/>
          <w:sz w:val="20"/>
          <w:szCs w:val="20"/>
          <w:b w:val="1"/>
          <w:bCs w:val="1"/>
          <w:color w:val="auto"/>
        </w:rPr>
        <w:t>performance-based</w:t>
      </w:r>
      <w:r>
        <w:rPr>
          <w:rFonts w:ascii="Arial" w:cs="Arial" w:eastAsia="Arial" w:hAnsi="Arial"/>
          <w:sz w:val="20"/>
          <w:szCs w:val="20"/>
          <w:color w:val="auto"/>
        </w:rPr>
        <w:t>” goals hereunder if and only if the specified performance goal was achieved prior to or during the Transition Period and any required goal achievement certification for such performance goal has been made by the Board, or a committee thereof, thereafter;</w:t>
      </w:r>
    </w:p>
    <w:p>
      <w:pPr>
        <w:spacing w:after="0" w:line="201" w:lineRule="exact"/>
        <w:rPr>
          <w:rFonts w:ascii="Arial" w:cs="Arial" w:eastAsia="Arial" w:hAnsi="Arial"/>
          <w:sz w:val="20"/>
          <w:szCs w:val="20"/>
          <w:color w:val="auto"/>
        </w:rPr>
      </w:pPr>
    </w:p>
    <w:p>
      <w:pPr>
        <w:ind w:left="660" w:hanging="4"/>
        <w:spacing w:after="0" w:line="252" w:lineRule="auto"/>
        <w:tabs>
          <w:tab w:leader="none" w:pos="1155" w:val="left"/>
        </w:tabs>
        <w:numPr>
          <w:ilvl w:val="0"/>
          <w:numId w:val="57"/>
        </w:numPr>
        <w:rPr>
          <w:rFonts w:ascii="Arial" w:cs="Arial" w:eastAsia="Arial" w:hAnsi="Arial"/>
          <w:sz w:val="20"/>
          <w:szCs w:val="20"/>
          <w:color w:val="auto"/>
        </w:rPr>
      </w:pPr>
      <w:r>
        <w:rPr>
          <w:rFonts w:ascii="Arial" w:cs="Arial" w:eastAsia="Arial" w:hAnsi="Arial"/>
          <w:sz w:val="20"/>
          <w:szCs w:val="20"/>
          <w:color w:val="auto"/>
        </w:rPr>
        <w:t>Subject to Section (vii) of this Exhibit 5(a), with respect to restricted stock awards, or RSAs, (including the Offer RSAs granted to the Officer under his Offer Letter, dated April 26, 2017) the lapse of any “time-based” and/or “performance-based” restrictions at the same time and in the same amounts such restrictions would have lapsed, if at all, in accordance with the terms of the applicable stock plan if the Officer’s employment as an officer had continued during the Transition Period, provided, however, and for purposes of clarification, the parties agree that the Officer shall be entitled to the lapse of “performance-based” restrictions hereunder if and only if the specified performance goal was achieved prior to or during the Transition Period and any required goal achievement certification for such performance goal has been made by the Board, or a committee thereof, thereafter;</w:t>
      </w:r>
    </w:p>
    <w:p>
      <w:pPr>
        <w:spacing w:after="0" w:line="212" w:lineRule="exact"/>
        <w:rPr>
          <w:rFonts w:ascii="Arial" w:cs="Arial" w:eastAsia="Arial" w:hAnsi="Arial"/>
          <w:sz w:val="20"/>
          <w:szCs w:val="20"/>
          <w:color w:val="auto"/>
        </w:rPr>
      </w:pPr>
    </w:p>
    <w:p>
      <w:pPr>
        <w:ind w:left="660" w:right="40" w:hanging="4"/>
        <w:spacing w:after="0" w:line="263" w:lineRule="auto"/>
        <w:tabs>
          <w:tab w:leader="none" w:pos="1111" w:val="left"/>
        </w:tabs>
        <w:numPr>
          <w:ilvl w:val="0"/>
          <w:numId w:val="57"/>
        </w:numPr>
        <w:rPr>
          <w:rFonts w:ascii="Arial" w:cs="Arial" w:eastAsia="Arial" w:hAnsi="Arial"/>
          <w:sz w:val="20"/>
          <w:szCs w:val="20"/>
          <w:color w:val="auto"/>
        </w:rPr>
      </w:pPr>
      <w:r>
        <w:rPr>
          <w:rFonts w:ascii="Arial" w:cs="Arial" w:eastAsia="Arial" w:hAnsi="Arial"/>
          <w:sz w:val="20"/>
          <w:szCs w:val="20"/>
          <w:color w:val="auto"/>
        </w:rPr>
        <w:t>Participation and vesting in the Company’s RAM 401(k) Plan (or a successor or replacement plan) (the “</w:t>
      </w:r>
      <w:r>
        <w:rPr>
          <w:rFonts w:ascii="Arial" w:cs="Arial" w:eastAsia="Arial" w:hAnsi="Arial"/>
          <w:sz w:val="20"/>
          <w:szCs w:val="20"/>
          <w:b w:val="1"/>
          <w:bCs w:val="1"/>
          <w:color w:val="auto"/>
        </w:rPr>
        <w:t>401(k)</w:t>
      </w:r>
      <w:r>
        <w:rPr>
          <w:rFonts w:ascii="Arial" w:cs="Arial" w:eastAsia="Arial" w:hAnsi="Arial"/>
          <w:sz w:val="20"/>
          <w:szCs w:val="20"/>
          <w:color w:val="auto"/>
        </w:rPr>
        <w:t xml:space="preserve"> </w:t>
      </w:r>
      <w:r>
        <w:rPr>
          <w:rFonts w:ascii="Arial" w:cs="Arial" w:eastAsia="Arial" w:hAnsi="Arial"/>
          <w:sz w:val="20"/>
          <w:szCs w:val="20"/>
          <w:b w:val="1"/>
          <w:bCs w:val="1"/>
          <w:color w:val="auto"/>
        </w:rPr>
        <w:t>Plan</w:t>
      </w:r>
      <w:r>
        <w:rPr>
          <w:rFonts w:ascii="Arial" w:cs="Arial" w:eastAsia="Arial" w:hAnsi="Arial"/>
          <w:sz w:val="20"/>
          <w:szCs w:val="20"/>
          <w:color w:val="auto"/>
        </w:rPr>
        <w:t>”) will cease pursuant to the terms of the 401(k) Plan (generally, the date of the Officer’s termination of employment)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standard termination options under the 401(k) Plan will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- 13</w:t>
      </w:r>
    </w:p>
    <w:p>
      <w:pPr>
        <w:sectPr>
          <w:pgSz w:w="11900" w:h="16838" w:orient="portrait"/>
          <w:cols w:equalWidth="0" w:num="1">
            <w:col w:w="11220"/>
          </w:cols>
          <w:pgMar w:left="320" w:top="1414" w:right="359" w:bottom="1440" w:gutter="0" w:footer="0" w:header="0"/>
        </w:sectPr>
      </w:pPr>
    </w:p>
    <w:bookmarkStart w:id="112" w:name="page113"/>
    <w:bookmarkEnd w:id="112"/>
    <w:p>
      <w:pPr>
        <w:ind w:left="1300"/>
        <w:spacing w:after="0" w:line="252" w:lineRule="auto"/>
        <w:rPr>
          <w:sz w:val="20"/>
          <w:szCs w:val="20"/>
          <w:color w:val="auto"/>
        </w:rPr>
      </w:pPr>
      <w:r>
        <w:rPr>
          <w:rFonts w:ascii="Arial" w:cs="Arial" w:eastAsia="Arial" w:hAnsi="Arial"/>
          <w:sz w:val="20"/>
          <w:szCs w:val="20"/>
          <w:color w:val="auto"/>
        </w:rPr>
        <w:t>If the Officer is contributing to the 401(k) Plan at the date of the Officer’s Separation from Service and has not reached the maximum matching contribution for the 401(k) Plan year(s) covered by the Transition Period, then an amount equal to the difference between the Officer’s actual matching contribution and the amount of matching that the Officer would have received if the Officer had continued to defer his or her income into the 401(k) Plan for the Transition Period and, in addition, for the one year period following the Transition Period at the same rate as was in effect on the date of the Officer’s Separation from Service will be paid to the Officer. The payment, if any, will be calculated as though the Officer were 100% vested in such contribution and will be paid within 60 days after the date of the Officer’s Separation from Service (or such later date as may be required by Section 9 of the Agreement); and</w:t>
      </w:r>
    </w:p>
    <w:p>
      <w:pPr>
        <w:spacing w:after="0" w:line="203" w:lineRule="exact"/>
        <w:rPr>
          <w:sz w:val="20"/>
          <w:szCs w:val="20"/>
          <w:color w:val="auto"/>
        </w:rPr>
      </w:pPr>
    </w:p>
    <w:p>
      <w:pPr>
        <w:ind w:left="660" w:right="20" w:hanging="4"/>
        <w:spacing w:after="0" w:line="254" w:lineRule="auto"/>
        <w:tabs>
          <w:tab w:leader="none" w:pos="1151"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Officer’s participation, if applicable, will cease in the Company’s non-cash benefit plans (medical, dental, life, etc.) pursuant to the terms of the applicable plan (generally, the end of the calendar month which includes the date of the Officer’s termination of employment) unless the Officer properly elects to continue participation pursuant to any applicable COBRA continuation or conversion rights. The Officer may also be able to secure individual coverage with similar terms and conditions. It is the Officer’s responsibility to make any timely elections required and for the payment of premiums.</w:t>
      </w:r>
    </w:p>
    <w:p>
      <w:pPr>
        <w:spacing w:after="0" w:line="214" w:lineRule="exact"/>
        <w:rPr>
          <w:sz w:val="20"/>
          <w:szCs w:val="20"/>
          <w:color w:val="auto"/>
        </w:rPr>
      </w:pPr>
    </w:p>
    <w:p>
      <w:pPr>
        <w:ind w:left="1300" w:right="20"/>
        <w:spacing w:after="0" w:line="252" w:lineRule="auto"/>
        <w:rPr>
          <w:sz w:val="20"/>
          <w:szCs w:val="20"/>
          <w:color w:val="auto"/>
        </w:rPr>
      </w:pPr>
      <w:r>
        <w:rPr>
          <w:rFonts w:ascii="Arial" w:cs="Arial" w:eastAsia="Arial" w:hAnsi="Arial"/>
          <w:sz w:val="20"/>
          <w:szCs w:val="20"/>
          <w:color w:val="auto"/>
        </w:rPr>
        <w:t>Regardless of the Officer’s election, to the extent the Officer was participating in the Company’s non-cash benefit plans on the date of the Officer’s Separation from Service, the Company will pay the Officer an amount equal to two times the difference in premiums between what the Officer would have paid as an employee during the Transition Period and what the Officer would have to pay during the Transition Period to continue coverage, based on rates in effect at the time of calculation for the region listed by the Company as the Officer’s work address. If COBRA rates are available, those rates will be used in the calculation, followed by any applicable conversion rate, and finally, in the absence of COBRA or conversion rates, by the cost of individual coverage with similar terms and conditions. The payment, if any, will be paid within 60 days after the date of the Officer’s Separation from Service ( or such later date as may be required by Section 9 of the Agreement).</w:t>
      </w:r>
    </w:p>
    <w:p>
      <w:pPr>
        <w:spacing w:after="0" w:line="203" w:lineRule="exact"/>
        <w:rPr>
          <w:sz w:val="20"/>
          <w:szCs w:val="20"/>
          <w:color w:val="auto"/>
        </w:rPr>
      </w:pPr>
    </w:p>
    <w:p>
      <w:pPr>
        <w:ind w:left="1300" w:right="20"/>
        <w:spacing w:after="0" w:line="286" w:lineRule="auto"/>
        <w:rPr>
          <w:sz w:val="20"/>
          <w:szCs w:val="20"/>
          <w:color w:val="auto"/>
        </w:rPr>
      </w:pPr>
      <w:r>
        <w:rPr>
          <w:rFonts w:ascii="Arial" w:cs="Arial" w:eastAsia="Arial" w:hAnsi="Arial"/>
          <w:sz w:val="20"/>
          <w:szCs w:val="20"/>
          <w:color w:val="auto"/>
        </w:rPr>
        <w:t>Notwithstanding anything herein to the contrary, no compensation will be paid for the loss of any applicable short-term disability coverage.</w:t>
      </w:r>
    </w:p>
    <w:p>
      <w:pPr>
        <w:spacing w:after="0" w:line="167" w:lineRule="exact"/>
        <w:rPr>
          <w:sz w:val="20"/>
          <w:szCs w:val="20"/>
          <w:color w:val="auto"/>
        </w:rPr>
      </w:pPr>
    </w:p>
    <w:p>
      <w:pPr>
        <w:jc w:val="both"/>
        <w:ind w:left="660" w:right="80" w:hanging="4"/>
        <w:spacing w:after="0" w:line="269" w:lineRule="auto"/>
        <w:tabs>
          <w:tab w:leader="none" w:pos="1034" w:val="left"/>
        </w:tabs>
        <w:numPr>
          <w:ilvl w:val="0"/>
          <w:numId w:val="59"/>
        </w:numPr>
        <w:rPr>
          <w:rFonts w:ascii="Arial" w:cs="Arial" w:eastAsia="Arial" w:hAnsi="Arial"/>
          <w:sz w:val="20"/>
          <w:szCs w:val="20"/>
          <w:color w:val="auto"/>
        </w:rPr>
      </w:pPr>
      <w:r>
        <w:rPr>
          <w:rFonts w:ascii="Arial" w:cs="Arial" w:eastAsia="Arial" w:hAnsi="Arial"/>
          <w:sz w:val="20"/>
          <w:szCs w:val="20"/>
          <w:color w:val="auto"/>
        </w:rPr>
        <w:t>Notwithstanding anything contained in Sections (i), (iii) and (iv) of this Exhibit 5(a), if the Officer has become entitled to the benefits under this Exhibit 5(a) solely on account of his Good Reason resignation that does not occur on, or within one year following, a Change in Control, the:</w:t>
      </w:r>
    </w:p>
    <w:p>
      <w:pPr>
        <w:spacing w:after="0" w:line="185" w:lineRule="exact"/>
        <w:rPr>
          <w:rFonts w:ascii="Arial" w:cs="Arial" w:eastAsia="Arial" w:hAnsi="Arial"/>
          <w:sz w:val="20"/>
          <w:szCs w:val="20"/>
          <w:color w:val="auto"/>
        </w:rPr>
      </w:pPr>
    </w:p>
    <w:p>
      <w:pPr>
        <w:jc w:val="both"/>
        <w:ind w:left="1300" w:firstLine="4"/>
        <w:spacing w:after="0" w:line="259" w:lineRule="auto"/>
        <w:tabs>
          <w:tab w:leader="none" w:pos="1784" w:val="left"/>
        </w:tabs>
        <w:numPr>
          <w:ilvl w:val="1"/>
          <w:numId w:val="59"/>
        </w:numPr>
        <w:rPr>
          <w:rFonts w:ascii="Arial" w:cs="Arial" w:eastAsia="Arial" w:hAnsi="Arial"/>
          <w:sz w:val="20"/>
          <w:szCs w:val="20"/>
          <w:color w:val="auto"/>
        </w:rPr>
      </w:pPr>
      <w:r>
        <w:rPr>
          <w:rFonts w:ascii="Arial" w:cs="Arial" w:eastAsia="Arial" w:hAnsi="Arial"/>
          <w:sz w:val="20"/>
          <w:szCs w:val="20"/>
          <w:color w:val="auto"/>
        </w:rPr>
        <w:t>amount remaining payable under Section (i) of Exhibit 5(a) shall be forfeited by the Officer for any remaining period during the Transition Period after the Officer first receives Compensation for Services or after the Officer is first notified by the Company (by certified mail) that it believes he is receiving Compensation for Services and the Officer has not within 10 days of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- 14</w:t>
      </w:r>
    </w:p>
    <w:p>
      <w:pPr>
        <w:sectPr>
          <w:pgSz w:w="11900" w:h="16838" w:orient="portrait"/>
          <w:cols w:equalWidth="0" w:num="1">
            <w:col w:w="11220"/>
          </w:cols>
          <w:pgMar w:left="320" w:top="1414" w:right="359" w:bottom="1440" w:gutter="0" w:footer="0" w:header="0"/>
        </w:sectPr>
      </w:pPr>
    </w:p>
    <w:bookmarkStart w:id="113" w:name="page114"/>
    <w:bookmarkEnd w:id="113"/>
    <w:p>
      <w:pPr>
        <w:ind w:left="1300"/>
        <w:spacing w:after="0"/>
        <w:rPr>
          <w:sz w:val="20"/>
          <w:szCs w:val="20"/>
          <w:color w:val="auto"/>
        </w:rPr>
      </w:pPr>
      <w:r>
        <w:rPr>
          <w:rFonts w:ascii="Arial" w:cs="Arial" w:eastAsia="Arial" w:hAnsi="Arial"/>
          <w:sz w:val="20"/>
          <w:szCs w:val="20"/>
          <w:color w:val="auto"/>
        </w:rPr>
        <w:t>such notice provided written certification to the Company that he has not received Compensation for Services.</w:t>
      </w:r>
    </w:p>
    <w:p>
      <w:pPr>
        <w:spacing w:after="0" w:line="256" w:lineRule="exact"/>
        <w:rPr>
          <w:sz w:val="20"/>
          <w:szCs w:val="20"/>
          <w:color w:val="auto"/>
        </w:rPr>
      </w:pPr>
    </w:p>
    <w:p>
      <w:pPr>
        <w:ind w:left="1300" w:firstLine="4"/>
        <w:spacing w:after="0" w:line="262" w:lineRule="auto"/>
        <w:tabs>
          <w:tab w:leader="none" w:pos="1784" w:val="left"/>
        </w:tabs>
        <w:numPr>
          <w:ilvl w:val="0"/>
          <w:numId w:val="60"/>
        </w:numPr>
        <w:rPr>
          <w:rFonts w:ascii="Arial" w:cs="Arial" w:eastAsia="Arial" w:hAnsi="Arial"/>
          <w:sz w:val="20"/>
          <w:szCs w:val="20"/>
          <w:color w:val="auto"/>
        </w:rPr>
      </w:pPr>
      <w:r>
        <w:rPr>
          <w:rFonts w:ascii="Arial" w:cs="Arial" w:eastAsia="Arial" w:hAnsi="Arial"/>
          <w:sz w:val="20"/>
          <w:szCs w:val="20"/>
          <w:color w:val="auto"/>
        </w:rPr>
        <w:t>Offer Options and Offer’s RSAs that have not become vested as of the date of the Officer’s Separation from Service shall cease to vest, no longer be exercisable, and be forfeited in accordance with the terms of the applicable option award agreement or restricted stock award agreement,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- 15</w:t>
      </w:r>
    </w:p>
    <w:p>
      <w:pPr>
        <w:sectPr>
          <w:pgSz w:w="11900" w:h="16838" w:orient="portrait"/>
          <w:cols w:equalWidth="0" w:num="1">
            <w:col w:w="11180"/>
          </w:cols>
          <w:pgMar w:left="320" w:top="1414" w:right="399" w:bottom="1440" w:gutter="0" w:footer="0" w:header="0"/>
        </w:sectPr>
      </w:pPr>
    </w:p>
    <w:bookmarkStart w:id="114" w:name="page115"/>
    <w:bookmarkEnd w:id="114"/>
    <w:p>
      <w:pPr>
        <w:jc w:val="center"/>
        <w:ind w:right="-1120"/>
        <w:spacing w:after="0"/>
        <w:rPr>
          <w:sz w:val="20"/>
          <w:szCs w:val="20"/>
          <w:color w:val="auto"/>
        </w:rPr>
      </w:pPr>
      <w:r>
        <w:rPr>
          <w:rFonts w:ascii="Arial" w:cs="Arial" w:eastAsia="Arial" w:hAnsi="Arial"/>
          <w:sz w:val="19"/>
          <w:szCs w:val="19"/>
          <w:u w:val="single" w:color="auto"/>
          <w:color w:val="auto"/>
        </w:rPr>
        <w:t>Appendix A</w:t>
      </w:r>
    </w:p>
    <w:p>
      <w:pPr>
        <w:spacing w:after="0" w:line="268" w:lineRule="exact"/>
        <w:rPr>
          <w:sz w:val="20"/>
          <w:szCs w:val="20"/>
          <w:color w:val="auto"/>
        </w:rPr>
      </w:pPr>
    </w:p>
    <w:p>
      <w:pPr>
        <w:ind w:left="5260"/>
        <w:spacing w:after="0"/>
        <w:rPr>
          <w:sz w:val="20"/>
          <w:szCs w:val="20"/>
          <w:color w:val="auto"/>
        </w:rPr>
      </w:pPr>
      <w:r>
        <w:rPr>
          <w:rFonts w:ascii="Arial" w:cs="Arial" w:eastAsia="Arial" w:hAnsi="Arial"/>
          <w:sz w:val="20"/>
          <w:szCs w:val="20"/>
          <w:color w:val="auto"/>
        </w:rPr>
        <w:t>Release</w:t>
      </w:r>
    </w:p>
    <w:p>
      <w:pPr>
        <w:spacing w:after="0" w:line="243" w:lineRule="exact"/>
        <w:rPr>
          <w:sz w:val="20"/>
          <w:szCs w:val="20"/>
          <w:color w:val="auto"/>
        </w:rPr>
      </w:pPr>
    </w:p>
    <w:p>
      <w:pPr>
        <w:ind w:left="5220"/>
        <w:spacing w:after="0"/>
        <w:rPr>
          <w:sz w:val="20"/>
          <w:szCs w:val="20"/>
          <w:color w:val="auto"/>
        </w:rPr>
      </w:pPr>
      <w:r>
        <w:rPr>
          <w:rFonts w:ascii="Arial" w:cs="Arial" w:eastAsia="Arial" w:hAnsi="Arial"/>
          <w:sz w:val="20"/>
          <w:szCs w:val="20"/>
          <w:color w:val="auto"/>
        </w:rPr>
        <w:t>[Omitted]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color w:val="auto"/>
        </w:rPr>
        <w:t>EXECUTIVE AGREEMENT - 16</w:t>
      </w:r>
    </w:p>
    <w:p>
      <w:pPr>
        <w:sectPr>
          <w:pgSz w:w="11900" w:h="16838" w:orient="portrait"/>
          <w:cols w:equalWidth="0" w:num="1">
            <w:col w:w="10139"/>
          </w:cols>
          <w:pgMar w:left="320" w:top="1414"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97"/>
        </w:trPr>
        <w:tc>
          <w:tcPr>
            <w:tcW w:w="7960" w:type="dxa"/>
            <w:vAlign w:val="bottom"/>
          </w:tcPr>
          <w:p>
            <w:pPr>
              <w:spacing w:after="0"/>
              <w:rPr>
                <w:sz w:val="24"/>
                <w:szCs w:val="24"/>
                <w:color w:val="auto"/>
              </w:rPr>
            </w:pPr>
          </w:p>
        </w:tc>
        <w:tc>
          <w:tcPr>
            <w:tcW w:w="3300" w:type="dxa"/>
            <w:vAlign w:val="bottom"/>
            <w:gridSpan w:val="2"/>
          </w:tcPr>
          <w:p>
            <w:pPr>
              <w:ind w:left="1940"/>
              <w:spacing w:after="0"/>
              <w:rPr>
                <w:sz w:val="20"/>
                <w:szCs w:val="20"/>
                <w:color w:val="auto"/>
              </w:rPr>
            </w:pPr>
            <w:r>
              <w:rPr>
                <w:rFonts w:ascii="Arial" w:cs="Arial" w:eastAsia="Arial" w:hAnsi="Arial"/>
                <w:sz w:val="22"/>
                <w:szCs w:val="22"/>
                <w:b w:val="1"/>
                <w:bCs w:val="1"/>
                <w:color w:val="auto"/>
                <w:w w:val="98"/>
              </w:rPr>
              <w:t>EXHIBIT 21.1</w:t>
            </w:r>
          </w:p>
        </w:tc>
        <w:tc>
          <w:tcPr>
            <w:tcW w:w="0" w:type="dxa"/>
            <w:vAlign w:val="bottom"/>
          </w:tcPr>
          <w:p>
            <w:pPr>
              <w:spacing w:after="0"/>
              <w:rPr>
                <w:sz w:val="1"/>
                <w:szCs w:val="1"/>
                <w:color w:val="auto"/>
              </w:rPr>
            </w:pPr>
          </w:p>
        </w:tc>
      </w:tr>
      <w:tr>
        <w:trPr>
          <w:trHeight w:val="669"/>
        </w:trPr>
        <w:tc>
          <w:tcPr>
            <w:tcW w:w="7960" w:type="dxa"/>
            <w:vAlign w:val="bottom"/>
          </w:tcPr>
          <w:p>
            <w:pPr>
              <w:spacing w:after="0"/>
              <w:rPr>
                <w:sz w:val="20"/>
                <w:szCs w:val="20"/>
                <w:color w:val="auto"/>
              </w:rPr>
            </w:pPr>
            <w:r>
              <w:rPr>
                <w:rFonts w:ascii="Arial" w:cs="Arial" w:eastAsia="Arial" w:hAnsi="Arial"/>
                <w:sz w:val="40"/>
                <w:szCs w:val="40"/>
                <w:b w:val="1"/>
                <w:bCs w:val="1"/>
                <w:color w:val="auto"/>
              </w:rPr>
              <w:t>MICRON TECHNOLOGY, INC.</w:t>
            </w:r>
          </w:p>
        </w:tc>
        <w:tc>
          <w:tcPr>
            <w:tcW w:w="3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7960" w:type="dxa"/>
            <w:vAlign w:val="bottom"/>
          </w:tcPr>
          <w:p>
            <w:pPr>
              <w:spacing w:after="0"/>
              <w:rPr>
                <w:sz w:val="20"/>
                <w:szCs w:val="20"/>
                <w:color w:val="auto"/>
              </w:rPr>
            </w:pPr>
            <w:r>
              <w:rPr>
                <w:rFonts w:ascii="Arial" w:cs="Arial" w:eastAsia="Arial" w:hAnsi="Arial"/>
                <w:sz w:val="40"/>
                <w:szCs w:val="40"/>
                <w:b w:val="1"/>
                <w:bCs w:val="1"/>
                <w:color w:val="auto"/>
              </w:rPr>
              <w:t>SUBSIDIARIES OF THE REGISTRANT*</w:t>
            </w:r>
          </w:p>
        </w:tc>
        <w:tc>
          <w:tcPr>
            <w:tcW w:w="3300" w:type="dxa"/>
            <w:vAlign w:val="bottom"/>
            <w:gridSpan w:val="2"/>
            <w:vMerge w:val="restart"/>
          </w:tcPr>
          <w:p>
            <w:pPr>
              <w:ind w:left="960"/>
              <w:spacing w:after="0"/>
              <w:rPr>
                <w:sz w:val="20"/>
                <w:szCs w:val="20"/>
                <w:color w:val="auto"/>
              </w:rPr>
            </w:pPr>
            <w:r>
              <w:rPr>
                <w:rFonts w:ascii="Arial" w:cs="Arial" w:eastAsia="Arial" w:hAnsi="Arial"/>
                <w:sz w:val="18"/>
                <w:szCs w:val="18"/>
                <w:b w:val="1"/>
                <w:bCs w:val="1"/>
                <w:color w:val="auto"/>
              </w:rPr>
              <w:t>State (or Jurisdiction) in</w:t>
            </w:r>
          </w:p>
        </w:tc>
        <w:tc>
          <w:tcPr>
            <w:tcW w:w="0" w:type="dxa"/>
            <w:vAlign w:val="bottom"/>
          </w:tcPr>
          <w:p>
            <w:pPr>
              <w:spacing w:after="0"/>
              <w:rPr>
                <w:sz w:val="1"/>
                <w:szCs w:val="1"/>
                <w:color w:val="auto"/>
              </w:rPr>
            </w:pPr>
          </w:p>
        </w:tc>
      </w:tr>
      <w:tr>
        <w:trPr>
          <w:trHeight w:val="162"/>
        </w:trPr>
        <w:tc>
          <w:tcPr>
            <w:tcW w:w="7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Name</w:t>
            </w:r>
          </w:p>
        </w:tc>
        <w:tc>
          <w:tcPr>
            <w:tcW w:w="3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7960" w:type="dxa"/>
            <w:vAlign w:val="bottom"/>
            <w:vMerge w:val="continue"/>
          </w:tcPr>
          <w:p>
            <w:pPr>
              <w:spacing w:after="0"/>
              <w:rPr>
                <w:sz w:val="21"/>
                <w:szCs w:val="21"/>
                <w:color w:val="auto"/>
              </w:rPr>
            </w:pPr>
          </w:p>
        </w:tc>
        <w:tc>
          <w:tcPr>
            <w:tcW w:w="3300" w:type="dxa"/>
            <w:vAlign w:val="bottom"/>
            <w:gridSpan w:val="2"/>
          </w:tcPr>
          <w:p>
            <w:pPr>
              <w:ind w:left="1280"/>
              <w:spacing w:after="0"/>
              <w:rPr>
                <w:sz w:val="20"/>
                <w:szCs w:val="20"/>
                <w:color w:val="auto"/>
              </w:rPr>
            </w:pPr>
            <w:r>
              <w:rPr>
                <w:rFonts w:ascii="Arial" w:cs="Arial" w:eastAsia="Arial" w:hAnsi="Arial"/>
                <w:sz w:val="18"/>
                <w:szCs w:val="18"/>
                <w:b w:val="1"/>
                <w:bCs w:val="1"/>
                <w:color w:val="auto"/>
              </w:rPr>
              <w:t>which Organized</w:t>
            </w:r>
          </w:p>
        </w:tc>
        <w:tc>
          <w:tcPr>
            <w:tcW w:w="0" w:type="dxa"/>
            <w:vAlign w:val="bottom"/>
          </w:tcPr>
          <w:p>
            <w:pPr>
              <w:spacing w:after="0"/>
              <w:rPr>
                <w:sz w:val="1"/>
                <w:szCs w:val="1"/>
                <w:color w:val="auto"/>
              </w:rPr>
            </w:pPr>
          </w:p>
        </w:tc>
      </w:tr>
      <w:tr>
        <w:trPr>
          <w:trHeight w:val="34"/>
        </w:trPr>
        <w:tc>
          <w:tcPr>
            <w:tcW w:w="7960" w:type="dxa"/>
            <w:vAlign w:val="bottom"/>
            <w:tcBorders>
              <w:top w:val="single" w:sz="8" w:color="0090DA"/>
            </w:tcBorders>
          </w:tcPr>
          <w:p>
            <w:pPr>
              <w:spacing w:after="0"/>
              <w:rPr>
                <w:sz w:val="2"/>
                <w:szCs w:val="2"/>
                <w:color w:val="auto"/>
              </w:rPr>
            </w:pPr>
          </w:p>
        </w:tc>
        <w:tc>
          <w:tcPr>
            <w:tcW w:w="3280" w:type="dxa"/>
            <w:vAlign w:val="bottom"/>
            <w:tcBorders>
              <w:top w:val="single" w:sz="8" w:color="0090DA"/>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Europe Limited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United Kingdom</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Japan, Ltd.</w:t>
            </w:r>
          </w:p>
        </w:tc>
        <w:tc>
          <w:tcPr>
            <w:tcW w:w="3280" w:type="dxa"/>
            <w:vAlign w:val="bottom"/>
          </w:tcPr>
          <w:p>
            <w:pPr>
              <w:ind w:left="7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Japan, K.K.</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Japan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Memory Malaysia Sdn. Bhd.</w:t>
            </w:r>
          </w:p>
        </w:tc>
        <w:tc>
          <w:tcPr>
            <w:tcW w:w="3280" w:type="dxa"/>
            <w:vAlign w:val="bottom"/>
          </w:tcPr>
          <w:p>
            <w:pPr>
              <w:ind w:left="740"/>
              <w:spacing w:after="0"/>
              <w:rPr>
                <w:sz w:val="20"/>
                <w:szCs w:val="20"/>
                <w:color w:val="auto"/>
              </w:rPr>
            </w:pPr>
            <w:r>
              <w:rPr>
                <w:rFonts w:ascii="Arial" w:cs="Arial" w:eastAsia="Arial" w:hAnsi="Arial"/>
                <w:sz w:val="18"/>
                <w:szCs w:val="18"/>
                <w:color w:val="auto"/>
              </w:rPr>
              <w:t>Malaysia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Memory Taiwan Co.,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LLC</w:t>
            </w:r>
          </w:p>
        </w:tc>
        <w:tc>
          <w:tcPr>
            <w:tcW w:w="3280" w:type="dxa"/>
            <w:vAlign w:val="bottom"/>
          </w:tcPr>
          <w:p>
            <w:pPr>
              <w:ind w:left="740"/>
              <w:spacing w:after="0"/>
              <w:rPr>
                <w:sz w:val="20"/>
                <w:szCs w:val="20"/>
                <w:color w:val="auto"/>
              </w:rPr>
            </w:pPr>
            <w:r>
              <w:rPr>
                <w:rFonts w:ascii="Arial" w:cs="Arial" w:eastAsia="Arial" w:hAnsi="Arial"/>
                <w:sz w:val="18"/>
                <w:szCs w:val="18"/>
                <w:color w:val="auto"/>
              </w:rPr>
              <w:t>Delaware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Asia Operations Pte. Ltd.</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Asia Pte. Ltd.</w:t>
            </w:r>
          </w:p>
        </w:tc>
        <w:tc>
          <w:tcPr>
            <w:tcW w:w="3280" w:type="dxa"/>
            <w:vAlign w:val="bottom"/>
          </w:tcPr>
          <w:p>
            <w:pPr>
              <w:ind w:left="740"/>
              <w:spacing w:after="0"/>
              <w:rPr>
                <w:sz w:val="20"/>
                <w:szCs w:val="20"/>
                <w:color w:val="auto"/>
              </w:rPr>
            </w:pPr>
            <w:r>
              <w:rPr>
                <w:rFonts w:ascii="Arial" w:cs="Arial" w:eastAsia="Arial" w:hAnsi="Arial"/>
                <w:sz w:val="18"/>
                <w:szCs w:val="18"/>
                <w:color w:val="auto"/>
              </w:rPr>
              <w:t>Singapore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Semiconductor Products, Inc.</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Idaho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20"/>
              <w:spacing w:after="0"/>
              <w:rPr>
                <w:sz w:val="20"/>
                <w:szCs w:val="20"/>
                <w:color w:val="auto"/>
              </w:rPr>
            </w:pPr>
            <w:r>
              <w:rPr>
                <w:rFonts w:ascii="Arial" w:cs="Arial" w:eastAsia="Arial" w:hAnsi="Arial"/>
                <w:sz w:val="18"/>
                <w:szCs w:val="18"/>
                <w:color w:val="auto"/>
              </w:rPr>
              <w:t>Micron Semiconductor (Xi’an) Co., Ltd.</w:t>
            </w:r>
          </w:p>
        </w:tc>
        <w:tc>
          <w:tcPr>
            <w:tcW w:w="3280" w:type="dxa"/>
            <w:vAlign w:val="bottom"/>
          </w:tcPr>
          <w:p>
            <w:pPr>
              <w:ind w:left="740"/>
              <w:spacing w:after="0"/>
              <w:rPr>
                <w:sz w:val="20"/>
                <w:szCs w:val="20"/>
                <w:color w:val="auto"/>
              </w:rPr>
            </w:pPr>
            <w:r>
              <w:rPr>
                <w:rFonts w:ascii="Arial" w:cs="Arial" w:eastAsia="Arial" w:hAnsi="Arial"/>
                <w:sz w:val="18"/>
                <w:szCs w:val="18"/>
                <w:color w:val="auto"/>
              </w:rPr>
              <w:t>China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60" w:type="dxa"/>
            <w:vAlign w:val="bottom"/>
            <w:shd w:val="clear" w:color="auto" w:fill="D1D2D4"/>
          </w:tcPr>
          <w:p>
            <w:pPr>
              <w:ind w:left="20"/>
              <w:spacing w:after="0"/>
              <w:rPr>
                <w:sz w:val="20"/>
                <w:szCs w:val="20"/>
                <w:color w:val="auto"/>
              </w:rPr>
            </w:pPr>
            <w:r>
              <w:rPr>
                <w:rFonts w:ascii="Arial" w:cs="Arial" w:eastAsia="Arial" w:hAnsi="Arial"/>
                <w:sz w:val="18"/>
                <w:szCs w:val="18"/>
                <w:color w:val="auto"/>
              </w:rPr>
              <w:t>Micron Technology B.V.</w:t>
            </w:r>
          </w:p>
        </w:tc>
        <w:tc>
          <w:tcPr>
            <w:tcW w:w="3280" w:type="dxa"/>
            <w:vAlign w:val="bottom"/>
            <w:shd w:val="clear" w:color="auto" w:fill="D1D2D4"/>
          </w:tcPr>
          <w:p>
            <w:pPr>
              <w:ind w:left="740"/>
              <w:spacing w:after="0"/>
              <w:rPr>
                <w:sz w:val="20"/>
                <w:szCs w:val="20"/>
                <w:color w:val="auto"/>
              </w:rPr>
            </w:pPr>
            <w:r>
              <w:rPr>
                <w:rFonts w:ascii="Arial" w:cs="Arial" w:eastAsia="Arial" w:hAnsi="Arial"/>
                <w:sz w:val="18"/>
                <w:szCs w:val="18"/>
                <w:color w:val="auto"/>
              </w:rPr>
              <w:t>Netherlands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960" w:type="dxa"/>
            <w:vAlign w:val="bottom"/>
          </w:tcPr>
          <w:p>
            <w:pPr>
              <w:ind w:left="20"/>
              <w:spacing w:after="0"/>
              <w:rPr>
                <w:sz w:val="20"/>
                <w:szCs w:val="20"/>
                <w:color w:val="auto"/>
              </w:rPr>
            </w:pPr>
            <w:r>
              <w:rPr>
                <w:rFonts w:ascii="Arial" w:cs="Arial" w:eastAsia="Arial" w:hAnsi="Arial"/>
                <w:sz w:val="18"/>
                <w:szCs w:val="18"/>
                <w:color w:val="auto"/>
              </w:rPr>
              <w:t>Micron Technology Taiwan, Inc.</w:t>
            </w:r>
          </w:p>
        </w:tc>
        <w:tc>
          <w:tcPr>
            <w:tcW w:w="3280" w:type="dxa"/>
            <w:vAlign w:val="bottom"/>
          </w:tcPr>
          <w:p>
            <w:pPr>
              <w:ind w:left="74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0" w:firstLine="8"/>
        <w:spacing w:after="0" w:line="231" w:lineRule="auto"/>
        <w:tabs>
          <w:tab w:leader="none" w:pos="95" w:val="left"/>
        </w:tabs>
        <w:numPr>
          <w:ilvl w:val="0"/>
          <w:numId w:val="61"/>
        </w:numPr>
        <w:rPr>
          <w:rFonts w:ascii="Arial" w:cs="Arial" w:eastAsia="Arial" w:hAnsi="Arial"/>
          <w:sz w:val="23"/>
          <w:szCs w:val="23"/>
          <w:color w:val="auto"/>
          <w:vertAlign w:val="superscript"/>
        </w:rPr>
      </w:pPr>
      <w:r>
        <w:rPr>
          <w:rFonts w:ascii="Arial" w:cs="Arial" w:eastAsia="Arial" w:hAnsi="Arial"/>
          <w:sz w:val="18"/>
          <w:szCs w:val="18"/>
          <w:color w:val="auto"/>
        </w:rPr>
        <w:t>The above list of subsidiaries of Micron Technology, Inc. omitted subsidiaries which, considered in the aggregate as a single subsidiary, would not constitute a significant subsidiary as of the end of the year covered by this report.</w:t>
      </w:r>
    </w:p>
    <w:p>
      <w:pPr>
        <w:sectPr>
          <w:pgSz w:w="11900" w:h="16838" w:orient="portrait"/>
          <w:cols w:equalWidth="0" w:num="1">
            <w:col w:w="11240"/>
          </w:cols>
          <w:pgMar w:left="320" w:top="1137" w:right="339" w:bottom="1440" w:gutter="0" w:footer="0" w:header="0"/>
        </w:sectPr>
      </w:pPr>
    </w:p>
    <w:bookmarkStart w:id="116" w:name="page117"/>
    <w:bookmarkEnd w:id="116"/>
    <w:p>
      <w:pPr>
        <w:ind w:left="9900"/>
        <w:spacing w:after="0"/>
        <w:rPr>
          <w:sz w:val="20"/>
          <w:szCs w:val="20"/>
          <w:color w:val="auto"/>
        </w:rPr>
      </w:pPr>
      <w:r>
        <w:rPr>
          <w:rFonts w:ascii="Arial" w:cs="Arial" w:eastAsia="Arial" w:hAnsi="Arial"/>
          <w:sz w:val="21"/>
          <w:szCs w:val="21"/>
          <w:b w:val="1"/>
          <w:bCs w:val="1"/>
          <w:color w:val="auto"/>
        </w:rPr>
        <w:t>EXHIBIT 23.1</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CONSENT OF INDEPENDENT REGISTERED PUBLIC ACCOUNTING FIRM</w:t>
      </w:r>
    </w:p>
    <w:p>
      <w:pPr>
        <w:spacing w:after="0" w:line="2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 333-249838) and Form S-8 (File Nos. 333-17073, 333-50353, 333-103341, 333-120620, 333-133667, 333-140091, 333-148357, 333-159711, 333-171717, 333-179592, 333-190010, 333-196293, 333-203467, 333-217314, 333-223874, 333-234359, 333-255794) of Micron Technology, Inc. of our report dated October 7, 2022 relating to the financial statements and financial statement schedule and the effectiveness of internal control over financial reporting, which appears in this Form 10-K.</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October 7, 2022</w:t>
      </w:r>
    </w:p>
    <w:p>
      <w:pPr>
        <w:sectPr>
          <w:pgSz w:w="11900" w:h="16838" w:orient="portrait"/>
          <w:cols w:equalWidth="0" w:num="1">
            <w:col w:w="11240"/>
          </w:cols>
          <w:pgMar w:left="320" w:top="89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31.1</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EXECUTIVE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Sanjay Mehrotra, certify that:</w:t>
      </w:r>
    </w:p>
    <w:p>
      <w:pPr>
        <w:spacing w:after="0" w:line="171" w:lineRule="exact"/>
        <w:rPr>
          <w:sz w:val="20"/>
          <w:szCs w:val="20"/>
          <w:color w:val="auto"/>
        </w:rPr>
      </w:pPr>
    </w:p>
    <w:p>
      <w:pPr>
        <w:ind w:left="320" w:hanging="312"/>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72" w:lineRule="exact"/>
        <w:rPr>
          <w:sz w:val="20"/>
          <w:szCs w:val="20"/>
          <w:color w:val="auto"/>
        </w:rPr>
      </w:pPr>
    </w:p>
    <w:p>
      <w:pPr>
        <w:ind w:left="500"/>
        <w:spacing w:after="0"/>
        <w:tabs>
          <w:tab w:leader="none" w:pos="1200" w:val="left"/>
          <w:tab w:leader="none" w:pos="55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October 7, 2022</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17780</wp:posOffset>
            </wp:positionV>
            <wp:extent cx="33261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5">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Sanjay Mehrotra</w:t>
      </w:r>
    </w:p>
    <w:p>
      <w:pPr>
        <w:ind w:left="556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b w:val="1"/>
          <w:bCs w:val="1"/>
          <w:color w:val="auto"/>
        </w:rPr>
        <w:t>EXHIBIT 31.2</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13a-14(a) CERTIFICATION OF</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CHIEF FINANCIAL OFFICER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 Mark Murphy, certify that:</w:t>
      </w:r>
    </w:p>
    <w:p>
      <w:pPr>
        <w:spacing w:after="0" w:line="171" w:lineRule="exact"/>
        <w:rPr>
          <w:sz w:val="20"/>
          <w:szCs w:val="20"/>
          <w:color w:val="auto"/>
        </w:rPr>
      </w:pPr>
    </w:p>
    <w:p>
      <w:pPr>
        <w:ind w:left="320" w:hanging="312"/>
        <w:spacing w:after="0"/>
        <w:tabs>
          <w:tab w:leader="none" w:pos="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Micron Technology, Inc.;</w:t>
      </w:r>
    </w:p>
    <w:p>
      <w:pPr>
        <w:spacing w:after="0" w:line="171" w:lineRule="exact"/>
        <w:rPr>
          <w:rFonts w:ascii="Arial" w:cs="Arial" w:eastAsia="Arial" w:hAnsi="Arial"/>
          <w:sz w:val="18"/>
          <w:szCs w:val="18"/>
          <w:color w:val="auto"/>
        </w:rPr>
      </w:pPr>
    </w:p>
    <w:p>
      <w:pPr>
        <w:ind w:left="340" w:right="80" w:hanging="332"/>
        <w:spacing w:after="0" w:line="268"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340" w:right="120" w:hanging="332"/>
        <w:spacing w:after="0" w:line="318"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5" w:lineRule="exact"/>
        <w:rPr>
          <w:rFonts w:ascii="Arial" w:cs="Arial" w:eastAsia="Arial" w:hAnsi="Arial"/>
          <w:sz w:val="17"/>
          <w:szCs w:val="17"/>
          <w:color w:val="auto"/>
        </w:rPr>
      </w:pPr>
    </w:p>
    <w:p>
      <w:pPr>
        <w:ind w:left="340" w:right="140" w:hanging="332"/>
        <w:spacing w:after="0" w:line="276" w:lineRule="auto"/>
        <w:tabs>
          <w:tab w:leader="none" w:pos="328"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153" w:lineRule="exact"/>
        <w:rPr>
          <w:rFonts w:ascii="Arial" w:cs="Arial" w:eastAsia="Arial" w:hAnsi="Arial"/>
          <w:sz w:val="17"/>
          <w:szCs w:val="17"/>
          <w:color w:val="auto"/>
        </w:rPr>
      </w:pPr>
    </w:p>
    <w:p>
      <w:pPr>
        <w:ind w:left="660" w:right="60" w:hanging="328"/>
        <w:spacing w:after="0" w:line="268"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ind w:left="660" w:right="80" w:hanging="328"/>
        <w:spacing w:after="0" w:line="268" w:lineRule="auto"/>
        <w:tabs>
          <w:tab w:leader="none" w:pos="651" w:val="left"/>
        </w:tabs>
        <w:numPr>
          <w:ilvl w:val="1"/>
          <w:numId w:val="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660" w:right="400" w:hanging="328"/>
        <w:spacing w:after="0" w:line="268"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340" w:right="140" w:hanging="332"/>
        <w:spacing w:after="0" w:line="268" w:lineRule="auto"/>
        <w:tabs>
          <w:tab w:leader="none" w:pos="32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660" w:right="280" w:hanging="328"/>
        <w:spacing w:after="0" w:line="318" w:lineRule="auto"/>
        <w:tabs>
          <w:tab w:leader="none" w:pos="648" w:val="left"/>
        </w:tabs>
        <w:numPr>
          <w:ilvl w:val="1"/>
          <w:numId w:val="6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7"/>
          <w:szCs w:val="17"/>
          <w:color w:val="auto"/>
        </w:rPr>
      </w:pPr>
    </w:p>
    <w:p>
      <w:pPr>
        <w:ind w:left="660" w:right="520" w:hanging="328"/>
        <w:spacing w:after="0" w:line="287" w:lineRule="auto"/>
        <w:tabs>
          <w:tab w:leader="none" w:pos="648"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9" w:lineRule="exact"/>
        <w:rPr>
          <w:sz w:val="20"/>
          <w:szCs w:val="20"/>
          <w:color w:val="auto"/>
        </w:rPr>
      </w:pPr>
    </w:p>
    <w:p>
      <w:pPr>
        <w:ind w:left="40"/>
        <w:spacing w:after="0"/>
        <w:tabs>
          <w:tab w:leader="none" w:pos="680" w:val="left"/>
          <w:tab w:leader="none" w:pos="5620" w:val="left"/>
        </w:tabs>
        <w:rPr>
          <w:sz w:val="20"/>
          <w:szCs w:val="20"/>
          <w:color w:val="auto"/>
        </w:rPr>
      </w:pPr>
      <w:r>
        <w:rPr>
          <w:rFonts w:ascii="Arial" w:cs="Arial" w:eastAsia="Arial" w:hAnsi="Arial"/>
          <w:sz w:val="18"/>
          <w:szCs w:val="18"/>
          <w:color w:val="auto"/>
        </w:rPr>
        <w:t>Date:</w:t>
        <w:tab/>
        <w:t>October 7, 2022</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17780</wp:posOffset>
            </wp:positionV>
            <wp:extent cx="35572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6">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88"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b w:val="1"/>
          <w:bCs w:val="1"/>
          <w:color w:val="auto"/>
        </w:rPr>
        <w:t>EXHIBIT 32.1</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EXECUTIVE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I, Sanjay Mehrotra, certify, pursuant to 18 U.S.C. 1350, as adopted pursuant to Section 906 of the Sarbanes-Oxley Act of 2002, that the Annual Report of Micron Technology, Inc. on Form 10-K for the period ended September 1, 2022,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8"/>
          <w:szCs w:val="18"/>
          <w:color w:val="auto"/>
        </w:rPr>
        <w:t>Date:</w:t>
        <w:tab/>
        <w:t>October 7, 2022</w:t>
      </w:r>
      <w:r>
        <w:rPr>
          <w:sz w:val="20"/>
          <w:szCs w:val="20"/>
          <w:color w:val="auto"/>
        </w:rPr>
        <w:tab/>
      </w:r>
      <w:r>
        <w:rPr>
          <w:rFonts w:ascii="Arial" w:cs="Arial" w:eastAsia="Arial" w:hAnsi="Arial"/>
          <w:sz w:val="17"/>
          <w:szCs w:val="17"/>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17780</wp:posOffset>
            </wp:positionV>
            <wp:extent cx="35572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Sanjay Mehrotra</w:t>
      </w:r>
    </w:p>
    <w:p>
      <w:pPr>
        <w:spacing w:after="0" w:line="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Chief Executive Officer and Director</w:t>
      </w:r>
    </w:p>
    <w:p>
      <w:pPr>
        <w:sectPr>
          <w:pgSz w:w="11900" w:h="16838" w:orient="portrait"/>
          <w:cols w:equalWidth="0" w:num="1">
            <w:col w:w="11240"/>
          </w:cols>
          <w:pgMar w:left="320" w:top="98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b w:val="1"/>
          <w:bCs w:val="1"/>
          <w:color w:val="auto"/>
        </w:rPr>
        <w:t>EXHIBIT 32.2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CERTIFICATION OF CHIEF FINANCIAL OFFICER</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PURSUANT TO 18 U.S.C. 1350</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 Mark Murphy, certify, pursuant to 18 U.S.C. 1350, as adopted pursuant to Section 906 of the Sarbanes-Oxley Act of 2002, that the Annual Report of Micron Technology, Inc. on Form 10-K for the period ended September 1, 2022, fully complies with the requirements of Section 13(a) or 15(d) of the Securities Exchange Act of 1934 and that information contained in the Annual Report on Form 10-K fairly presents, in all material respects, the financial condition and results of operations of Micron Technology, Inc.</w:t>
      </w:r>
    </w:p>
    <w:p>
      <w:pPr>
        <w:spacing w:after="0" w:line="16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8"/>
          <w:szCs w:val="18"/>
          <w:color w:val="auto"/>
        </w:rPr>
        <w:t>Date:</w:t>
        <w:tab/>
        <w:t>October 7, 2022</w:t>
      </w:r>
      <w:r>
        <w:rPr>
          <w:sz w:val="20"/>
          <w:szCs w:val="20"/>
          <w:color w:val="auto"/>
        </w:rPr>
        <w:tab/>
      </w:r>
      <w:r>
        <w:rPr>
          <w:rFonts w:ascii="Arial" w:cs="Arial" w:eastAsia="Arial" w:hAnsi="Arial"/>
          <w:sz w:val="17"/>
          <w:szCs w:val="17"/>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17780</wp:posOffset>
            </wp:positionV>
            <wp:extent cx="35572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Mark Murphy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Executive Vice President and Chief Financial Officer</w:t>
      </w:r>
    </w:p>
    <w:sectPr>
      <w:pgSz w:w="11900" w:h="16838" w:orient="portrait"/>
      <w:cols w:equalWidth="0" w:num="1">
        <w:col w:w="11240"/>
      </w:cols>
      <w:pgMar w:left="320" w:top="9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
      <w:numFmt w:val="bullet"/>
      <w:start w:val="1"/>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
      <w:numFmt w:val="bullet"/>
      <w:start w:val="1"/>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endash "/>
      <w:numFmt w:val="bullet"/>
      <w:start w:val="1"/>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1"/>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1"/>
    </w:lvl>
  </w:abstractNum>
  <w:abstractNum w:abstractNumId="33">
    <w:nsid w:val="32FFF902"/>
    <w:multiLevelType w:val="hybridMultilevel"/>
    <w:lvl w:ilvl="0">
      <w:lvlJc w:val="left"/>
      <w:lvlText w:val="(%1)"/>
      <w:numFmt w:val="decimal"/>
      <w:start w:val="1"/>
    </w:lvl>
  </w:abstractNum>
  <w:abstractNum w:abstractNumId="34">
    <w:nsid w:val="684A481A"/>
    <w:multiLevelType w:val="hybridMultilevel"/>
    <w:lvl w:ilvl="0">
      <w:lvlJc w:val="left"/>
      <w:lvlText w:val="(%1)"/>
      <w:numFmt w:val="decimal"/>
      <w:start w:val="1"/>
    </w:lvl>
  </w:abstractNum>
  <w:abstractNum w:abstractNumId="35">
    <w:nsid w:val="579478FE"/>
    <w:multiLevelType w:val="hybridMultilevel"/>
    <w:lvl w:ilvl="0">
      <w:lvlJc w:val="left"/>
      <w:lvlText w:val="(%1)"/>
      <w:numFmt w:val="decimal"/>
      <w:start w:val="3"/>
    </w:lvl>
  </w:abstractNum>
  <w:abstractNum w:abstractNumId="36">
    <w:nsid w:val="749ABB43"/>
    <w:multiLevelType w:val="hybridMultilevel"/>
    <w:lvl w:ilvl="0">
      <w:lvlJc w:val="left"/>
      <w:lvlText w:val="(%1)"/>
      <w:numFmt w:val="decimal"/>
      <w:start w:val="1"/>
    </w:lvl>
  </w:abstractNum>
  <w:abstractNum w:abstractNumId="37">
    <w:nsid w:val="3DC240FB"/>
    <w:multiLevelType w:val="hybridMultilevel"/>
    <w:lvl w:ilvl="0">
      <w:lvlJc w:val="left"/>
      <w:lvlText w:val="(%1)"/>
      <w:numFmt w:val="decimal"/>
      <w:start w:val="1"/>
    </w:lvl>
  </w:abstractNum>
  <w:abstractNum w:abstractNumId="38">
    <w:nsid w:val="1BA026FA"/>
    <w:multiLevelType w:val="hybridMultilevel"/>
    <w:lvl w:ilvl="0">
      <w:lvlJc w:val="left"/>
      <w:lvlText w:val="1"/>
      <w:numFmt w:val="bullet"/>
      <w:start w:val="1"/>
    </w:lvl>
  </w:abstractNum>
  <w:abstractNum w:abstractNumId="39">
    <w:nsid w:val="79A1DEAA"/>
    <w:multiLevelType w:val="hybridMultilevel"/>
    <w:lvl w:ilvl="0">
      <w:lvlJc w:val="left"/>
      <w:lvlText w:val="2"/>
      <w:numFmt w:val="bullet"/>
      <w:start w:val="1"/>
    </w:lvl>
  </w:abstractNum>
  <w:abstractNum w:abstractNumId="40">
    <w:nsid w:val="75C6C33A"/>
    <w:multiLevelType w:val="hybridMultilevel"/>
    <w:lvl w:ilvl="0">
      <w:lvlJc w:val="left"/>
      <w:lvlText w:val="3"/>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1."/>
      <w:numFmt w:val="decimal"/>
      <w:start w:val="2"/>
    </w:lvl>
  </w:abstractNum>
  <w:abstractNum w:abstractNumId="44">
    <w:nsid w:val="374A3FE6"/>
    <w:multiLevelType w:val="hybridMultilevel"/>
    <w:lvl w:ilvl="0">
      <w:lvlJc w:val="left"/>
      <w:lvlText w:val="%1."/>
      <w:numFmt w:val="decimal"/>
      <w:start w:val="6"/>
    </w:lvl>
  </w:abstractNum>
  <w:abstractNum w:abstractNumId="45">
    <w:nsid w:val="4F4EF005"/>
    <w:multiLevelType w:val="hybridMultilevel"/>
    <w:lvl w:ilvl="0">
      <w:lvlJc w:val="left"/>
      <w:lvlText w:val="(%1)"/>
      <w:numFmt w:val="lowerRoman"/>
      <w:start w:val="1"/>
    </w:lvl>
  </w:abstractNum>
  <w:abstractNum w:abstractNumId="46">
    <w:nsid w:val="23F9C13C"/>
    <w:multiLevelType w:val="hybridMultilevel"/>
    <w:lvl w:ilvl="0">
      <w:lvlJc w:val="left"/>
      <w:lvlText w:val="(%1)"/>
      <w:numFmt w:val="lowerRoman"/>
      <w:start w:val="1"/>
    </w:lvl>
  </w:abstractNum>
  <w:abstractNum w:abstractNumId="47">
    <w:nsid w:val="649BB77C"/>
    <w:multiLevelType w:val="hybridMultilevel"/>
    <w:lvl w:ilvl="0">
      <w:lvlJc w:val="left"/>
      <w:lvlText w:val="(%1)"/>
      <w:numFmt w:val="lowerRoman"/>
      <w:start w:val="2"/>
    </w:lvl>
  </w:abstractNum>
  <w:abstractNum w:abstractNumId="48">
    <w:nsid w:val="275AC794"/>
    <w:multiLevelType w:val="hybridMultilevel"/>
    <w:lvl w:ilvl="0">
      <w:lvlJc w:val="left"/>
      <w:lvlText w:val="%1."/>
      <w:numFmt w:val="decimal"/>
      <w:start w:val="10"/>
    </w:lvl>
  </w:abstractNum>
  <w:abstractNum w:abstractNumId="49">
    <w:nsid w:val="39386575"/>
    <w:multiLevelType w:val="hybridMultilevel"/>
    <w:lvl w:ilvl="0">
      <w:lvlJc w:val="left"/>
      <w:lvlText w:val="%1."/>
      <w:numFmt w:val="decimal"/>
      <w:start w:val="11"/>
    </w:lvl>
  </w:abstractNum>
  <w:abstractNum w:abstractNumId="50">
    <w:nsid w:val="1CF10FD8"/>
    <w:multiLevelType w:val="hybridMultilevel"/>
    <w:lvl w:ilvl="0">
      <w:lvlJc w:val="left"/>
      <w:lvlText w:val="%1."/>
      <w:numFmt w:val="decimal"/>
      <w:start w:val="12"/>
    </w:lvl>
  </w:abstractNum>
  <w:abstractNum w:abstractNumId="51">
    <w:nsid w:val="180115BE"/>
    <w:multiLevelType w:val="hybridMultilevel"/>
    <w:lvl w:ilvl="0">
      <w:lvlJc w:val="left"/>
      <w:lvlText w:val="%1."/>
      <w:numFmt w:val="decimal"/>
      <w:start w:val="14"/>
    </w:lvl>
  </w:abstractNum>
  <w:abstractNum w:abstractNumId="52">
    <w:nsid w:val="235BA861"/>
    <w:multiLevelType w:val="hybridMultilevel"/>
    <w:lvl w:ilvl="0">
      <w:lvlJc w:val="left"/>
      <w:lvlText w:val="(%1)"/>
      <w:numFmt w:val="lowerLetter"/>
      <w:start w:val="1"/>
    </w:lvl>
  </w:abstractNum>
  <w:abstractNum w:abstractNumId="53">
    <w:nsid w:val="47398C89"/>
    <w:multiLevelType w:val="hybridMultilevel"/>
    <w:lvl w:ilvl="0">
      <w:lvlJc w:val="left"/>
      <w:lvlText w:val="(%1)"/>
      <w:numFmt w:val="lowerLetter"/>
      <w:start w:val="1"/>
    </w:lvl>
  </w:abstractNum>
  <w:abstractNum w:abstractNumId="54">
    <w:nsid w:val="354FE9F9"/>
    <w:multiLevelType w:val="hybridMultilevel"/>
    <w:lvl w:ilvl="0">
      <w:lvlJc w:val="left"/>
      <w:lvlText w:val="(%1)"/>
      <w:numFmt w:val="lowerLetter"/>
      <w:start w:val="2"/>
    </w:lvl>
  </w:abstractNum>
  <w:abstractNum w:abstractNumId="55">
    <w:nsid w:val="15B5AF5C"/>
    <w:multiLevelType w:val="hybridMultilevel"/>
    <w:lvl w:ilvl="0">
      <w:lvlJc w:val="left"/>
      <w:lvlText w:val="(%1)"/>
      <w:numFmt w:val="lowerRoman"/>
      <w:start w:val="1"/>
    </w:lvl>
    <w:lvl w:ilvl="1">
      <w:lvlJc w:val="left"/>
      <w:lvlText w:val="(%2)"/>
      <w:numFmt w:val="upperLetter"/>
      <w:start w:val="1"/>
    </w:lvl>
  </w:abstractNum>
  <w:abstractNum w:abstractNumId="56">
    <w:nsid w:val="741226BB"/>
    <w:multiLevelType w:val="hybridMultilevel"/>
    <w:lvl w:ilvl="0">
      <w:lvlJc w:val="left"/>
      <w:lvlText w:val="(%1)"/>
      <w:numFmt w:val="lowerRoman"/>
      <w:start w:val="3"/>
    </w:lvl>
  </w:abstractNum>
  <w:abstractNum w:abstractNumId="57">
    <w:nsid w:val="D34B6A8"/>
    <w:multiLevelType w:val="hybridMultilevel"/>
    <w:lvl w:ilvl="0">
      <w:lvlJc w:val="left"/>
      <w:lvlText w:val="(%1)"/>
      <w:numFmt w:val="lowerRoman"/>
      <w:start w:val="6"/>
    </w:lvl>
  </w:abstractNum>
  <w:abstractNum w:abstractNumId="58">
    <w:nsid w:val="10233C99"/>
    <w:multiLevelType w:val="hybridMultilevel"/>
    <w:lvl w:ilvl="0">
      <w:lvlJc w:val="left"/>
      <w:lvlText w:val="(%1)"/>
      <w:numFmt w:val="lowerRoman"/>
      <w:start w:val="7"/>
    </w:lvl>
    <w:lvl w:ilvl="1">
      <w:lvlJc w:val="left"/>
      <w:lvlText w:val="(%2)"/>
      <w:numFmt w:val="upperLetter"/>
      <w:start w:val="1"/>
    </w:lvl>
  </w:abstractNum>
  <w:abstractNum w:abstractNumId="59">
    <w:nsid w:val="3F6AB60F"/>
    <w:multiLevelType w:val="hybridMultilevel"/>
    <w:lvl w:ilvl="0">
      <w:lvlJc w:val="left"/>
      <w:lvlText w:val="(%1)"/>
      <w:numFmt w:val="upperLetter"/>
      <w:start w:val="2"/>
    </w:lvl>
  </w:abstractNum>
  <w:abstractNum w:abstractNumId="60">
    <w:nsid w:val="61574095"/>
    <w:multiLevelType w:val="hybridMultilevel"/>
    <w:lvl w:ilvl="0">
      <w:lvlJc w:val="left"/>
      <w:lvlText w:val="*"/>
      <w:numFmt w:val="bullet"/>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84" Type="http://schemas.openxmlformats.org/officeDocument/2006/relationships/image" Target="media/image157.png"/><Relationship Id="rId188" Type="http://schemas.openxmlformats.org/officeDocument/2006/relationships/image" Target="media/image158.jpeg"/><Relationship Id="rId189" Type="http://schemas.openxmlformats.org/officeDocument/2006/relationships/image" Target="media/image159.png"/><Relationship Id="rId190" Type="http://schemas.openxmlformats.org/officeDocument/2006/relationships/image" Target="media/image160.png"/><Relationship Id="rId191" Type="http://schemas.openxmlformats.org/officeDocument/2006/relationships/image" Target="media/image161.png"/><Relationship Id="rId192" Type="http://schemas.openxmlformats.org/officeDocument/2006/relationships/image" Target="media/image162.png"/><Relationship Id="rId193" Type="http://schemas.openxmlformats.org/officeDocument/2006/relationships/image" Target="media/image163.png"/><Relationship Id="rId194" Type="http://schemas.openxmlformats.org/officeDocument/2006/relationships/image" Target="media/image164.png"/><Relationship Id="rId195" Type="http://schemas.openxmlformats.org/officeDocument/2006/relationships/image" Target="media/image165.png"/><Relationship Id="rId196" Type="http://schemas.openxmlformats.org/officeDocument/2006/relationships/image" Target="media/image166.png"/><Relationship Id="rId197" Type="http://schemas.openxmlformats.org/officeDocument/2006/relationships/image" Target="media/image167.png"/><Relationship Id="rId198" Type="http://schemas.openxmlformats.org/officeDocument/2006/relationships/image" Target="media/image168.png"/><Relationship Id="rId164" Type="http://schemas.openxmlformats.org/officeDocument/2006/relationships/hyperlink" Target="https://www.sec.gov/Archives/edgar/data/723125/000110465915004447/a15-3005_2ex99d2.htm" TargetMode="External"/><Relationship Id="rId165" Type="http://schemas.openxmlformats.org/officeDocument/2006/relationships/hyperlink" Target="https://www.sec.gov/Archives/edgar/data/723125/000072312521000018/exhibit31-amendedandrestat.htm" TargetMode="External"/><Relationship Id="rId166" Type="http://schemas.openxmlformats.org/officeDocument/2006/relationships/hyperlink" Target="https://www.sec.gov/Archives/edgar/data/723125/000110465919006069/a18-36862_4ex4d1.htm" TargetMode="External"/><Relationship Id="rId167" Type="http://schemas.openxmlformats.org/officeDocument/2006/relationships/hyperlink" Target="https://www.sec.gov/Archives/edgar/data/723125/000110465919006069/a18-36862_4ex4d2.htm" TargetMode="External"/><Relationship Id="rId168" Type="http://schemas.openxmlformats.org/officeDocument/2006/relationships/hyperlink" Target="https://www.sec.gov/Archives/edgar/data/723125/000110465919040167/a19-12548_4ex4d2.htm" TargetMode="External"/><Relationship Id="rId169" Type="http://schemas.openxmlformats.org/officeDocument/2006/relationships/hyperlink" Target="https://www.sec.gov/Archives/edgar/data/723125/000110465921132377/tm2129643d4_ex4-2.htm" TargetMode="External"/><Relationship Id="rId170" Type="http://schemas.openxmlformats.org/officeDocument/2006/relationships/hyperlink" Target="https://www.sec.gov/Archives/edgar/data/723125/000072312517000155/a2017definitiveproxy.htm" TargetMode="External"/><Relationship Id="rId171" Type="http://schemas.openxmlformats.org/officeDocument/2006/relationships/hyperlink" Target="https://www.sec.gov/Archives/edgar/data/723125/000072312516000269/a2016q4ex1062004equityince.htm" TargetMode="External"/><Relationship Id="rId172" Type="http://schemas.openxmlformats.org/officeDocument/2006/relationships/hyperlink" Target="https://www.sec.gov/Archives/edgar/data/723125/000072312516000269/a2016q4ex1072004termsandco.htm" TargetMode="External"/><Relationship Id="rId173" Type="http://schemas.openxmlformats.org/officeDocument/2006/relationships/hyperlink" Target="https://www.sec.gov/Archives/edgar/data/723125/000072312520000091/a2020definitiveproxy.htm#i9efa54f8cda348dca7e1a84d2a2067d2_917" TargetMode="External"/><Relationship Id="rId174" Type="http://schemas.openxmlformats.org/officeDocument/2006/relationships/hyperlink" Target="https://www.sec.gov/Archives/edgar/data/723125/000072312522000004/a2022q1ex101-2007planterms.htm" TargetMode="External"/><Relationship Id="rId175" Type="http://schemas.openxmlformats.org/officeDocument/2006/relationships/hyperlink" Target="https://www.sec.gov/Archives/edgar/data/723125/000072312516000269/a2016q4ex1010nonstatutorys.htm" TargetMode="External"/><Relationship Id="rId176" Type="http://schemas.openxmlformats.org/officeDocument/2006/relationships/hyperlink" Target="https://www.sec.gov/Archives/edgar/data/723125/000072312516000269/a2016q4ex1011stockplanterm.htm" TargetMode="External"/><Relationship Id="rId177" Type="http://schemas.openxmlformats.org/officeDocument/2006/relationships/hyperlink" Target="https://www.sec.gov/Archives/edgar/data/723125/000072312514000068/a2014q2ex10-3.htm" TargetMode="External"/><Relationship Id="rId178" Type="http://schemas.openxmlformats.org/officeDocument/2006/relationships/hyperlink" Target="https://www.sec.gov/Archives/edgar/data/723125/000072312507000113/exhibit_99-2.htm" TargetMode="External"/><Relationship Id="rId179" Type="http://schemas.openxmlformats.org/officeDocument/2006/relationships/hyperlink" Target="https://www.sec.gov/Archives/edgar/data/723125/000072312522000036/a2022q3ex102-deferredcompe.htm" TargetMode="External"/><Relationship Id="rId180" Type="http://schemas.openxmlformats.org/officeDocument/2006/relationships/hyperlink" Target="https://www.sec.gov/Archives/edgar/data/723125/000072312517000166/a2018q1ex10-70xssseverance.htm" TargetMode="External"/><Relationship Id="rId181" Type="http://schemas.openxmlformats.org/officeDocument/2006/relationships/hyperlink" Target="https://www.sec.gov/Archives/edgar/data/723125/000072312517000148/exhibit991formofamendmentt.htm" TargetMode="External"/><Relationship Id="rId182" Type="http://schemas.openxmlformats.org/officeDocument/2006/relationships/hyperlink" Target="https://www.sec.gov/Archives/edgar/data/723125/000072312517000166/a2018q1ex10-74xmbseverance.htm" TargetMode="External"/><Relationship Id="rId183" Type="http://schemas.openxmlformats.org/officeDocument/2006/relationships/hyperlink" Target="https://www.sec.gov/Archives/edgar/data/723125/000072312522000036/a2022q3ex101-employeestock.htm" TargetMode="External"/><Relationship Id="rId185" Type="http://schemas.openxmlformats.org/officeDocument/2006/relationships/hyperlink" Target="https://www.sec.gov/Archives/edgar/data/723125/000072312522000036/a2022q3ex103-benefitsforma.htm" TargetMode="External"/><Relationship Id="rId186" Type="http://schemas.openxmlformats.org/officeDocument/2006/relationships/hyperlink" Target="https://www.sec.gov/Archives/edgar/data/723125/000072312521000052/revolvingcreditagreementmi.htm" TargetMode="External"/><Relationship Id="rId187" Type="http://schemas.openxmlformats.org/officeDocument/2006/relationships/hyperlink" Target="https://www.sec.gov/Archives/edgar/data/723125/000072312521000052/termloancreditagreementm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2022-10-07T14:07:25Z</dcterms:created>
  <dcterms:modified xsi:type="dcterms:W3CDTF">2022-10-07T14:07:25Z</dcterms:modified>
</cp:coreProperties>
</file>