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7">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b w:val="1"/>
                <w:bCs w:val="1"/>
                <w:color w:val="auto"/>
                <w:w w:val="88"/>
              </w:rPr>
              <w:t>Filed Pursuant to Rule 424(b)(5)</w:t>
            </w:r>
          </w:p>
        </w:tc>
      </w:tr>
      <w:tr>
        <w:trPr>
          <w:trHeight w:val="228"/>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80" w:type="dxa"/>
            <w:vAlign w:val="bottom"/>
          </w:tcPr>
          <w:p>
            <w:pPr>
              <w:ind w:left="320"/>
              <w:spacing w:after="0"/>
              <w:rPr>
                <w:sz w:val="20"/>
                <w:szCs w:val="20"/>
                <w:color w:val="auto"/>
              </w:rPr>
            </w:pPr>
            <w:r>
              <w:rPr>
                <w:rFonts w:ascii="Arial" w:cs="Arial" w:eastAsia="Arial" w:hAnsi="Arial"/>
                <w:sz w:val="18"/>
                <w:szCs w:val="18"/>
                <w:b w:val="1"/>
                <w:bCs w:val="1"/>
                <w:color w:val="auto"/>
                <w:w w:val="89"/>
              </w:rPr>
              <w:t>Registration No. 333-220882</w:t>
            </w:r>
          </w:p>
        </w:tc>
      </w:tr>
      <w:tr>
        <w:trPr>
          <w:trHeight w:val="43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00" w:type="dxa"/>
            <w:vAlign w:val="bottom"/>
            <w:gridSpan w:val="2"/>
          </w:tcPr>
          <w:p>
            <w:pPr>
              <w:ind w:left="820"/>
              <w:spacing w:after="0"/>
              <w:rPr>
                <w:sz w:val="20"/>
                <w:szCs w:val="20"/>
                <w:color w:val="auto"/>
              </w:rPr>
            </w:pPr>
            <w:r>
              <w:rPr>
                <w:rFonts w:ascii="Arial" w:cs="Arial" w:eastAsia="Arial" w:hAnsi="Arial"/>
                <w:sz w:val="18"/>
                <w:szCs w:val="18"/>
                <w:b w:val="1"/>
                <w:bCs w:val="1"/>
                <w:color w:val="auto"/>
              </w:rPr>
              <w:t>CALCULATION OF REGISTRATION FEE</w:t>
            </w:r>
          </w:p>
        </w:tc>
        <w:tc>
          <w:tcPr>
            <w:tcW w:w="1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440" w:type="dxa"/>
            <w:vAlign w:val="bottom"/>
          </w:tcPr>
          <w:p>
            <w:pPr>
              <w:jc w:val="center"/>
              <w:ind w:right="205"/>
              <w:spacing w:after="0" w:line="117" w:lineRule="exact"/>
              <w:rPr>
                <w:sz w:val="20"/>
                <w:szCs w:val="20"/>
                <w:color w:val="auto"/>
              </w:rPr>
            </w:pPr>
            <w:r>
              <w:rPr>
                <w:rFonts w:ascii="Arial" w:cs="Arial" w:eastAsia="Arial" w:hAnsi="Arial"/>
                <w:sz w:val="12"/>
                <w:szCs w:val="12"/>
                <w:b w:val="1"/>
                <w:bCs w:val="1"/>
                <w:color w:val="auto"/>
              </w:rPr>
              <w:t>Maximum</w:t>
            </w:r>
          </w:p>
        </w:tc>
        <w:tc>
          <w:tcPr>
            <w:tcW w:w="1340" w:type="dxa"/>
            <w:vAlign w:val="bottom"/>
          </w:tcPr>
          <w:p>
            <w:pPr>
              <w:jc w:val="center"/>
              <w:ind w:left="65"/>
              <w:spacing w:after="0" w:line="117" w:lineRule="exact"/>
              <w:rPr>
                <w:sz w:val="20"/>
                <w:szCs w:val="20"/>
                <w:color w:val="auto"/>
              </w:rPr>
            </w:pPr>
            <w:r>
              <w:rPr>
                <w:rFonts w:ascii="Arial" w:cs="Arial" w:eastAsia="Arial" w:hAnsi="Arial"/>
                <w:sz w:val="12"/>
                <w:szCs w:val="12"/>
                <w:b w:val="1"/>
                <w:bCs w:val="1"/>
                <w:color w:val="auto"/>
              </w:rPr>
              <w:t>Maximum</w:t>
            </w:r>
          </w:p>
        </w:tc>
        <w:tc>
          <w:tcPr>
            <w:tcW w:w="24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1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5"/>
              </w:rPr>
              <w:t>Title of Securities to be</w:t>
            </w:r>
          </w:p>
        </w:tc>
        <w:tc>
          <w:tcPr>
            <w:tcW w:w="19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244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90"/>
              </w:rPr>
              <w:t>Offering Price Per</w:t>
            </w:r>
          </w:p>
        </w:tc>
        <w:tc>
          <w:tcPr>
            <w:tcW w:w="1340" w:type="dxa"/>
            <w:vAlign w:val="bottom"/>
          </w:tcPr>
          <w:p>
            <w:pPr>
              <w:jc w:val="center"/>
              <w:ind w:left="65"/>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480" w:type="dxa"/>
            <w:vAlign w:val="bottom"/>
          </w:tcPr>
          <w:p>
            <w:pPr>
              <w:jc w:val="center"/>
              <w:ind w:left="499"/>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31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5"/>
              </w:rPr>
              <w:t>Registered</w:t>
            </w:r>
          </w:p>
        </w:tc>
        <w:tc>
          <w:tcPr>
            <w:tcW w:w="19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Registered</w:t>
            </w:r>
          </w:p>
        </w:tc>
        <w:tc>
          <w:tcPr>
            <w:tcW w:w="24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88"/>
              </w:rPr>
              <w:t>Unit</w:t>
            </w:r>
          </w:p>
        </w:tc>
        <w:tc>
          <w:tcPr>
            <w:tcW w:w="1340" w:type="dxa"/>
            <w:vAlign w:val="bottom"/>
            <w:tcBorders>
              <w:bottom w:val="single" w:sz="8" w:color="auto"/>
            </w:tcBorders>
          </w:tcPr>
          <w:p>
            <w:pPr>
              <w:jc w:val="center"/>
              <w:ind w:left="85"/>
              <w:spacing w:after="0"/>
              <w:rPr>
                <w:sz w:val="20"/>
                <w:szCs w:val="20"/>
                <w:color w:val="auto"/>
              </w:rPr>
            </w:pPr>
            <w:r>
              <w:rPr>
                <w:rFonts w:ascii="Arial" w:cs="Arial" w:eastAsia="Arial" w:hAnsi="Arial"/>
                <w:sz w:val="14"/>
                <w:szCs w:val="14"/>
                <w:b w:val="1"/>
                <w:bCs w:val="1"/>
                <w:color w:val="auto"/>
                <w:w w:val="87"/>
              </w:rPr>
              <w:t>Price</w:t>
            </w:r>
          </w:p>
        </w:tc>
        <w:tc>
          <w:tcPr>
            <w:tcW w:w="2480" w:type="dxa"/>
            <w:vAlign w:val="bottom"/>
            <w:tcBorders>
              <w:bottom w:val="single" w:sz="8" w:color="auto"/>
            </w:tcBorders>
          </w:tcPr>
          <w:p>
            <w:pPr>
              <w:jc w:val="center"/>
              <w:ind w:left="499"/>
              <w:spacing w:after="0"/>
              <w:rPr>
                <w:sz w:val="20"/>
                <w:szCs w:val="20"/>
                <w:color w:val="auto"/>
              </w:rPr>
            </w:pPr>
            <w:r>
              <w:rPr>
                <w:rFonts w:ascii="Arial" w:cs="Arial" w:eastAsia="Arial" w:hAnsi="Arial"/>
                <w:sz w:val="14"/>
                <w:szCs w:val="14"/>
                <w:b w:val="1"/>
                <w:bCs w:val="1"/>
                <w:color w:val="auto"/>
                <w:w w:val="86"/>
              </w:rPr>
              <w:t>Registration Fee(1)</w:t>
            </w: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4.185% Senior Notes due February 15,</w:t>
            </w:r>
          </w:p>
        </w:tc>
        <w:tc>
          <w:tcPr>
            <w:tcW w:w="1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2"/>
        </w:trPr>
        <w:tc>
          <w:tcPr>
            <w:tcW w:w="3200" w:type="dxa"/>
            <w:vAlign w:val="bottom"/>
            <w:gridSpan w:val="2"/>
          </w:tcPr>
          <w:p>
            <w:pPr>
              <w:ind w:left="80"/>
              <w:spacing w:after="0"/>
              <w:rPr>
                <w:sz w:val="20"/>
                <w:szCs w:val="20"/>
                <w:color w:val="auto"/>
              </w:rPr>
            </w:pPr>
            <w:r>
              <w:rPr>
                <w:rFonts w:ascii="Arial" w:cs="Arial" w:eastAsia="Arial" w:hAnsi="Arial"/>
                <w:sz w:val="18"/>
                <w:szCs w:val="18"/>
                <w:color w:val="auto"/>
              </w:rPr>
              <w:t>2027</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$900,000,000</w:t>
            </w:r>
          </w:p>
        </w:tc>
        <w:tc>
          <w:tcPr>
            <w:tcW w:w="2440" w:type="dxa"/>
            <w:vAlign w:val="bottom"/>
          </w:tcPr>
          <w:p>
            <w:pPr>
              <w:jc w:val="center"/>
              <w:ind w:right="205"/>
              <w:spacing w:after="0"/>
              <w:rPr>
                <w:sz w:val="20"/>
                <w:szCs w:val="20"/>
                <w:color w:val="auto"/>
              </w:rPr>
            </w:pPr>
            <w:r>
              <w:rPr>
                <w:rFonts w:ascii="Arial" w:cs="Arial" w:eastAsia="Arial" w:hAnsi="Arial"/>
                <w:sz w:val="18"/>
                <w:szCs w:val="18"/>
                <w:color w:val="auto"/>
                <w:w w:val="90"/>
              </w:rPr>
              <w:t>99.995%</w:t>
            </w:r>
          </w:p>
        </w:tc>
        <w:tc>
          <w:tcPr>
            <w:tcW w:w="1340" w:type="dxa"/>
            <w:vAlign w:val="bottom"/>
          </w:tcPr>
          <w:p>
            <w:pPr>
              <w:jc w:val="center"/>
              <w:ind w:left="85"/>
              <w:spacing w:after="0"/>
              <w:rPr>
                <w:sz w:val="20"/>
                <w:szCs w:val="20"/>
                <w:color w:val="auto"/>
              </w:rPr>
            </w:pPr>
            <w:r>
              <w:rPr>
                <w:rFonts w:ascii="Arial" w:cs="Arial" w:eastAsia="Arial" w:hAnsi="Arial"/>
                <w:sz w:val="18"/>
                <w:szCs w:val="18"/>
                <w:color w:val="auto"/>
                <w:w w:val="88"/>
              </w:rPr>
              <w:t>$899,955,000</w:t>
            </w:r>
          </w:p>
        </w:tc>
        <w:tc>
          <w:tcPr>
            <w:tcW w:w="2480" w:type="dxa"/>
            <w:vAlign w:val="bottom"/>
          </w:tcPr>
          <w:p>
            <w:pPr>
              <w:jc w:val="center"/>
              <w:ind w:left="479"/>
              <w:spacing w:after="0"/>
              <w:rPr>
                <w:sz w:val="20"/>
                <w:szCs w:val="20"/>
                <w:color w:val="auto"/>
              </w:rPr>
            </w:pPr>
            <w:r>
              <w:rPr>
                <w:rFonts w:ascii="Arial" w:cs="Arial" w:eastAsia="Arial" w:hAnsi="Arial"/>
                <w:sz w:val="18"/>
                <w:szCs w:val="18"/>
                <w:color w:val="auto"/>
                <w:w w:val="87"/>
              </w:rPr>
              <w:t>$109,074.55</w:t>
            </w:r>
          </w:p>
        </w:tc>
      </w:tr>
      <w:tr>
        <w:trPr>
          <w:trHeight w:val="29"/>
        </w:trPr>
        <w:tc>
          <w:tcPr>
            <w:tcW w:w="320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4.663% Senior Notes due February 15,</w:t>
            </w:r>
          </w:p>
        </w:tc>
        <w:tc>
          <w:tcPr>
            <w:tcW w:w="19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r>
      <w:tr>
        <w:trPr>
          <w:trHeight w:val="222"/>
        </w:trPr>
        <w:tc>
          <w:tcPr>
            <w:tcW w:w="3200" w:type="dxa"/>
            <w:vAlign w:val="bottom"/>
            <w:gridSpan w:val="2"/>
          </w:tcPr>
          <w:p>
            <w:pPr>
              <w:ind w:left="100"/>
              <w:spacing w:after="0"/>
              <w:rPr>
                <w:sz w:val="20"/>
                <w:szCs w:val="20"/>
                <w:color w:val="auto"/>
              </w:rPr>
            </w:pPr>
            <w:r>
              <w:rPr>
                <w:rFonts w:ascii="Arial" w:cs="Arial" w:eastAsia="Arial" w:hAnsi="Arial"/>
                <w:sz w:val="18"/>
                <w:szCs w:val="18"/>
                <w:color w:val="auto"/>
              </w:rPr>
              <w:t>2030</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$850,000,000</w:t>
            </w:r>
          </w:p>
        </w:tc>
        <w:tc>
          <w:tcPr>
            <w:tcW w:w="2440" w:type="dxa"/>
            <w:vAlign w:val="bottom"/>
          </w:tcPr>
          <w:p>
            <w:pPr>
              <w:jc w:val="center"/>
              <w:ind w:right="205"/>
              <w:spacing w:after="0"/>
              <w:rPr>
                <w:sz w:val="20"/>
                <w:szCs w:val="20"/>
                <w:color w:val="auto"/>
              </w:rPr>
            </w:pPr>
            <w:r>
              <w:rPr>
                <w:rFonts w:ascii="Arial" w:cs="Arial" w:eastAsia="Arial" w:hAnsi="Arial"/>
                <w:sz w:val="18"/>
                <w:szCs w:val="18"/>
                <w:color w:val="auto"/>
                <w:w w:val="90"/>
              </w:rPr>
              <w:t>99.994%</w:t>
            </w:r>
          </w:p>
        </w:tc>
        <w:tc>
          <w:tcPr>
            <w:tcW w:w="1340" w:type="dxa"/>
            <w:vAlign w:val="bottom"/>
          </w:tcPr>
          <w:p>
            <w:pPr>
              <w:jc w:val="center"/>
              <w:ind w:left="85"/>
              <w:spacing w:after="0"/>
              <w:rPr>
                <w:sz w:val="20"/>
                <w:szCs w:val="20"/>
                <w:color w:val="auto"/>
              </w:rPr>
            </w:pPr>
            <w:r>
              <w:rPr>
                <w:rFonts w:ascii="Arial" w:cs="Arial" w:eastAsia="Arial" w:hAnsi="Arial"/>
                <w:sz w:val="18"/>
                <w:szCs w:val="18"/>
                <w:color w:val="auto"/>
                <w:w w:val="88"/>
              </w:rPr>
              <w:t>$849,949,000</w:t>
            </w:r>
          </w:p>
        </w:tc>
        <w:tc>
          <w:tcPr>
            <w:tcW w:w="2480" w:type="dxa"/>
            <w:vAlign w:val="bottom"/>
          </w:tcPr>
          <w:p>
            <w:pPr>
              <w:jc w:val="center"/>
              <w:ind w:left="479"/>
              <w:spacing w:after="0"/>
              <w:rPr>
                <w:sz w:val="20"/>
                <w:szCs w:val="20"/>
                <w:color w:val="auto"/>
              </w:rPr>
            </w:pPr>
            <w:r>
              <w:rPr>
                <w:rFonts w:ascii="Arial" w:cs="Arial" w:eastAsia="Arial" w:hAnsi="Arial"/>
                <w:sz w:val="18"/>
                <w:szCs w:val="18"/>
                <w:color w:val="auto"/>
                <w:w w:val="87"/>
              </w:rPr>
              <w:t>$103,013.82</w:t>
            </w:r>
          </w:p>
        </w:tc>
      </w:tr>
      <w:tr>
        <w:trPr>
          <w:trHeight w:val="29"/>
        </w:trPr>
        <w:tc>
          <w:tcPr>
            <w:tcW w:w="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right="720" w:hanging="532"/>
        <w:spacing w:after="0" w:line="332"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in accordance with Rule 457(r) under the Securities Act of 1933, as amended. Represents deferred payment of the registration fees in connection with the registrant's Registration Statement on Form S-3 (Registration No. 333-220882) being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October 10, 2017)</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148590</wp:posOffset>
            </wp:positionV>
            <wp:extent cx="2992755" cy="831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275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Micron Technology, Inc.</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$900,000,000 4.185% Senior Notes due 2027</w:t>
      </w:r>
    </w:p>
    <w:p>
      <w:pPr>
        <w:spacing w:after="0" w:line="14"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$850,000,000 4.663%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0" w:firstLine="395"/>
        <w:spacing w:after="0" w:line="259" w:lineRule="auto"/>
        <w:rPr>
          <w:sz w:val="20"/>
          <w:szCs w:val="20"/>
          <w:color w:val="auto"/>
        </w:rPr>
      </w:pPr>
      <w:r>
        <w:rPr>
          <w:rFonts w:ascii="Arial" w:cs="Arial" w:eastAsia="Arial" w:hAnsi="Arial"/>
          <w:sz w:val="18"/>
          <w:szCs w:val="18"/>
          <w:color w:val="auto"/>
        </w:rPr>
        <w:t>Micron Technology, Inc. is offering $900,000,000 aggregate principal amount of 4.185% senior notes due 2027 (the "2027" notes) and $850,000,000 aggregate principal amount of 4.663% senior notes due 2030 (the "2030 notes" and, together with the 2027 notes, the "notes"). The 2027 notes and the 2030 notes are each referred to herein as a series of notes.</w:t>
      </w:r>
    </w:p>
    <w:p>
      <w:pPr>
        <w:spacing w:after="0" w:line="194" w:lineRule="exact"/>
        <w:rPr>
          <w:sz w:val="20"/>
          <w:szCs w:val="20"/>
          <w:color w:val="auto"/>
        </w:rPr>
      </w:pPr>
    </w:p>
    <w:p>
      <w:pPr>
        <w:ind w:right="160" w:firstLine="392"/>
        <w:spacing w:after="0" w:line="268" w:lineRule="auto"/>
        <w:rPr>
          <w:sz w:val="20"/>
          <w:szCs w:val="20"/>
          <w:color w:val="auto"/>
        </w:rPr>
      </w:pPr>
      <w:r>
        <w:rPr>
          <w:rFonts w:ascii="Arial" w:cs="Arial" w:eastAsia="Arial" w:hAnsi="Arial"/>
          <w:sz w:val="18"/>
          <w:szCs w:val="18"/>
          <w:color w:val="auto"/>
        </w:rPr>
        <w:t>The 2027 notes will bear interest at the rate of 4.185% per year and the 2030 notes will bear interest at the rate of 4.663% per year. Interest will be payable semi-annually in arrears on February 15 and August 15 of each year, beginning February 15, 2020.</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2027 notes will mature on February 15, 2027 and the 2030 notes will mature on February 15, 2030.</w:t>
      </w:r>
    </w:p>
    <w:p>
      <w:pPr>
        <w:spacing w:after="0" w:line="225" w:lineRule="exact"/>
        <w:rPr>
          <w:sz w:val="20"/>
          <w:szCs w:val="20"/>
          <w:color w:val="auto"/>
        </w:rPr>
      </w:pPr>
    </w:p>
    <w:p>
      <w:pPr>
        <w:ind w:right="60" w:firstLine="392"/>
        <w:spacing w:after="0" w:line="288" w:lineRule="auto"/>
        <w:rPr>
          <w:sz w:val="20"/>
          <w:szCs w:val="20"/>
          <w:color w:val="auto"/>
        </w:rPr>
      </w:pPr>
      <w:r>
        <w:rPr>
          <w:rFonts w:ascii="Arial" w:cs="Arial" w:eastAsia="Arial" w:hAnsi="Arial"/>
          <w:sz w:val="16"/>
          <w:szCs w:val="16"/>
          <w:color w:val="auto"/>
        </w:rPr>
        <w:t>We may redeem some or all of the notes, at any time or from time to time, at a redemption price equal to the greater of (i) 100% of the principal amount of the notes to be redeemed and (ii) a make-whole amount (as described in the section entitled "Description of the Notes—Optional Redemption"), plus accrued and unpaid interest thereon to, but excluding, the redemption date. In addition, we may redeem the 2027 notes in whole or in part, at any time from or after December 15, 2026, and the 2030 notes in whole or in part, at any time from or after November 15, 2029, at a redemption price equal to 100% of the principal amount of the notes to be redeemed, plus accrued and unpaid interest thereon to, but excluding, the redemption date. See "Description of the Notes—Optional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See the section entitled "Description of the Notes—Repurchase of Notes Upon a Change of Control Triggering Event" for more information.</w:t>
      </w:r>
    </w:p>
    <w:p>
      <w:pPr>
        <w:spacing w:after="0" w:line="174"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20" w:firstLine="395"/>
        <w:spacing w:after="0" w:line="275" w:lineRule="auto"/>
        <w:rPr>
          <w:sz w:val="20"/>
          <w:szCs w:val="20"/>
          <w:color w:val="auto"/>
        </w:rPr>
      </w:pPr>
      <w:r>
        <w:rPr>
          <w:rFonts w:ascii="Arial" w:cs="Arial" w:eastAsia="Arial" w:hAnsi="Arial"/>
          <w:sz w:val="18"/>
          <w:szCs w:val="18"/>
          <w:b w:val="1"/>
          <w:bCs w:val="1"/>
          <w:color w:val="auto"/>
        </w:rPr>
        <w:t>Investing in the notes involves risks. See "Risk Factors" beginning on page S-7 for a discussion of certain risks that should be considered in connection with an investment in the notes.</w:t>
      </w:r>
    </w:p>
    <w:p>
      <w:pPr>
        <w:spacing w:after="0" w:line="174" w:lineRule="exact"/>
        <w:rPr>
          <w:sz w:val="20"/>
          <w:szCs w:val="20"/>
          <w:color w:val="auto"/>
        </w:rPr>
      </w:pPr>
    </w:p>
    <w:p>
      <w:pPr>
        <w:ind w:right="40" w:firstLine="395"/>
        <w:spacing w:after="0" w:line="378" w:lineRule="auto"/>
        <w:rPr>
          <w:sz w:val="20"/>
          <w:szCs w:val="20"/>
          <w:color w:val="auto"/>
        </w:rPr>
      </w:pPr>
      <w:r>
        <w:rPr>
          <w:rFonts w:ascii="Arial" w:cs="Arial" w:eastAsia="Arial" w:hAnsi="Arial"/>
          <w:sz w:val="15"/>
          <w:szCs w:val="15"/>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75565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580" w:type="dxa"/>
        <w:tblCellMar>
          <w:top w:w="0" w:type="dxa"/>
          <w:left w:w="0" w:type="dxa"/>
          <w:bottom w:w="0" w:type="dxa"/>
          <w:right w:w="0" w:type="dxa"/>
        </w:tblCellMar>
      </w:tblPr>
      <w:tr>
        <w:trPr>
          <w:trHeight w:val="40"/>
        </w:trPr>
        <w:tc>
          <w:tcPr>
            <w:tcW w:w="2680" w:type="dxa"/>
            <w:vAlign w:val="bottom"/>
            <w:tcBorders>
              <w:top w:val="single" w:sz="8" w:color="auto"/>
              <w:bottom w:val="single" w:sz="8" w:color="auto"/>
            </w:tcBorders>
          </w:tcPr>
          <w:p>
            <w:pPr>
              <w:spacing w:after="0"/>
              <w:rPr>
                <w:sz w:val="3"/>
                <w:szCs w:val="3"/>
                <w:color w:val="auto"/>
              </w:rPr>
            </w:pPr>
          </w:p>
        </w:tc>
        <w:tc>
          <w:tcPr>
            <w:tcW w:w="282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r>
      <w:tr>
        <w:trPr>
          <w:trHeight w:val="116"/>
        </w:trPr>
        <w:tc>
          <w:tcPr>
            <w:tcW w:w="2680" w:type="dxa"/>
            <w:vAlign w:val="bottom"/>
          </w:tcPr>
          <w:p>
            <w:pPr>
              <w:spacing w:after="0"/>
              <w:rPr>
                <w:sz w:val="10"/>
                <w:szCs w:val="10"/>
                <w:color w:val="auto"/>
              </w:rPr>
            </w:pPr>
          </w:p>
        </w:tc>
        <w:tc>
          <w:tcPr>
            <w:tcW w:w="2820" w:type="dxa"/>
            <w:vAlign w:val="bottom"/>
          </w:tcPr>
          <w:p>
            <w:pPr>
              <w:ind w:left="1580"/>
              <w:spacing w:after="0" w:line="117" w:lineRule="exact"/>
              <w:rPr>
                <w:sz w:val="20"/>
                <w:szCs w:val="20"/>
                <w:color w:val="auto"/>
              </w:rPr>
            </w:pPr>
            <w:r>
              <w:rPr>
                <w:rFonts w:ascii="Arial" w:cs="Arial" w:eastAsia="Arial" w:hAnsi="Arial"/>
                <w:sz w:val="12"/>
                <w:szCs w:val="12"/>
                <w:b w:val="1"/>
                <w:bCs w:val="1"/>
                <w:color w:val="auto"/>
              </w:rPr>
              <w:t>Public offering</w:t>
            </w:r>
          </w:p>
        </w:tc>
        <w:tc>
          <w:tcPr>
            <w:tcW w:w="1300" w:type="dxa"/>
            <w:vAlign w:val="bottom"/>
          </w:tcPr>
          <w:p>
            <w:pPr>
              <w:ind w:left="260"/>
              <w:spacing w:after="0" w:line="117" w:lineRule="exact"/>
              <w:rPr>
                <w:sz w:val="20"/>
                <w:szCs w:val="20"/>
                <w:color w:val="auto"/>
              </w:rPr>
            </w:pPr>
            <w:r>
              <w:rPr>
                <w:rFonts w:ascii="Arial" w:cs="Arial" w:eastAsia="Arial" w:hAnsi="Arial"/>
                <w:sz w:val="12"/>
                <w:szCs w:val="12"/>
                <w:b w:val="1"/>
                <w:bCs w:val="1"/>
                <w:color w:val="auto"/>
              </w:rPr>
              <w:t>Underwriting</w:t>
            </w:r>
          </w:p>
        </w:tc>
        <w:tc>
          <w:tcPr>
            <w:tcW w:w="1460" w:type="dxa"/>
            <w:vAlign w:val="bottom"/>
          </w:tcPr>
          <w:p>
            <w:pPr>
              <w:jc w:val="center"/>
              <w:ind w:left="79"/>
              <w:spacing w:after="0" w:line="117" w:lineRule="exact"/>
              <w:rPr>
                <w:sz w:val="20"/>
                <w:szCs w:val="20"/>
                <w:color w:val="auto"/>
              </w:rPr>
            </w:pPr>
            <w:r>
              <w:rPr>
                <w:rFonts w:ascii="Arial" w:cs="Arial" w:eastAsia="Arial" w:hAnsi="Arial"/>
                <w:sz w:val="12"/>
                <w:szCs w:val="12"/>
                <w:b w:val="1"/>
                <w:bCs w:val="1"/>
                <w:color w:val="auto"/>
                <w:w w:val="96"/>
              </w:rPr>
              <w:t>Proceeds to us,</w:t>
            </w:r>
          </w:p>
        </w:tc>
      </w:tr>
      <w:tr>
        <w:trPr>
          <w:trHeight w:val="182"/>
        </w:trPr>
        <w:tc>
          <w:tcPr>
            <w:tcW w:w="26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jc w:val="center"/>
              <w:ind w:left="1119"/>
              <w:spacing w:after="0"/>
              <w:rPr>
                <w:sz w:val="20"/>
                <w:szCs w:val="20"/>
                <w:color w:val="auto"/>
              </w:rPr>
            </w:pPr>
            <w:r>
              <w:rPr>
                <w:rFonts w:ascii="Arial" w:cs="Arial" w:eastAsia="Arial" w:hAnsi="Arial"/>
                <w:sz w:val="14"/>
                <w:szCs w:val="14"/>
                <w:b w:val="1"/>
                <w:bCs w:val="1"/>
                <w:color w:val="auto"/>
                <w:w w:val="90"/>
              </w:rPr>
              <w:t>price(1)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discounts(2)</w:t>
            </w:r>
          </w:p>
        </w:tc>
        <w:tc>
          <w:tcPr>
            <w:tcW w:w="146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83"/>
              </w:rPr>
              <w:t>before expenses(1)</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Per 2027 Note</w:t>
            </w:r>
          </w:p>
        </w:tc>
        <w:tc>
          <w:tcPr>
            <w:tcW w:w="2820" w:type="dxa"/>
            <w:vAlign w:val="bottom"/>
          </w:tcPr>
          <w:p>
            <w:pPr>
              <w:jc w:val="center"/>
              <w:ind w:left="1119"/>
              <w:spacing w:after="0"/>
              <w:rPr>
                <w:sz w:val="20"/>
                <w:szCs w:val="20"/>
                <w:color w:val="auto"/>
              </w:rPr>
            </w:pPr>
            <w:r>
              <w:rPr>
                <w:rFonts w:ascii="Arial" w:cs="Arial" w:eastAsia="Arial" w:hAnsi="Arial"/>
                <w:sz w:val="18"/>
                <w:szCs w:val="18"/>
                <w:color w:val="auto"/>
                <w:w w:val="87"/>
              </w:rPr>
              <w:t>99.995%</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0.400%</w:t>
            </w:r>
          </w:p>
        </w:tc>
        <w:tc>
          <w:tcPr>
            <w:tcW w:w="1460" w:type="dxa"/>
            <w:vAlign w:val="bottom"/>
          </w:tcPr>
          <w:p>
            <w:pPr>
              <w:jc w:val="center"/>
              <w:ind w:left="79"/>
              <w:spacing w:after="0"/>
              <w:rPr>
                <w:sz w:val="20"/>
                <w:szCs w:val="20"/>
                <w:color w:val="auto"/>
              </w:rPr>
            </w:pPr>
            <w:r>
              <w:rPr>
                <w:rFonts w:ascii="Arial" w:cs="Arial" w:eastAsia="Arial" w:hAnsi="Arial"/>
                <w:sz w:val="18"/>
                <w:szCs w:val="18"/>
                <w:color w:val="auto"/>
                <w:w w:val="87"/>
              </w:rPr>
              <w:t>99.595%</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2027 Notes Total</w:t>
            </w:r>
          </w:p>
        </w:tc>
        <w:tc>
          <w:tcPr>
            <w:tcW w:w="2820" w:type="dxa"/>
            <w:vAlign w:val="bottom"/>
          </w:tcPr>
          <w:p>
            <w:pPr>
              <w:jc w:val="center"/>
              <w:ind w:left="1139"/>
              <w:spacing w:after="0"/>
              <w:rPr>
                <w:sz w:val="20"/>
                <w:szCs w:val="20"/>
                <w:color w:val="auto"/>
              </w:rPr>
            </w:pPr>
            <w:r>
              <w:rPr>
                <w:rFonts w:ascii="Arial" w:cs="Arial" w:eastAsia="Arial" w:hAnsi="Arial"/>
                <w:sz w:val="18"/>
                <w:szCs w:val="18"/>
                <w:color w:val="auto"/>
                <w:w w:val="87"/>
              </w:rPr>
              <w:t>$899,955,000</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$3,600,000</w:t>
            </w:r>
          </w:p>
        </w:tc>
        <w:tc>
          <w:tcPr>
            <w:tcW w:w="1460" w:type="dxa"/>
            <w:vAlign w:val="bottom"/>
          </w:tcPr>
          <w:p>
            <w:pPr>
              <w:jc w:val="center"/>
              <w:ind w:left="79"/>
              <w:spacing w:after="0"/>
              <w:rPr>
                <w:sz w:val="20"/>
                <w:szCs w:val="20"/>
                <w:color w:val="auto"/>
              </w:rPr>
            </w:pPr>
            <w:r>
              <w:rPr>
                <w:rFonts w:ascii="Arial" w:cs="Arial" w:eastAsia="Arial" w:hAnsi="Arial"/>
                <w:sz w:val="18"/>
                <w:szCs w:val="18"/>
                <w:color w:val="auto"/>
                <w:w w:val="88"/>
              </w:rPr>
              <w:t>$896,355,000</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Per 2030 Note</w:t>
            </w:r>
          </w:p>
        </w:tc>
        <w:tc>
          <w:tcPr>
            <w:tcW w:w="2820" w:type="dxa"/>
            <w:vAlign w:val="bottom"/>
          </w:tcPr>
          <w:p>
            <w:pPr>
              <w:jc w:val="center"/>
              <w:ind w:left="1119"/>
              <w:spacing w:after="0"/>
              <w:rPr>
                <w:sz w:val="20"/>
                <w:szCs w:val="20"/>
                <w:color w:val="auto"/>
              </w:rPr>
            </w:pPr>
            <w:r>
              <w:rPr>
                <w:rFonts w:ascii="Arial" w:cs="Arial" w:eastAsia="Arial" w:hAnsi="Arial"/>
                <w:sz w:val="18"/>
                <w:szCs w:val="18"/>
                <w:color w:val="auto"/>
                <w:w w:val="87"/>
              </w:rPr>
              <w:t>99.994%</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0.450%</w:t>
            </w:r>
          </w:p>
        </w:tc>
        <w:tc>
          <w:tcPr>
            <w:tcW w:w="1460" w:type="dxa"/>
            <w:vAlign w:val="bottom"/>
          </w:tcPr>
          <w:p>
            <w:pPr>
              <w:jc w:val="center"/>
              <w:ind w:left="79"/>
              <w:spacing w:after="0"/>
              <w:rPr>
                <w:sz w:val="20"/>
                <w:szCs w:val="20"/>
                <w:color w:val="auto"/>
              </w:rPr>
            </w:pPr>
            <w:r>
              <w:rPr>
                <w:rFonts w:ascii="Arial" w:cs="Arial" w:eastAsia="Arial" w:hAnsi="Arial"/>
                <w:sz w:val="18"/>
                <w:szCs w:val="18"/>
                <w:color w:val="auto"/>
                <w:w w:val="87"/>
              </w:rPr>
              <w:t>99.544%</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2030 Notes Total</w:t>
            </w:r>
          </w:p>
        </w:tc>
        <w:tc>
          <w:tcPr>
            <w:tcW w:w="2820" w:type="dxa"/>
            <w:vAlign w:val="bottom"/>
          </w:tcPr>
          <w:p>
            <w:pPr>
              <w:jc w:val="center"/>
              <w:ind w:left="1139"/>
              <w:spacing w:after="0"/>
              <w:rPr>
                <w:sz w:val="20"/>
                <w:szCs w:val="20"/>
                <w:color w:val="auto"/>
              </w:rPr>
            </w:pPr>
            <w:r>
              <w:rPr>
                <w:rFonts w:ascii="Arial" w:cs="Arial" w:eastAsia="Arial" w:hAnsi="Arial"/>
                <w:sz w:val="18"/>
                <w:szCs w:val="18"/>
                <w:color w:val="auto"/>
                <w:w w:val="87"/>
              </w:rPr>
              <w:t>$849,949,000</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$3,825,000</w:t>
            </w:r>
          </w:p>
        </w:tc>
        <w:tc>
          <w:tcPr>
            <w:tcW w:w="1460" w:type="dxa"/>
            <w:vAlign w:val="bottom"/>
          </w:tcPr>
          <w:p>
            <w:pPr>
              <w:jc w:val="center"/>
              <w:ind w:left="79"/>
              <w:spacing w:after="0"/>
              <w:rPr>
                <w:sz w:val="20"/>
                <w:szCs w:val="20"/>
                <w:color w:val="auto"/>
              </w:rPr>
            </w:pPr>
            <w:r>
              <w:rPr>
                <w:rFonts w:ascii="Arial" w:cs="Arial" w:eastAsia="Arial" w:hAnsi="Arial"/>
                <w:sz w:val="18"/>
                <w:szCs w:val="18"/>
                <w:color w:val="auto"/>
                <w:w w:val="88"/>
              </w:rPr>
              <w:t>$846,124,000</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Total</w:t>
            </w:r>
          </w:p>
        </w:tc>
        <w:tc>
          <w:tcPr>
            <w:tcW w:w="2820" w:type="dxa"/>
            <w:vAlign w:val="bottom"/>
          </w:tcPr>
          <w:p>
            <w:pPr>
              <w:jc w:val="center"/>
              <w:ind w:left="1119"/>
              <w:spacing w:after="0"/>
              <w:rPr>
                <w:sz w:val="20"/>
                <w:szCs w:val="20"/>
                <w:color w:val="auto"/>
              </w:rPr>
            </w:pPr>
            <w:r>
              <w:rPr>
                <w:rFonts w:ascii="Arial" w:cs="Arial" w:eastAsia="Arial" w:hAnsi="Arial"/>
                <w:sz w:val="18"/>
                <w:szCs w:val="18"/>
                <w:color w:val="auto"/>
                <w:w w:val="87"/>
              </w:rPr>
              <w:t>$1,749,904,000</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$7,425,000</w:t>
            </w:r>
          </w:p>
        </w:tc>
        <w:tc>
          <w:tcPr>
            <w:tcW w:w="1460" w:type="dxa"/>
            <w:vAlign w:val="bottom"/>
          </w:tcPr>
          <w:p>
            <w:pPr>
              <w:jc w:val="center"/>
              <w:ind w:left="79"/>
              <w:spacing w:after="0"/>
              <w:rPr>
                <w:sz w:val="20"/>
                <w:szCs w:val="20"/>
                <w:color w:val="auto"/>
              </w:rPr>
            </w:pPr>
            <w:r>
              <w:rPr>
                <w:rFonts w:ascii="Arial" w:cs="Arial" w:eastAsia="Arial" w:hAnsi="Arial"/>
                <w:sz w:val="18"/>
                <w:szCs w:val="18"/>
                <w:color w:val="auto"/>
                <w:w w:val="87"/>
              </w:rPr>
              <w:t>$1,742,479,000</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July 12, 2019.</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underwriters have agreed to reimburse us for certain expenses in connection with the offering. See "Underwriting."</w:t>
      </w:r>
    </w:p>
    <w:p>
      <w:pPr>
        <w:spacing w:after="0" w:line="225" w:lineRule="exact"/>
        <w:rPr>
          <w:sz w:val="20"/>
          <w:szCs w:val="20"/>
          <w:color w:val="auto"/>
        </w:rPr>
      </w:pPr>
    </w:p>
    <w:p>
      <w:pPr>
        <w:ind w:right="200" w:firstLine="395"/>
        <w:spacing w:after="0" w:line="259" w:lineRule="auto"/>
        <w:rPr>
          <w:sz w:val="20"/>
          <w:szCs w:val="20"/>
          <w:color w:val="auto"/>
        </w:rPr>
      </w:pPr>
      <w:r>
        <w:rPr>
          <w:rFonts w:ascii="Arial" w:cs="Arial" w:eastAsia="Arial" w:hAnsi="Arial"/>
          <w:sz w:val="18"/>
          <w:szCs w:val="18"/>
          <w:color w:val="auto"/>
        </w:rPr>
        <w:t>Interest on the notes will accrue from July 12, 2019.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31" w:right="239" w:bottom="414" w:gutter="0" w:footer="0" w:header="0"/>
        </w:sectPr>
      </w:pPr>
    </w:p>
    <w:bookmarkStart w:id="2" w:name="page3"/>
    <w:bookmarkEnd w:id="2"/>
    <w:p>
      <w:pPr>
        <w:ind w:right="260" w:firstLine="392"/>
        <w:spacing w:after="0" w:line="268" w:lineRule="auto"/>
        <w:rPr>
          <w:sz w:val="20"/>
          <w:szCs w:val="20"/>
          <w:color w:val="auto"/>
        </w:rPr>
      </w:pPr>
      <w:r>
        <w:rPr>
          <w:rFonts w:ascii="Arial" w:cs="Arial" w:eastAsia="Arial" w:hAnsi="Arial"/>
          <w:sz w:val="18"/>
          <w:szCs w:val="18"/>
          <w:color w:val="auto"/>
        </w:rPr>
        <w:t>The underwriters expect to deliver the notes to purchasers through the book-entry delivery system of The Depository Trust Company and its participants, including Euroclear Bank S.A./N.V. and Clearstream Banking, S.A. on or about July 12, 2019.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131"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2040"/>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Wells Fargo Securities</w:t>
      </w:r>
    </w:p>
    <w:p>
      <w:pPr>
        <w:spacing w:after="0" w:line="41" w:lineRule="exact"/>
        <w:rPr>
          <w:sz w:val="20"/>
          <w:szCs w:val="20"/>
          <w:color w:val="auto"/>
        </w:rPr>
      </w:pPr>
    </w:p>
    <w:p>
      <w:pPr>
        <w:sectPr>
          <w:pgSz w:w="11900" w:h="16838" w:orient="portrait"/>
          <w:cols w:equalWidth="0" w:num="3">
            <w:col w:w="4760" w:space="720"/>
            <w:col w:w="3160" w:space="720"/>
            <w:col w:w="2060"/>
          </w:cols>
          <w:pgMar w:left="240" w:top="131" w:right="239" w:bottom="1440" w:gutter="0" w:footer="0" w:header="0"/>
          <w:type w:val="continuous"/>
        </w:sectPr>
      </w:pPr>
    </w:p>
    <w:p>
      <w:pPr>
        <w:spacing w:after="0" w:line="21" w:lineRule="exact"/>
        <w:rPr>
          <w:sz w:val="20"/>
          <w:szCs w:val="20"/>
          <w:color w:val="auto"/>
        </w:rPr>
      </w:pPr>
    </w:p>
    <w:p>
      <w:pPr>
        <w:ind w:right="520"/>
        <w:spacing w:after="0" w:line="281" w:lineRule="auto"/>
        <w:rPr>
          <w:sz w:val="20"/>
          <w:szCs w:val="20"/>
          <w:color w:val="auto"/>
        </w:rPr>
      </w:pPr>
      <w:r>
        <w:rPr>
          <w:rFonts w:ascii="Arial" w:cs="Arial" w:eastAsia="Arial" w:hAnsi="Arial"/>
          <w:sz w:val="12"/>
          <w:szCs w:val="12"/>
          <w:b w:val="1"/>
          <w:bCs w:val="1"/>
          <w:color w:val="auto"/>
        </w:rPr>
        <w:t>ANZ Securities ICBC Standard Bank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BNP PARIBAS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Citigroup</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Mizuho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Credit Agricole CIB</w:t>
      </w:r>
    </w:p>
    <w:p>
      <w:pPr>
        <w:ind w:left="1060"/>
        <w:spacing w:after="0"/>
        <w:rPr>
          <w:sz w:val="20"/>
          <w:szCs w:val="20"/>
          <w:color w:val="auto"/>
        </w:rPr>
      </w:pPr>
      <w:r>
        <w:rPr>
          <w:rFonts w:ascii="Arial" w:cs="Arial" w:eastAsia="Arial" w:hAnsi="Arial"/>
          <w:sz w:val="14"/>
          <w:szCs w:val="14"/>
          <w:b w:val="1"/>
          <w:bCs w:val="1"/>
          <w:color w:val="auto"/>
        </w:rPr>
        <w:t>MUFG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Credit Suisse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HSBC</w:t>
      </w:r>
    </w:p>
    <w:p>
      <w:pPr>
        <w:jc w:val="right"/>
        <w:spacing w:after="0"/>
        <w:rPr>
          <w:sz w:val="20"/>
          <w:szCs w:val="20"/>
          <w:color w:val="auto"/>
        </w:rPr>
      </w:pPr>
      <w:r>
        <w:rPr>
          <w:rFonts w:ascii="Arial" w:cs="Arial" w:eastAsia="Arial" w:hAnsi="Arial"/>
          <w:sz w:val="12"/>
          <w:szCs w:val="12"/>
          <w:b w:val="1"/>
          <w:bCs w:val="1"/>
          <w:color w:val="auto"/>
        </w:rPr>
        <w:t>Morgan Stanley</w:t>
      </w:r>
    </w:p>
    <w:p>
      <w:pPr>
        <w:spacing w:after="0" w:line="217" w:lineRule="exact"/>
        <w:rPr>
          <w:sz w:val="20"/>
          <w:szCs w:val="20"/>
          <w:color w:val="auto"/>
        </w:rPr>
      </w:pPr>
    </w:p>
    <w:p>
      <w:pPr>
        <w:sectPr>
          <w:pgSz w:w="11900" w:h="16838" w:orient="portrait"/>
          <w:cols w:equalWidth="0" w:num="6">
            <w:col w:w="1780" w:space="720"/>
            <w:col w:w="960" w:space="720"/>
            <w:col w:w="1560" w:space="720"/>
            <w:col w:w="1820" w:space="720"/>
            <w:col w:w="780" w:space="720"/>
            <w:col w:w="920"/>
          </w:cols>
          <w:pgMar w:left="240" w:top="131"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131"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Academy Securities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Williams Capital Group, L.P.</w:t>
      </w:r>
    </w:p>
    <w:p>
      <w:pPr>
        <w:spacing w:after="0" w:line="200" w:lineRule="exact"/>
        <w:rPr>
          <w:sz w:val="20"/>
          <w:szCs w:val="20"/>
          <w:color w:val="auto"/>
        </w:rPr>
      </w:pPr>
    </w:p>
    <w:p>
      <w:pPr>
        <w:sectPr>
          <w:pgSz w:w="11900" w:h="16838" w:orient="portrait"/>
          <w:cols w:equalWidth="0" w:num="2">
            <w:col w:w="8760" w:space="720"/>
            <w:col w:w="1940"/>
          </w:cols>
          <w:pgMar w:left="240" w:top="131" w:right="2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July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80" w:type="dxa"/>
            <w:vAlign w:val="bottom"/>
            <w:gridSpan w:val="18"/>
            <w:vMerge w:val="restart"/>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CAUTIONARY NOTE ON FORWARD-LOOKING STATEMENTS</w:t>
              </w:r>
            </w:hyperlink>
          </w:p>
        </w:tc>
        <w:tc>
          <w:tcPr>
            <w:tcW w:w="3920" w:type="dxa"/>
            <w:vAlign w:val="bottom"/>
            <w:gridSpan w:val="2"/>
            <w:vMerge w:val="restart"/>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880" w:type="dxa"/>
            <w:vAlign w:val="bottom"/>
            <w:tcBorders>
              <w:bottom w:val="single" w:sz="8" w:color="0000EE"/>
            </w:tcBorders>
            <w:gridSpan w:val="18"/>
            <w:vMerge w:val="continue"/>
          </w:tcPr>
          <w:p>
            <w:pPr>
              <w:spacing w:after="0"/>
              <w:rPr>
                <w:sz w:val="14"/>
                <w:szCs w:val="14"/>
                <w:color w:val="auto"/>
              </w:rPr>
            </w:pPr>
          </w:p>
        </w:tc>
        <w:tc>
          <w:tcPr>
            <w:tcW w:w="3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0000EE"/>
            </w:tcBorders>
            <w:gridSpan w:val="3"/>
          </w:tcPr>
          <w:p>
            <w:pPr>
              <w:jc w:val="right"/>
              <w:spacing w:after="0" w:line="170"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ABOUT THIS PROSPECTUS SUPPLEMENT</w:t>
              </w:r>
            </w:hyperlink>
          </w:p>
        </w:tc>
        <w:tc>
          <w:tcPr>
            <w:tcW w:w="54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S-1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S-7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USE OF PROCEEDS</w:t>
              </w:r>
            </w:hyperlink>
          </w:p>
        </w:tc>
        <w:tc>
          <w:tcPr>
            <w:tcW w:w="72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78"/>
              </w:rPr>
            </w:pPr>
            <w:hyperlink w:anchor="page17">
              <w:r>
                <w:rPr>
                  <w:rFonts w:ascii="Arial" w:cs="Arial" w:eastAsia="Arial" w:hAnsi="Arial"/>
                  <w:sz w:val="18"/>
                  <w:szCs w:val="18"/>
                  <w:color w:val="0000EE"/>
                  <w:w w:val="78"/>
                </w:rPr>
                <w:t>S-11</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CASH AND CAPITALIZATION</w:t>
              </w:r>
            </w:hyperlink>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2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THE NOTES</w:t>
              </w:r>
            </w:hyperlink>
          </w:p>
        </w:tc>
        <w:tc>
          <w:tcPr>
            <w:tcW w:w="6380" w:type="dxa"/>
            <w:vAlign w:val="bottom"/>
            <w:gridSpan w:val="8"/>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MATERIAL U.S. FEDERAL INCOME TAX CONSEQUENCES</w:t>
              </w:r>
            </w:hyperlink>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S-37</w:t>
              </w:r>
            </w:hyperlink>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UNDERWRITING</w:t>
              </w:r>
            </w:hyperlink>
          </w:p>
        </w:tc>
        <w:tc>
          <w:tcPr>
            <w:tcW w:w="4160" w:type="dxa"/>
            <w:vAlign w:val="bottom"/>
            <w:gridSpan w:val="3"/>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Arial" w:cs="Arial" w:eastAsia="Arial" w:hAnsi="Arial"/>
                <w:sz w:val="18"/>
                <w:szCs w:val="18"/>
                <w:color w:val="0000EE"/>
                <w:w w:val="84"/>
              </w:rPr>
            </w:pPr>
            <w:hyperlink w:anchor="page48">
              <w:r>
                <w:rPr>
                  <w:rFonts w:ascii="Arial" w:cs="Arial" w:eastAsia="Arial" w:hAnsi="Arial"/>
                  <w:sz w:val="18"/>
                  <w:szCs w:val="18"/>
                  <w:color w:val="0000EE"/>
                  <w:w w:val="84"/>
                </w:rPr>
                <w:t>S-42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22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VALIDITY OF SECURITIES</w:t>
              </w:r>
            </w:hyperlink>
          </w:p>
        </w:tc>
        <w:tc>
          <w:tcPr>
            <w:tcW w:w="6660" w:type="dxa"/>
            <w:vAlign w:val="bottom"/>
            <w:gridSpan w:val="11"/>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54">
              <w:r>
                <w:rPr>
                  <w:rFonts w:ascii="Arial" w:cs="Arial" w:eastAsia="Arial" w:hAnsi="Arial"/>
                  <w:sz w:val="18"/>
                  <w:szCs w:val="18"/>
                  <w:color w:val="0000EE"/>
                  <w:w w:val="84"/>
                </w:rPr>
                <w:t>S-48</w:t>
              </w:r>
            </w:hyperlink>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EXPERTS</w:t>
              </w:r>
            </w:hyperlink>
          </w:p>
        </w:tc>
        <w:tc>
          <w:tcPr>
            <w:tcW w:w="8040" w:type="dxa"/>
            <w:vAlign w:val="bottom"/>
            <w:gridSpan w:val="19"/>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54">
              <w:r>
                <w:rPr>
                  <w:rFonts w:ascii="Arial" w:cs="Arial" w:eastAsia="Arial" w:hAnsi="Arial"/>
                  <w:sz w:val="18"/>
                  <w:szCs w:val="18"/>
                  <w:color w:val="0000EE"/>
                  <w:w w:val="84"/>
                </w:rPr>
                <w:t>S-48</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55">
              <w:r>
                <w:rPr>
                  <w:rFonts w:ascii="Arial" w:cs="Arial" w:eastAsia="Arial" w:hAnsi="Arial"/>
                  <w:sz w:val="18"/>
                  <w:szCs w:val="18"/>
                  <w:color w:val="0000EE"/>
                  <w:w w:val="84"/>
                </w:rPr>
                <w:t>S-49</w:t>
              </w:r>
            </w:hyperlink>
          </w:p>
        </w:tc>
        <w:tc>
          <w:tcPr>
            <w:tcW w:w="0" w:type="dxa"/>
            <w:vAlign w:val="bottom"/>
          </w:tcPr>
          <w:p>
            <w:pPr>
              <w:spacing w:after="0"/>
              <w:rPr>
                <w:sz w:val="1"/>
                <w:szCs w:val="1"/>
                <w:color w:val="auto"/>
              </w:rPr>
            </w:pPr>
          </w:p>
        </w:tc>
      </w:tr>
      <w:tr>
        <w:trPr>
          <w:trHeight w:val="667"/>
        </w:trPr>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60" w:type="dxa"/>
            <w:vAlign w:val="bottom"/>
            <w:gridSpan w:val="4"/>
          </w:tcPr>
          <w:p>
            <w:pPr>
              <w:ind w:left="400"/>
              <w:spacing w:after="0"/>
              <w:rPr>
                <w:sz w:val="20"/>
                <w:szCs w:val="20"/>
                <w:color w:val="auto"/>
              </w:rPr>
            </w:pPr>
            <w:r>
              <w:rPr>
                <w:rFonts w:ascii="Arial" w:cs="Arial" w:eastAsia="Arial" w:hAnsi="Arial"/>
                <w:sz w:val="18"/>
                <w:szCs w:val="18"/>
                <w:b w:val="1"/>
                <w:bCs w:val="1"/>
                <w:color w:val="auto"/>
              </w:rPr>
              <w:t>Prospectus</w:t>
            </w: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800" w:type="dxa"/>
            <w:vAlign w:val="bottom"/>
            <w:gridSpan w:val="20"/>
            <w:vMerge w:val="restart"/>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ABOUT THIS PROSPECTUS</w:t>
              </w:r>
            </w:hyperlink>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8800" w:type="dxa"/>
            <w:vAlign w:val="bottom"/>
            <w:gridSpan w:val="20"/>
            <w:vMerge w:val="continue"/>
          </w:tcPr>
          <w:p>
            <w:pPr>
              <w:spacing w:after="0"/>
              <w:rPr>
                <w:sz w:val="14"/>
                <w:szCs w:val="14"/>
                <w:color w:val="auto"/>
              </w:rPr>
            </w:pPr>
          </w:p>
        </w:tc>
        <w:tc>
          <w:tcPr>
            <w:tcW w:w="340" w:type="dxa"/>
            <w:vAlign w:val="bottom"/>
            <w:gridSpan w:val="6"/>
          </w:tcPr>
          <w:p>
            <w:pPr>
              <w:jc w:val="right"/>
              <w:spacing w:after="0" w:line="170" w:lineRule="exact"/>
              <w:rPr>
                <w:rFonts w:ascii="Arial" w:cs="Arial" w:eastAsia="Arial" w:hAnsi="Arial"/>
                <w:sz w:val="18"/>
                <w:szCs w:val="18"/>
                <w:color w:val="0000EE"/>
              </w:rPr>
            </w:pPr>
            <w:hyperlink w:anchor="page5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19"/>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WHERE YOU CAN FIND MORE INFORMATION; INCORPORATION BY REFERENCE</w:t>
              </w:r>
            </w:hyperlink>
          </w:p>
        </w:tc>
        <w:tc>
          <w:tcPr>
            <w:tcW w:w="22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THE COMPANY</w:t>
              </w:r>
            </w:hyperlink>
          </w:p>
        </w:tc>
        <w:tc>
          <w:tcPr>
            <w:tcW w:w="5320" w:type="dxa"/>
            <w:vAlign w:val="bottom"/>
            <w:gridSpan w:val="15"/>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RISK FACTORS</w:t>
              </w:r>
            </w:hyperlink>
          </w:p>
        </w:tc>
        <w:tc>
          <w:tcPr>
            <w:tcW w:w="7540" w:type="dxa"/>
            <w:vAlign w:val="bottom"/>
            <w:gridSpan w:val="16"/>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7"/>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USE OF PROCEEDS</w:t>
              </w:r>
            </w:hyperlink>
          </w:p>
        </w:tc>
        <w:tc>
          <w:tcPr>
            <w:tcW w:w="7240" w:type="dxa"/>
            <w:vAlign w:val="bottom"/>
            <w:gridSpan w:val="13"/>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RATIO OF EARNINGS TO FIXED CHARGES</w:t>
              </w:r>
            </w:hyperlink>
          </w:p>
        </w:tc>
        <w:tc>
          <w:tcPr>
            <w:tcW w:w="340" w:type="dxa"/>
            <w:vAlign w:val="bottom"/>
            <w:gridSpan w:val="6"/>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3"/>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DESCRIPTION OF SECURITIES</w:t>
              </w:r>
            </w:hyperlink>
          </w:p>
        </w:tc>
        <w:tc>
          <w:tcPr>
            <w:tcW w:w="960" w:type="dxa"/>
            <w:vAlign w:val="bottom"/>
            <w:gridSpan w:val="2"/>
          </w:tcPr>
          <w:p>
            <w:pPr>
              <w:spacing w:after="0"/>
              <w:rPr>
                <w:sz w:val="17"/>
                <w:szCs w:val="17"/>
                <w:color w:val="auto"/>
              </w:rPr>
            </w:pPr>
          </w:p>
        </w:tc>
        <w:tc>
          <w:tcPr>
            <w:tcW w:w="5380" w:type="dxa"/>
            <w:vAlign w:val="bottom"/>
            <w:gridSpan w:val="5"/>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PLAN OF DISTRIBUTION</w:t>
              </w:r>
            </w:hyperlink>
          </w:p>
        </w:tc>
        <w:tc>
          <w:tcPr>
            <w:tcW w:w="6340" w:type="dxa"/>
            <w:vAlign w:val="bottom"/>
            <w:gridSpan w:val="7"/>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LEGAL MATTERS</w:t>
              </w:r>
            </w:hyperlink>
          </w:p>
        </w:tc>
        <w:tc>
          <w:tcPr>
            <w:tcW w:w="6800" w:type="dxa"/>
            <w:vAlign w:val="bottom"/>
            <w:gridSpan w:val="12"/>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380" w:type="dxa"/>
            <w:vAlign w:val="bottom"/>
            <w:gridSpan w:val="14"/>
          </w:tcPr>
          <w:p>
            <w:pPr>
              <w:spacing w:after="0"/>
              <w:rPr>
                <w:sz w:val="17"/>
                <w:szCs w:val="17"/>
                <w:color w:val="auto"/>
              </w:rPr>
            </w:pPr>
          </w:p>
        </w:tc>
        <w:tc>
          <w:tcPr>
            <w:tcW w:w="16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jc w:val="both"/>
        <w:ind w:right="100" w:firstLine="348"/>
        <w:spacing w:after="0" w:line="298" w:lineRule="auto"/>
        <w:rPr>
          <w:sz w:val="20"/>
          <w:szCs w:val="20"/>
          <w:color w:val="auto"/>
        </w:rPr>
      </w:pPr>
      <w:r>
        <w:rPr>
          <w:rFonts w:ascii="Arial" w:cs="Arial" w:eastAsia="Arial" w:hAnsi="Arial"/>
          <w:sz w:val="16"/>
          <w:szCs w:val="16"/>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 "would" and similar expressions or the negative of these words and phrases, other variations of these words and phrases or comparable terminology.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relate to, among other things:</w:t>
      </w:r>
    </w:p>
    <w:p>
      <w:pPr>
        <w:spacing w:after="0" w:line="21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35"/>
          <w:szCs w:val="35"/>
          <w:color w:val="auto"/>
          <w:vertAlign w:val="superscript"/>
        </w:rPr>
      </w:pPr>
      <w:r>
        <w:rPr>
          <w:rFonts w:ascii="Arial" w:cs="Arial" w:eastAsia="Arial" w:hAnsi="Arial"/>
          <w:sz w:val="18"/>
          <w:szCs w:val="18"/>
          <w:color w:val="auto"/>
        </w:rPr>
        <w:t>statements such as those made regarding our expected 3D XPoint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development activities with Intel Corporation ("Intel");</w:t>
      </w:r>
    </w:p>
    <w:p>
      <w:pPr>
        <w:spacing w:after="0" w:line="116" w:lineRule="exact"/>
        <w:rPr>
          <w:rFonts w:ascii="Arial" w:cs="Arial" w:eastAsia="Arial" w:hAnsi="Arial"/>
          <w:sz w:val="35"/>
          <w:szCs w:val="35"/>
          <w:color w:val="auto"/>
          <w:vertAlign w:val="superscript"/>
        </w:rPr>
      </w:pPr>
    </w:p>
    <w:p>
      <w:pPr>
        <w:ind w:left="1080" w:right="1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we expect to fund for the purchase price of Intel's non-controlling interest in IM Flash Technologies, LLC ("IM Flash") and IM Flash debt owed to Intel;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from time to time, to engage in additional financing transactions;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investments, cash flows from operations, and available financing to meet our requirements at least through the next 12 months;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spending in 2019;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25" w:lineRule="exact"/>
        <w:rPr>
          <w:sz w:val="20"/>
          <w:szCs w:val="20"/>
          <w:color w:val="auto"/>
        </w:rPr>
      </w:pPr>
    </w:p>
    <w:p>
      <w:pPr>
        <w:ind w:firstLine="351"/>
        <w:spacing w:after="0" w:line="254" w:lineRule="auto"/>
        <w:rPr>
          <w:rFonts w:ascii="Arial" w:cs="Arial" w:eastAsia="Arial" w:hAnsi="Arial"/>
          <w:sz w:val="18"/>
          <w:szCs w:val="18"/>
          <w:color w:val="0000EE"/>
        </w:rPr>
      </w:pPr>
      <w:r>
        <w:rPr>
          <w:rFonts w:ascii="Arial" w:cs="Arial" w:eastAsia="Arial" w:hAnsi="Arial"/>
          <w:sz w:val="18"/>
          <w:szCs w:val="18"/>
          <w:color w:val="auto"/>
        </w:rPr>
        <w:t xml:space="preserve">Our actual results could differ materially from our historical results and those discussed in the forward-looking statements. Factors that could cause actual </w:t>
      </w:r>
      <w:hyperlink r:id="rId16">
        <w:r>
          <w:rPr>
            <w:rFonts w:ascii="Arial" w:cs="Arial" w:eastAsia="Arial" w:hAnsi="Arial"/>
            <w:sz w:val="18"/>
            <w:szCs w:val="18"/>
            <w:color w:val="auto"/>
          </w:rPr>
          <w:t xml:space="preserve">results to differ materially include, but are not limited to those identified in the section titled "Risk Factors" of this prospectus supplement and in our </w:t>
        </w:r>
        <w:r>
          <w:rPr>
            <w:rFonts w:ascii="Arial" w:cs="Arial" w:eastAsia="Arial" w:hAnsi="Arial"/>
            <w:sz w:val="18"/>
            <w:szCs w:val="18"/>
            <w:u w:val="single" w:color="auto"/>
            <w:color w:val="0000EE"/>
          </w:rPr>
          <w:t>Annual</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Report on Form 10-K</w:t>
        </w:r>
        <w:r>
          <w:rPr>
            <w:rFonts w:ascii="Arial" w:cs="Arial" w:eastAsia="Arial" w:hAnsi="Arial"/>
            <w:sz w:val="18"/>
            <w:szCs w:val="18"/>
            <w:color w:val="0000EE"/>
          </w:rPr>
          <w:t xml:space="preserve"> </w:t>
        </w:r>
        <w:r>
          <w:rPr>
            <w:rFonts w:ascii="Arial" w:cs="Arial" w:eastAsia="Arial" w:hAnsi="Arial"/>
            <w:sz w:val="18"/>
            <w:szCs w:val="18"/>
            <w:color w:val="000000"/>
          </w:rPr>
          <w:t>and our</w:t>
        </w:r>
        <w:r>
          <w:rPr>
            <w:rFonts w:ascii="Arial" w:cs="Arial" w:eastAsia="Arial" w:hAnsi="Arial"/>
            <w:sz w:val="18"/>
            <w:szCs w:val="18"/>
            <w:color w:val="0000EE"/>
          </w:rPr>
          <w:t xml:space="preserve"> </w:t>
        </w:r>
      </w:hyperlink>
      <w:hyperlink r:id="rId17">
        <w:r>
          <w:rPr>
            <w:rFonts w:ascii="Arial" w:cs="Arial" w:eastAsia="Arial" w:hAnsi="Arial"/>
            <w:sz w:val="18"/>
            <w:szCs w:val="18"/>
            <w:u w:val="single" w:color="auto"/>
            <w:color w:val="0000EE"/>
          </w:rPr>
          <w:t xml:space="preserve">Quarterly Reports on Form 10-Q </w:t>
        </w:r>
      </w:hyperlink>
      <w:hyperlink r:id="rId16">
        <w:r>
          <w:rPr>
            <w:rFonts w:ascii="Arial" w:cs="Arial" w:eastAsia="Arial" w:hAnsi="Arial"/>
            <w:sz w:val="18"/>
            <w:szCs w:val="18"/>
            <w:color w:val="000000"/>
          </w:rPr>
          <w:t>incorporated by reference herein and as may be updated in filings we make with the U.S.</w:t>
        </w:r>
      </w:hyperlink>
      <w:r>
        <w:rPr>
          <w:rFonts w:ascii="Arial" w:cs="Arial" w:eastAsia="Arial" w:hAnsi="Arial"/>
          <w:sz w:val="18"/>
          <w:szCs w:val="18"/>
          <w:color w:val="0000EE"/>
        </w:rPr>
        <w:t xml:space="preserve"> </w:t>
      </w:r>
      <w:r>
        <w:rPr>
          <w:rFonts w:ascii="Arial" w:cs="Arial" w:eastAsia="Arial" w:hAnsi="Arial"/>
          <w:sz w:val="18"/>
          <w:szCs w:val="18"/>
          <w:color w:val="000000"/>
        </w:rPr>
        <w:t>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98" w:lineRule="exact"/>
        <w:rPr>
          <w:rFonts w:ascii="Arial" w:cs="Arial" w:eastAsia="Arial" w:hAnsi="Arial"/>
          <w:sz w:val="18"/>
          <w:szCs w:val="18"/>
          <w:color w:val="0000EE"/>
        </w:rPr>
      </w:pPr>
    </w:p>
    <w:p>
      <w:pPr>
        <w:jc w:val="both"/>
        <w:ind w:right="180" w:firstLine="341"/>
        <w:spacing w:after="0" w:line="298" w:lineRule="auto"/>
        <w:rPr>
          <w:sz w:val="20"/>
          <w:szCs w:val="20"/>
          <w:color w:val="auto"/>
        </w:rPr>
      </w:pPr>
      <w:r>
        <w:rPr>
          <w:rFonts w:ascii="Arial" w:cs="Arial" w:eastAsia="Arial" w:hAnsi="Arial"/>
          <w:sz w:val="16"/>
          <w:szCs w:val="16"/>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67"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prospectus supplement and the accompanying prospectus dated October 10, 2017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78" w:lineRule="exact"/>
        <w:rPr>
          <w:sz w:val="20"/>
          <w:szCs w:val="20"/>
          <w:color w:val="auto"/>
        </w:rPr>
      </w:pPr>
    </w:p>
    <w:p>
      <w:pPr>
        <w:ind w:right="60"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72" w:lineRule="exact"/>
        <w:rPr>
          <w:sz w:val="20"/>
          <w:szCs w:val="20"/>
          <w:color w:val="auto"/>
        </w:rPr>
      </w:pPr>
    </w:p>
    <w:p>
      <w:pPr>
        <w:ind w:right="160" w:firstLine="345"/>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9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60" w:firstLine="351"/>
        <w:spacing w:after="0" w:line="314" w:lineRule="auto"/>
        <w:rPr>
          <w:rFonts w:ascii="Arial" w:cs="Arial" w:eastAsia="Arial" w:hAnsi="Arial"/>
          <w:sz w:val="15"/>
          <w:szCs w:val="15"/>
          <w:i w:val="1"/>
          <w:iCs w:val="1"/>
          <w:color w:val="0000EE"/>
        </w:rPr>
      </w:pPr>
      <w:r>
        <w:rPr>
          <w:rFonts w:ascii="Arial" w:cs="Arial" w:eastAsia="Arial" w:hAnsi="Arial"/>
          <w:sz w:val="15"/>
          <w:szCs w:val="15"/>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w:t>
      </w:r>
      <w:hyperlink r:id="rId17">
        <w:r>
          <w:rPr>
            <w:rFonts w:ascii="Arial" w:cs="Arial" w:eastAsia="Arial" w:hAnsi="Arial"/>
            <w:sz w:val="15"/>
            <w:szCs w:val="15"/>
            <w:i w:val="1"/>
            <w:iCs w:val="1"/>
            <w:color w:val="auto"/>
          </w:rPr>
          <w:t xml:space="preserve">heading "Risk Factors" included in this prospectus supplement, our </w:t>
        </w:r>
        <w:r>
          <w:rPr>
            <w:rFonts w:ascii="Arial" w:cs="Arial" w:eastAsia="Arial" w:hAnsi="Arial"/>
            <w:sz w:val="15"/>
            <w:szCs w:val="15"/>
            <w:i w:val="1"/>
            <w:iCs w:val="1"/>
            <w:u w:val="single" w:color="auto"/>
            <w:color w:val="0000EE"/>
          </w:rPr>
          <w:t>Annual Report on Form 10-K for the year ended August 30, 2018</w:t>
        </w:r>
        <w:r>
          <w:rPr>
            <w:rFonts w:ascii="Arial" w:cs="Arial" w:eastAsia="Arial" w:hAnsi="Arial"/>
            <w:sz w:val="15"/>
            <w:szCs w:val="15"/>
            <w:i w:val="1"/>
            <w:iCs w:val="1"/>
            <w:color w:val="auto"/>
          </w:rPr>
          <w:t xml:space="preserve">, our </w:t>
        </w:r>
        <w:r>
          <w:rPr>
            <w:rFonts w:ascii="Arial" w:cs="Arial" w:eastAsia="Arial" w:hAnsi="Arial"/>
            <w:sz w:val="15"/>
            <w:szCs w:val="15"/>
            <w:i w:val="1"/>
            <w:iCs w:val="1"/>
            <w:u w:val="single" w:color="auto"/>
            <w:color w:val="0000EE"/>
          </w:rPr>
          <w:t>Quarterly</w:t>
        </w:r>
      </w:hyperlink>
      <w:r>
        <w:rPr>
          <w:rFonts w:ascii="Arial" w:cs="Arial" w:eastAsia="Arial" w:hAnsi="Arial"/>
          <w:sz w:val="15"/>
          <w:szCs w:val="15"/>
          <w:i w:val="1"/>
          <w:iCs w:val="1"/>
          <w:color w:val="auto"/>
        </w:rPr>
        <w:t xml:space="preserve"> </w:t>
      </w:r>
      <w:hyperlink r:id="rId17">
        <w:r>
          <w:rPr>
            <w:rFonts w:ascii="Arial" w:cs="Arial" w:eastAsia="Arial" w:hAnsi="Arial"/>
            <w:sz w:val="15"/>
            <w:szCs w:val="15"/>
            <w:i w:val="1"/>
            <w:iCs w:val="1"/>
            <w:u w:val="single" w:color="auto"/>
            <w:color w:val="0000EE"/>
          </w:rPr>
          <w:t>Report on Form 10-Q for the quarter ended May 30, 2019</w:t>
        </w:r>
        <w:r>
          <w:rPr>
            <w:rFonts w:ascii="Arial" w:cs="Arial" w:eastAsia="Arial" w:hAnsi="Arial"/>
            <w:sz w:val="15"/>
            <w:szCs w:val="15"/>
            <w:i w:val="1"/>
            <w:iCs w:val="1"/>
            <w:color w:val="000000"/>
          </w:rPr>
          <w:t>, documents that we subsequently file with the SEC and the financial statements and other</w:t>
        </w:r>
      </w:hyperlink>
      <w:r>
        <w:rPr>
          <w:rFonts w:ascii="Arial" w:cs="Arial" w:eastAsia="Arial" w:hAnsi="Arial"/>
          <w:sz w:val="15"/>
          <w:szCs w:val="15"/>
          <w:i w:val="1"/>
          <w:iCs w:val="1"/>
          <w:color w:val="0000EE"/>
        </w:rPr>
        <w:t xml:space="preserve"> </w:t>
      </w:r>
      <w:r>
        <w:rPr>
          <w:rFonts w:ascii="Arial" w:cs="Arial" w:eastAsia="Arial" w:hAnsi="Arial"/>
          <w:sz w:val="15"/>
          <w:szCs w:val="15"/>
          <w:i w:val="1"/>
          <w:iCs w:val="1"/>
          <w:color w:val="000000"/>
        </w:rPr>
        <w:t>information included or incorporated by reference in this prospectus supplement and the accompanying prospectus, before making an investment decision.</w:t>
      </w: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240" w:right="100" w:firstLine="348"/>
        <w:spacing w:after="0" w:line="255" w:lineRule="auto"/>
        <w:rPr>
          <w:sz w:val="20"/>
          <w:szCs w:val="20"/>
          <w:color w:val="auto"/>
        </w:rPr>
      </w:pPr>
      <w:r>
        <w:rPr>
          <w:rFonts w:ascii="Arial" w:cs="Arial" w:eastAsia="Arial" w:hAnsi="Arial"/>
          <w:sz w:val="18"/>
          <w:szCs w:val="18"/>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data center, networking, automotive, industrial, mobile, graphics, and client.</w:t>
      </w:r>
    </w:p>
    <w:p>
      <w:pPr>
        <w:spacing w:after="0" w:line="197" w:lineRule="exact"/>
        <w:rPr>
          <w:sz w:val="20"/>
          <w:szCs w:val="20"/>
          <w:color w:val="auto"/>
        </w:rPr>
      </w:pPr>
    </w:p>
    <w:p>
      <w:pPr>
        <w:ind w:left="240" w:right="40" w:firstLine="348"/>
        <w:spacing w:after="0" w:line="268" w:lineRule="auto"/>
        <w:rPr>
          <w:sz w:val="20"/>
          <w:szCs w:val="20"/>
          <w:color w:val="auto"/>
        </w:rPr>
      </w:pPr>
      <w:r>
        <w:rPr>
          <w:rFonts w:ascii="Arial" w:cs="Arial" w:eastAsia="Arial" w:hAnsi="Arial"/>
          <w:sz w:val="18"/>
          <w:szCs w:val="18"/>
          <w:color w:val="auto"/>
        </w:rPr>
        <w:t>We manufacture our products at our worldwide, wholly-owned and joint venture facilities. In recent years, we have increased our manufacturing scale and product diversity through strategic acquisitions, expansion, and various partnering arrangements.</w:t>
      </w:r>
    </w:p>
    <w:p>
      <w:pPr>
        <w:spacing w:after="0" w:line="186" w:lineRule="exact"/>
        <w:rPr>
          <w:sz w:val="20"/>
          <w:szCs w:val="20"/>
          <w:color w:val="auto"/>
        </w:rPr>
      </w:pPr>
    </w:p>
    <w:p>
      <w:pPr>
        <w:ind w:left="240" w:right="20" w:firstLine="348"/>
        <w:spacing w:after="0" w:line="289" w:lineRule="auto"/>
        <w:rPr>
          <w:sz w:val="20"/>
          <w:szCs w:val="20"/>
          <w:color w:val="auto"/>
        </w:rPr>
      </w:pPr>
      <w:r>
        <w:rPr>
          <w:rFonts w:ascii="Arial" w:cs="Arial" w:eastAsia="Arial" w:hAnsi="Arial"/>
          <w:sz w:val="16"/>
          <w:szCs w:val="16"/>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reduced package size, lower power consumption, improved read/write reliability, and increased memory density. Storage products incorporating NAND, a controller, and firmware constitute a significant and increasing portion of our revenues. We generally develop firmware and, in the first quarter of 2019, introduced proprietary controllers into our SSDs. Development of advanced technologies enables us to diversify our product portfolio toward a richer mix of differentiated, high-value solutions and to target high-growth markets.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On July 9, 2019, we entered into an amendment to our existing revolving credit facility (the "Revolving Credit Facility") providing for an incremental secured senior term loan A facility providing for term loans in an aggregate principal amount of up to $1.25 billion (the "Term Loan A Credit Facility"), which, subject to satisfaction of customary conditions, may be borrowed in a single draw anytime on or prior to November 9, 2019. The Term Loan A Credit Facility is secured by the same collateral that secures our existing revolving credit facility (the "Revolving Credit Facility"), and such lien has the same priority as the Revolving Credit Facility in such collateral. The Term Loan A Credit Facility is scheduled to mature on the fifth anniversary of the funding of the Term Loan A Credit Facility (the "Maturity Date"). We must repay 5% of the initial aggregate principal amount borrowed under the Term Loan A Facility on each anniversary of the funding thereof, with the remaining outstanding principal amount of all such borrowings due and payable on the Maturity Date. Borrowings under the Term Loan A Credit Facility will bear interest, at our option, at a base rate or LIBOR, plus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302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50430" cy="230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55" w:lineRule="auto"/>
        <w:rPr>
          <w:sz w:val="20"/>
          <w:szCs w:val="20"/>
          <w:color w:val="auto"/>
        </w:rPr>
      </w:pPr>
      <w:r>
        <w:rPr>
          <w:rFonts w:ascii="Arial" w:cs="Arial" w:eastAsia="Arial" w:hAnsi="Arial"/>
          <w:sz w:val="18"/>
          <w:szCs w:val="18"/>
          <w:color w:val="auto"/>
        </w:rPr>
        <w:t>an applicable interest rate margin varying depending on our corporate ratings or leverage ratio, whichever yields a lower pricing level. The additional interest rate margin for borrowings ranges from 0.25% to 1.00% per annum in the case of base rate borrowings and from 1.25% to 2.00% per annum in the case of LIBOR borrowings. We will also pay a ticking fee on the term loan commitments under the Term Loan A Credit Facility at an applicable rate varying depending on our corporate ratings or leverage ratio, whichever yields a lower pricing level. The applicable ticking fee rate ranges from 0.20% to 0.35%.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firstLine="348"/>
        <w:spacing w:after="0" w:line="298" w:lineRule="auto"/>
        <w:rPr>
          <w:sz w:val="20"/>
          <w:szCs w:val="20"/>
          <w:color w:val="auto"/>
        </w:rPr>
      </w:pPr>
      <w:r>
        <w:rPr>
          <w:rFonts w:ascii="Arial" w:cs="Arial" w:eastAsia="Arial" w:hAnsi="Arial"/>
          <w:sz w:val="16"/>
          <w:szCs w:val="16"/>
          <w:color w:val="auto"/>
        </w:rPr>
        <w:t>We were originally incorporated in Idaho in 1978. In 1984, we were reincorporated in Delaware. Our executive offices are located at 8000 South Federal Way, Boise, Idaho 83716-9632 and our telephone number is (208) 368-4000. Information about the Company is available on the internet at www.micron.com. The information contained or incorporated in our website is not part of this prospectus supplement or the accompanying prospectus. You should not rely on any such information in making your decision whether to purchase the notes.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13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50430" cy="681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260" w:firstLine="351"/>
        <w:spacing w:after="0" w:line="298" w:lineRule="auto"/>
        <w:rPr>
          <w:sz w:val="20"/>
          <w:szCs w:val="20"/>
          <w:color w:val="auto"/>
        </w:rPr>
      </w:pPr>
      <w:r>
        <w:rPr>
          <w:rFonts w:ascii="Arial" w:cs="Arial" w:eastAsia="Arial" w:hAnsi="Arial"/>
          <w:sz w:val="16"/>
          <w:szCs w:val="16"/>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ind w:left="240"/>
              <w:spacing w:after="0"/>
              <w:rPr>
                <w:sz w:val="20"/>
                <w:szCs w:val="20"/>
                <w:color w:val="auto"/>
              </w:rPr>
            </w:pPr>
            <w:r>
              <w:rPr>
                <w:rFonts w:ascii="Arial" w:cs="Arial" w:eastAsia="Arial" w:hAnsi="Arial"/>
                <w:sz w:val="18"/>
                <w:szCs w:val="18"/>
                <w:color w:val="auto"/>
              </w:rPr>
              <w:t>Issuer</w:t>
            </w:r>
          </w:p>
        </w:tc>
        <w:tc>
          <w:tcPr>
            <w:tcW w:w="8020" w:type="dxa"/>
            <w:vAlign w:val="bottom"/>
          </w:tcPr>
          <w:p>
            <w:pPr>
              <w:ind w:left="1220"/>
              <w:spacing w:after="0"/>
              <w:rPr>
                <w:sz w:val="20"/>
                <w:szCs w:val="20"/>
                <w:color w:val="auto"/>
              </w:rPr>
            </w:pPr>
            <w:r>
              <w:rPr>
                <w:rFonts w:ascii="Arial" w:cs="Arial" w:eastAsia="Arial" w:hAnsi="Arial"/>
                <w:sz w:val="18"/>
                <w:szCs w:val="18"/>
                <w:color w:val="auto"/>
              </w:rPr>
              <w:t>Micron Technology, Inc.</w:t>
            </w:r>
          </w:p>
        </w:tc>
      </w:tr>
      <w:tr>
        <w:trPr>
          <w:trHeight w:val="412"/>
        </w:trPr>
        <w:tc>
          <w:tcPr>
            <w:tcW w:w="3400" w:type="dxa"/>
            <w:vAlign w:val="bottom"/>
          </w:tcPr>
          <w:p>
            <w:pPr>
              <w:ind w:left="240"/>
              <w:spacing w:after="0"/>
              <w:rPr>
                <w:sz w:val="20"/>
                <w:szCs w:val="20"/>
                <w:color w:val="auto"/>
              </w:rPr>
            </w:pPr>
            <w:r>
              <w:rPr>
                <w:rFonts w:ascii="Arial" w:cs="Arial" w:eastAsia="Arial" w:hAnsi="Arial"/>
                <w:sz w:val="18"/>
                <w:szCs w:val="18"/>
                <w:color w:val="auto"/>
              </w:rPr>
              <w:t>Securities Offered</w:t>
            </w:r>
          </w:p>
        </w:tc>
        <w:tc>
          <w:tcPr>
            <w:tcW w:w="8020" w:type="dxa"/>
            <w:vAlign w:val="bottom"/>
          </w:tcPr>
          <w:p>
            <w:pPr>
              <w:ind w:left="1220"/>
              <w:spacing w:after="0"/>
              <w:rPr>
                <w:sz w:val="20"/>
                <w:szCs w:val="20"/>
                <w:color w:val="auto"/>
              </w:rPr>
            </w:pPr>
            <w:r>
              <w:rPr>
                <w:rFonts w:ascii="Arial" w:cs="Arial" w:eastAsia="Arial" w:hAnsi="Arial"/>
                <w:sz w:val="18"/>
                <w:szCs w:val="18"/>
                <w:color w:val="auto"/>
              </w:rPr>
              <w:t>$900,000,000 aggregate principal amount of 4.185% Senior Notes due 2027 and</w:t>
            </w:r>
          </w:p>
        </w:tc>
      </w:tr>
      <w:tr>
        <w:trPr>
          <w:trHeight w:val="222"/>
        </w:trPr>
        <w:tc>
          <w:tcPr>
            <w:tcW w:w="3400" w:type="dxa"/>
            <w:vAlign w:val="bottom"/>
          </w:tcPr>
          <w:p>
            <w:pPr>
              <w:spacing w:after="0"/>
              <w:rPr>
                <w:sz w:val="19"/>
                <w:szCs w:val="19"/>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$850,000,000 aggregate principal amount of 4.663% Senior Notes due 2030.</w:t>
            </w:r>
          </w:p>
        </w:tc>
      </w:tr>
      <w:tr>
        <w:trPr>
          <w:trHeight w:val="412"/>
        </w:trPr>
        <w:tc>
          <w:tcPr>
            <w:tcW w:w="3400" w:type="dxa"/>
            <w:vAlign w:val="bottom"/>
          </w:tcPr>
          <w:p>
            <w:pPr>
              <w:ind w:left="240"/>
              <w:spacing w:after="0"/>
              <w:rPr>
                <w:sz w:val="20"/>
                <w:szCs w:val="20"/>
                <w:color w:val="auto"/>
              </w:rPr>
            </w:pPr>
            <w:r>
              <w:rPr>
                <w:rFonts w:ascii="Arial" w:cs="Arial" w:eastAsia="Arial" w:hAnsi="Arial"/>
                <w:sz w:val="18"/>
                <w:szCs w:val="18"/>
                <w:color w:val="auto"/>
              </w:rPr>
              <w:t>Maturity</w:t>
            </w:r>
          </w:p>
        </w:tc>
        <w:tc>
          <w:tcPr>
            <w:tcW w:w="8020" w:type="dxa"/>
            <w:vAlign w:val="bottom"/>
          </w:tcPr>
          <w:p>
            <w:pPr>
              <w:ind w:left="1220"/>
              <w:spacing w:after="0"/>
              <w:rPr>
                <w:sz w:val="20"/>
                <w:szCs w:val="20"/>
                <w:color w:val="auto"/>
              </w:rPr>
            </w:pPr>
            <w:r>
              <w:rPr>
                <w:rFonts w:ascii="Arial" w:cs="Arial" w:eastAsia="Arial" w:hAnsi="Arial"/>
                <w:sz w:val="18"/>
                <w:szCs w:val="18"/>
                <w:color w:val="auto"/>
              </w:rPr>
              <w:t>The 2027 notes will mature on February 15, 2027 and the 2030 notes will mature on</w:t>
            </w:r>
          </w:p>
        </w:tc>
      </w:tr>
      <w:tr>
        <w:trPr>
          <w:trHeight w:val="222"/>
        </w:trPr>
        <w:tc>
          <w:tcPr>
            <w:tcW w:w="3400" w:type="dxa"/>
            <w:vAlign w:val="bottom"/>
          </w:tcPr>
          <w:p>
            <w:pPr>
              <w:spacing w:after="0"/>
              <w:rPr>
                <w:sz w:val="19"/>
                <w:szCs w:val="19"/>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February 15, 2030.</w:t>
            </w:r>
          </w:p>
        </w:tc>
      </w:tr>
      <w:tr>
        <w:trPr>
          <w:trHeight w:val="412"/>
        </w:trPr>
        <w:tc>
          <w:tcPr>
            <w:tcW w:w="3400" w:type="dxa"/>
            <w:vAlign w:val="bottom"/>
          </w:tcPr>
          <w:p>
            <w:pPr>
              <w:ind w:left="240"/>
              <w:spacing w:after="0"/>
              <w:rPr>
                <w:sz w:val="20"/>
                <w:szCs w:val="20"/>
                <w:color w:val="auto"/>
              </w:rPr>
            </w:pPr>
            <w:r>
              <w:rPr>
                <w:rFonts w:ascii="Arial" w:cs="Arial" w:eastAsia="Arial" w:hAnsi="Arial"/>
                <w:sz w:val="18"/>
                <w:szCs w:val="18"/>
                <w:color w:val="auto"/>
              </w:rPr>
              <w:t>Interest and Payment Dates</w:t>
            </w:r>
          </w:p>
        </w:tc>
        <w:tc>
          <w:tcPr>
            <w:tcW w:w="8020" w:type="dxa"/>
            <w:vAlign w:val="bottom"/>
          </w:tcPr>
          <w:p>
            <w:pPr>
              <w:ind w:left="1220"/>
              <w:spacing w:after="0"/>
              <w:rPr>
                <w:sz w:val="20"/>
                <w:szCs w:val="20"/>
                <w:color w:val="auto"/>
              </w:rPr>
            </w:pPr>
            <w:r>
              <w:rPr>
                <w:rFonts w:ascii="Arial" w:cs="Arial" w:eastAsia="Arial" w:hAnsi="Arial"/>
                <w:sz w:val="18"/>
                <w:szCs w:val="18"/>
                <w:color w:val="auto"/>
                <w:w w:val="97"/>
              </w:rPr>
              <w:t>4.185% per year on the principal amount of the 2027 notes and 4.663% per year on the</w:t>
            </w:r>
          </w:p>
        </w:tc>
      </w:tr>
      <w:tr>
        <w:trPr>
          <w:trHeight w:val="216"/>
        </w:trPr>
        <w:tc>
          <w:tcPr>
            <w:tcW w:w="34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7"/>
              </w:rPr>
              <w:t>principal amount of the 2030 notes. Interest is payable on the notes on February 15 and</w:t>
            </w:r>
          </w:p>
        </w:tc>
      </w:tr>
      <w:tr>
        <w:trPr>
          <w:trHeight w:val="216"/>
        </w:trPr>
        <w:tc>
          <w:tcPr>
            <w:tcW w:w="34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3"/>
              </w:rPr>
              <w:t>August 15 of each year after the date of issuance, commencing February 15, 2020. Interest</w:t>
            </w:r>
          </w:p>
        </w:tc>
      </w:tr>
      <w:tr>
        <w:trPr>
          <w:trHeight w:val="222"/>
        </w:trPr>
        <w:tc>
          <w:tcPr>
            <w:tcW w:w="3400" w:type="dxa"/>
            <w:vAlign w:val="bottom"/>
          </w:tcPr>
          <w:p>
            <w:pPr>
              <w:spacing w:after="0"/>
              <w:rPr>
                <w:sz w:val="19"/>
                <w:szCs w:val="19"/>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on the notes will accrue from July 12, 2019.</w:t>
            </w:r>
          </w:p>
        </w:tc>
      </w:tr>
      <w:tr>
        <w:trPr>
          <w:trHeight w:val="412"/>
        </w:trPr>
        <w:tc>
          <w:tcPr>
            <w:tcW w:w="3400" w:type="dxa"/>
            <w:vAlign w:val="bottom"/>
          </w:tcPr>
          <w:p>
            <w:pPr>
              <w:ind w:left="240"/>
              <w:spacing w:after="0"/>
              <w:rPr>
                <w:sz w:val="20"/>
                <w:szCs w:val="20"/>
                <w:color w:val="auto"/>
              </w:rPr>
            </w:pPr>
            <w:r>
              <w:rPr>
                <w:rFonts w:ascii="Arial" w:cs="Arial" w:eastAsia="Arial" w:hAnsi="Arial"/>
                <w:sz w:val="18"/>
                <w:szCs w:val="18"/>
                <w:color w:val="auto"/>
              </w:rPr>
              <w:t>Ranking of the Notes</w:t>
            </w:r>
          </w:p>
        </w:tc>
        <w:tc>
          <w:tcPr>
            <w:tcW w:w="8020" w:type="dxa"/>
            <w:vAlign w:val="bottom"/>
          </w:tcPr>
          <w:p>
            <w:pPr>
              <w:ind w:left="1220"/>
              <w:spacing w:after="0"/>
              <w:rPr>
                <w:sz w:val="20"/>
                <w:szCs w:val="20"/>
                <w:color w:val="auto"/>
              </w:rPr>
            </w:pPr>
            <w:r>
              <w:rPr>
                <w:rFonts w:ascii="Arial" w:cs="Arial" w:eastAsia="Arial" w:hAnsi="Arial"/>
                <w:sz w:val="18"/>
                <w:szCs w:val="18"/>
                <w:color w:val="auto"/>
                <w:w w:val="93"/>
              </w:rPr>
              <w:t>The notes will be our senior unsecured obligations and will rank equally with all of our other</w:t>
            </w:r>
          </w:p>
        </w:tc>
      </w:tr>
      <w:tr>
        <w:trPr>
          <w:trHeight w:val="216"/>
        </w:trPr>
        <w:tc>
          <w:tcPr>
            <w:tcW w:w="34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existing and future unsecured and unsubordinated indebtedness from time to time</w:t>
            </w:r>
          </w:p>
        </w:tc>
      </w:tr>
      <w:tr>
        <w:trPr>
          <w:trHeight w:val="222"/>
        </w:trPr>
        <w:tc>
          <w:tcPr>
            <w:tcW w:w="3400" w:type="dxa"/>
            <w:vAlign w:val="bottom"/>
          </w:tcPr>
          <w:p>
            <w:pPr>
              <w:spacing w:after="0"/>
              <w:rPr>
                <w:sz w:val="19"/>
                <w:szCs w:val="19"/>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outstanding.</w:t>
            </w:r>
          </w:p>
        </w:tc>
      </w:tr>
      <w:tr>
        <w:trPr>
          <w:trHeight w:val="419"/>
        </w:trPr>
        <w:tc>
          <w:tcPr>
            <w:tcW w:w="3400" w:type="dxa"/>
            <w:vAlign w:val="bottom"/>
          </w:tcPr>
          <w:p>
            <w:pPr>
              <w:spacing w:after="0"/>
              <w:rPr>
                <w:sz w:val="24"/>
                <w:szCs w:val="24"/>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As of May 30, 2019:</w:t>
            </w:r>
          </w:p>
        </w:tc>
      </w:tr>
      <w:tr>
        <w:trPr>
          <w:trHeight w:val="412"/>
        </w:trPr>
        <w:tc>
          <w:tcPr>
            <w:tcW w:w="3400" w:type="dxa"/>
            <w:vAlign w:val="bottom"/>
          </w:tcPr>
          <w:p>
            <w:pPr>
              <w:spacing w:after="0"/>
              <w:rPr>
                <w:sz w:val="24"/>
                <w:szCs w:val="24"/>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  we had approximately $3.35 billion aggregate principal amount of indebtedness</w:t>
            </w:r>
          </w:p>
        </w:tc>
      </w:tr>
      <w:tr>
        <w:trPr>
          <w:trHeight w:val="216"/>
        </w:trPr>
        <w:tc>
          <w:tcPr>
            <w:tcW w:w="3400" w:type="dxa"/>
            <w:vAlign w:val="bottom"/>
          </w:tcPr>
          <w:p>
            <w:pPr>
              <w:spacing w:after="0"/>
              <w:rPr>
                <w:sz w:val="18"/>
                <w:szCs w:val="18"/>
                <w:color w:val="auto"/>
              </w:rPr>
            </w:pPr>
          </w:p>
        </w:tc>
        <w:tc>
          <w:tcPr>
            <w:tcW w:w="8020" w:type="dxa"/>
            <w:vAlign w:val="bottom"/>
          </w:tcPr>
          <w:p>
            <w:pPr>
              <w:ind w:left="1400"/>
              <w:spacing w:after="0"/>
              <w:rPr>
                <w:sz w:val="20"/>
                <w:szCs w:val="20"/>
                <w:color w:val="auto"/>
              </w:rPr>
            </w:pPr>
            <w:r>
              <w:rPr>
                <w:rFonts w:ascii="Arial" w:cs="Arial" w:eastAsia="Arial" w:hAnsi="Arial"/>
                <w:sz w:val="18"/>
                <w:szCs w:val="18"/>
                <w:color w:val="auto"/>
              </w:rPr>
              <w:t>(calculated based on the principal amount of such indebtedness but excluding</w:t>
            </w:r>
          </w:p>
        </w:tc>
      </w:tr>
      <w:tr>
        <w:trPr>
          <w:trHeight w:val="216"/>
        </w:trPr>
        <w:tc>
          <w:tcPr>
            <w:tcW w:w="3400" w:type="dxa"/>
            <w:vAlign w:val="bottom"/>
          </w:tcPr>
          <w:p>
            <w:pPr>
              <w:spacing w:after="0"/>
              <w:rPr>
                <w:sz w:val="18"/>
                <w:szCs w:val="18"/>
                <w:color w:val="auto"/>
              </w:rPr>
            </w:pPr>
          </w:p>
        </w:tc>
        <w:tc>
          <w:tcPr>
            <w:tcW w:w="8020" w:type="dxa"/>
            <w:vAlign w:val="bottom"/>
          </w:tcPr>
          <w:p>
            <w:pPr>
              <w:ind w:left="1400"/>
              <w:spacing w:after="0"/>
              <w:rPr>
                <w:sz w:val="20"/>
                <w:szCs w:val="20"/>
                <w:color w:val="auto"/>
              </w:rPr>
            </w:pPr>
            <w:r>
              <w:rPr>
                <w:rFonts w:ascii="Arial" w:cs="Arial" w:eastAsia="Arial" w:hAnsi="Arial"/>
                <w:sz w:val="18"/>
                <w:szCs w:val="18"/>
                <w:color w:val="auto"/>
                <w:w w:val="96"/>
              </w:rPr>
              <w:t>approximately $191 million principal amount of indebtedness of our subsidiaries that is</w:t>
            </w:r>
          </w:p>
        </w:tc>
      </w:tr>
      <w:tr>
        <w:trPr>
          <w:trHeight w:val="222"/>
        </w:trPr>
        <w:tc>
          <w:tcPr>
            <w:tcW w:w="3400" w:type="dxa"/>
            <w:vAlign w:val="bottom"/>
          </w:tcPr>
          <w:p>
            <w:pPr>
              <w:spacing w:after="0"/>
              <w:rPr>
                <w:sz w:val="19"/>
                <w:szCs w:val="19"/>
                <w:color w:val="auto"/>
              </w:rPr>
            </w:pPr>
          </w:p>
        </w:tc>
        <w:tc>
          <w:tcPr>
            <w:tcW w:w="8020" w:type="dxa"/>
            <w:vAlign w:val="bottom"/>
          </w:tcPr>
          <w:p>
            <w:pPr>
              <w:ind w:left="1400"/>
              <w:spacing w:after="0"/>
              <w:rPr>
                <w:sz w:val="20"/>
                <w:szCs w:val="20"/>
                <w:color w:val="auto"/>
              </w:rPr>
            </w:pPr>
            <w:r>
              <w:rPr>
                <w:rFonts w:ascii="Arial" w:cs="Arial" w:eastAsia="Arial" w:hAnsi="Arial"/>
                <w:sz w:val="18"/>
                <w:szCs w:val="18"/>
                <w:color w:val="auto"/>
              </w:rPr>
              <w:t>guaranteed by us), of which $831 million was our secured indebtedness;</w:t>
            </w:r>
          </w:p>
        </w:tc>
      </w:tr>
      <w:tr>
        <w:trPr>
          <w:trHeight w:val="412"/>
        </w:trPr>
        <w:tc>
          <w:tcPr>
            <w:tcW w:w="3400" w:type="dxa"/>
            <w:vAlign w:val="bottom"/>
          </w:tcPr>
          <w:p>
            <w:pPr>
              <w:spacing w:after="0"/>
              <w:rPr>
                <w:sz w:val="24"/>
                <w:szCs w:val="24"/>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2"/>
              </w:rPr>
              <w:t>•  and our subsidiaries had outstanding liabilities (including trade payables and indebtedness</w:t>
            </w:r>
          </w:p>
        </w:tc>
      </w:tr>
      <w:tr>
        <w:trPr>
          <w:trHeight w:val="216"/>
        </w:trPr>
        <w:tc>
          <w:tcPr>
            <w:tcW w:w="3400" w:type="dxa"/>
            <w:vAlign w:val="bottom"/>
          </w:tcPr>
          <w:p>
            <w:pPr>
              <w:spacing w:after="0"/>
              <w:rPr>
                <w:sz w:val="18"/>
                <w:szCs w:val="18"/>
                <w:color w:val="auto"/>
              </w:rPr>
            </w:pPr>
          </w:p>
        </w:tc>
        <w:tc>
          <w:tcPr>
            <w:tcW w:w="8020" w:type="dxa"/>
            <w:vAlign w:val="bottom"/>
          </w:tcPr>
          <w:p>
            <w:pPr>
              <w:ind w:left="1400"/>
              <w:spacing w:after="0"/>
              <w:rPr>
                <w:sz w:val="20"/>
                <w:szCs w:val="20"/>
                <w:color w:val="auto"/>
              </w:rPr>
            </w:pPr>
            <w:r>
              <w:rPr>
                <w:rFonts w:ascii="Arial" w:cs="Arial" w:eastAsia="Arial" w:hAnsi="Arial"/>
                <w:sz w:val="18"/>
                <w:szCs w:val="18"/>
                <w:color w:val="auto"/>
                <w:w w:val="93"/>
              </w:rPr>
              <w:t>to third parties at the full stated amount thereof but excluding intercompany indebtedness</w:t>
            </w:r>
          </w:p>
        </w:tc>
      </w:tr>
      <w:tr>
        <w:trPr>
          <w:trHeight w:val="216"/>
        </w:trPr>
        <w:tc>
          <w:tcPr>
            <w:tcW w:w="3400" w:type="dxa"/>
            <w:vAlign w:val="bottom"/>
          </w:tcPr>
          <w:p>
            <w:pPr>
              <w:spacing w:after="0"/>
              <w:rPr>
                <w:sz w:val="18"/>
                <w:szCs w:val="18"/>
                <w:color w:val="auto"/>
              </w:rPr>
            </w:pPr>
          </w:p>
        </w:tc>
        <w:tc>
          <w:tcPr>
            <w:tcW w:w="8020" w:type="dxa"/>
            <w:vAlign w:val="bottom"/>
          </w:tcPr>
          <w:p>
            <w:pPr>
              <w:ind w:left="1400"/>
              <w:spacing w:after="0"/>
              <w:rPr>
                <w:sz w:val="20"/>
                <w:szCs w:val="20"/>
                <w:color w:val="auto"/>
              </w:rPr>
            </w:pPr>
            <w:r>
              <w:rPr>
                <w:rFonts w:ascii="Arial" w:cs="Arial" w:eastAsia="Arial" w:hAnsi="Arial"/>
                <w:sz w:val="18"/>
                <w:szCs w:val="18"/>
                <w:color w:val="auto"/>
                <w:w w:val="97"/>
              </w:rPr>
              <w:t>and other obligations and liabilities of a type not required to be reflected on a balance</w:t>
            </w:r>
          </w:p>
        </w:tc>
      </w:tr>
      <w:tr>
        <w:trPr>
          <w:trHeight w:val="216"/>
        </w:trPr>
        <w:tc>
          <w:tcPr>
            <w:tcW w:w="3400" w:type="dxa"/>
            <w:vAlign w:val="bottom"/>
          </w:tcPr>
          <w:p>
            <w:pPr>
              <w:spacing w:after="0"/>
              <w:rPr>
                <w:sz w:val="18"/>
                <w:szCs w:val="18"/>
                <w:color w:val="auto"/>
              </w:rPr>
            </w:pPr>
          </w:p>
        </w:tc>
        <w:tc>
          <w:tcPr>
            <w:tcW w:w="8020" w:type="dxa"/>
            <w:vAlign w:val="bottom"/>
          </w:tcPr>
          <w:p>
            <w:pPr>
              <w:ind w:left="1400"/>
              <w:spacing w:after="0"/>
              <w:rPr>
                <w:sz w:val="20"/>
                <w:szCs w:val="20"/>
                <w:color w:val="auto"/>
              </w:rPr>
            </w:pPr>
            <w:r>
              <w:rPr>
                <w:rFonts w:ascii="Arial" w:cs="Arial" w:eastAsia="Arial" w:hAnsi="Arial"/>
                <w:sz w:val="18"/>
                <w:szCs w:val="18"/>
                <w:color w:val="auto"/>
                <w:w w:val="94"/>
              </w:rPr>
              <w:t>sheet of such subsidiaries in accordance with GAAP) of approximately $5.7 billion, all of</w:t>
            </w:r>
          </w:p>
        </w:tc>
      </w:tr>
      <w:tr>
        <w:trPr>
          <w:trHeight w:val="216"/>
        </w:trPr>
        <w:tc>
          <w:tcPr>
            <w:tcW w:w="3400" w:type="dxa"/>
            <w:vAlign w:val="bottom"/>
          </w:tcPr>
          <w:p>
            <w:pPr>
              <w:spacing w:after="0"/>
              <w:rPr>
                <w:sz w:val="18"/>
                <w:szCs w:val="18"/>
                <w:color w:val="auto"/>
              </w:rPr>
            </w:pPr>
          </w:p>
        </w:tc>
        <w:tc>
          <w:tcPr>
            <w:tcW w:w="8020" w:type="dxa"/>
            <w:vAlign w:val="bottom"/>
          </w:tcPr>
          <w:p>
            <w:pPr>
              <w:ind w:left="1400"/>
              <w:spacing w:after="0"/>
              <w:rPr>
                <w:sz w:val="20"/>
                <w:szCs w:val="20"/>
                <w:color w:val="auto"/>
              </w:rPr>
            </w:pPr>
            <w:r>
              <w:rPr>
                <w:rFonts w:ascii="Arial" w:cs="Arial" w:eastAsia="Arial" w:hAnsi="Arial"/>
                <w:sz w:val="18"/>
                <w:szCs w:val="18"/>
                <w:color w:val="auto"/>
                <w:w w:val="92"/>
              </w:rPr>
              <w:t>which will be structurally senior to the notes with respect to claims on the assets and cash</w:t>
            </w:r>
          </w:p>
        </w:tc>
      </w:tr>
      <w:tr>
        <w:trPr>
          <w:trHeight w:val="222"/>
        </w:trPr>
        <w:tc>
          <w:tcPr>
            <w:tcW w:w="3400" w:type="dxa"/>
            <w:vAlign w:val="bottom"/>
          </w:tcPr>
          <w:p>
            <w:pPr>
              <w:spacing w:after="0"/>
              <w:rPr>
                <w:sz w:val="19"/>
                <w:szCs w:val="19"/>
                <w:color w:val="auto"/>
              </w:rPr>
            </w:pPr>
          </w:p>
        </w:tc>
        <w:tc>
          <w:tcPr>
            <w:tcW w:w="8020" w:type="dxa"/>
            <w:vAlign w:val="bottom"/>
          </w:tcPr>
          <w:p>
            <w:pPr>
              <w:ind w:left="1400"/>
              <w:spacing w:after="0"/>
              <w:rPr>
                <w:sz w:val="20"/>
                <w:szCs w:val="20"/>
                <w:color w:val="auto"/>
              </w:rPr>
            </w:pPr>
            <w:r>
              <w:rPr>
                <w:rFonts w:ascii="Arial" w:cs="Arial" w:eastAsia="Arial" w:hAnsi="Arial"/>
                <w:sz w:val="18"/>
                <w:szCs w:val="18"/>
                <w:color w:val="auto"/>
              </w:rPr>
              <w:t>flows of our subsidiaries.</w:t>
            </w:r>
          </w:p>
        </w:tc>
      </w:tr>
      <w:tr>
        <w:trPr>
          <w:trHeight w:val="419"/>
        </w:trPr>
        <w:tc>
          <w:tcPr>
            <w:tcW w:w="3400" w:type="dxa"/>
            <w:vAlign w:val="bottom"/>
          </w:tcPr>
          <w:p>
            <w:pPr>
              <w:ind w:left="240"/>
              <w:spacing w:after="0"/>
              <w:rPr>
                <w:sz w:val="20"/>
                <w:szCs w:val="20"/>
                <w:color w:val="auto"/>
              </w:rPr>
            </w:pPr>
            <w:r>
              <w:rPr>
                <w:rFonts w:ascii="Arial" w:cs="Arial" w:eastAsia="Arial" w:hAnsi="Arial"/>
                <w:sz w:val="18"/>
                <w:szCs w:val="18"/>
                <w:color w:val="auto"/>
              </w:rPr>
              <w:t>Sinking Fund</w:t>
            </w:r>
          </w:p>
        </w:tc>
        <w:tc>
          <w:tcPr>
            <w:tcW w:w="8020" w:type="dxa"/>
            <w:vAlign w:val="bottom"/>
          </w:tcPr>
          <w:p>
            <w:pPr>
              <w:ind w:left="1220"/>
              <w:spacing w:after="0"/>
              <w:rPr>
                <w:sz w:val="20"/>
                <w:szCs w:val="20"/>
                <w:color w:val="auto"/>
              </w:rPr>
            </w:pPr>
            <w:r>
              <w:rPr>
                <w:rFonts w:ascii="Arial" w:cs="Arial" w:eastAsia="Arial" w:hAnsi="Arial"/>
                <w:sz w:val="18"/>
                <w:szCs w:val="18"/>
                <w:color w:val="auto"/>
              </w:rPr>
              <w:t>None.</w:t>
            </w:r>
          </w:p>
        </w:tc>
      </w:tr>
      <w:tr>
        <w:trPr>
          <w:trHeight w:val="412"/>
        </w:trPr>
        <w:tc>
          <w:tcPr>
            <w:tcW w:w="3400" w:type="dxa"/>
            <w:vAlign w:val="bottom"/>
          </w:tcPr>
          <w:p>
            <w:pPr>
              <w:ind w:left="240"/>
              <w:spacing w:after="0"/>
              <w:rPr>
                <w:sz w:val="20"/>
                <w:szCs w:val="20"/>
                <w:color w:val="auto"/>
              </w:rPr>
            </w:pPr>
            <w:r>
              <w:rPr>
                <w:rFonts w:ascii="Arial" w:cs="Arial" w:eastAsia="Arial" w:hAnsi="Arial"/>
                <w:sz w:val="18"/>
                <w:szCs w:val="18"/>
                <w:color w:val="auto"/>
              </w:rPr>
              <w:t>Optional Redemption</w:t>
            </w:r>
          </w:p>
        </w:tc>
        <w:tc>
          <w:tcPr>
            <w:tcW w:w="8020" w:type="dxa"/>
            <w:vAlign w:val="bottom"/>
          </w:tcPr>
          <w:p>
            <w:pPr>
              <w:ind w:left="1220"/>
              <w:spacing w:after="0"/>
              <w:rPr>
                <w:sz w:val="20"/>
                <w:szCs w:val="20"/>
                <w:color w:val="auto"/>
              </w:rPr>
            </w:pPr>
            <w:r>
              <w:rPr>
                <w:rFonts w:ascii="Arial" w:cs="Arial" w:eastAsia="Arial" w:hAnsi="Arial"/>
                <w:sz w:val="18"/>
                <w:szCs w:val="18"/>
                <w:color w:val="auto"/>
                <w:w w:val="93"/>
              </w:rPr>
              <w:t>The notes will be redeemable at our option, in whole or in part, at any time and from time to</w:t>
            </w:r>
          </w:p>
        </w:tc>
      </w:tr>
      <w:tr>
        <w:trPr>
          <w:trHeight w:val="216"/>
        </w:trPr>
        <w:tc>
          <w:tcPr>
            <w:tcW w:w="34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7"/>
              </w:rPr>
              <w:t>time at a redemption price equal to the greater of (i) 100% of the principal amount of the</w:t>
            </w:r>
          </w:p>
        </w:tc>
      </w:tr>
      <w:tr>
        <w:trPr>
          <w:trHeight w:val="216"/>
        </w:trPr>
        <w:tc>
          <w:tcPr>
            <w:tcW w:w="34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4"/>
              </w:rPr>
              <w:t>notes to be redeemed and (ii) the make-whole amount (as described in the section entitled</w:t>
            </w:r>
          </w:p>
        </w:tc>
      </w:tr>
      <w:tr>
        <w:trPr>
          <w:trHeight w:val="216"/>
        </w:trPr>
        <w:tc>
          <w:tcPr>
            <w:tcW w:w="34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2"/>
              </w:rPr>
              <w:t>"Description of the Notes—Optional Redemption"), plus accrued and unpaid interest thereon</w:t>
            </w:r>
          </w:p>
        </w:tc>
      </w:tr>
      <w:tr>
        <w:trPr>
          <w:trHeight w:val="216"/>
        </w:trPr>
        <w:tc>
          <w:tcPr>
            <w:tcW w:w="34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to, but excluding, the redemption date. See "Description of the Notes—Optional</w:t>
            </w:r>
          </w:p>
        </w:tc>
      </w:tr>
      <w:tr>
        <w:trPr>
          <w:trHeight w:val="222"/>
        </w:trPr>
        <w:tc>
          <w:tcPr>
            <w:tcW w:w="3400" w:type="dxa"/>
            <w:vAlign w:val="bottom"/>
          </w:tcPr>
          <w:p>
            <w:pPr>
              <w:spacing w:after="0"/>
              <w:rPr>
                <w:sz w:val="19"/>
                <w:szCs w:val="19"/>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Redemption."</w:t>
            </w:r>
          </w:p>
        </w:tc>
      </w:tr>
      <w:tr>
        <w:trPr>
          <w:trHeight w:val="228"/>
        </w:trPr>
        <w:tc>
          <w:tcPr>
            <w:tcW w:w="3400" w:type="dxa"/>
            <w:vAlign w:val="bottom"/>
            <w:tcBorders>
              <w:bottom w:val="single" w:sz="8" w:color="auto"/>
            </w:tcBorders>
          </w:tcPr>
          <w:p>
            <w:pPr>
              <w:spacing w:after="0"/>
              <w:rPr>
                <w:sz w:val="19"/>
                <w:szCs w:val="19"/>
                <w:color w:val="auto"/>
              </w:rPr>
            </w:pPr>
          </w:p>
        </w:tc>
        <w:tc>
          <w:tcPr>
            <w:tcW w:w="8020" w:type="dxa"/>
            <w:vAlign w:val="bottom"/>
            <w:tcBorders>
              <w:bottom w:val="single" w:sz="8" w:color="auto"/>
            </w:tcBorders>
          </w:tcPr>
          <w:p>
            <w:pPr>
              <w:spacing w:after="0"/>
              <w:rPr>
                <w:sz w:val="19"/>
                <w:szCs w:val="19"/>
                <w:color w:val="auto"/>
              </w:rPr>
            </w:pPr>
          </w:p>
        </w:tc>
      </w:tr>
      <w:tr>
        <w:trPr>
          <w:trHeight w:val="427"/>
        </w:trPr>
        <w:tc>
          <w:tcPr>
            <w:tcW w:w="3400" w:type="dxa"/>
            <w:vAlign w:val="bottom"/>
          </w:tcPr>
          <w:p>
            <w:pPr>
              <w:spacing w:after="0"/>
              <w:rPr>
                <w:sz w:val="24"/>
                <w:szCs w:val="24"/>
                <w:color w:val="auto"/>
              </w:rPr>
            </w:pPr>
          </w:p>
        </w:tc>
        <w:tc>
          <w:tcPr>
            <w:tcW w:w="8020" w:type="dxa"/>
            <w:vAlign w:val="bottom"/>
          </w:tcPr>
          <w:p>
            <w:pPr>
              <w:ind w:left="2200"/>
              <w:spacing w:after="0"/>
              <w:rPr>
                <w:sz w:val="20"/>
                <w:szCs w:val="20"/>
                <w:color w:val="auto"/>
              </w:rPr>
            </w:pPr>
            <w:r>
              <w:rPr>
                <w:rFonts w:ascii="Arial" w:cs="Arial" w:eastAsia="Arial" w:hAnsi="Arial"/>
                <w:sz w:val="18"/>
                <w:szCs w:val="18"/>
                <w:color w:val="auto"/>
              </w:rPr>
              <w:t>S-3</w:t>
            </w:r>
          </w:p>
        </w:tc>
      </w:tr>
      <w:tr>
        <w:trPr>
          <w:trHeight w:val="228"/>
        </w:trPr>
        <w:tc>
          <w:tcPr>
            <w:tcW w:w="3400" w:type="dxa"/>
            <w:vAlign w:val="bottom"/>
            <w:tcBorders>
              <w:bottom w:val="single" w:sz="8" w:color="808080"/>
            </w:tcBorders>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5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In addition, on or after December 15, 2026 in the case of the 2027 notes (two months prior to</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the maturity date of the 2027 notes) and on or after November 15, 2029 in the case of the</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2030 notes (three months prior to the maturity date of the 2030 notes), we may redeem the</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notes at a redemption price equal to 100% of the principal amount thereof plus accrued and</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unpaid interest to, but excluding, the date of redemption. See "Description of the Notes—</w:t>
            </w:r>
          </w:p>
        </w:tc>
      </w:tr>
      <w:tr>
        <w:trPr>
          <w:trHeight w:val="222"/>
        </w:trPr>
        <w:tc>
          <w:tcPr>
            <w:tcW w:w="4500" w:type="dxa"/>
            <w:vAlign w:val="bottom"/>
            <w:tcBorders>
              <w:left w:val="single" w:sz="8" w:color="auto"/>
            </w:tcBorders>
          </w:tcPr>
          <w:p>
            <w:pPr>
              <w:spacing w:after="0"/>
              <w:rPr>
                <w:sz w:val="19"/>
                <w:szCs w:val="19"/>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Optional Redemption."</w:t>
            </w:r>
          </w:p>
        </w:tc>
      </w:tr>
      <w:tr>
        <w:trPr>
          <w:trHeight w:val="412"/>
        </w:trPr>
        <w:tc>
          <w:tcPr>
            <w:tcW w:w="4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0"/>
              </w:rPr>
              <w:t>Mandatory Offer to Repurchase Upon a Change of Control</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Upon the occurrence of a Change of Control Triggering Event (as defined elsewhere in this</w:t>
            </w:r>
          </w:p>
        </w:tc>
      </w:tr>
      <w:tr>
        <w:trPr>
          <w:trHeight w:val="216"/>
        </w:trPr>
        <w:tc>
          <w:tcPr>
            <w:tcW w:w="450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Triggering Event</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prospectus supplement), we will be required to make an offer to purchase the notes at a price</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equal to 101% of their principal amount plus accrued and unpaid interest to, but excluding,</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the date of purchase. See "Description of the Notes—Repurchase of Notes Upon a Change of</w:t>
            </w:r>
          </w:p>
        </w:tc>
      </w:tr>
      <w:tr>
        <w:trPr>
          <w:trHeight w:val="222"/>
        </w:trPr>
        <w:tc>
          <w:tcPr>
            <w:tcW w:w="4500" w:type="dxa"/>
            <w:vAlign w:val="bottom"/>
            <w:tcBorders>
              <w:left w:val="single" w:sz="8" w:color="auto"/>
            </w:tcBorders>
          </w:tcPr>
          <w:p>
            <w:pPr>
              <w:spacing w:after="0"/>
              <w:rPr>
                <w:sz w:val="19"/>
                <w:szCs w:val="19"/>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Control Triggering Event."</w:t>
            </w:r>
          </w:p>
        </w:tc>
      </w:tr>
      <w:tr>
        <w:trPr>
          <w:trHeight w:val="412"/>
        </w:trPr>
        <w:tc>
          <w:tcPr>
            <w:tcW w:w="4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Certain Covenants</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The indenture that will govern each series of notes contains covenants that, subject to</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significant exceptions, limit our ability and/or the ability of our restricted subsidiaries (which</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are generally domestic subsidiaries in which we own at least 80% of the voting stock and</w:t>
            </w:r>
          </w:p>
        </w:tc>
      </w:tr>
      <w:tr>
        <w:trPr>
          <w:trHeight w:val="222"/>
        </w:trPr>
        <w:tc>
          <w:tcPr>
            <w:tcW w:w="4500" w:type="dxa"/>
            <w:vAlign w:val="bottom"/>
            <w:tcBorders>
              <w:left w:val="single" w:sz="8" w:color="auto"/>
            </w:tcBorders>
          </w:tcPr>
          <w:p>
            <w:pPr>
              <w:spacing w:after="0"/>
              <w:rPr>
                <w:sz w:val="19"/>
                <w:szCs w:val="19"/>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which own Principal Property (as defined herein)) to:</w:t>
            </w:r>
          </w:p>
        </w:tc>
      </w:tr>
      <w:tr>
        <w:trPr>
          <w:trHeight w:val="412"/>
        </w:trPr>
        <w:tc>
          <w:tcPr>
            <w:tcW w:w="45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  create or incur certain liens on Principal Property owned by us or a Restricted Subsidiary</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and shares of capital stock of any restricted subsidiary and enter into sale and lease-back</w:t>
            </w:r>
          </w:p>
        </w:tc>
      </w:tr>
      <w:tr>
        <w:trPr>
          <w:trHeight w:val="222"/>
        </w:trPr>
        <w:tc>
          <w:tcPr>
            <w:tcW w:w="4500" w:type="dxa"/>
            <w:vAlign w:val="bottom"/>
            <w:tcBorders>
              <w:left w:val="single" w:sz="8" w:color="auto"/>
            </w:tcBorders>
          </w:tcPr>
          <w:p>
            <w:pPr>
              <w:spacing w:after="0"/>
              <w:rPr>
                <w:sz w:val="19"/>
                <w:szCs w:val="19"/>
                <w:color w:val="auto"/>
              </w:rPr>
            </w:pPr>
          </w:p>
        </w:tc>
        <w:tc>
          <w:tcPr>
            <w:tcW w:w="69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transactions with respect to Principal Property; and</w:t>
            </w:r>
          </w:p>
        </w:tc>
      </w:tr>
      <w:tr>
        <w:trPr>
          <w:trHeight w:val="412"/>
        </w:trPr>
        <w:tc>
          <w:tcPr>
            <w:tcW w:w="45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  consolidate with or merge with or into, or convey, transfer or lease all or substantially all</w:t>
            </w:r>
          </w:p>
        </w:tc>
      </w:tr>
      <w:tr>
        <w:trPr>
          <w:trHeight w:val="222"/>
        </w:trPr>
        <w:tc>
          <w:tcPr>
            <w:tcW w:w="4500" w:type="dxa"/>
            <w:vAlign w:val="bottom"/>
            <w:tcBorders>
              <w:left w:val="single" w:sz="8" w:color="auto"/>
            </w:tcBorders>
          </w:tcPr>
          <w:p>
            <w:pPr>
              <w:spacing w:after="0"/>
              <w:rPr>
                <w:sz w:val="19"/>
                <w:szCs w:val="19"/>
                <w:color w:val="auto"/>
              </w:rPr>
            </w:pPr>
          </w:p>
        </w:tc>
        <w:tc>
          <w:tcPr>
            <w:tcW w:w="69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of our assets, to another person.</w:t>
            </w:r>
          </w:p>
        </w:tc>
      </w:tr>
      <w:tr>
        <w:trPr>
          <w:trHeight w:val="412"/>
        </w:trPr>
        <w:tc>
          <w:tcPr>
            <w:tcW w:w="45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These covenants are subject to a number of important limitations and exceptions as described</w:t>
            </w:r>
          </w:p>
        </w:tc>
      </w:tr>
      <w:tr>
        <w:trPr>
          <w:trHeight w:val="222"/>
        </w:trPr>
        <w:tc>
          <w:tcPr>
            <w:tcW w:w="4500" w:type="dxa"/>
            <w:vAlign w:val="bottom"/>
            <w:tcBorders>
              <w:left w:val="single" w:sz="8" w:color="auto"/>
            </w:tcBorders>
          </w:tcPr>
          <w:p>
            <w:pPr>
              <w:spacing w:after="0"/>
              <w:rPr>
                <w:sz w:val="19"/>
                <w:szCs w:val="19"/>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under "Description of the Notes—Certain Covenants."</w:t>
            </w:r>
          </w:p>
        </w:tc>
      </w:tr>
      <w:tr>
        <w:trPr>
          <w:trHeight w:val="412"/>
        </w:trPr>
        <w:tc>
          <w:tcPr>
            <w:tcW w:w="45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No Prior Market; No Listing</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The notes will be a new issue of securities for which there is currently no established public</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market. Although the underwriters have informed us that they intend to make a market in the</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1"/>
              </w:rPr>
              <w:t>notes, they are not obligated to do so and may discontinue market-making with respect to the</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notes at any time without notice. Accordingly, a liquid market for the notes may not develop</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or be maintained. See "Risk Factors—Risks Related to the Notes—Your ability to transfer</w:t>
            </w:r>
          </w:p>
        </w:tc>
      </w:tr>
      <w:tr>
        <w:trPr>
          <w:trHeight w:val="216"/>
        </w:trPr>
        <w:tc>
          <w:tcPr>
            <w:tcW w:w="45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the notes may be limited by the absence of an active trading market, and an active trading</w:t>
            </w:r>
          </w:p>
        </w:tc>
      </w:tr>
      <w:tr>
        <w:trPr>
          <w:trHeight w:val="222"/>
        </w:trPr>
        <w:tc>
          <w:tcPr>
            <w:tcW w:w="4500" w:type="dxa"/>
            <w:vAlign w:val="bottom"/>
            <w:tcBorders>
              <w:left w:val="single" w:sz="8" w:color="auto"/>
            </w:tcBorders>
          </w:tcPr>
          <w:p>
            <w:pPr>
              <w:spacing w:after="0"/>
              <w:rPr>
                <w:sz w:val="19"/>
                <w:szCs w:val="19"/>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market may not develop for the notes."</w:t>
            </w:r>
          </w:p>
        </w:tc>
      </w:tr>
      <w:tr>
        <w:trPr>
          <w:trHeight w:val="412"/>
        </w:trPr>
        <w:tc>
          <w:tcPr>
            <w:tcW w:w="45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We do not intend to apply for the listing of the notes on any securities exchange or for the</w:t>
            </w:r>
          </w:p>
        </w:tc>
      </w:tr>
      <w:tr>
        <w:trPr>
          <w:trHeight w:val="222"/>
        </w:trPr>
        <w:tc>
          <w:tcPr>
            <w:tcW w:w="4500" w:type="dxa"/>
            <w:vAlign w:val="bottom"/>
            <w:tcBorders>
              <w:left w:val="single" w:sz="8" w:color="auto"/>
            </w:tcBorders>
          </w:tcPr>
          <w:p>
            <w:pPr>
              <w:spacing w:after="0"/>
              <w:rPr>
                <w:sz w:val="19"/>
                <w:szCs w:val="19"/>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quotation of the notes in any dealer quotation system.</w:t>
            </w:r>
          </w:p>
        </w:tc>
      </w:tr>
      <w:tr>
        <w:trPr>
          <w:trHeight w:val="228"/>
        </w:trPr>
        <w:tc>
          <w:tcPr>
            <w:tcW w:w="4500" w:type="dxa"/>
            <w:vAlign w:val="bottom"/>
            <w:tcBorders>
              <w:left w:val="single" w:sz="8" w:color="auto"/>
              <w:bottom w:val="single" w:sz="8" w:color="auto"/>
            </w:tcBorders>
          </w:tcPr>
          <w:p>
            <w:pPr>
              <w:spacing w:after="0"/>
              <w:rPr>
                <w:sz w:val="19"/>
                <w:szCs w:val="19"/>
                <w:color w:val="auto"/>
              </w:rPr>
            </w:pPr>
          </w:p>
        </w:tc>
        <w:tc>
          <w:tcPr>
            <w:tcW w:w="6920" w:type="dxa"/>
            <w:vAlign w:val="bottom"/>
            <w:tcBorders>
              <w:bottom w:val="single" w:sz="8" w:color="auto"/>
              <w:right w:val="single" w:sz="8" w:color="auto"/>
            </w:tcBorders>
          </w:tcPr>
          <w:p>
            <w:pPr>
              <w:spacing w:after="0"/>
              <w:rPr>
                <w:sz w:val="19"/>
                <w:szCs w:val="19"/>
                <w:color w:val="auto"/>
              </w:rPr>
            </w:pPr>
          </w:p>
        </w:tc>
      </w:tr>
      <w:tr>
        <w:trPr>
          <w:trHeight w:val="427"/>
        </w:trPr>
        <w:tc>
          <w:tcPr>
            <w:tcW w:w="4500" w:type="dxa"/>
            <w:vAlign w:val="bottom"/>
          </w:tcPr>
          <w:p>
            <w:pPr>
              <w:spacing w:after="0"/>
              <w:rPr>
                <w:sz w:val="24"/>
                <w:szCs w:val="24"/>
                <w:color w:val="auto"/>
              </w:rPr>
            </w:pPr>
          </w:p>
        </w:tc>
        <w:tc>
          <w:tcPr>
            <w:tcW w:w="6920" w:type="dxa"/>
            <w:vAlign w:val="bottom"/>
          </w:tcPr>
          <w:p>
            <w:pPr>
              <w:ind w:left="1100"/>
              <w:spacing w:after="0"/>
              <w:rPr>
                <w:sz w:val="20"/>
                <w:szCs w:val="20"/>
                <w:color w:val="auto"/>
              </w:rPr>
            </w:pPr>
            <w:r>
              <w:rPr>
                <w:rFonts w:ascii="Arial" w:cs="Arial" w:eastAsia="Arial" w:hAnsi="Arial"/>
                <w:sz w:val="18"/>
                <w:szCs w:val="18"/>
                <w:color w:val="auto"/>
              </w:rPr>
              <w:t>S-4</w:t>
            </w:r>
          </w:p>
        </w:tc>
      </w:tr>
      <w:tr>
        <w:trPr>
          <w:trHeight w:val="228"/>
        </w:trPr>
        <w:tc>
          <w:tcPr>
            <w:tcW w:w="4500" w:type="dxa"/>
            <w:vAlign w:val="bottom"/>
            <w:tcBorders>
              <w:bottom w:val="single" w:sz="8" w:color="808080"/>
            </w:tcBorders>
          </w:tcPr>
          <w:p>
            <w:pPr>
              <w:spacing w:after="0"/>
              <w:rPr>
                <w:sz w:val="19"/>
                <w:szCs w:val="19"/>
                <w:color w:val="auto"/>
              </w:rPr>
            </w:pPr>
          </w:p>
        </w:tc>
        <w:tc>
          <w:tcPr>
            <w:tcW w:w="6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0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772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92"/>
              </w:rPr>
              <w:t>We estimate net proceeds from this offering, after deducting underwriter discounts and other</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estimated offering expenses, will be approximately $1.739 billion. We intend to use a</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substantial portion of the net proceeds from this offering to fund the purchase price of Intel's</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noncontrolling interest in IM Flash and IM Flash debt owed to Intel. We intend to use the</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remaining net proceeds from the offering for general corporate purposes. See "Use of</w:t>
            </w:r>
          </w:p>
        </w:tc>
      </w:tr>
      <w:tr>
        <w:trPr>
          <w:trHeight w:val="222"/>
        </w:trPr>
        <w:tc>
          <w:tcPr>
            <w:tcW w:w="3700" w:type="dxa"/>
            <w:vAlign w:val="bottom"/>
            <w:tcBorders>
              <w:left w:val="single" w:sz="8" w:color="auto"/>
            </w:tcBorders>
          </w:tcPr>
          <w:p>
            <w:pPr>
              <w:spacing w:after="0"/>
              <w:rPr>
                <w:sz w:val="19"/>
                <w:szCs w:val="19"/>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Proceeds."</w:t>
            </w:r>
          </w:p>
        </w:tc>
      </w:tr>
      <w:tr>
        <w:trPr>
          <w:trHeight w:val="412"/>
        </w:trPr>
        <w:tc>
          <w:tcPr>
            <w:tcW w:w="37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You should carefully consider all of the information set forth in this prospectus supplement</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1"/>
              </w:rPr>
              <w:t>and the accompanying prospectus and the documents, including the information incorporated</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by reference, and, in particular, should evaluate the specific factors set forth in this</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prospectus supplement under "Risk Factors" for an explanation of certain risks you should</w:t>
            </w:r>
          </w:p>
        </w:tc>
      </w:tr>
      <w:tr>
        <w:trPr>
          <w:trHeight w:val="222"/>
        </w:trPr>
        <w:tc>
          <w:tcPr>
            <w:tcW w:w="3700" w:type="dxa"/>
            <w:vAlign w:val="bottom"/>
            <w:tcBorders>
              <w:left w:val="single" w:sz="8" w:color="auto"/>
            </w:tcBorders>
          </w:tcPr>
          <w:p>
            <w:pPr>
              <w:spacing w:after="0"/>
              <w:rPr>
                <w:sz w:val="19"/>
                <w:szCs w:val="19"/>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consider before investing in the notes.</w:t>
            </w:r>
          </w:p>
        </w:tc>
      </w:tr>
      <w:tr>
        <w:trPr>
          <w:trHeight w:val="412"/>
        </w:trPr>
        <w:tc>
          <w:tcPr>
            <w:tcW w:w="37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Form and Denomination</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The notes will be issued in the form of one or more fully registered global securities, without</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coupons, in denominations of $2,000 in principal amount and integral multiples of $1,000 in</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excess thereof. These global notes will be deposited with the trustee as custodian for, and</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registered in the name of, a nominee of The Depository Trust Company ("DTC"). Except in</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the limited circumstances described under "Description of the Notes—Book-Entry, Form,</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Denomination and Delivery of Notes," notes in certificated form will not be issued or</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1"/>
              </w:rPr>
              <w:t>exchanged for interests in global securities. Investors may hold their interests in a global note</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directly through Euroclear Bank S.A./N.V., as operator of the Euroclear System</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("Euroclear"), and Clearstream Banking, S.A. ("Clearstream"), if they are participants in</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such systems, or indirectly through organizations that are participants in such systems.</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Euroclear and Clearstream will hold interests in a global note on behalf of their participants</w:t>
            </w:r>
          </w:p>
        </w:tc>
      </w:tr>
      <w:tr>
        <w:trPr>
          <w:trHeight w:val="216"/>
        </w:trPr>
        <w:tc>
          <w:tcPr>
            <w:tcW w:w="37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through their respective depositaries, which in turn will hold such interests in the global note</w:t>
            </w:r>
          </w:p>
        </w:tc>
      </w:tr>
      <w:tr>
        <w:trPr>
          <w:trHeight w:val="222"/>
        </w:trPr>
        <w:tc>
          <w:tcPr>
            <w:tcW w:w="3700" w:type="dxa"/>
            <w:vAlign w:val="bottom"/>
            <w:tcBorders>
              <w:left w:val="single" w:sz="8" w:color="auto"/>
            </w:tcBorders>
          </w:tcPr>
          <w:p>
            <w:pPr>
              <w:spacing w:after="0"/>
              <w:rPr>
                <w:sz w:val="19"/>
                <w:szCs w:val="19"/>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in customers' securities accounts in the depositaries' names on the books of DTC.</w:t>
            </w:r>
          </w:p>
        </w:tc>
      </w:tr>
      <w:tr>
        <w:trPr>
          <w:trHeight w:val="419"/>
        </w:trPr>
        <w:tc>
          <w:tcPr>
            <w:tcW w:w="37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Trustee, Registrar and Paying Agent</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U.S. Bank National Association.</w:t>
            </w:r>
          </w:p>
        </w:tc>
      </w:tr>
      <w:tr>
        <w:trPr>
          <w:trHeight w:val="419"/>
        </w:trPr>
        <w:tc>
          <w:tcPr>
            <w:tcW w:w="37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Governing Law</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indenture and the notes will be governed by the laws of the State of New York.</w:t>
            </w:r>
          </w:p>
        </w:tc>
      </w:tr>
      <w:tr>
        <w:trPr>
          <w:trHeight w:val="228"/>
        </w:trPr>
        <w:tc>
          <w:tcPr>
            <w:tcW w:w="3700" w:type="dxa"/>
            <w:vAlign w:val="bottom"/>
            <w:tcBorders>
              <w:left w:val="single" w:sz="8" w:color="auto"/>
              <w:bottom w:val="single" w:sz="8" w:color="auto"/>
            </w:tcBorders>
          </w:tcPr>
          <w:p>
            <w:pPr>
              <w:spacing w:after="0"/>
              <w:rPr>
                <w:sz w:val="19"/>
                <w:szCs w:val="19"/>
                <w:color w:val="auto"/>
              </w:rPr>
            </w:pPr>
          </w:p>
        </w:tc>
        <w:tc>
          <w:tcPr>
            <w:tcW w:w="7720" w:type="dxa"/>
            <w:vAlign w:val="bottom"/>
            <w:tcBorders>
              <w:bottom w:val="single" w:sz="8" w:color="auto"/>
              <w:right w:val="single" w:sz="8" w:color="auto"/>
            </w:tcBorders>
          </w:tcPr>
          <w:p>
            <w:pPr>
              <w:spacing w:after="0"/>
              <w:rPr>
                <w:sz w:val="19"/>
                <w:szCs w:val="19"/>
                <w:color w:val="auto"/>
              </w:rPr>
            </w:pPr>
          </w:p>
        </w:tc>
      </w:tr>
      <w:tr>
        <w:trPr>
          <w:trHeight w:val="427"/>
        </w:trPr>
        <w:tc>
          <w:tcPr>
            <w:tcW w:w="3700" w:type="dxa"/>
            <w:vAlign w:val="bottom"/>
          </w:tcPr>
          <w:p>
            <w:pPr>
              <w:spacing w:after="0"/>
              <w:rPr>
                <w:sz w:val="24"/>
                <w:szCs w:val="24"/>
                <w:color w:val="auto"/>
              </w:rPr>
            </w:pPr>
          </w:p>
        </w:tc>
        <w:tc>
          <w:tcPr>
            <w:tcW w:w="7720" w:type="dxa"/>
            <w:vAlign w:val="bottom"/>
          </w:tcPr>
          <w:p>
            <w:pPr>
              <w:ind w:left="1900"/>
              <w:spacing w:after="0"/>
              <w:rPr>
                <w:sz w:val="20"/>
                <w:szCs w:val="20"/>
                <w:color w:val="auto"/>
              </w:rPr>
            </w:pPr>
            <w:r>
              <w:rPr>
                <w:rFonts w:ascii="Arial" w:cs="Arial" w:eastAsia="Arial" w:hAnsi="Arial"/>
                <w:sz w:val="18"/>
                <w:szCs w:val="18"/>
                <w:color w:val="auto"/>
              </w:rPr>
              <w:t>S-5</w:t>
            </w:r>
          </w:p>
        </w:tc>
      </w:tr>
      <w:tr>
        <w:trPr>
          <w:trHeight w:val="228"/>
        </w:trPr>
        <w:tc>
          <w:tcPr>
            <w:tcW w:w="370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78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50430" cy="707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right="260" w:firstLine="351"/>
        <w:spacing w:after="0" w:line="287" w:lineRule="auto"/>
        <w:rPr>
          <w:rFonts w:ascii="Arial" w:cs="Arial" w:eastAsia="Arial" w:hAnsi="Arial"/>
          <w:sz w:val="16"/>
          <w:szCs w:val="16"/>
          <w:color w:val="0000EE"/>
        </w:rPr>
      </w:pPr>
      <w:r>
        <w:rPr>
          <w:rFonts w:ascii="Arial" w:cs="Arial" w:eastAsia="Arial" w:hAnsi="Arial"/>
          <w:sz w:val="16"/>
          <w:szCs w:val="16"/>
          <w:color w:val="auto"/>
        </w:rPr>
        <w:t xml:space="preserve">Our summary consolidated financial information presented below as of and for the three fiscal years ended August 30, 2018 has been derived from our audited consolidated financial statements. The summary consolidated statement of operations data below for the nine month periods ended May 30, 2019 and May 31, 2018, and the summary consolidated balance sheet data as of May 30, 2019, have been derived from our unaudited consolidated financial statements that are incorporated by reference herein. In the opinion of management, such unaudited interim financial data contains all adjustments necessary for the fair statement of our financial position and results of operations as of and for such periods. Our historical results, including our operating results for the nine months ended May 30, 2019, are not necessarily indicative of results that may be expected for future periods or for the full year. Our summary consolidated financial information set forth below should be read in conjunction with our consolidated financial statements, including the notes </w:t>
      </w:r>
      <w:hyperlink r:id="rId16">
        <w:r>
          <w:rPr>
            <w:rFonts w:ascii="Arial" w:cs="Arial" w:eastAsia="Arial" w:hAnsi="Arial"/>
            <w:sz w:val="16"/>
            <w:szCs w:val="16"/>
            <w:color w:val="auto"/>
          </w:rPr>
          <w:t xml:space="preserve">thereto, and "Management's Discussion and Analysis of Financial Condition and Results of Operations," both of which can be found in our </w:t>
        </w:r>
        <w:r>
          <w:rPr>
            <w:rFonts w:ascii="Arial" w:cs="Arial" w:eastAsia="Arial" w:hAnsi="Arial"/>
            <w:sz w:val="16"/>
            <w:szCs w:val="16"/>
            <w:u w:val="single" w:color="auto"/>
            <w:color w:val="0000EE"/>
          </w:rPr>
          <w:t>Annual Report</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EE"/>
          </w:rPr>
          <w:t>on Form 10-K for the fiscal year ended August 30, 2018</w:t>
        </w:r>
        <w:r>
          <w:rPr>
            <w:rFonts w:ascii="Arial" w:cs="Arial" w:eastAsia="Arial" w:hAnsi="Arial"/>
            <w:sz w:val="16"/>
            <w:szCs w:val="16"/>
            <w:color w:val="0000EE"/>
          </w:rPr>
          <w:t xml:space="preserve"> </w:t>
        </w:r>
        <w:r>
          <w:rPr>
            <w:rFonts w:ascii="Arial" w:cs="Arial" w:eastAsia="Arial" w:hAnsi="Arial"/>
            <w:sz w:val="16"/>
            <w:szCs w:val="16"/>
            <w:color w:val="000000"/>
          </w:rPr>
          <w:t>and in our</w:t>
        </w:r>
        <w:r>
          <w:rPr>
            <w:rFonts w:ascii="Arial" w:cs="Arial" w:eastAsia="Arial" w:hAnsi="Arial"/>
            <w:sz w:val="16"/>
            <w:szCs w:val="16"/>
            <w:color w:val="0000EE"/>
          </w:rPr>
          <w:t xml:space="preserve"> </w:t>
        </w:r>
      </w:hyperlink>
      <w:hyperlink r:id="rId17">
        <w:r>
          <w:rPr>
            <w:rFonts w:ascii="Arial" w:cs="Arial" w:eastAsia="Arial" w:hAnsi="Arial"/>
            <w:sz w:val="16"/>
            <w:szCs w:val="16"/>
            <w:u w:val="single" w:color="auto"/>
            <w:color w:val="0000EE"/>
          </w:rPr>
          <w:t>Quarterly Report on Form 10-Q for the fiscal quarter ended May 30, 2019</w:t>
        </w:r>
      </w:hyperlink>
      <w:hyperlink r:id="rId16">
        <w:r>
          <w:rPr>
            <w:rFonts w:ascii="Arial" w:cs="Arial" w:eastAsia="Arial" w:hAnsi="Arial"/>
            <w:sz w:val="16"/>
            <w:szCs w:val="16"/>
            <w:color w:val="000000"/>
          </w:rPr>
          <w:t>, which are</w:t>
        </w:r>
      </w:hyperlink>
      <w:r>
        <w:rPr>
          <w:rFonts w:ascii="Arial" w:cs="Arial" w:eastAsia="Arial" w:hAnsi="Arial"/>
          <w:sz w:val="16"/>
          <w:szCs w:val="16"/>
          <w:color w:val="0000EE"/>
        </w:rPr>
        <w:t xml:space="preserve"> </w:t>
      </w:r>
      <w:r>
        <w:rPr>
          <w:rFonts w:ascii="Arial" w:cs="Arial" w:eastAsia="Arial" w:hAnsi="Arial"/>
          <w:sz w:val="16"/>
          <w:szCs w:val="16"/>
          <w:color w:val="000000"/>
        </w:rPr>
        <w:t>each incorporated by reference herein.</w:t>
      </w:r>
    </w:p>
    <w:p>
      <w:pPr>
        <w:spacing w:after="0" w:line="226" w:lineRule="exact"/>
        <w:rPr>
          <w:rFonts w:ascii="Arial" w:cs="Arial" w:eastAsia="Arial" w:hAnsi="Arial"/>
          <w:sz w:val="16"/>
          <w:szCs w:val="16"/>
          <w:color w:val="0000EE"/>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7"/>
          </w:tcPr>
          <w:p>
            <w:pPr>
              <w:spacing w:after="0"/>
              <w:rPr>
                <w:sz w:val="20"/>
                <w:szCs w:val="20"/>
                <w:color w:val="auto"/>
              </w:rPr>
            </w:pPr>
            <w:r>
              <w:rPr>
                <w:rFonts w:ascii="Arial" w:cs="Arial" w:eastAsia="Arial" w:hAnsi="Arial"/>
                <w:sz w:val="14"/>
                <w:szCs w:val="14"/>
                <w:b w:val="1"/>
                <w:bCs w:val="1"/>
                <w:color w:val="auto"/>
                <w:w w:val="92"/>
              </w:rPr>
              <w:t>Fiscal Year Ended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1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August 30,</w:t>
            </w: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August 31,</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86"/>
              </w:rPr>
              <w:t>September 1,</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0"/>
              </w:rPr>
              <w:t>May 30,</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May 31,</w:t>
            </w:r>
          </w:p>
        </w:tc>
        <w:tc>
          <w:tcPr>
            <w:tcW w:w="1500" w:type="dxa"/>
            <w:vAlign w:val="bottom"/>
            <w:gridSpan w:val="2"/>
          </w:tcPr>
          <w:p>
            <w:pPr>
              <w:spacing w:after="0"/>
              <w:rPr>
                <w:sz w:val="11"/>
                <w:szCs w:val="11"/>
                <w:color w:val="auto"/>
              </w:rPr>
            </w:pPr>
          </w:p>
        </w:tc>
      </w:tr>
      <w:tr>
        <w:trPr>
          <w:trHeight w:val="161"/>
        </w:trPr>
        <w:tc>
          <w:tcPr>
            <w:tcW w:w="134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5"/>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7"/>
        </w:trPr>
        <w:tc>
          <w:tcPr>
            <w:tcW w:w="1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1340" w:type="dxa"/>
            <w:vAlign w:val="bottom"/>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Operations Data:</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30,391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20,322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92"/>
              <w:spacing w:after="0"/>
              <w:rPr>
                <w:sz w:val="20"/>
                <w:szCs w:val="20"/>
                <w:color w:val="auto"/>
              </w:rPr>
            </w:pPr>
            <w:r>
              <w:rPr>
                <w:rFonts w:ascii="Arial" w:cs="Arial" w:eastAsia="Arial" w:hAnsi="Arial"/>
                <w:sz w:val="18"/>
                <w:szCs w:val="18"/>
                <w:color w:val="auto"/>
              </w:rPr>
              <w:t>12,399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18,536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21,951</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9,894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9,211</w:t>
            </w:r>
          </w:p>
        </w:tc>
        <w:tc>
          <w:tcPr>
            <w:tcW w:w="134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2,505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3"/>
              </w:rPr>
              <w:t>12,740</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92"/>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3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10,617</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34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9,961</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4"/>
              </w:rPr>
              <w:t>Equity in net income (loss) of equity method investees</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3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9,812</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5,089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9,810</w:t>
            </w:r>
          </w:p>
        </w:tc>
        <w:tc>
          <w:tcPr>
            <w:tcW w:w="13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831"/>
        </w:trPr>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29"/>
        </w:trPr>
        <w:tc>
          <w:tcPr>
            <w:tcW w:w="1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August 30,</w:t>
            </w:r>
          </w:p>
        </w:tc>
        <w:tc>
          <w:tcPr>
            <w:tcW w:w="8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4"/>
              </w:rPr>
              <w:t>August 31,</w:t>
            </w:r>
          </w:p>
        </w:tc>
        <w:tc>
          <w:tcPr>
            <w:tcW w:w="200" w:type="dxa"/>
            <w:vAlign w:val="bottom"/>
          </w:tcPr>
          <w:p>
            <w:pPr>
              <w:spacing w:after="0"/>
              <w:rPr>
                <w:sz w:val="11"/>
                <w:szCs w:val="11"/>
                <w:color w:val="auto"/>
              </w:rPr>
            </w:pPr>
          </w:p>
        </w:tc>
        <w:tc>
          <w:tcPr>
            <w:tcW w:w="1020" w:type="dxa"/>
            <w:vAlign w:val="bottom"/>
            <w:gridSpan w:val="4"/>
          </w:tcPr>
          <w:p>
            <w:pPr>
              <w:jc w:val="right"/>
              <w:ind w:right="240"/>
              <w:spacing w:after="0" w:line="129" w:lineRule="exact"/>
              <w:rPr>
                <w:sz w:val="20"/>
                <w:szCs w:val="20"/>
                <w:color w:val="auto"/>
              </w:rPr>
            </w:pPr>
            <w:r>
              <w:rPr>
                <w:rFonts w:ascii="Arial" w:cs="Arial" w:eastAsia="Arial" w:hAnsi="Arial"/>
                <w:sz w:val="14"/>
                <w:szCs w:val="14"/>
                <w:b w:val="1"/>
                <w:bCs w:val="1"/>
                <w:color w:val="auto"/>
                <w:w w:val="86"/>
              </w:rPr>
              <w:t>September 1,</w:t>
            </w:r>
          </w:p>
        </w:tc>
        <w:tc>
          <w:tcPr>
            <w:tcW w:w="1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May 30,</w:t>
            </w:r>
          </w:p>
        </w:tc>
        <w:tc>
          <w:tcPr>
            <w:tcW w:w="1500" w:type="dxa"/>
            <w:vAlign w:val="bottom"/>
            <w:gridSpan w:val="2"/>
          </w:tcPr>
          <w:p>
            <w:pPr>
              <w:spacing w:after="0"/>
              <w:rPr>
                <w:sz w:val="11"/>
                <w:szCs w:val="11"/>
                <w:color w:val="auto"/>
              </w:rPr>
            </w:pPr>
          </w:p>
        </w:tc>
      </w:tr>
      <w:tr>
        <w:trPr>
          <w:trHeight w:val="168"/>
        </w:trPr>
        <w:tc>
          <w:tcPr>
            <w:tcW w:w="134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235"/>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3"/>
        </w:trPr>
        <w:tc>
          <w:tcPr>
            <w:tcW w:w="134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8"/>
              </w:rPr>
              <w:t>Balance</w:t>
            </w:r>
          </w:p>
        </w:tc>
        <w:tc>
          <w:tcPr>
            <w:tcW w:w="3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Sheet Data:</w:t>
            </w: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Cash and equivalents and short-term investments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6,802</w:t>
            </w:r>
          </w:p>
        </w:tc>
        <w:tc>
          <w:tcPr>
            <w:tcW w:w="80" w:type="dxa"/>
            <w:vAlign w:val="bottom"/>
          </w:tcPr>
          <w:p>
            <w:pPr>
              <w:spacing w:after="0"/>
              <w:rPr>
                <w:sz w:val="18"/>
                <w:szCs w:val="18"/>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5,428</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4,398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6,689</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8,377</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1,167</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35,336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46,288</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Current debt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1,346</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3,563</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Total Micron shareholders' equity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32,294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18,621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35,323</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w:t>
            </w:r>
          </w:p>
        </w:tc>
        <w:tc>
          <w:tcPr>
            <w:tcW w:w="1340" w:type="dxa"/>
            <w:vAlign w:val="bottom"/>
          </w:tcPr>
          <w:p>
            <w:pPr>
              <w:spacing w:after="0"/>
              <w:rPr>
                <w:sz w:val="18"/>
                <w:szCs w:val="18"/>
                <w:color w:val="auto"/>
              </w:rPr>
            </w:pPr>
          </w:p>
        </w:tc>
      </w:tr>
      <w:tr>
        <w:trPr>
          <w:trHeight w:val="226"/>
        </w:trPr>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S-6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r>
    </w:tbl>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56"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 considering whether to purchase the notes, you should carefully consider all the information contained or incorporated by reference in this prospectus </w:t>
      </w:r>
      <w:hyperlink r:id="rId17">
        <w:r>
          <w:rPr>
            <w:rFonts w:ascii="Arial" w:cs="Arial" w:eastAsia="Arial" w:hAnsi="Arial"/>
            <w:sz w:val="18"/>
            <w:szCs w:val="18"/>
            <w:i w:val="1"/>
            <w:iCs w:val="1"/>
            <w:color w:val="auto"/>
          </w:rPr>
          <w:t xml:space="preserve">supplement and the accompanying prospectus. In particular, you should carefully consider the risk factors in our </w:t>
        </w:r>
        <w:r>
          <w:rPr>
            <w:rFonts w:ascii="Arial" w:cs="Arial" w:eastAsia="Arial" w:hAnsi="Arial"/>
            <w:sz w:val="18"/>
            <w:szCs w:val="18"/>
            <w:i w:val="1"/>
            <w:iCs w:val="1"/>
            <w:u w:val="single" w:color="auto"/>
            <w:color w:val="0000EE"/>
          </w:rPr>
          <w:t>Quarterly Report on Form 10-Q for the quarter</w:t>
        </w:r>
      </w:hyperlink>
      <w:r>
        <w:rPr>
          <w:rFonts w:ascii="Arial" w:cs="Arial" w:eastAsia="Arial" w:hAnsi="Arial"/>
          <w:sz w:val="18"/>
          <w:szCs w:val="18"/>
          <w:i w:val="1"/>
          <w:iCs w:val="1"/>
          <w:color w:val="auto"/>
        </w:rPr>
        <w:t xml:space="preserve"> </w:t>
      </w:r>
      <w:hyperlink r:id="rId17">
        <w:r>
          <w:rPr>
            <w:rFonts w:ascii="Arial" w:cs="Arial" w:eastAsia="Arial" w:hAnsi="Arial"/>
            <w:sz w:val="18"/>
            <w:szCs w:val="18"/>
            <w:i w:val="1"/>
            <w:iCs w:val="1"/>
            <w:u w:val="single" w:color="auto"/>
            <w:color w:val="0000EE"/>
          </w:rPr>
          <w:t>ended May 30, 2019</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as well as the risk factors described below, which are not exhaustive. In this section, references to "Micron," "us," "we," or "our" refer only</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to Micron Technology, Inc. and not to any of its subsidiaries.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hereby incorporate by reference the risk factors in Item 1A of our Quarterly Report on Form 10-Q for the fiscal quarter ended May 30, 2019.</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61" w:lineRule="exact"/>
        <w:rPr>
          <w:sz w:val="20"/>
          <w:szCs w:val="20"/>
          <w:color w:val="auto"/>
        </w:rPr>
      </w:pPr>
    </w:p>
    <w:p>
      <w:pPr>
        <w:ind w:right="320" w:firstLine="351"/>
        <w:spacing w:after="0" w:line="314" w:lineRule="auto"/>
        <w:rPr>
          <w:sz w:val="20"/>
          <w:szCs w:val="20"/>
          <w:color w:val="auto"/>
        </w:rPr>
      </w:pPr>
      <w:r>
        <w:rPr>
          <w:rFonts w:ascii="Arial" w:cs="Arial" w:eastAsia="Arial" w:hAnsi="Arial"/>
          <w:sz w:val="15"/>
          <w:szCs w:val="15"/>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59"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Despite current indebtedness levels, we are able to incur substantially more debt. This could further exacerbate the risks described herein.</w:t>
      </w:r>
    </w:p>
    <w:p>
      <w:pPr>
        <w:spacing w:after="0" w:line="248"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 indebtedness that ranks pari passu with the notes, the holders of that debt will be entitled to share ratably with you in 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pacing w:after="0" w:line="194" w:lineRule="exact"/>
        <w:rPr>
          <w:sz w:val="20"/>
          <w:szCs w:val="20"/>
          <w:color w:val="auto"/>
        </w:rPr>
      </w:pPr>
    </w:p>
    <w:p>
      <w:pPr>
        <w:ind w:right="320" w:firstLine="395"/>
        <w:spacing w:after="0" w:line="268" w:lineRule="auto"/>
        <w:rPr>
          <w:sz w:val="20"/>
          <w:szCs w:val="20"/>
          <w:color w:val="auto"/>
        </w:rPr>
      </w:pPr>
      <w:r>
        <w:rPr>
          <w:rFonts w:ascii="Arial" w:cs="Arial" w:eastAsia="Arial" w:hAnsi="Arial"/>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and joint ventures,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Notes—Certain Covenants." In light of these exceptions, holders of the notes may be structurally or contractually subordinated to new lenders or other creditors.</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9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May 30, 2019,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$5.7 billion, all of which will be structurally senior to the notes with respect to claims on the assets and cash flows of our subsidiaries.</w:t>
      </w:r>
    </w:p>
    <w:p>
      <w:pPr>
        <w:spacing w:after="0" w:line="197" w:lineRule="exact"/>
        <w:rPr>
          <w:sz w:val="20"/>
          <w:szCs w:val="20"/>
          <w:color w:val="auto"/>
        </w:rPr>
      </w:pPr>
    </w:p>
    <w:p>
      <w:pPr>
        <w:ind w:right="280" w:firstLine="395"/>
        <w:spacing w:after="0" w:line="268"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credit rating, any rating that may be assigned to the notes, and the credit ratings assigned to our outstanding debt, including our outstanding convertible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70" w:lineRule="exact"/>
        <w:rPr>
          <w:sz w:val="20"/>
          <w:szCs w:val="20"/>
          <w:color w:val="auto"/>
        </w:rPr>
      </w:pPr>
    </w:p>
    <w:p>
      <w:pPr>
        <w:jc w:val="both"/>
        <w:ind w:right="400" w:firstLine="341"/>
        <w:spacing w:after="0" w:line="306" w:lineRule="auto"/>
        <w:rPr>
          <w:sz w:val="20"/>
          <w:szCs w:val="20"/>
          <w:color w:val="auto"/>
        </w:rPr>
      </w:pPr>
      <w:r>
        <w:rPr>
          <w:rFonts w:ascii="Arial" w:cs="Arial" w:eastAsia="Arial" w:hAnsi="Arial"/>
          <w:sz w:val="16"/>
          <w:szCs w:val="16"/>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Your ability to transfer the notes may be limited by the absence of an active trading market, and an active trading market may not develop for the notes.</w:t>
      </w:r>
    </w:p>
    <w:p>
      <w:pPr>
        <w:spacing w:after="0" w:line="260"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 of any trading market for the notes. The liquidity of any market for the notes will depend on a number of factors, including:</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25"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67" w:lineRule="exact"/>
        <w:rPr>
          <w:sz w:val="20"/>
          <w:szCs w:val="20"/>
          <w:color w:val="auto"/>
        </w:rPr>
      </w:pPr>
    </w:p>
    <w:p>
      <w:pPr>
        <w:ind w:right="360" w:firstLine="395"/>
        <w:spacing w:after="0" w:line="268"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Upon the occurrence of a Change of Control Triggering Event (as defined in the indenture governing each series of notes), holders of each series of the notes will have the right to require us to purchase such notes at a price equal to 101% of the principal amount, plus accrued and unpaid interest, if any, to but excluding the date of purchase as described in "Description of the Notes—Repurchase of Notes upon a Change of Control Triggering Event." The indentures governing our existing convertible senior notes and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of a series as required under the indenture would result in a default under such indenture, which could have material adverse consequences for us and the holders of the notes. See "Description of the Notes—Repurchase of Notes upon a Change of Control Triggering Event."</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the occurrence of a Change of Control Triggering Event, you will have the right to require us to purchase the notes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estimate net proceeds of the offering, after deducting underwriter discounts and other estimated offering expenses, will be approximately $1.739 billion.</w:t>
      </w:r>
    </w:p>
    <w:p>
      <w:pPr>
        <w:spacing w:after="0" w:line="260"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intend to use a substantial portion of the net proceeds from this offering to fund the purchase price of Intel's noncontrolling interest in IM Flash and IM Flash debt owed to Intel, at an aggregate estimated purchase price of approximately $1.4 billion (which price is subject to determination in accordance with the terms of the operating agreement governing the joint venture).</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use the remaining net proceeds from the offering for general corporate purposes, which may include capital expenditures, working capital and the repayment, repurchase, redemption or other retirement of our other existing indebtedness.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table sets forth a summary of our consolidated cash, cash equivalents, short-term investments and long-term marketable investments and capitalization as of May 30, 2019:</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of the notes offered by this prospectus supplement as if the offering had occurred on May 30, 2019, the application of a substantial portion of the net proceeds therefrom as described in "Use of Proceeds" to fund the purchase of Intel's noncontrolling interest in IM Flash and IM Flash debt owed to Intel at an aggregate estimated purchase price of $1.4 billion (which price is subject to determination in accordance with terms of the operating agreement governing the joint venture) and repayment of $165 million of IM Flash debt to Intel, which occurred on June 25, 2019.</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table should be read in conjunction with our Consolidated Financial Statements incorporated by reference in this prospectus supplement.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w w:val="85"/>
              </w:rPr>
              <w:t>As of</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30, 2019</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3"/>
              </w:rPr>
              <w:t>Actual</w:t>
            </w:r>
          </w:p>
        </w:tc>
        <w:tc>
          <w:tcPr>
            <w:tcW w:w="1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88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w w:val="93"/>
              </w:rPr>
              <w:t>millions)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Short-term investments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investments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w w:val="95"/>
              </w:rPr>
              <w:t>Cash and equivalents, short-term investments and long-term marketable investments</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debt: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IM Flash Technologies, LLC member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858</w:t>
            </w:r>
          </w:p>
        </w:tc>
        <w:tc>
          <w:tcPr>
            <w:tcW w:w="56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Micron Memory Japan, G.K. creditor payments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B Credit Facility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2.125% Convertible Senior Notes due 2033</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debt and capital lease obligations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Long-term debt and capital lease obligations, excluding current portion:</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4.185% senior notes due 2027 offered hereby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4.663% senior notes due 2030 offered hereby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Term Loan B Credit Facility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4.640% senior notes due 2024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5.500% senior notes due 2025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4.975% senior notes due 2026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5.327% senior notes due 2029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3.125% convertible senior notes due 2032</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Total long-term debt and capital lease obligations, excluding current portion</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convertible notes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Redeemable noncontrolling interest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Micron shareholders' 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35,483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Noncontrolling interest in IM Flash Technologies, Inc.</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39,852</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40,884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60" w:type="dxa"/>
            <w:vAlign w:val="bottom"/>
            <w:vMerge w:val="restart"/>
          </w:tcPr>
          <w:p>
            <w:pPr>
              <w:ind w:left="4380"/>
              <w:spacing w:after="0"/>
              <w:rPr>
                <w:sz w:val="20"/>
                <w:szCs w:val="20"/>
                <w:color w:val="auto"/>
              </w:rPr>
            </w:pPr>
            <w:r>
              <w:rPr>
                <w:rFonts w:ascii="Arial" w:cs="Arial" w:eastAsia="Arial" w:hAnsi="Arial"/>
                <w:sz w:val="18"/>
                <w:szCs w:val="18"/>
                <w:color w:val="auto"/>
              </w:rPr>
              <w:t>S-12</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i w:val="1"/>
          <w:iCs w:val="1"/>
          <w:color w:val="auto"/>
        </w:rPr>
        <w:t>The notes will be issued under a base indenture (the "Base Indenture"), dated as of February 6, 2019, between Micron Technology, Inc. and U.S. Bank National Association, as trustee (the "Trustee"), as supplemented by a supplemental indenture, to be dated July 12, 2019, with respect to the notes (the "Supplemental Indenture" and, together with the Base Indenture, the "Indenture").</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 your rights as holders of the notes. Defined terms used but not defined in this description have the meanings assigned to them in the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registered holder of a note will be treated as the owner of such note for all purposes. Only registered holders will have rights under the Indenture.</w:t>
      </w:r>
    </w:p>
    <w:p>
      <w:pPr>
        <w:spacing w:after="0" w:line="248"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i w:val="1"/>
          <w:iCs w:val="1"/>
          <w:color w:val="auto"/>
        </w:rPr>
        <w:t>The definition of certain terms used in this description are summarized under the subheading "—Certain Definitions." In this description, references to "Micron," "us," "we," "our" or the "Company" refer only to Micron Technology, Inc. and not to any of its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will issue $900,000,000 aggregate principal amount of 2027 notes. The 2027 notes will mature on February 15, 2027. Interest on the 2027 notes will accrue at the rate of 4.185% per annum.</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will issue $850,000,000 aggregate principal amount of 2030 notes. The 2030 notes will mature on February 15, 2030. Interest on the 2030 notes will accrue at the rate of 4.663% per annum.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2027 notes and the 2030 notes are collectively referred to as the "notes."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7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2027 notes will accrue interest at a rate of 4.185% per annum and the 2030 notes will bear interest at a rate of 4.663% per annum. Interest on the notes will accrue from July 12, 2019, or from the most recent interest payment date to which interest has been paid or provided for, to, but excluding, the relevant interest payment date. The Company will make interest payments on each series of notes semi-annually in arrears on February 15 and August 15 of each year, beginning 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February 15, 2020, to the Person in whose name such notes are registered at the close of business on the immediately preceding January 31 or July 31, as applicable.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Except as otherwise described below, the notes of each series will be redeemable in whole at any time or in part from time to time, at the Company's option, prior to the applicable Par Call Date, at a redemption price as calculated by the Company equal to the greater of:</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 or</w:t>
      </w:r>
    </w:p>
    <w:p>
      <w:pPr>
        <w:spacing w:after="0" w:line="252"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that would be due if the notes of such series matured on the applicable Par Call Date (exclusive of interest accrued to the date of redemption), discounted to the date of redemption on a semi-annual basis (assuming a 360-day year consisting of twelve 30-day months) at the then current Treasury Rate plus 35 basis points for the 2027 notes and 40 basis points for the 2030 notes,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we elect to redeem any 2027 notes or 2030 notes on or after the applicable Par Call Date, we will pay an amount equal to 100% of the principal amount of the notes redeemed, plus accrued and unpaid interest, if any, to, but excluding, the date of redemption.</w:t>
      </w:r>
    </w:p>
    <w:p>
      <w:pPr>
        <w:spacing w:after="0" w:line="186" w:lineRule="exact"/>
        <w:rPr>
          <w:sz w:val="20"/>
          <w:szCs w:val="20"/>
          <w:color w:val="auto"/>
        </w:rPr>
      </w:pPr>
    </w:p>
    <w:p>
      <w:pPr>
        <w:ind w:right="1260" w:firstLine="351"/>
        <w:spacing w:after="0" w:line="332" w:lineRule="auto"/>
        <w:rPr>
          <w:sz w:val="20"/>
          <w:szCs w:val="20"/>
          <w:color w:val="auto"/>
        </w:rPr>
      </w:pPr>
      <w:r>
        <w:rPr>
          <w:rFonts w:ascii="Arial" w:cs="Arial" w:eastAsia="Arial" w:hAnsi="Arial"/>
          <w:sz w:val="16"/>
          <w:szCs w:val="16"/>
          <w:color w:val="auto"/>
        </w:rPr>
        <w:t>"Par Call Date" means (i) December 15, 2026 with respect to any 2027 notes (two months prior to the maturity date of the 2027 notes), and (ii) November 15, 2029 with respect to any 2030 notes (three months prior to the maturity date of the 2030 notes).</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will prepare and send, or cause to be sent, a notice of redemption to each holder of notes to be redeemed (with a copy to the Trustee) at least 30 and not more than 60 calendar days prior to the date fixed for redemption. On and after a redemption date, interest will cease to accrue on the notes called for redemption (unless the Company defaults in the payment of the redemption price and accrued interest). On or before a redemption date, the Company will deposit with a paying agent (or the trustee) money sufficient to pay the redemption price of and accrued interest on the notes to be redeemed on that date. If less than all of the notes of a series are to be redeemed, the notes of such series to be redeemed shall be selected by the trustee pro rata or by lot or by a method the trustee deems to be fair and appropriate and, in respect of global notes, in accordance with the procedures of The Depository Trust Company ("DTC"). Any redemption or notice of redemption may, at the Company's discretion, be subject to one or more conditions precedent.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is not required to make any mandatory redemption or sinking fund payments with respect to the notes. However, under certain circumstances, the Company may be required to offer to purchase each series of notes as described under the caption "—Repurchase of Notes upon a Change of Control Triggering Event." The Company may at any time and from time to time purchase notes in the open market or otherwise.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the Company;</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such assets securing such indebtedness or other obligations (unless the notes are equally and ratably secured with such indebtedness);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structurally subordinated to any indebtedness and other liabilities of the Company's Subsidiaries.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Notes upon a Change of Control Triggering Event</w:t>
      </w:r>
    </w:p>
    <w:p>
      <w:pPr>
        <w:spacing w:after="0" w:line="23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Not later than 60 days following a Change of Control Triggering Event, unless the Company has exercised its right to redeem all of the notes of a series as described under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6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70"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5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been given pursuant to the Indenture as described above under the caption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72"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Factors—Risks Related to the Notes—Upon a Change of Control Triggering Event, we may not have the funds necessary to finance the change of control offer required by the indenture governing the notes, which would violate the terms of the indenture."</w:t>
      </w:r>
    </w:p>
    <w:p>
      <w:pPr>
        <w:spacing w:after="0" w:line="174"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The phrase "all or substantially all," as used with respect to the assets of the Company in the definition of "Change of Control" and in the covenant summarized below under "—Certain Covenants—Consolidation,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70"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initial purchasers and the Company. After the original issuance date of the notes,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"—Certain Covenants—Limitation on Liens" and "—Certain Covenants—Limitation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notes of a series generally will be able to exchange notes of such series for other notes with the same total principal amount and the same terms.</w:t>
      </w:r>
    </w:p>
    <w:p>
      <w:pPr>
        <w:spacing w:after="0" w:line="24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Holders may present notes for exchange or for registration of transfer at the office of the security registrar or at the office of any transfer agent designated by the Company for that purpose. The security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security registrar may require payment of a sum sufficient to cover any tax or other governmental charge payable for the registration of transfer or exchange. The Company has initially appointed the trustee as security registrar. At any time the Company may:</w:t>
      </w:r>
    </w:p>
    <w:p>
      <w:pPr>
        <w:spacing w:after="0" w:line="18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Company elects to redeem the notes of a series or makes an Offer to Purchase, neither the Company nor the trustee will be required to:</w:t>
      </w:r>
    </w:p>
    <w:p>
      <w:pPr>
        <w:spacing w:after="0" w:line="262" w:lineRule="exact"/>
        <w:rPr>
          <w:sz w:val="20"/>
          <w:szCs w:val="20"/>
          <w:color w:val="auto"/>
        </w:rPr>
      </w:pPr>
    </w:p>
    <w:p>
      <w:pPr>
        <w:ind w:left="1080" w:right="4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199" w:lineRule="exact"/>
        <w:rPr>
          <w:rFonts w:ascii="Arial" w:cs="Arial" w:eastAsia="Arial" w:hAnsi="Arial"/>
          <w:sz w:val="18"/>
          <w:szCs w:val="18"/>
          <w:color w:val="auto"/>
        </w:rPr>
      </w:pPr>
    </w:p>
    <w:p>
      <w:pPr>
        <w:ind w:left="1080" w:right="6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52"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77"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199"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210"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212" w:lineRule="exact"/>
        <w:rPr>
          <w:rFonts w:ascii="Arial" w:cs="Arial" w:eastAsia="Arial" w:hAnsi="Arial"/>
          <w:sz w:val="18"/>
          <w:szCs w:val="18"/>
          <w:color w:val="auto"/>
        </w:rPr>
      </w:pPr>
    </w:p>
    <w:p>
      <w:pPr>
        <w:jc w:val="both"/>
        <w:ind w:left="1080" w:right="1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"—Limitation on Liens" above; or</w:t>
      </w:r>
    </w:p>
    <w:p>
      <w:pPr>
        <w:spacing w:after="0" w:line="207"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186" w:lineRule="exact"/>
        <w:rPr>
          <w:sz w:val="20"/>
          <w:szCs w:val="20"/>
          <w:color w:val="auto"/>
        </w:rPr>
      </w:pPr>
    </w:p>
    <w:p>
      <w:pPr>
        <w:ind w:left="540" w:right="60" w:firstLine="359"/>
        <w:spacing w:after="0" w:line="332" w:lineRule="auto"/>
        <w:tabs>
          <w:tab w:leader="none" w:pos="12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39" w:lineRule="exact"/>
        <w:rPr>
          <w:rFonts w:ascii="Arial" w:cs="Arial" w:eastAsia="Arial" w:hAnsi="Arial"/>
          <w:sz w:val="16"/>
          <w:szCs w:val="16"/>
          <w:color w:val="auto"/>
        </w:rPr>
      </w:pPr>
    </w:p>
    <w:p>
      <w:pPr>
        <w:ind w:left="540" w:right="160" w:firstLine="359"/>
        <w:spacing w:after="0" w:line="268" w:lineRule="auto"/>
        <w:tabs>
          <w:tab w:leader="none" w:pos="12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Financial Information</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"—Certain Covenants—Limitation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"—Certain Covenants—Limitation on Sale and Lease-Back Transactions" above; provided that any such Attributable Debt will be excluded from this clause (2) to the extent of Indebtedness relating thereto is included in clause (1) of this definition, provided further, in no event will the amount of any Indebtedness be required to be included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calculation of Aggregate Debt more than once despite the fact more than one Person is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"—Certain Covenants—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75"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"Below Investment Grade Rating Event" means, with respect to each series of the notes, the rating on the notes of such series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such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of Directors" means the board of directors of the Company or any committee thereof duly authorized to act on behalf of such board.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means:</w:t>
      </w:r>
    </w:p>
    <w:p>
      <w:pPr>
        <w:spacing w:after="0" w:line="225" w:lineRule="exact"/>
        <w:rPr>
          <w:sz w:val="20"/>
          <w:szCs w:val="20"/>
          <w:color w:val="auto"/>
        </w:rPr>
      </w:pPr>
    </w:p>
    <w:p>
      <w:pPr>
        <w:ind w:left="540" w:firstLine="359"/>
        <w:spacing w:after="0" w:line="286" w:lineRule="auto"/>
        <w:tabs>
          <w:tab w:leader="none" w:pos="12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78" w:lineRule="exact"/>
        <w:rPr>
          <w:rFonts w:ascii="Arial" w:cs="Arial" w:eastAsia="Arial" w:hAnsi="Arial"/>
          <w:sz w:val="16"/>
          <w:szCs w:val="16"/>
          <w:color w:val="auto"/>
        </w:rPr>
      </w:pPr>
    </w:p>
    <w:p>
      <w:pPr>
        <w:ind w:left="540" w:firstLine="359"/>
        <w:spacing w:after="0" w:line="255" w:lineRule="auto"/>
        <w:tabs>
          <w:tab w:leader="none" w:pos="12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96" w:lineRule="exact"/>
        <w:rPr>
          <w:rFonts w:ascii="Arial" w:cs="Arial" w:eastAsia="Arial" w:hAnsi="Arial"/>
          <w:sz w:val="18"/>
          <w:szCs w:val="18"/>
          <w:color w:val="auto"/>
        </w:rPr>
      </w:pPr>
    </w:p>
    <w:p>
      <w:pPr>
        <w:ind w:left="1240" w:hanging="341"/>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"Comparable Treasury Issue" means the United States Treasury security selected by a Reference Treasury Dealer (as defined below) as having an actual or interpolated maturity comparable to the period from the redemption date to December 15, 2026, in the case of the 2027 notes, and November 15, 2029, in the case of the 2030 notes, that would be utilized, at the time of selection and in accordance with customary financial practice, in pricing new issues of corporate debt securities of comparable maturity to the period from the redemption date to December 15, 2026 and November 15, 2029, respectively.</w:t>
      </w:r>
    </w:p>
    <w:p>
      <w:pPr>
        <w:spacing w:after="0" w:line="16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"Comparable Treasury Price"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6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obligations under capital leases and, following the adoption of ASU 2016-02—Leases, of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"Existing Credit Facilities" means (1) that certain Credit Agreement, dated as of April 26, 2016 (as the same may be amended, restated, modified or supplemented from time to time), by and among the Company, Morgan Stanley Senior Funding, Inc. as administrative agent and collateral agent, and the other agents party thereto and each financial institution party from time to time thereto, and (2) that certain Credit Agreement, dated as of July 3, 2018 (as the same may be amended, restated, modified or supplemented from time to time), by and among the Company, JPMorgan Chase Bank, N.A., as administrative agent and collateral agent, and the other agents party thereto and each financial institution party from time to time thereto.</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94"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240" w:hanging="341"/>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ind w:left="540" w:right="740" w:firstLine="359"/>
        <w:spacing w:after="0" w:line="268" w:lineRule="auto"/>
        <w:tabs>
          <w:tab w:leader="none" w:pos="12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the Company) of such assets at the date of determination; and (b) the principal amount of the Indebtedness secured by such Lien.</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"Investment Grade" means a rating of BBB–or better by Fitch (or its equivalent under any successor rating categories of Fitch), Baa3 or better by Moody's (or its equivalent under any successor rating categories of Moody's) and a rating of BBB–or better by S&amp;P (or its equivalent under any successor rating categories of S&amp;P) or the equivalent investment grade credit rating from any additional Rating Agency or Rating Agencies selected by us.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"Issue Date" means the date of original issuance of the notes under the Indenture.</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"Legal Holiday" means a Saturday, a Sunday or a day on which commercial banking institutions or the corporate trust office are not required to be open in the State of New York or the place of payment.</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"Permitted Liens" means:</w:t>
      </w:r>
    </w:p>
    <w:p>
      <w:pPr>
        <w:spacing w:after="0" w:line="239" w:lineRule="exact"/>
        <w:rPr>
          <w:sz w:val="20"/>
          <w:szCs w:val="20"/>
          <w:color w:val="auto"/>
        </w:rPr>
      </w:pPr>
    </w:p>
    <w:p>
      <w:pPr>
        <w:ind w:left="1080" w:right="1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 including the Existing Credit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23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87"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shares of Capital Stock or assets of a Person and its Subsidiaries prior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318" w:lineRule="auto"/>
        <w:rPr>
          <w:sz w:val="20"/>
          <w:szCs w:val="20"/>
          <w:color w:val="auto"/>
        </w:rPr>
      </w:pPr>
      <w:r>
        <w:rPr>
          <w:rFonts w:ascii="Arial" w:cs="Arial" w:eastAsia="Arial" w:hAnsi="Arial"/>
          <w:sz w:val="15"/>
          <w:szCs w:val="15"/>
          <w:color w:val="auto"/>
        </w:rPr>
        <w:t>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167" w:lineRule="exact"/>
        <w:rPr>
          <w:sz w:val="20"/>
          <w:szCs w:val="20"/>
          <w:color w:val="auto"/>
        </w:rPr>
      </w:pPr>
    </w:p>
    <w:p>
      <w:pPr>
        <w:ind w:left="1080" w:right="20" w:hanging="532"/>
        <w:spacing w:after="0" w:line="28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208"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38"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221"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99"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211"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32" w:lineRule="auto"/>
        <w:rPr>
          <w:sz w:val="20"/>
          <w:szCs w:val="20"/>
          <w:color w:val="auto"/>
        </w:rPr>
      </w:pPr>
      <w:r>
        <w:rPr>
          <w:rFonts w:ascii="Arial" w:cs="Arial" w:eastAsia="Arial" w:hAnsi="Arial"/>
          <w:sz w:val="16"/>
          <w:szCs w:val="16"/>
          <w:color w:val="auto"/>
        </w:rPr>
        <w:t>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53" w:lineRule="exact"/>
        <w:rPr>
          <w:sz w:val="20"/>
          <w:szCs w:val="20"/>
          <w:color w:val="auto"/>
        </w:rPr>
      </w:pPr>
    </w:p>
    <w:p>
      <w:pPr>
        <w:ind w:left="1080" w:right="500" w:hanging="532"/>
        <w:spacing w:after="0" w:line="370"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created, incurred or assumed in connection with an industrial revenue bond, pollution control bond or similar financing between the Company or any of its Subsidiary and any federal, state or municipal government or other government body or quasi-governmental agency;</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Liens created in connection with the acquisition of assets or a project financed with, and created to secure a Nonrecourse Obligation; and</w:t>
      </w:r>
    </w:p>
    <w:p>
      <w:pPr>
        <w:spacing w:after="0" w:line="261"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86"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201"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 (62) of the Exchange Act, selected by the Company as a replacement agency for Fitch, Moody's or S&amp;P, or all of them, as the case may be.</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"Reference Treasury Dealer" means at least two primary U.S. Government securities dealers selected by the Company, which may include any of Goldman Sachs &amp; Co. LLC, J.P. Morgan Securities LLC or Wells Fargo Securities, LLC, and each of their respective successors and affiliates. If any of the foregoing shall cease to be a primary U.S. Government securities dealer, the Company will substitute another nationally recognized investment banking firm that is a primary U.S. Government securities dealer.</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"Reference Treasury Dealer Quotations"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7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86"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94"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"Treasury Rate"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6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will be an event of default under the Indenture for each series of notes:</w:t>
      </w:r>
    </w:p>
    <w:p>
      <w:pPr>
        <w:spacing w:after="0" w:line="239" w:lineRule="exact"/>
        <w:rPr>
          <w:sz w:val="20"/>
          <w:szCs w:val="20"/>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of that series when it becomes due and payable, and continuance of that default for a period of 30 days;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of that series when due and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in connection with a Change of Control Triggering Event for 30 calendar days;</w:t>
      </w:r>
    </w:p>
    <w:p>
      <w:pPr>
        <w:spacing w:after="0" w:line="199"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holders of not less than 25% in principal amount of the outstanding notes of that series as provided in the Indenture; and</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225" w:lineRule="exact"/>
        <w:rPr>
          <w:sz w:val="20"/>
          <w:szCs w:val="20"/>
          <w:color w:val="auto"/>
        </w:rPr>
      </w:pPr>
    </w:p>
    <w:p>
      <w:pPr>
        <w:jc w:val="both"/>
        <w:ind w:right="560" w:firstLine="351"/>
        <w:spacing w:after="0" w:line="306" w:lineRule="auto"/>
        <w:rPr>
          <w:sz w:val="20"/>
          <w:szCs w:val="20"/>
          <w:color w:val="auto"/>
        </w:rPr>
      </w:pPr>
      <w:r>
        <w:rPr>
          <w:rFonts w:ascii="Arial" w:cs="Arial" w:eastAsia="Arial" w:hAnsi="Arial"/>
          <w:sz w:val="16"/>
          <w:szCs w:val="16"/>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an event of default with respect to notes of a series at the time outstanding occurs and is continuing, then the trustee or the holders of not less than 25% in principal amount of the outstanding notes of that 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notes of that series which have become due solely by such declaration of acceleration, have been cured or waived as provided in the Indenture and the trustee's fees and expenses have been paid in full.</w:t>
      </w:r>
    </w:p>
    <w:p>
      <w:pPr>
        <w:spacing w:after="0" w:line="174"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186" w:lineRule="exact"/>
        <w:rPr>
          <w:sz w:val="20"/>
          <w:szCs w:val="20"/>
          <w:color w:val="auto"/>
        </w:rPr>
      </w:pPr>
    </w:p>
    <w:p>
      <w:pPr>
        <w:ind w:left="1240" w:hanging="341"/>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notes of that series; and</w:t>
      </w:r>
    </w:p>
    <w:p>
      <w:pPr>
        <w:spacing w:after="0" w:line="248" w:lineRule="exact"/>
        <w:rPr>
          <w:rFonts w:ascii="Arial" w:cs="Arial" w:eastAsia="Arial" w:hAnsi="Arial"/>
          <w:sz w:val="16"/>
          <w:szCs w:val="16"/>
          <w:color w:val="auto"/>
        </w:rPr>
      </w:pPr>
    </w:p>
    <w:p>
      <w:pPr>
        <w:ind w:left="540" w:right="160" w:firstLine="359"/>
        <w:spacing w:after="0" w:line="303" w:lineRule="auto"/>
        <w:tabs>
          <w:tab w:leader="none" w:pos="1228"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w:t>
      </w:r>
    </w:p>
    <w:p>
      <w:pPr>
        <w:spacing w:after="0" w:line="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60 days.</w:t>
      </w:r>
    </w:p>
    <w:p>
      <w:pPr>
        <w:spacing w:after="0" w:line="2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The Indenture provides that the trustee may withhold notice to the holders of notes of any series of any default or event of default (except in payment on any notes of that series) with respect to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or the trustee may amend or supplement the Indenture or the notes of one or more series without the consent of the holders of the outstanding notes under the Indenture:</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the notes of such series;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notes of any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notes of such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notes of any series as permitted by the Indenture;</w:t>
      </w:r>
    </w:p>
    <w:p>
      <w:pPr>
        <w:spacing w:after="0" w:line="261" w:lineRule="exact"/>
        <w:rPr>
          <w:rFonts w:ascii="Arial" w:cs="Arial" w:eastAsia="Arial" w:hAnsi="Arial"/>
          <w:sz w:val="16"/>
          <w:szCs w:val="16"/>
          <w:color w:val="auto"/>
        </w:rPr>
      </w:pPr>
    </w:p>
    <w:p>
      <w:pPr>
        <w:jc w:val="both"/>
        <w:ind w:left="1080" w:right="4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207"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a series of notes, to the description of such series of notes in this "Description of the Notes."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20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238" w:lineRule="exact"/>
        <w:rPr>
          <w:rFonts w:ascii="Arial" w:cs="Arial" w:eastAsia="Arial" w:hAnsi="Arial"/>
          <w:sz w:val="18"/>
          <w:szCs w:val="18"/>
          <w:color w:val="auto"/>
        </w:rPr>
      </w:pPr>
    </w:p>
    <w:p>
      <w:pPr>
        <w:ind w:left="5540" w:right="4900" w:hanging="4992"/>
        <w:spacing w:after="0" w:line="613"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reduces the principal amount of, or changes the stated maturity of, any notes; 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Notes and Certain Covenants in Certain Circumstances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the Company may be discharged from any and all obligations in respect of the notes of any series (except</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920" w:val="left"/>
        </w:tabs>
        <w:rPr>
          <w:sz w:val="20"/>
          <w:szCs w:val="20"/>
          <w:color w:val="auto"/>
        </w:rPr>
      </w:pPr>
      <w:r>
        <w:rPr>
          <w:rFonts w:ascii="Arial" w:cs="Arial" w:eastAsia="Arial" w:hAnsi="Arial"/>
          <w:sz w:val="18"/>
          <w:szCs w:val="18"/>
          <w:i w:val="1"/>
          <w:iCs w:val="1"/>
          <w:color w:val="auto"/>
        </w:rPr>
        <w:t>Defeasance of Certain Covenants.</w:t>
      </w:r>
      <w:r>
        <w:rPr>
          <w:sz w:val="20"/>
          <w:szCs w:val="20"/>
          <w:color w:val="auto"/>
        </w:rPr>
        <w:tab/>
      </w:r>
      <w:r>
        <w:rPr>
          <w:rFonts w:ascii="Arial" w:cs="Arial" w:eastAsia="Arial" w:hAnsi="Arial"/>
          <w:sz w:val="16"/>
          <w:szCs w:val="16"/>
          <w:color w:val="auto"/>
        </w:rPr>
        <w:t>The Indenture provides that, upon compliance with certain conditions:</w:t>
      </w:r>
    </w:p>
    <w:p>
      <w:pPr>
        <w:spacing w:after="0" w:line="225" w:lineRule="exact"/>
        <w:rPr>
          <w:sz w:val="20"/>
          <w:szCs w:val="20"/>
          <w:color w:val="auto"/>
        </w:rPr>
      </w:pPr>
    </w:p>
    <w:p>
      <w:pPr>
        <w:ind w:left="540" w:right="160" w:firstLine="359"/>
        <w:spacing w:after="0" w:line="268"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"—Certain Covenants" and "—Repurchase of Notes upon a Change of Control Triggering Event" and certain other covenants set forth in the Indenture; and</w:t>
      </w:r>
    </w:p>
    <w:p>
      <w:pPr>
        <w:spacing w:after="0" w:line="185" w:lineRule="exact"/>
        <w:rPr>
          <w:rFonts w:ascii="Arial" w:cs="Arial" w:eastAsia="Arial" w:hAnsi="Arial"/>
          <w:sz w:val="18"/>
          <w:szCs w:val="18"/>
          <w:color w:val="auto"/>
        </w:rPr>
      </w:pPr>
    </w:p>
    <w:p>
      <w:pPr>
        <w:ind w:left="540" w:right="780" w:firstLine="359"/>
        <w:spacing w:after="0" w:line="268"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of that series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540" w:right="40" w:firstLine="359"/>
        <w:spacing w:after="0" w:line="256"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pacing w:after="0" w:line="197" w:lineRule="exact"/>
        <w:rPr>
          <w:rFonts w:ascii="Arial" w:cs="Arial" w:eastAsia="Arial" w:hAnsi="Arial"/>
          <w:sz w:val="18"/>
          <w:szCs w:val="18"/>
          <w:color w:val="auto"/>
        </w:rPr>
      </w:pPr>
    </w:p>
    <w:p>
      <w:pPr>
        <w:ind w:left="540" w:firstLine="359"/>
        <w:spacing w:after="0" w:line="256"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97"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i w:val="1"/>
          <w:iCs w:val="1"/>
          <w:color w:val="auto"/>
        </w:rPr>
        <w:t xml:space="preserve">Covenant Defeasance and Events of Default. </w:t>
      </w:r>
      <w:r>
        <w:rPr>
          <w:rFonts w:ascii="Arial" w:cs="Arial" w:eastAsia="Arial" w:hAnsi="Arial"/>
          <w:sz w:val="15"/>
          <w:szCs w:val="15"/>
          <w:color w:val="auto"/>
        </w:rPr>
        <w:t>In the event the Company exercises its option to effect covenant defeasance with respect to any series of</w:t>
      </w:r>
      <w:r>
        <w:rPr>
          <w:rFonts w:ascii="Arial" w:cs="Arial" w:eastAsia="Arial" w:hAnsi="Arial"/>
          <w:sz w:val="15"/>
          <w:szCs w:val="15"/>
          <w:i w:val="1"/>
          <w:iCs w:val="1"/>
          <w:color w:val="auto"/>
        </w:rPr>
        <w:t xml:space="preserve"> </w:t>
      </w:r>
      <w:r>
        <w:rPr>
          <w:rFonts w:ascii="Arial" w:cs="Arial" w:eastAsia="Arial" w:hAnsi="Arial"/>
          <w:sz w:val="15"/>
          <w:szCs w:val="15"/>
          <w:color w:val="auto"/>
        </w:rPr>
        <w:t>notes and the notes of that series are declared due and payable because of the occurrence of any event of default, the amount of money and/or U.S. Government</w:t>
      </w:r>
    </w:p>
    <w:p>
      <w:pPr>
        <w:spacing w:after="0" w:line="11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 Denomination and Delivery of Notes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139"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of any series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such series of notes, to register the transfer or exchange of any note of such series on or after the regular record date and before the date of such redemption or purchase.</w:t>
      </w:r>
    </w:p>
    <w:p>
      <w:pPr>
        <w:spacing w:after="0" w:line="20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225" w:lineRule="exact"/>
        <w:rPr>
          <w:sz w:val="20"/>
          <w:szCs w:val="20"/>
          <w:color w:val="auto"/>
        </w:rPr>
      </w:pPr>
    </w:p>
    <w:p>
      <w:pPr>
        <w:ind w:right="320" w:firstLine="348"/>
        <w:spacing w:after="0" w:line="335" w:lineRule="auto"/>
        <w:rPr>
          <w:sz w:val="20"/>
          <w:szCs w:val="20"/>
          <w:color w:val="auto"/>
        </w:rPr>
      </w:pPr>
      <w:r>
        <w:rPr>
          <w:rFonts w:ascii="Arial" w:cs="Arial" w:eastAsia="Arial" w:hAnsi="Arial"/>
          <w:sz w:val="15"/>
          <w:szCs w:val="15"/>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4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initial purchasers),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239" w:lineRule="exact"/>
        <w:rPr>
          <w:sz w:val="20"/>
          <w:szCs w:val="20"/>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21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Investors in the U.S. global note who are Participants may hold their interests therein directly through DTC. Investors in the U.S. global note who are not Participants may hold their interests therein indirectly through organizations (including Euroclear and Clearstream) that are Participants. Euroclear and Clearstream will hold interests in the offshore global note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5" w:lineRule="exact"/>
        <w:rPr>
          <w:sz w:val="20"/>
          <w:szCs w:val="20"/>
          <w:color w:val="auto"/>
        </w:rPr>
      </w:pPr>
    </w:p>
    <w:p>
      <w:pPr>
        <w:jc w:val="both"/>
        <w:ind w:right="120" w:firstLine="351"/>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securities registrar, nor any agent of the Company, the trustee or the securities registrar has or will have any responsibility or liability for:</w:t>
      </w:r>
    </w:p>
    <w:p>
      <w:pPr>
        <w:spacing w:after="0" w:line="174" w:lineRule="exact"/>
        <w:rPr>
          <w:sz w:val="20"/>
          <w:szCs w:val="20"/>
          <w:color w:val="auto"/>
        </w:rPr>
      </w:pPr>
    </w:p>
    <w:p>
      <w:pPr>
        <w:ind w:left="1080" w:right="16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jc w:val="both"/>
        <w:ind w:right="420" w:firstLine="351"/>
        <w:spacing w:after="0" w:line="298" w:lineRule="auto"/>
        <w:rPr>
          <w:sz w:val="20"/>
          <w:szCs w:val="20"/>
          <w:color w:val="auto"/>
        </w:rPr>
      </w:pPr>
      <w:r>
        <w:rPr>
          <w:rFonts w:ascii="Arial" w:cs="Arial" w:eastAsia="Arial" w:hAnsi="Arial"/>
          <w:sz w:val="16"/>
          <w:szCs w:val="16"/>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67"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67"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the U.S. global note and the offshore global note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6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jc w:val="both"/>
        <w:ind w:right="340" w:firstLine="351"/>
        <w:spacing w:after="0" w:line="335" w:lineRule="auto"/>
        <w:rPr>
          <w:sz w:val="20"/>
          <w:szCs w:val="20"/>
          <w:color w:val="auto"/>
        </w:rPr>
      </w:pPr>
      <w:r>
        <w:rPr>
          <w:rFonts w:ascii="Arial" w:cs="Arial" w:eastAsia="Arial" w:hAnsi="Arial"/>
          <w:sz w:val="15"/>
          <w:szCs w:val="15"/>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153"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law will govern the Indenture and each series of the notes.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31"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U.S. Bank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139"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This section is a discussion of the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5"/>
          <w:szCs w:val="15"/>
          <w:color w:val="auto"/>
        </w:rPr>
        <w:t>The summary generally applies only to beneficial owners of the notes that purchase their notes in this offering for an amount equal to the issue price of the notes,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summary does not describe the effects of any other U.S. federal tax laws such as the Medicare contribution tax on net investment income or estate and gift tax laws or the effects of any applicable non-U.S., state or local laws.</w:t>
      </w:r>
    </w:p>
    <w:p>
      <w:pPr>
        <w:spacing w:after="0" w:line="16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70"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 "non-U.S.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may be required to make payments to holders of the notes in addition to payments of principal and stated interest. We believe there is only a remote possibility that we would be 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U.S.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general, if the terms of a debt instrument entitle a holder to receive payments (other than fixed periodic interest) that exceed the issue price of the instrument by more than a statutorily defined de minimis amount, the U.S. holder will be required to include such excess in income as "original issue discount" over the term of the instrument, irrespective of the U.S. holder's regular method of tax accounting. We expect, and the discussion below assumes, that the notes will not be issued with original issue discount for U.S. federal income tax purposes.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 U.S. holder generally will recognize taxable gain or loss if the holder disposes of a note in a sale, exchange, redemption, retirement or other taxable disposition, including discharges and certain legal defeasances of the notes within one year of maturity or redemption, as described under "Description of the Notes—Defeasance of Notes and Certain Covenants in Certain Circumstances—Legal Defeasance" and "Description of the Notes—Satisfaction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the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Subject to the discussion below under "—Income or gains effectively connected with a U.S. trade or business," payments of interest to non-U.S. holders are generally subject to U.S. federal income tax at a rate of 30% (or a reduced or zero rate under the terms of an applicable income tax treaty between the United States and the non-U.S. holder's country of residence), collected by means of withholding by the payer. Payments of interest on the notes to most non-U.S. holders, however, will qualify as "portfolio interest," and thus will be exempt from U.S. federal income tax, including withholding of such tax, if the non-U.S. holders certify their nonresident status as described below, subject to the discussions below under "—Legislation and guidance relating to foreign accounts" and "—Backup withholding and information reporting". The portfolio interest exemption will not apply to payments of interest to a non-U.S. holder that:</w:t>
      </w:r>
    </w:p>
    <w:p>
      <w:pPr>
        <w:spacing w:after="0" w:line="188" w:lineRule="exact"/>
        <w:rPr>
          <w:sz w:val="20"/>
          <w:szCs w:val="20"/>
          <w:color w:val="auto"/>
        </w:rPr>
      </w:pPr>
    </w:p>
    <w:p>
      <w:pPr>
        <w:ind w:left="1080" w:right="3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 or</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general, a foreign corporation is a controlled foreign corporation if more than 50% of its stock (by vote or value) is owned, actually or constructively, by one or more U.S. persons that each owns, actually or constructively, at least 10% of the corporation's stock (by vote or value).</w:t>
      </w:r>
    </w:p>
    <w:p>
      <w:pPr>
        <w:spacing w:after="0" w:line="139"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Subject to the discussion below under "—Backup withholding and information reporting," non-U.S. holders generally will not be subject to U.S. federal income or withholding tax on any gain realized on the sale, exchange, redemption, retirement or other disposition of notes (other than with respect to payments attributable to accrued but unpaid interest, which will be taxed as described under "—Taxation of interest" above). This general rule, however, is subject to several exceptions. For example, the gain would be subject to U.S. federal income tax if:</w:t>
      </w:r>
    </w:p>
    <w:p>
      <w:pPr>
        <w:spacing w:after="0" w:line="180" w:lineRule="exact"/>
        <w:rPr>
          <w:sz w:val="20"/>
          <w:szCs w:val="20"/>
          <w:color w:val="auto"/>
        </w:rPr>
      </w:pPr>
    </w:p>
    <w:p>
      <w:pPr>
        <w:ind w:left="1080" w:right="12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"—Income or gains effectively connected with a U.S. trade or business;" or</w:t>
      </w:r>
    </w:p>
    <w:p>
      <w:pPr>
        <w:spacing w:after="0" w:line="174"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disposition of the notes is effectively connected with a U.S. trade or business conducted by the non-U.S. holder, then the income or gain will be subject to U.S. federal income tax on a net income basis at the regular graduated rates and generally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of the notes paid by brokers to their customers. This reporting regime is reinforced by "backup withholding" rules, which require the payer to withhold from payments subject to information reporting if the recipient has failed to provide a correct taxpayer identification number to the payer, furnished an incorrect identification number, or repeatedly failed to report interest or dividends on tax returns. The backup withholding rate is currently 24%.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Payments of interest to U.S. holders generally will be subject to information reporting, and generally will be subject to backup withholding, unless the holder</w:t>
      </w:r>
    </w:p>
    <w:p>
      <w:pPr>
        <w:spacing w:after="0" w:line="38" w:lineRule="exact"/>
        <w:rPr>
          <w:sz w:val="20"/>
          <w:szCs w:val="20"/>
          <w:color w:val="auto"/>
        </w:rPr>
      </w:pPr>
    </w:p>
    <w:p>
      <w:pPr>
        <w:jc w:val="both"/>
        <w:ind w:right="140" w:firstLine="8"/>
        <w:spacing w:after="0" w:line="295"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 an exempt payee, such as a corporation, or (2) provides the payer with a correct taxpayer identification number and complies with applicable certification requirements. Payments made to U.S. holders by a broker upon a sale or other disposition of notes will generally be subject to information reporting and backup withholding. If the sale is made through a foreign office of a foreign broker, however, the sale will generally not be subject to either information reporting or backup withholding. This exception may not apply if the foreign broker is owned or controlled by U.S. persons, or is engaged in a U.S. trade or business.</w:t>
      </w:r>
    </w:p>
    <w:p>
      <w:pPr>
        <w:spacing w:after="0" w:line="16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must report annually to the IRS the interest paid to each non-U.S. holder and the tax withheld, if any, with respect to such interest, including any tax withheld pursuant to the rules described under "Non-U.S. Holders—Taxation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amounts withheld from a payment to a U.S. holder or non-U.S. holder of notes under the backup withholding rules generally can be credited against any U.S. federal income tax liability of the holder, provided the required information is timely furnished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and Guidance Relating to Foreign Accounts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as defined in the Code and applicable regulations. "Foreign financial institution" is defined to include, in addition to banks and traditional financial institutions, entities such as investment funds and certain holding companies. FATCA generally imposes a U.S. federal withholding tax of 30% on U.S. source interest income on a note and the gross proceeds of a disposition of a note paid to a foreign financial institution or other non-financial foreign entity (whether as beneficial owner or intermediary), unless</w:t>
      </w:r>
    </w:p>
    <w:p>
      <w:pPr>
        <w:spacing w:after="0" w:line="2" w:lineRule="exact"/>
        <w:rPr>
          <w:sz w:val="20"/>
          <w:szCs w:val="20"/>
          <w:color w:val="auto"/>
        </w:rPr>
      </w:pPr>
    </w:p>
    <w:p>
      <w:pPr>
        <w:ind w:right="140" w:firstLine="8"/>
        <w:spacing w:after="0" w:line="281" w:lineRule="auto"/>
        <w:tabs>
          <w:tab w:leader="none" w:pos="21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w:t>
      </w:r>
    </w:p>
    <w:p>
      <w:pPr>
        <w:spacing w:after="0" w:line="1" w:lineRule="exact"/>
        <w:rPr>
          <w:rFonts w:ascii="Arial" w:cs="Arial" w:eastAsia="Arial" w:hAnsi="Arial"/>
          <w:sz w:val="16"/>
          <w:szCs w:val="16"/>
          <w:color w:val="auto"/>
        </w:rPr>
      </w:pPr>
    </w:p>
    <w:p>
      <w:pPr>
        <w:ind w:firstLine="8"/>
        <w:spacing w:after="0" w:line="287" w:lineRule="auto"/>
        <w:tabs>
          <w:tab w:leader="none" w:pos="3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exemption otherwise applies or (iv)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Subject to the terms and conditions stated in the underwriting agreement dated as of this prospectus supplement, each underwriter named below, for whom Goldman Sachs &amp; Co. LLC, J.P. Morgan Securities LLC and Wells Fargo Securities, LLC are acting as representatives, has severally agreed to purchase, and we have agreed to sell to that underwriter, the aggregate principal amount of notes set forth opposite the underwriter's name in the following table:</w:t>
      </w:r>
    </w:p>
    <w:p>
      <w:pPr>
        <w:spacing w:after="0" w:line="12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Amount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2027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2030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135,000,000.00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127,500,000.00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135,000,000.00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127,500,000.00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135,000,000.00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127,500,000.00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ANZ Securities, Inc.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45,000,000.00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45,000,000.00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45,000,000.00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45,000,000.00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45,000,000.00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45,000,000.00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ICBC Standard Bank Plc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45,000,000.00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45,000,000.00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45,000,000.00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30,000,000.00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28,334,000.00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30,000,000.00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28,333,000.00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30,000,000.00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28,333,000.00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900,000,000.00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850,000,000.00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underwriters propose to offer the notes directly to the public at the public offering prices set forth on the cover page of this prospectus supplement and some of the notes to dealers at the public offering price less a concession not to exceed 0.24% of the principal amount of the 2027 notes and 0.27% of the principal amount of the 2030 notes. The underwriters may allow, and any such dealer may reallow, a concession not to exceed 0.16% of the principal amount of the 2027 notes and 0.18% of the principal amount of the 2030 notes. After the initial offering of the notes to the public, the representatives may change the public offering price and other selling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 and in total).</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Paid by Micron</w:t>
            </w:r>
          </w:p>
        </w:tc>
      </w:tr>
      <w:tr>
        <w:trPr>
          <w:trHeight w:val="161"/>
        </w:trPr>
        <w:tc>
          <w:tcPr>
            <w:tcW w:w="39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Technology, Inc.</w:t>
            </w:r>
          </w:p>
        </w:tc>
        <w:tc>
          <w:tcPr>
            <w:tcW w:w="160" w:type="dxa"/>
            <w:vAlign w:val="bottom"/>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 2027 Note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2027 Notes Total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3,600,000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 2030 Note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0.450%</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2030 Notes Total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3,825,000</w:t>
            </w:r>
          </w:p>
        </w:tc>
      </w:tr>
    </w:tbl>
    <w:p>
      <w:pPr>
        <w:spacing w:after="0" w:line="20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estimate that our total expenses for this offering, other than underwriting discounts, will be approximately $4 million. The underwriters have agreed to reimburse us for certain expenses incurred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or warrants to purchase debt securities of the Company, except for the notes sold to the underwriters pursuant to the underwriting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94"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ind w:right="280" w:firstLine="351"/>
        <w:spacing w:after="0" w:line="284" w:lineRule="auto"/>
        <w:rPr>
          <w:sz w:val="20"/>
          <w:szCs w:val="20"/>
          <w:color w:val="auto"/>
        </w:rPr>
      </w:pPr>
      <w:r>
        <w:rPr>
          <w:rFonts w:ascii="Arial" w:cs="Arial" w:eastAsia="Arial" w:hAnsi="Arial"/>
          <w:sz w:val="16"/>
          <w:szCs w:val="16"/>
          <w:color w:val="auto"/>
        </w:rPr>
        <w:t>Certain of the underwriters and/or their affiliates may hold positions in certain of our outstanding notes and/or may be agents and/or lenders in our credit facility. For example, certain affiliates of Goldman Sachs &amp; Co. LLC, J.P. Morgan Securities LLC, Wells Fargo Securities, LLC, ANZ Securities, Inc., BNP Paribas Securities Corp., Citigroup Global Markets Inc., Credit Agricole Securities (USA) Inc., Credit Suisse Securities (USA) LLC, HSBC Securities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(USA) Inc., ICBC Standard Bank Plc, Mizuho Securities USA LLC, MUFG Securities Americas Inc., Morgan Stanley &amp; Co. LLC Academy Securities, Inc. and The Williams Capital Group, L.P. are lenders under the Revolving Credit Facility, including the Term Loan A Credit Facility, and certain affiliates of J.P. Morgan Securities LLC, Wells Fargo Securities, LLC, ANZ Securities, Inc., BNP Paribas Securities Corp., Citigroup Global Markets Inc., Credit Agricole Securities (USA) Inc., Credit Suisse Securities (USA) LLC, HSBC Securities (USA) Inc., ICBC Standard Bank Plc, Mizuho Securities USA LLC, MUFG Securities Americas Inc., Morgan Stanley &amp; Co. LLC, Academy Securities, Inc. and The Williams Capital Group, L.P. are lenders under the Term Loan B Credit Facility. See "Use of Proceeds."</w:t>
      </w:r>
    </w:p>
    <w:p>
      <w:pPr>
        <w:spacing w:after="0" w:line="20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Bank National Association serves as the trustee for the indenture governing each series of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notes offered may be sold only to purchasers purchasing, or deemed to be purchasing, as principal that are accredited investors, as defined in National Instrument 45-106 Prospectus Exemptions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94"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or superseded, where that customer would not qualify as a professional client as defined in point (10) of Article 4(1) of MiFID II; or (iii) not a qualified investor as defined in Directive 2003/71/EC (as amended or superseded,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preliminary prospectus supplement has been prepared on the basis that any offer of notes in any member state of the EEA which has implemented the Prospectus Directive will be made pursuant to an exemption under the Prospectus Directive from the requirement to publish a prospectus for offers of notes. This preliminary prospectus supplement is not a prospectus for the purposes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Each underwriter has represented and agreed that (i)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Company; and (ii) it has complied and will comply with all applicable provisions of the FSMA with respect to anything done by it in relation to the notes in, from or otherwise involving the United Kingdom.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notes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prospectus supplement and the accompanying prospectus have not been and will not be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transferred within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or (3) the transfer is by operation of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Securities and Futures Act Product Classification</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MAS Notice SFA 04-N12: Notice on the Sale of Investment Products and MAS Notice FAA-N16: Notice on Recommendations on Investment Products).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document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SECURITIES</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Simpson Thacher &amp; Bartlett LLP, Palo Alto, California, is acting as counsel to the underwriters.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6">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August 30,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firm, </w:t>
        </w:r>
      </w:hyperlink>
      <w:r>
        <w:rPr>
          <w:rFonts w:ascii="Arial" w:cs="Arial" w:eastAsia="Arial" w:hAnsi="Arial"/>
          <w:sz w:val="18"/>
          <w:szCs w:val="18"/>
          <w:color w:val="0000EE"/>
        </w:rPr>
        <w:t xml:space="preserve">given </w:t>
      </w:r>
      <w:r>
        <w:rPr>
          <w:rFonts w:ascii="Arial" w:cs="Arial" w:eastAsia="Arial" w:hAnsi="Arial"/>
          <w:sz w:val="18"/>
          <w:szCs w:val="18"/>
          <w:color w:val="000000"/>
        </w:rPr>
        <w:t>on</w:t>
      </w:r>
      <w:r>
        <w:rPr>
          <w:rFonts w:ascii="Arial" w:cs="Arial" w:eastAsia="Arial" w:hAnsi="Arial"/>
          <w:sz w:val="18"/>
          <w:szCs w:val="18"/>
          <w:color w:val="0000EE"/>
        </w:rPr>
        <w:t xml:space="preserve"> </w:t>
      </w:r>
      <w:r>
        <w:rPr>
          <w:rFonts w:ascii="Arial" w:cs="Arial" w:eastAsia="Arial" w:hAnsi="Arial"/>
          <w:sz w:val="18"/>
          <w:szCs w:val="18"/>
          <w:color w:val="000000"/>
        </w:rPr>
        <w:t>the authority of said firm as experts in auditing and accounting.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 xml:space="preserve">We file annual, quarterly and current reports, proxy statements and other information with the SEC. The SEC maintains an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any document we file electronically with the SEC, including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which this prospectus supplement and the accompanying prospectus form a part, including the exhibits and schedules to the registration statement.</w:t>
      </w:r>
    </w:p>
    <w:p>
      <w:pPr>
        <w:spacing w:after="0" w:line="14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contained herein shall be deemed to incorporate information furnished to, but not filed with, the SEC, including under Item 2.02 or Item 7.01 of any Current Report on Form 8-K:</w:t>
      </w:r>
    </w:p>
    <w:p>
      <w:pPr>
        <w:spacing w:after="0" w:line="186"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our Annual Report on Form 10-K for the year ended August 30, 2018;</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77">
        <w:r>
          <w:rPr>
            <w:rFonts w:ascii="Arial" w:cs="Arial" w:eastAsia="Arial" w:hAnsi="Arial"/>
            <w:sz w:val="18"/>
            <w:szCs w:val="18"/>
            <w:u w:val="single" w:color="auto"/>
            <w:color w:val="0000EE"/>
          </w:rPr>
          <w:t>November 29, 2018</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EE"/>
          </w:rPr>
          <w:t>February 28,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7">
        <w:r>
          <w:rPr>
            <w:rFonts w:ascii="Arial" w:cs="Arial" w:eastAsia="Arial" w:hAnsi="Arial"/>
            <w:sz w:val="18"/>
            <w:szCs w:val="18"/>
            <w:u w:val="single" w:color="auto"/>
            <w:color w:val="0000EE"/>
          </w:rPr>
          <w:t>May 30, 2019</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4"/>
        </w:numPr>
        <w:rPr>
          <w:rFonts w:ascii="Arial" w:cs="Arial" w:eastAsia="Arial" w:hAnsi="Arial"/>
          <w:sz w:val="18"/>
          <w:szCs w:val="18"/>
          <w:color w:val="0000EE"/>
        </w:rPr>
      </w:pPr>
      <w:r>
        <w:rPr>
          <w:rFonts w:ascii="Arial" w:cs="Arial" w:eastAsia="Arial" w:hAnsi="Arial"/>
          <w:sz w:val="18"/>
          <w:szCs w:val="18"/>
          <w:color w:val="auto"/>
        </w:rPr>
        <w:t xml:space="preserve">Information specifically incorporated by reference into our </w:t>
      </w:r>
      <w:hyperlink r:id="rId16">
        <w:r>
          <w:rPr>
            <w:rFonts w:ascii="Arial" w:cs="Arial" w:eastAsia="Arial" w:hAnsi="Arial"/>
            <w:sz w:val="18"/>
            <w:szCs w:val="18"/>
            <w:u w:val="single" w:color="auto"/>
            <w:color w:val="0000EE"/>
          </w:rPr>
          <w:t>Annual Report on Form 10-K for the fiscal year ended August 30, 2018</w:t>
        </w:r>
      </w:hyperlink>
      <w:r>
        <w:rPr>
          <w:rFonts w:ascii="Arial" w:cs="Arial" w:eastAsia="Arial" w:hAnsi="Arial"/>
          <w:sz w:val="18"/>
          <w:szCs w:val="18"/>
          <w:color w:val="auto"/>
        </w:rPr>
        <w:t xml:space="preserve">, from our </w:t>
      </w:r>
      <w:hyperlink r:id="rId79">
        <w:r>
          <w:rPr>
            <w:rFonts w:ascii="Arial" w:cs="Arial" w:eastAsia="Arial" w:hAnsi="Arial"/>
            <w:sz w:val="18"/>
            <w:szCs w:val="18"/>
            <w:u w:val="single" w:color="auto"/>
            <w:color w:val="0000EE"/>
          </w:rPr>
          <w:t>Definitive Proxy Statement on Schedule 14A, filed with the SEC on December 6,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99" w:lineRule="exact"/>
        <w:rPr>
          <w:rFonts w:ascii="Arial" w:cs="Arial" w:eastAsia="Arial" w:hAnsi="Arial"/>
          <w:sz w:val="18"/>
          <w:szCs w:val="18"/>
          <w:color w:val="0000EE"/>
        </w:rPr>
      </w:pPr>
    </w:p>
    <w:p>
      <w:pPr>
        <w:ind w:left="1080" w:right="360" w:hanging="532"/>
        <w:spacing w:after="0" w:line="332" w:lineRule="auto"/>
        <w:tabs>
          <w:tab w:leader="none" w:pos="1080" w:val="left"/>
        </w:tabs>
        <w:numPr>
          <w:ilvl w:val="0"/>
          <w:numId w:val="34"/>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on </w:t>
      </w:r>
      <w:hyperlink r:id="rId80">
        <w:r>
          <w:rPr>
            <w:rFonts w:ascii="Arial" w:cs="Arial" w:eastAsia="Arial" w:hAnsi="Arial"/>
            <w:sz w:val="16"/>
            <w:szCs w:val="16"/>
            <w:u w:val="single" w:color="auto"/>
            <w:color w:val="0000EE"/>
          </w:rPr>
          <w:t>September 20, 2018</w:t>
        </w:r>
      </w:hyperlink>
      <w:r>
        <w:rPr>
          <w:rFonts w:ascii="Arial" w:cs="Arial" w:eastAsia="Arial" w:hAnsi="Arial"/>
          <w:sz w:val="16"/>
          <w:szCs w:val="16"/>
          <w:color w:val="auto"/>
        </w:rPr>
        <w:t xml:space="preserve">, </w:t>
      </w:r>
      <w:hyperlink r:id="rId81">
        <w:r>
          <w:rPr>
            <w:rFonts w:ascii="Arial" w:cs="Arial" w:eastAsia="Arial" w:hAnsi="Arial"/>
            <w:sz w:val="16"/>
            <w:szCs w:val="16"/>
            <w:u w:val="single" w:color="auto"/>
            <w:color w:val="0000EE"/>
          </w:rPr>
          <w:t>October 17, 2018</w:t>
        </w:r>
      </w:hyperlink>
      <w:r>
        <w:rPr>
          <w:rFonts w:ascii="Arial" w:cs="Arial" w:eastAsia="Arial" w:hAnsi="Arial"/>
          <w:sz w:val="16"/>
          <w:szCs w:val="16"/>
          <w:color w:val="auto"/>
        </w:rPr>
        <w:t xml:space="preserve">, </w:t>
      </w:r>
      <w:hyperlink r:id="rId82">
        <w:r>
          <w:rPr>
            <w:rFonts w:ascii="Arial" w:cs="Arial" w:eastAsia="Arial" w:hAnsi="Arial"/>
            <w:sz w:val="16"/>
            <w:szCs w:val="16"/>
            <w:u w:val="single" w:color="auto"/>
            <w:color w:val="0000EE"/>
          </w:rPr>
          <w:t>October 18, 2018</w:t>
        </w:r>
      </w:hyperlink>
      <w:r>
        <w:rPr>
          <w:rFonts w:ascii="Arial" w:cs="Arial" w:eastAsia="Arial" w:hAnsi="Arial"/>
          <w:sz w:val="16"/>
          <w:szCs w:val="16"/>
          <w:color w:val="auto"/>
        </w:rPr>
        <w:t xml:space="preserve">, </w:t>
      </w:r>
      <w:hyperlink r:id="rId83">
        <w:r>
          <w:rPr>
            <w:rFonts w:ascii="Arial" w:cs="Arial" w:eastAsia="Arial" w:hAnsi="Arial"/>
            <w:sz w:val="16"/>
            <w:szCs w:val="16"/>
            <w:u w:val="single" w:color="auto"/>
            <w:color w:val="0000EE"/>
          </w:rPr>
          <w:t>November 14, 2018</w:t>
        </w:r>
      </w:hyperlink>
      <w:r>
        <w:rPr>
          <w:rFonts w:ascii="Arial" w:cs="Arial" w:eastAsia="Arial" w:hAnsi="Arial"/>
          <w:sz w:val="16"/>
          <w:szCs w:val="16"/>
          <w:color w:val="auto"/>
        </w:rPr>
        <w:t xml:space="preserve">, </w:t>
      </w:r>
      <w:hyperlink r:id="rId84">
        <w:r>
          <w:rPr>
            <w:rFonts w:ascii="Arial" w:cs="Arial" w:eastAsia="Arial" w:hAnsi="Arial"/>
            <w:sz w:val="16"/>
            <w:szCs w:val="16"/>
            <w:u w:val="single" w:color="auto"/>
            <w:color w:val="0000EE"/>
          </w:rPr>
          <w:t>December 6, 2018</w:t>
        </w:r>
      </w:hyperlink>
      <w:r>
        <w:rPr>
          <w:rFonts w:ascii="Arial" w:cs="Arial" w:eastAsia="Arial" w:hAnsi="Arial"/>
          <w:sz w:val="16"/>
          <w:szCs w:val="16"/>
          <w:color w:val="auto"/>
        </w:rPr>
        <w:t xml:space="preserve">, </w:t>
      </w:r>
      <w:hyperlink r:id="rId85">
        <w:r>
          <w:rPr>
            <w:rFonts w:ascii="Arial" w:cs="Arial" w:eastAsia="Arial" w:hAnsi="Arial"/>
            <w:sz w:val="16"/>
            <w:szCs w:val="16"/>
            <w:u w:val="single" w:color="auto"/>
            <w:color w:val="0000EE"/>
          </w:rPr>
          <w:t>January 14,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6">
        <w:r>
          <w:rPr>
            <w:rFonts w:ascii="Arial" w:cs="Arial" w:eastAsia="Arial" w:hAnsi="Arial"/>
            <w:sz w:val="16"/>
            <w:szCs w:val="16"/>
            <w:u w:val="single" w:color="auto"/>
            <w:color w:val="0000EE"/>
          </w:rPr>
          <w:t>January 22,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7">
        <w:r>
          <w:rPr>
            <w:rFonts w:ascii="Arial" w:cs="Arial" w:eastAsia="Arial" w:hAnsi="Arial"/>
            <w:sz w:val="16"/>
            <w:szCs w:val="16"/>
            <w:u w:val="single" w:color="auto"/>
            <w:color w:val="0000EE"/>
          </w:rPr>
          <w:t>February 1,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8">
        <w:r>
          <w:rPr>
            <w:rFonts w:ascii="Arial" w:cs="Arial" w:eastAsia="Arial" w:hAnsi="Arial"/>
            <w:sz w:val="16"/>
            <w:szCs w:val="16"/>
            <w:u w:val="single" w:color="auto"/>
            <w:color w:val="0000EE"/>
          </w:rPr>
          <w:t>February 6,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9">
        <w:r>
          <w:rPr>
            <w:rFonts w:ascii="Arial" w:cs="Arial" w:eastAsia="Arial" w:hAnsi="Arial"/>
            <w:sz w:val="16"/>
            <w:szCs w:val="16"/>
            <w:u w:val="single" w:color="auto"/>
            <w:color w:val="0000EE"/>
          </w:rPr>
          <w:t>April 12,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90">
        <w:r>
          <w:rPr>
            <w:rFonts w:ascii="Arial" w:cs="Arial" w:eastAsia="Arial" w:hAnsi="Arial"/>
            <w:sz w:val="16"/>
            <w:szCs w:val="16"/>
            <w:u w:val="single" w:color="auto"/>
            <w:color w:val="0000EE"/>
          </w:rPr>
          <w:t>May 7,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91">
        <w:r>
          <w:rPr>
            <w:rFonts w:ascii="Arial" w:cs="Arial" w:eastAsia="Arial" w:hAnsi="Arial"/>
            <w:sz w:val="16"/>
            <w:szCs w:val="16"/>
            <w:u w:val="single" w:color="auto"/>
            <w:color w:val="0000EE"/>
          </w:rPr>
          <w:t xml:space="preserve">July 1, 2019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92">
        <w:r>
          <w:rPr>
            <w:rFonts w:ascii="Arial" w:cs="Arial" w:eastAsia="Arial" w:hAnsi="Arial"/>
            <w:sz w:val="16"/>
            <w:szCs w:val="16"/>
            <w:u w:val="single" w:color="auto"/>
            <w:color w:val="0000EE"/>
          </w:rPr>
          <w:t>July 9, 2019</w:t>
        </w:r>
      </w:hyperlink>
      <w:r>
        <w:rPr>
          <w:rFonts w:ascii="Arial" w:cs="Arial" w:eastAsia="Arial" w:hAnsi="Arial"/>
          <w:sz w:val="16"/>
          <w:szCs w:val="16"/>
          <w:color w:val="000000"/>
        </w:rPr>
        <w:t>.</w:t>
      </w:r>
    </w:p>
    <w:p>
      <w:pPr>
        <w:spacing w:after="0" w:line="139" w:lineRule="exact"/>
        <w:rPr>
          <w:rFonts w:ascii="Arial" w:cs="Arial" w:eastAsia="Arial" w:hAnsi="Arial"/>
          <w:sz w:val="16"/>
          <w:szCs w:val="16"/>
          <w:color w:val="0000EE"/>
        </w:rPr>
      </w:pPr>
    </w:p>
    <w:p>
      <w:pPr>
        <w:ind w:left="360"/>
        <w:spacing w:after="0"/>
        <w:rPr>
          <w:sz w:val="20"/>
          <w:szCs w:val="20"/>
          <w:color w:val="auto"/>
        </w:rPr>
      </w:pPr>
      <w:r>
        <w:rPr>
          <w:rFonts w:ascii="Arial" w:cs="Arial" w:eastAsia="Arial" w:hAnsi="Arial"/>
          <w:sz w:val="16"/>
          <w:szCs w:val="16"/>
          <w:color w:val="auto"/>
        </w:rPr>
        <w:t xml:space="preserve">You may request a copy of these filings at no cost by contacting our Investor Relations department by visiting our Web site at </w:t>
      </w:r>
      <w:r>
        <w:rPr>
          <w:rFonts w:ascii="Arial" w:cs="Arial" w:eastAsia="Arial" w:hAnsi="Arial"/>
          <w:sz w:val="16"/>
          <w:szCs w:val="16"/>
          <w:i w:val="1"/>
          <w:iCs w:val="1"/>
          <w:color w:val="auto"/>
        </w:rPr>
        <w:t>www.micron.com</w:t>
      </w:r>
      <w:r>
        <w:rPr>
          <w:rFonts w:ascii="Arial" w:cs="Arial" w:eastAsia="Arial" w:hAnsi="Arial"/>
          <w:sz w:val="16"/>
          <w:szCs w:val="16"/>
          <w:color w:val="auto"/>
        </w:rPr>
        <w:t>, by calling</w:t>
      </w:r>
    </w:p>
    <w:p>
      <w:pPr>
        <w:spacing w:after="0" w:line="38" w:lineRule="exact"/>
        <w:rPr>
          <w:rFonts w:ascii="Arial" w:cs="Arial" w:eastAsia="Arial" w:hAnsi="Arial"/>
          <w:sz w:val="16"/>
          <w:szCs w:val="16"/>
          <w:color w:val="0000EE"/>
        </w:rPr>
      </w:pPr>
    </w:p>
    <w:p>
      <w:pPr>
        <w:ind w:right="360" w:firstLine="8"/>
        <w:spacing w:after="0" w:line="323" w:lineRule="auto"/>
        <w:tabs>
          <w:tab w:leader="none" w:pos="4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368-4000, by writing to Investor Relations, Micron Technology, Inc., Mail Stop 407, 8000 South Federal Way, P.O. Box 6, Boise, ID 83707-0006. The information contained or incorporated in our website is not part of this prospectus supplement or the accompanying prospectus.</w:t>
      </w:r>
    </w:p>
    <w:p>
      <w:pPr>
        <w:spacing w:after="0" w:line="147" w:lineRule="exact"/>
        <w:rPr>
          <w:rFonts w:ascii="Arial" w:cs="Arial" w:eastAsia="Arial" w:hAnsi="Arial"/>
          <w:sz w:val="16"/>
          <w:szCs w:val="16"/>
          <w:color w:val="0000EE"/>
        </w:rPr>
      </w:pPr>
    </w:p>
    <w:p>
      <w:pPr>
        <w:jc w:val="center"/>
        <w:ind w:right="-59"/>
        <w:spacing w:after="0"/>
        <w:rPr>
          <w:sz w:val="20"/>
          <w:szCs w:val="20"/>
          <w:color w:val="auto"/>
        </w:rPr>
      </w:pPr>
      <w:r>
        <w:rPr>
          <w:rFonts w:ascii="Arial" w:cs="Arial" w:eastAsia="Arial" w:hAnsi="Arial"/>
          <w:sz w:val="18"/>
          <w:szCs w:val="18"/>
          <w:color w:val="auto"/>
        </w:rPr>
        <w:t>S-49</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152400</wp:posOffset>
            </wp:positionV>
            <wp:extent cx="3636010" cy="1012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20" w:firstLine="351"/>
        <w:spacing w:after="0" w:line="239" w:lineRule="auto"/>
        <w:rPr>
          <w:sz w:val="20"/>
          <w:szCs w:val="20"/>
          <w:color w:val="auto"/>
        </w:rPr>
      </w:pPr>
      <w:r>
        <w:rPr>
          <w:rFonts w:ascii="Arial" w:cs="Arial" w:eastAsia="Arial" w:hAnsi="Arial"/>
          <w:sz w:val="22"/>
          <w:szCs w:val="22"/>
          <w:b w:val="1"/>
          <w:bCs w:val="1"/>
          <w:color w:val="auto"/>
        </w:rPr>
        <w:t>INVESTING IN OUR SECURITIES INVOLVES RISKS. SEE THE "RISK FACTORS" INCORPORATED BY REFERENCE IN THIS PROSPECTUS AND ANY SIMILAR SECTION CONTAINED IN OR INCORPORATED BY REFERENCE IN THE APPLICABLE PROSPECTUS SUPPLEMENT CONCERNING FACTORS YOU SHOULD CONSIDER BEFORE INVESTING IN OUR SECURITIES.</w:t>
      </w:r>
    </w:p>
    <w:p>
      <w:pPr>
        <w:spacing w:after="0" w:line="20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9, 2017, the last reported sale price of our common stock on NASDAQ was $40.96 per share.</w:t>
      </w:r>
    </w:p>
    <w:p>
      <w:pPr>
        <w:spacing w:after="0" w:line="180"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0"/>
            <w:vMerge w:val="restart"/>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ABOUT THIS PROSPECTUS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1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5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9"/>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WHERE YOU CAN FIND MORE INFORMATION; INCORPORATION BY REFERENCE</w:t>
              </w:r>
            </w:hyperlink>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THE COMPANY</w:t>
              </w:r>
            </w:hyperlink>
          </w:p>
        </w:tc>
        <w:tc>
          <w:tcPr>
            <w:tcW w:w="5360" w:type="dxa"/>
            <w:vAlign w:val="bottom"/>
            <w:gridSpan w:val="7"/>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RISK FACTORS</w:t>
              </w:r>
            </w:hyperlink>
          </w:p>
        </w:tc>
        <w:tc>
          <w:tcPr>
            <w:tcW w:w="758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USE OF PROCEEDS</w:t>
              </w:r>
            </w:hyperlink>
          </w:p>
        </w:tc>
        <w:tc>
          <w:tcPr>
            <w:tcW w:w="724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RATIO OF EARNINGS TO FIXED CHARGES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DESCRIPTION OF SECURITIES</w:t>
              </w:r>
            </w:hyperlink>
          </w:p>
        </w:tc>
        <w:tc>
          <w:tcPr>
            <w:tcW w:w="960" w:type="dxa"/>
            <w:vAlign w:val="bottom"/>
          </w:tcPr>
          <w:p>
            <w:pPr>
              <w:spacing w:after="0"/>
              <w:rPr>
                <w:sz w:val="17"/>
                <w:szCs w:val="17"/>
                <w:color w:val="auto"/>
              </w:rPr>
            </w:pPr>
          </w:p>
        </w:tc>
        <w:tc>
          <w:tcPr>
            <w:tcW w:w="53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PLAN OF DISTRIBUTION</w:t>
              </w:r>
            </w:hyperlink>
          </w:p>
        </w:tc>
        <w:tc>
          <w:tcPr>
            <w:tcW w:w="63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LEGAL MATTERS</w:t>
              </w:r>
            </w:hyperlink>
          </w:p>
        </w:tc>
        <w:tc>
          <w:tcPr>
            <w:tcW w:w="680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3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web site address is www.micron.com. The information on our web site, however, is not, and should not be deemed to be, a part of this prospectus.</w:t>
      </w:r>
    </w:p>
    <w:p>
      <w:pPr>
        <w:spacing w:after="0" w:line="24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60" w:hanging="532"/>
        <w:spacing w:after="0" w:line="268" w:lineRule="auto"/>
        <w:tabs>
          <w:tab w:leader="none" w:pos="1080" w:val="left"/>
        </w:tabs>
        <w:numPr>
          <w:ilvl w:val="0"/>
          <w:numId w:val="36"/>
        </w:numPr>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Our Annual Report on Form 10-K for the fiscal year ended September 1, 2016 (as updated by the Current Report on Form 8-K filed with the SEC</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on October 10, 2017).</w:t>
        </w:r>
      </w:hyperlink>
    </w:p>
    <w:p>
      <w:pPr>
        <w:spacing w:after="0" w:line="21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Quarterly Reports </w:t>
      </w:r>
      <w:hyperlink r:id="rId101">
        <w:r>
          <w:rPr>
            <w:rFonts w:ascii="Arial" w:cs="Arial" w:eastAsia="Arial" w:hAnsi="Arial"/>
            <w:sz w:val="18"/>
            <w:szCs w:val="18"/>
            <w:u w:val="single" w:color="auto"/>
            <w:color w:val="0000EE"/>
          </w:rPr>
          <w:t xml:space="preserve">on Form 10-Q for the quarters ended December 1, 2016, </w:t>
        </w:r>
      </w:hyperlink>
      <w:hyperlink r:id="rId102">
        <w:r>
          <w:rPr>
            <w:rFonts w:ascii="Arial" w:cs="Arial" w:eastAsia="Arial" w:hAnsi="Arial"/>
            <w:sz w:val="18"/>
            <w:szCs w:val="18"/>
            <w:u w:val="single" w:color="auto"/>
            <w:color w:val="auto"/>
          </w:rPr>
          <w:t xml:space="preserve">March </w:t>
        </w:r>
        <w:r>
          <w:rPr>
            <w:rFonts w:ascii="Arial" w:cs="Arial" w:eastAsia="Arial" w:hAnsi="Arial"/>
            <w:sz w:val="18"/>
            <w:szCs w:val="18"/>
            <w:u w:val="single" w:color="auto"/>
            <w:color w:val="0000EE"/>
          </w:rPr>
          <w:t>2, 2017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3">
        <w:r>
          <w:rPr>
            <w:rFonts w:ascii="Arial" w:cs="Arial" w:eastAsia="Arial" w:hAnsi="Arial"/>
            <w:sz w:val="18"/>
            <w:szCs w:val="18"/>
            <w:u w:val="single" w:color="auto"/>
            <w:color w:val="0000EE"/>
          </w:rPr>
          <w:t>June 1, 2017.</w:t>
        </w:r>
      </w:hyperlink>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6"/>
        </w:numPr>
        <w:rPr>
          <w:rFonts w:ascii="Arial" w:cs="Arial" w:eastAsia="Arial" w:hAnsi="Arial"/>
          <w:sz w:val="18"/>
          <w:szCs w:val="18"/>
          <w:u w:val="single" w:color="auto"/>
          <w:color w:val="0000EE"/>
        </w:rPr>
      </w:pPr>
      <w:r>
        <w:rPr>
          <w:rFonts w:ascii="Arial" w:cs="Arial" w:eastAsia="Arial" w:hAnsi="Arial"/>
          <w:sz w:val="18"/>
          <w:szCs w:val="18"/>
          <w:color w:val="auto"/>
        </w:rPr>
        <w:t xml:space="preserve">Information specifically incorporated by reference into our Annual Report </w:t>
      </w:r>
      <w:hyperlink r:id="rId104">
        <w:r>
          <w:rPr>
            <w:rFonts w:ascii="Arial" w:cs="Arial" w:eastAsia="Arial" w:hAnsi="Arial"/>
            <w:sz w:val="18"/>
            <w:szCs w:val="18"/>
            <w:u w:val="single" w:color="auto"/>
            <w:color w:val="0000EE"/>
          </w:rPr>
          <w:t>on Form 10-K for the fiscal year ended September 1,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w:t>
      </w:r>
      <w:hyperlink r:id="rId105">
        <w:r>
          <w:rPr>
            <w:rFonts w:ascii="Arial" w:cs="Arial" w:eastAsia="Arial" w:hAnsi="Arial"/>
            <w:sz w:val="18"/>
            <w:szCs w:val="18"/>
            <w:u w:val="single" w:color="auto"/>
            <w:color w:val="0000EE"/>
          </w:rPr>
          <w:t>Definitive Proxy Statement on Schedule 14A filed on December 8, 2016.</w:t>
        </w:r>
      </w:hyperlink>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37"/>
        </w:numPr>
        <w:rPr>
          <w:rFonts w:ascii="Arial" w:cs="Arial" w:eastAsia="Arial" w:hAnsi="Arial"/>
          <w:sz w:val="18"/>
          <w:szCs w:val="18"/>
          <w:color w:val="0000EE"/>
        </w:rPr>
      </w:pPr>
      <w:hyperlink r:id="rId107">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September 2,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October 11, 2016, October 24,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October 27,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November 9,</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2016, November 18, 2016</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December 6, 2016, January 19, 2017, February 3,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February 16,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27, 2017, April 10, 2017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28,</w:t>
        </w:r>
      </w:hyperlink>
      <w:r>
        <w:rPr>
          <w:rFonts w:ascii="Arial" w:cs="Arial" w:eastAsia="Arial" w:hAnsi="Arial"/>
          <w:sz w:val="18"/>
          <w:szCs w:val="18"/>
          <w:color w:val="0000EE"/>
        </w:rPr>
        <w:t xml:space="preserve"> </w:t>
      </w:r>
      <w:hyperlink r:id="rId108">
        <w:r>
          <w:rPr>
            <w:rFonts w:ascii="Arial" w:cs="Arial" w:eastAsia="Arial" w:hAnsi="Arial"/>
            <w:sz w:val="18"/>
            <w:szCs w:val="18"/>
            <w:u w:val="single" w:color="auto"/>
            <w:color w:val="0000EE"/>
          </w:rPr>
          <w:t>2017</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09">
        <w:r>
          <w:rPr>
            <w:rFonts w:ascii="Arial" w:cs="Arial" w:eastAsia="Arial" w:hAnsi="Arial"/>
            <w:sz w:val="18"/>
            <w:szCs w:val="18"/>
            <w:u w:val="single" w:color="auto"/>
            <w:color w:val="0000EE"/>
          </w:rPr>
          <w:t>May 17, 2017</w:t>
        </w:r>
      </w:hyperlink>
      <w:hyperlink r:id="rId10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0">
        <w:r>
          <w:rPr>
            <w:rFonts w:ascii="Arial" w:cs="Arial" w:eastAsia="Arial" w:hAnsi="Arial"/>
            <w:sz w:val="18"/>
            <w:szCs w:val="18"/>
            <w:u w:val="single" w:color="auto"/>
            <w:color w:val="0000EE"/>
          </w:rPr>
          <w:t>June 28, 2017</w:t>
        </w:r>
      </w:hyperlink>
      <w:hyperlink r:id="rId108">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1">
        <w:r>
          <w:rPr>
            <w:rFonts w:ascii="Arial" w:cs="Arial" w:eastAsia="Arial" w:hAnsi="Arial"/>
            <w:sz w:val="18"/>
            <w:szCs w:val="18"/>
            <w:u w:val="single" w:color="auto"/>
            <w:color w:val="0000EE"/>
          </w:rPr>
          <w:t xml:space="preserve">July 27, 2017 </w:t>
        </w:r>
      </w:hyperlink>
      <w:hyperlink r:id="rId108">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00">
        <w:r>
          <w:rPr>
            <w:rFonts w:ascii="Arial" w:cs="Arial" w:eastAsia="Arial" w:hAnsi="Arial"/>
            <w:sz w:val="18"/>
            <w:szCs w:val="18"/>
            <w:u w:val="single" w:color="auto"/>
            <w:color w:val="0000EE"/>
          </w:rPr>
          <w:t>October 10, 2017.</w:t>
        </w:r>
      </w:hyperlink>
    </w:p>
    <w:p>
      <w:pPr>
        <w:spacing w:after="0" w:line="221" w:lineRule="exact"/>
        <w:rPr>
          <w:rFonts w:ascii="Arial" w:cs="Arial" w:eastAsia="Arial" w:hAnsi="Arial"/>
          <w:sz w:val="18"/>
          <w:szCs w:val="18"/>
          <w:color w:val="0000EE"/>
        </w:rPr>
      </w:pPr>
    </w:p>
    <w:p>
      <w:pPr>
        <w:ind w:left="1080" w:right="4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7"/>
        </w:numPr>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The description of our common stock purchase rights contained in our registration statement on Form 8-A, filed with the SEC on July 22, 2016,</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including any subsequently filed amendments and reports updating such description.</w:t>
        </w:r>
      </w:hyperlink>
    </w:p>
    <w:p>
      <w:pPr>
        <w:spacing w:after="0" w:line="186" w:lineRule="exact"/>
        <w:rPr>
          <w:rFonts w:ascii="Arial" w:cs="Arial" w:eastAsia="Arial" w:hAnsi="Arial"/>
          <w:sz w:val="18"/>
          <w:szCs w:val="18"/>
          <w:color w:val="auto"/>
        </w:rPr>
      </w:pPr>
    </w:p>
    <w:p>
      <w:pPr>
        <w:ind w:right="60" w:firstLine="341"/>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94" w:lineRule="exact"/>
        <w:rPr>
          <w:rFonts w:ascii="Arial" w:cs="Arial" w:eastAsia="Arial" w:hAnsi="Arial"/>
          <w:sz w:val="18"/>
          <w:szCs w:val="18"/>
          <w:color w:val="auto"/>
        </w:rPr>
      </w:pPr>
    </w:p>
    <w:p>
      <w:pPr>
        <w:ind w:right="740" w:firstLine="345"/>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Micron Technology, Inc.</w:t>
      </w:r>
    </w:p>
    <w:p>
      <w:pPr>
        <w:spacing w:after="0" w:line="1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8000 South Federal Way</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Boise, Idaho 83716-9632</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(208) 368-4000</w:t>
      </w:r>
    </w:p>
    <w:p>
      <w:pPr>
        <w:spacing w:after="0" w:line="219" w:lineRule="exact"/>
        <w:rPr>
          <w:rFonts w:ascii="Arial" w:cs="Arial" w:eastAsia="Arial" w:hAnsi="Arial"/>
          <w:sz w:val="18"/>
          <w:szCs w:val="18"/>
          <w:color w:val="auto"/>
        </w:rPr>
      </w:pPr>
    </w:p>
    <w:p>
      <w:pPr>
        <w:ind w:right="8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rFonts w:ascii="Arial" w:cs="Arial" w:eastAsia="Arial" w:hAnsi="Arial"/>
          <w:sz w:val="18"/>
          <w:szCs w:val="18"/>
          <w:color w:val="auto"/>
        </w:rPr>
      </w:pPr>
    </w:p>
    <w:p>
      <w:pPr>
        <w:ind w:right="40" w:firstLine="348"/>
        <w:spacing w:after="0" w:line="268"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Micron, a Delaware corporation, was originally incorporated in 1978. Our executive offices are located at 8000 South Federal Way, Boise, Idaho 83716-9632 and our telephone number is (208) 368-4000. Our common stock is currently listed on NASDAQ under the symbol "MU."</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historical ratios of earnings to fixed charges for Micron and its consolidated subsidiaries for the periods indicated.</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3"/>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Ended June 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7.4x</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8.3x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6.2x</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5"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income (loss) of equity method investees and noncontrolling interests plus "fixed charges." Fixed charges consist of interest expense (net of capitalized portion), capitalized interest, amortization of debt discount and the portion of rental expense representative of interest expense. Earnings before fixed charges were inadequate to cover total fixed charges by $311 million and $752 million for fiscal years 2016 and 2012, respectively.</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debt securities, which may be senior or subordinated, and which may be convertible into our common stock or be non-convertible;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units.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offered securities from time to time:</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financial statements incorporated in this prospectus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160020</wp:posOffset>
            </wp:positionV>
            <wp:extent cx="2992755" cy="831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299275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right"/>
        <w:ind w:right="3440"/>
        <w:spacing w:after="0"/>
        <w:rPr>
          <w:sz w:val="20"/>
          <w:szCs w:val="20"/>
          <w:color w:val="auto"/>
        </w:rPr>
      </w:pPr>
      <w:r>
        <w:rPr>
          <w:rFonts w:ascii="Arial" w:cs="Arial" w:eastAsia="Arial" w:hAnsi="Arial"/>
          <w:sz w:val="24"/>
          <w:szCs w:val="24"/>
          <w:b w:val="1"/>
          <w:bCs w:val="1"/>
          <w:color w:val="auto"/>
        </w:rPr>
        <w:t>$900,000,000 4.185% Senior Notes due 2027</w:t>
      </w:r>
    </w:p>
    <w:p>
      <w:pPr>
        <w:spacing w:after="0" w:line="224" w:lineRule="exact"/>
        <w:rPr>
          <w:sz w:val="20"/>
          <w:szCs w:val="20"/>
          <w:color w:val="auto"/>
        </w:rPr>
      </w:pPr>
    </w:p>
    <w:p>
      <w:pPr>
        <w:jc w:val="right"/>
        <w:ind w:right="3440"/>
        <w:spacing w:after="0"/>
        <w:rPr>
          <w:sz w:val="20"/>
          <w:szCs w:val="20"/>
          <w:color w:val="auto"/>
        </w:rPr>
      </w:pPr>
      <w:r>
        <w:rPr>
          <w:rFonts w:ascii="Arial" w:cs="Arial" w:eastAsia="Arial" w:hAnsi="Arial"/>
          <w:sz w:val="24"/>
          <w:szCs w:val="24"/>
          <w:b w:val="1"/>
          <w:bCs w:val="1"/>
          <w:color w:val="auto"/>
        </w:rPr>
        <w:t>$850,000,000 4.663%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4000" w:type="dxa"/>
            <w:vAlign w:val="bottom"/>
            <w:gridSpan w:val="2"/>
          </w:tcPr>
          <w:p>
            <w:pPr>
              <w:spacing w:after="0"/>
              <w:rPr>
                <w:sz w:val="20"/>
                <w:szCs w:val="20"/>
                <w:color w:val="auto"/>
              </w:rPr>
            </w:pPr>
            <w:r>
              <w:rPr>
                <w:rFonts w:ascii="Arial" w:cs="Arial" w:eastAsia="Arial" w:hAnsi="Arial"/>
                <w:sz w:val="24"/>
                <w:szCs w:val="24"/>
                <w:b w:val="1"/>
                <w:bCs w:val="1"/>
                <w:color w:val="auto"/>
              </w:rPr>
              <w:t>Goldman Sachs &amp; Co. LLC</w:t>
            </w:r>
          </w:p>
        </w:tc>
        <w:tc>
          <w:tcPr>
            <w:tcW w:w="4460" w:type="dxa"/>
            <w:vAlign w:val="bottom"/>
            <w:gridSpan w:val="2"/>
          </w:tcPr>
          <w:p>
            <w:pPr>
              <w:ind w:left="1560"/>
              <w:spacing w:after="0"/>
              <w:rPr>
                <w:sz w:val="20"/>
                <w:szCs w:val="20"/>
                <w:color w:val="auto"/>
              </w:rPr>
            </w:pPr>
            <w:r>
              <w:rPr>
                <w:rFonts w:ascii="Arial" w:cs="Arial" w:eastAsia="Arial" w:hAnsi="Arial"/>
                <w:sz w:val="24"/>
                <w:szCs w:val="24"/>
                <w:b w:val="1"/>
                <w:bCs w:val="1"/>
                <w:color w:val="auto"/>
              </w:rPr>
              <w:t>J.P. Morgan</w:t>
            </w:r>
          </w:p>
        </w:tc>
        <w:tc>
          <w:tcPr>
            <w:tcW w:w="2960" w:type="dxa"/>
            <w:vAlign w:val="bottom"/>
            <w:gridSpan w:val="2"/>
          </w:tcPr>
          <w:p>
            <w:pPr>
              <w:jc w:val="right"/>
              <w:spacing w:after="0"/>
              <w:rPr>
                <w:sz w:val="20"/>
                <w:szCs w:val="20"/>
                <w:color w:val="auto"/>
              </w:rPr>
            </w:pPr>
            <w:r>
              <w:rPr>
                <w:rFonts w:ascii="Arial" w:cs="Arial" w:eastAsia="Arial" w:hAnsi="Arial"/>
                <w:sz w:val="24"/>
                <w:szCs w:val="24"/>
                <w:b w:val="1"/>
                <w:bCs w:val="1"/>
                <w:color w:val="auto"/>
              </w:rPr>
              <w:t>Wells Fargo Securities</w:t>
            </w: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ANZ Securities</w:t>
            </w:r>
          </w:p>
        </w:tc>
        <w:tc>
          <w:tcPr>
            <w:tcW w:w="1920" w:type="dxa"/>
            <w:vAlign w:val="bottom"/>
          </w:tcPr>
          <w:p>
            <w:pPr>
              <w:ind w:left="460"/>
              <w:spacing w:after="0"/>
              <w:rPr>
                <w:sz w:val="20"/>
                <w:szCs w:val="20"/>
                <w:color w:val="auto"/>
              </w:rPr>
            </w:pPr>
            <w:r>
              <w:rPr>
                <w:rFonts w:ascii="Arial" w:cs="Arial" w:eastAsia="Arial" w:hAnsi="Arial"/>
                <w:sz w:val="18"/>
                <w:szCs w:val="18"/>
                <w:b w:val="1"/>
                <w:bCs w:val="1"/>
                <w:color w:val="auto"/>
              </w:rPr>
              <w:t>BNP PARIBAS</w:t>
            </w:r>
          </w:p>
        </w:tc>
        <w:tc>
          <w:tcPr>
            <w:tcW w:w="2260" w:type="dxa"/>
            <w:vAlign w:val="bottom"/>
          </w:tcPr>
          <w:p>
            <w:pPr>
              <w:jc w:val="center"/>
              <w:ind w:right="264"/>
              <w:spacing w:after="0"/>
              <w:rPr>
                <w:sz w:val="20"/>
                <w:szCs w:val="20"/>
                <w:color w:val="auto"/>
              </w:rPr>
            </w:pPr>
            <w:r>
              <w:rPr>
                <w:rFonts w:ascii="Arial" w:cs="Arial" w:eastAsia="Arial" w:hAnsi="Arial"/>
                <w:sz w:val="18"/>
                <w:szCs w:val="18"/>
                <w:b w:val="1"/>
                <w:bCs w:val="1"/>
                <w:color w:val="auto"/>
                <w:w w:val="92"/>
              </w:rPr>
              <w:t>Citigroup</w:t>
            </w:r>
          </w:p>
        </w:tc>
        <w:tc>
          <w:tcPr>
            <w:tcW w:w="2200" w:type="dxa"/>
            <w:vAlign w:val="bottom"/>
          </w:tcPr>
          <w:p>
            <w:pPr>
              <w:ind w:left="60"/>
              <w:spacing w:after="0"/>
              <w:rPr>
                <w:sz w:val="20"/>
                <w:szCs w:val="20"/>
                <w:color w:val="auto"/>
              </w:rPr>
            </w:pPr>
            <w:r>
              <w:rPr>
                <w:rFonts w:ascii="Arial" w:cs="Arial" w:eastAsia="Arial" w:hAnsi="Arial"/>
                <w:sz w:val="18"/>
                <w:szCs w:val="18"/>
                <w:b w:val="1"/>
                <w:bCs w:val="1"/>
                <w:color w:val="auto"/>
              </w:rPr>
              <w:t>Credit Agricole CIB</w:t>
            </w:r>
          </w:p>
        </w:tc>
        <w:tc>
          <w:tcPr>
            <w:tcW w:w="1620" w:type="dxa"/>
            <w:vAlign w:val="bottom"/>
          </w:tcPr>
          <w:p>
            <w:pPr>
              <w:ind w:left="500"/>
              <w:spacing w:after="0"/>
              <w:rPr>
                <w:sz w:val="20"/>
                <w:szCs w:val="20"/>
                <w:color w:val="auto"/>
              </w:rPr>
            </w:pPr>
            <w:r>
              <w:rPr>
                <w:rFonts w:ascii="Arial" w:cs="Arial" w:eastAsia="Arial" w:hAnsi="Arial"/>
                <w:sz w:val="18"/>
                <w:szCs w:val="18"/>
                <w:b w:val="1"/>
                <w:bCs w:val="1"/>
                <w:color w:val="auto"/>
                <w:w w:val="95"/>
              </w:rPr>
              <w:t>Credit Suisse</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HSBC</w:t>
            </w:r>
          </w:p>
        </w:tc>
      </w:tr>
      <w:tr>
        <w:trPr>
          <w:trHeight w:val="228"/>
        </w:trPr>
        <w:tc>
          <w:tcPr>
            <w:tcW w:w="2080" w:type="dxa"/>
            <w:vAlign w:val="bottom"/>
          </w:tcPr>
          <w:p>
            <w:pPr>
              <w:spacing w:after="0"/>
              <w:rPr>
                <w:sz w:val="20"/>
                <w:szCs w:val="20"/>
                <w:color w:val="auto"/>
              </w:rPr>
            </w:pPr>
            <w:r>
              <w:rPr>
                <w:rFonts w:ascii="Arial" w:cs="Arial" w:eastAsia="Arial" w:hAnsi="Arial"/>
                <w:sz w:val="18"/>
                <w:szCs w:val="18"/>
                <w:b w:val="1"/>
                <w:bCs w:val="1"/>
                <w:color w:val="auto"/>
              </w:rPr>
              <w:t>ICBC Standard Bank</w:t>
            </w:r>
          </w:p>
        </w:tc>
        <w:tc>
          <w:tcPr>
            <w:tcW w:w="1920" w:type="dxa"/>
            <w:vAlign w:val="bottom"/>
          </w:tcPr>
          <w:p>
            <w:pPr>
              <w:spacing w:after="0"/>
              <w:rPr>
                <w:sz w:val="19"/>
                <w:szCs w:val="19"/>
                <w:color w:val="auto"/>
              </w:rPr>
            </w:pPr>
          </w:p>
        </w:tc>
        <w:tc>
          <w:tcPr>
            <w:tcW w:w="2260" w:type="dxa"/>
            <w:vAlign w:val="bottom"/>
          </w:tcPr>
          <w:p>
            <w:pPr>
              <w:jc w:val="center"/>
              <w:ind w:right="204"/>
              <w:spacing w:after="0"/>
              <w:rPr>
                <w:sz w:val="20"/>
                <w:szCs w:val="20"/>
                <w:color w:val="auto"/>
              </w:rPr>
            </w:pPr>
            <w:r>
              <w:rPr>
                <w:rFonts w:ascii="Arial" w:cs="Arial" w:eastAsia="Arial" w:hAnsi="Arial"/>
                <w:sz w:val="18"/>
                <w:szCs w:val="18"/>
                <w:b w:val="1"/>
                <w:bCs w:val="1"/>
                <w:color w:val="auto"/>
                <w:w w:val="88"/>
              </w:rPr>
              <w:t>Mizuho Securities</w:t>
            </w:r>
          </w:p>
        </w:tc>
        <w:tc>
          <w:tcPr>
            <w:tcW w:w="2200" w:type="dxa"/>
            <w:vAlign w:val="bottom"/>
          </w:tcPr>
          <w:p>
            <w:pPr>
              <w:ind w:left="1240"/>
              <w:spacing w:after="0"/>
              <w:rPr>
                <w:sz w:val="20"/>
                <w:szCs w:val="20"/>
                <w:color w:val="auto"/>
              </w:rPr>
            </w:pPr>
            <w:r>
              <w:rPr>
                <w:rFonts w:ascii="Arial" w:cs="Arial" w:eastAsia="Arial" w:hAnsi="Arial"/>
                <w:sz w:val="18"/>
                <w:szCs w:val="18"/>
                <w:b w:val="1"/>
                <w:bCs w:val="1"/>
                <w:color w:val="auto"/>
              </w:rPr>
              <w:t>MUFG</w:t>
            </w:r>
          </w:p>
        </w:tc>
        <w:tc>
          <w:tcPr>
            <w:tcW w:w="1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8"/>
              </w:rPr>
              <w:t>Morgan Stanley</w:t>
            </w:r>
          </w:p>
        </w:tc>
      </w:tr>
      <w:tr>
        <w:trPr>
          <w:trHeight w:val="432"/>
        </w:trPr>
        <w:tc>
          <w:tcPr>
            <w:tcW w:w="2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60" w:type="dxa"/>
            <w:vAlign w:val="bottom"/>
          </w:tcPr>
          <w:p>
            <w:pPr>
              <w:ind w:left="1220"/>
              <w:spacing w:after="0"/>
              <w:rPr>
                <w:sz w:val="20"/>
                <w:szCs w:val="20"/>
                <w:color w:val="auto"/>
              </w:rPr>
            </w:pPr>
            <w:r>
              <w:rPr>
                <w:rFonts w:ascii="Arial" w:cs="Arial" w:eastAsia="Arial" w:hAnsi="Arial"/>
                <w:sz w:val="18"/>
                <w:szCs w:val="18"/>
                <w:i w:val="1"/>
                <w:iCs w:val="1"/>
                <w:color w:val="auto"/>
                <w:w w:val="93"/>
              </w:rPr>
              <w:t>Co-Managers</w:t>
            </w:r>
          </w:p>
        </w:tc>
        <w:tc>
          <w:tcPr>
            <w:tcW w:w="2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2080" w:type="dxa"/>
            <w:vAlign w:val="bottom"/>
          </w:tcPr>
          <w:p>
            <w:pPr>
              <w:spacing w:after="0"/>
              <w:rPr>
                <w:sz w:val="20"/>
                <w:szCs w:val="20"/>
                <w:color w:val="auto"/>
              </w:rPr>
            </w:pPr>
            <w:r>
              <w:rPr>
                <w:rFonts w:ascii="Arial" w:cs="Arial" w:eastAsia="Arial" w:hAnsi="Arial"/>
                <w:sz w:val="18"/>
                <w:szCs w:val="18"/>
                <w:b w:val="1"/>
                <w:bCs w:val="1"/>
                <w:color w:val="auto"/>
              </w:rPr>
              <w:t>Academy Securities</w:t>
            </w:r>
          </w:p>
        </w:tc>
        <w:tc>
          <w:tcPr>
            <w:tcW w:w="1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960" w:type="dxa"/>
            <w:vAlign w:val="bottom"/>
            <w:gridSpan w:val="2"/>
          </w:tcPr>
          <w:p>
            <w:pPr>
              <w:jc w:val="right"/>
              <w:spacing w:after="0"/>
              <w:rPr>
                <w:sz w:val="20"/>
                <w:szCs w:val="20"/>
                <w:color w:val="auto"/>
              </w:rPr>
            </w:pPr>
            <w:r>
              <w:rPr>
                <w:rFonts w:ascii="Arial" w:cs="Arial" w:eastAsia="Arial" w:hAnsi="Arial"/>
                <w:sz w:val="18"/>
                <w:szCs w:val="18"/>
                <w:b w:val="1"/>
                <w:bCs w:val="1"/>
                <w:color w:val="auto"/>
              </w:rPr>
              <w:t>The Williams Capital Group, L.P.</w:t>
            </w:r>
          </w:p>
        </w:tc>
      </w:tr>
      <w:tr>
        <w:trPr>
          <w:trHeight w:val="218"/>
        </w:trPr>
        <w:tc>
          <w:tcPr>
            <w:tcW w:w="20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41"/>
        </w:trPr>
        <w:tc>
          <w:tcPr>
            <w:tcW w:w="20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6"/>
        </w:trPr>
        <w:tc>
          <w:tcPr>
            <w:tcW w:w="208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Roman"/>
      <w:start w:val="1"/>
    </w:lvl>
  </w:abstractNum>
  <w:abstractNum w:abstractNumId="32">
    <w:nsid w:val="3804823E"/>
    <w:multiLevelType w:val="hybridMultilevel"/>
    <w:lvl w:ilvl="0">
      <w:lvlJc w:val="left"/>
      <w:lvlText w:val="(%1)"/>
      <w:numFmt w:val="lowerRoman"/>
      <w:start w:val="3"/>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208"/>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jpe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6"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jpe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6" Type="http://schemas.openxmlformats.org/officeDocument/2006/relationships/hyperlink" Target="http://www.sec.gov/Archives/edgar/data/723125/000072312518000092/a2018q4.htm" TargetMode="External"/><Relationship Id="rId17" Type="http://schemas.openxmlformats.org/officeDocument/2006/relationships/hyperlink" Target="http://www.sec.gov/Archives/edgar/data/723125/000072312519000035/a2019q3.htm" TargetMode="External"/><Relationship Id="rId77" Type="http://schemas.openxmlformats.org/officeDocument/2006/relationships/hyperlink" Target="http://www.sec.gov/Archives/edgar/data/723125/000072312518000156/a2019q1.htm" TargetMode="External"/><Relationship Id="rId78" Type="http://schemas.openxmlformats.org/officeDocument/2006/relationships/hyperlink" Target="http://www.sec.gov/Archives/edgar/data/723125/000072312519000014/a2019q2.htm" TargetMode="External"/><Relationship Id="rId79" Type="http://schemas.openxmlformats.org/officeDocument/2006/relationships/hyperlink" Target="http://www.sec.gov/Archives/edgar/data/723125/000072312518000142/a2018definitiveproxy.htm" TargetMode="External"/><Relationship Id="rId80" Type="http://schemas.openxmlformats.org/officeDocument/2006/relationships/hyperlink" Target="http://www.sec.gov/Archives/edgar/data/723125/000072312518000085/a2018q48-kearningsrelease.htm" TargetMode="External"/><Relationship Id="rId81" Type="http://schemas.openxmlformats.org/officeDocument/2006/relationships/hyperlink" Target="http://www.sec.gov/Archives/edgar/data/723125/000072312518000100/a20188-k10172018.htm" TargetMode="External"/><Relationship Id="rId82" Type="http://schemas.openxmlformats.org/officeDocument/2006/relationships/hyperlink" Target="http://www.sec.gov/Archives/edgar/data/723125/000072312518000115/a20188-k10182018.htm" TargetMode="External"/><Relationship Id="rId83" Type="http://schemas.openxmlformats.org/officeDocument/2006/relationships/hyperlink" Target="http://www.sec.gov/Archives/edgar/data/723125/000072312518000135/a20188-k1192018.htm" TargetMode="External"/><Relationship Id="rId84" Type="http://schemas.openxmlformats.org/officeDocument/2006/relationships/hyperlink" Target="http://www.sec.gov/Archives/edgar/data/723125/000072312518000145/a20188-k1262018.htm" TargetMode="External"/><Relationship Id="rId85" Type="http://schemas.openxmlformats.org/officeDocument/2006/relationships/hyperlink" Target="http://www.sec.gov/Archives/edgar/data/723125/000072312519000003/a20188-k01142019.htm" TargetMode="External"/><Relationship Id="rId86" Type="http://schemas.openxmlformats.org/officeDocument/2006/relationships/hyperlink" Target="http://www.sec.gov/Archives/edgar/data/723125/000072312519000005/a8-k2018votingresultsandam.htm" TargetMode="External"/><Relationship Id="rId87" Type="http://schemas.openxmlformats.org/officeDocument/2006/relationships/hyperlink" Target="http://www.sec.gov/Archives/edgar/data/723125/000072312519000007/a20198-k10b5x1tradingpland.htm" TargetMode="External"/><Relationship Id="rId88" Type="http://schemas.openxmlformats.org/officeDocument/2006/relationships/hyperlink" Target="http://www.sec.gov/Archives/edgar/data/723125/000110465919006069/a18-36862_48k.htm" TargetMode="External"/><Relationship Id="rId89" Type="http://schemas.openxmlformats.org/officeDocument/2006/relationships/hyperlink" Target="http://www.sec.gov/Archives/edgar/data/723125/000072312519000020/a20198-k10b5x1tradingplana.htm" TargetMode="External"/><Relationship Id="rId90" Type="http://schemas.openxmlformats.org/officeDocument/2006/relationships/hyperlink" Target="http://www.sec.gov/Archives/edgar/data/723125/000072312519000023/a20198-kimftclosingdate.htm" TargetMode="External"/><Relationship Id="rId91" Type="http://schemas.openxmlformats.org/officeDocument/2006/relationships/hyperlink" Target="http://www.sec.gov/Archives/edgar/data/723125/000072312519000037/a20198-kwrightbodappointme.htm" TargetMode="External"/><Relationship Id="rId92" Type="http://schemas.openxmlformats.org/officeDocument/2006/relationships/hyperlink" Target="http://www.sec.gov/Archives/edgar/data/723125/000110465919039711/a19-12603_18k.htm" TargetMode="External"/><Relationship Id="rId100" Type="http://schemas.openxmlformats.org/officeDocument/2006/relationships/hyperlink" Target="http://www.sec.gov/Archives/edgar/data/723125/000110465917061554/a17-18241_38k.htm" TargetMode="External"/><Relationship Id="rId101" Type="http://schemas.openxmlformats.org/officeDocument/2006/relationships/hyperlink" Target="http://www.sec.gov/Archives/edgar/data/723125/000072312517000005/a2017q1.htm" TargetMode="External"/><Relationship Id="rId102" Type="http://schemas.openxmlformats.org/officeDocument/2006/relationships/hyperlink" Target="http://www.sec.gov/Archives/edgar/data/723125/000072312517000037/a2017q2.htm" TargetMode="External"/><Relationship Id="rId103" Type="http://schemas.openxmlformats.org/officeDocument/2006/relationships/hyperlink" Target="http://www.sec.gov/Archives/edgar/data/723125/000072312517000085/a2017q3.htm" TargetMode="External"/><Relationship Id="rId104" Type="http://schemas.openxmlformats.org/officeDocument/2006/relationships/hyperlink" Target="http://www.sec.gov/Archives/edgar/data/723125/000072312516000269/a2016q4.htm" TargetMode="External"/><Relationship Id="rId105" Type="http://schemas.openxmlformats.org/officeDocument/2006/relationships/hyperlink" Target="http://www.sec.gov/Archives/edgar/data/723125/000072312516000296/a2016definitiveproxy.htm" TargetMode="External"/><Relationship Id="rId107" Type="http://schemas.openxmlformats.org/officeDocument/2006/relationships/hyperlink" Target="http://www.sec.gov/Archives/edgar/data/723125/000072312516000272/a20168-k1192016.htm" TargetMode="External"/><Relationship Id="rId108" Type="http://schemas.openxmlformats.org/officeDocument/2006/relationships/hyperlink" Target="http://www.sec.gov/Archives/edgar/data/723125/000072312517000053/a20178-kmehrotraceo.htm" TargetMode="External"/><Relationship Id="rId109" Type="http://schemas.openxmlformats.org/officeDocument/2006/relationships/hyperlink" Target="http://www.sec.gov/Archives/edgar/data/723125/000072312517000060/a20178-k10b5x105162017.htm" TargetMode="External"/><Relationship Id="rId110" Type="http://schemas.openxmlformats.org/officeDocument/2006/relationships/hyperlink" Target="http://www.sec.gov/Archives/edgar/data/723125/000072312517000076/a20178-kofficerchange.htm" TargetMode="External"/><Relationship Id="rId111" Type="http://schemas.openxmlformats.org/officeDocument/2006/relationships/hyperlink" Target="http://www.sec.gov/Archives/edgar/data/723125/000072312517000092/a20178-kdurcanamendedandre.htm" TargetMode="External"/><Relationship Id="rId112" Type="http://schemas.openxmlformats.org/officeDocument/2006/relationships/hyperlink" Target="http://www.sec.gov/Archives/edgar/data/723125/000072312516000208/a8-arights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2019-12-01T01:22:55Z</dcterms:created>
  <dcterms:modified xsi:type="dcterms:W3CDTF">2019-12-01T01:22:55Z</dcterms:modified>
</cp:coreProperties>
</file>