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Zinsner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8000 S. FEDERAL WAY</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MS 1-557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SVP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BOISE</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rPr>
              <w:t>ID</w:t>
            </w:r>
          </w:p>
        </w:tc>
        <w:tc>
          <w:tcPr>
            <w:tcW w:w="10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83716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02/19/2020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3,782</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57.75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115,203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Withholding of shares of common stock to satisfy tax withholding obligations in connection with the vesting of restricted stock awarded under the Issuer's 2004 Equity Incentive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Greg Osborn, Attorney-in-</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02/20/2020</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undersigned, as an officer and/or director of Micron Technology, Inc. (the "Company") who is subject to the ownership reporting requirements of Section 16 of the U.S. Securities Exchange Act of 1934, as amended ("Section 16"), hereby constitutes and appoints Athar Siddiqee, Rob Beard, and Greg Osborn, and each of them, the undersigned's true and lawful attorney-in-fact, to:</w:t>
      </w:r>
    </w:p>
    <w:p>
      <w:pPr>
        <w:spacing w:after="0" w:line="210" w:lineRule="exact"/>
        <w:rPr>
          <w:sz w:val="20"/>
          <w:szCs w:val="20"/>
          <w:color w:val="auto"/>
        </w:rPr>
      </w:pPr>
    </w:p>
    <w:p>
      <w:pPr>
        <w:ind w:right="2099" w:firstLine="851"/>
        <w:spacing w:after="0" w:line="268" w:lineRule="auto"/>
        <w:tabs>
          <w:tab w:leader="none" w:pos="12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 and on behalf of the undersigned, Forms 3, 4 and 5 and such other forms, and any and all amendments thereto, as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such attorney-in-fact shall in his discretion determine to be required</w:t>
      </w:r>
    </w:p>
    <w:p>
      <w:pPr>
        <w:spacing w:after="0" w:line="4" w:lineRule="exact"/>
        <w:rPr>
          <w:rFonts w:ascii="Courier New" w:cs="Courier New" w:eastAsia="Courier New" w:hAnsi="Courier New"/>
          <w:sz w:val="16"/>
          <w:szCs w:val="16"/>
          <w:color w:val="auto"/>
        </w:rPr>
      </w:pPr>
    </w:p>
    <w:p>
      <w:pPr>
        <w:ind w:right="19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182" w:lineRule="exact"/>
        <w:rPr>
          <w:rFonts w:ascii="Courier New" w:cs="Courier New" w:eastAsia="Courier New" w:hAnsi="Courier New"/>
          <w:sz w:val="16"/>
          <w:szCs w:val="16"/>
          <w:color w:val="auto"/>
        </w:rPr>
      </w:pPr>
    </w:p>
    <w:p>
      <w:pPr>
        <w:ind w:right="1879" w:firstLine="851"/>
        <w:spacing w:after="0" w:line="268" w:lineRule="auto"/>
        <w:tabs>
          <w:tab w:leader="none" w:pos="12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and/or amendments thereto with the U.S. Securities and Exchange Commission, any securities exchange or national association, the Company and such other person</w:t>
      </w:r>
    </w:p>
    <w:p>
      <w:pPr>
        <w:ind w:right="27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agency as the attorney-in-fact shall deem appropriate to comply with the Exchange Act Rules and any other applicable laws.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21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211"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14 day of February, 2020.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 /s/ David Zinsner</w:t>
      </w:r>
    </w:p>
    <w:p>
      <w:pPr>
        <w:ind w:left="4220"/>
        <w:spacing w:after="0"/>
        <w:tabs>
          <w:tab w:leader="none" w:pos="558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David Zinsner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2020-02-20T16:43:42Z</dcterms:created>
  <dcterms:modified xsi:type="dcterms:W3CDTF">2020-02-20T16:43:42Z</dcterms:modified>
</cp:coreProperties>
</file>