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866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54.1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43,961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920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54.1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Acquisition resulted from the vesting of an equal number of Restricted Stock Units.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Withholding of shares of common stock to satisfy tax withholding obligations in connection with the vesting of previously granted awards.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Restricted Stock Units vested in equal installments on November 1, 2019, 2020, 2021, and 2022.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Restricted Stock Units vested or will vest in equal installments on November 1, 2020, 2021, 2022, and 2023.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11/03/2022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2022-11-03T18:01:58Z</dcterms:created>
  <dcterms:modified xsi:type="dcterms:W3CDTF">2022-11-03T18:01:58Z</dcterms:modified>
</cp:coreProperties>
</file>