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180"/>
        <w:spacing w:after="0"/>
        <w:rPr>
          <w:sz w:val="20"/>
          <w:szCs w:val="20"/>
          <w:color w:val="auto"/>
        </w:rPr>
      </w:pPr>
      <w:r>
        <w:rPr>
          <w:rFonts w:ascii="Courier New" w:cs="Courier New" w:eastAsia="Courier New" w:hAnsi="Courier New"/>
          <w:sz w:val="18"/>
          <w:szCs w:val="18"/>
          <w:color w:val="auto"/>
        </w:rPr>
        <w:t>Page 1 of 12</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w:t>
      </w:r>
    </w:p>
    <w:p>
      <w:pPr>
        <w:jc w:val="center"/>
        <w:ind w:left="2080"/>
        <w:spacing w:after="0" w:line="238" w:lineRule="auto"/>
        <w:rPr>
          <w:sz w:val="20"/>
          <w:szCs w:val="20"/>
          <w:color w:val="auto"/>
        </w:rPr>
      </w:pPr>
      <w:r>
        <w:rPr>
          <w:rFonts w:ascii="Courier New" w:cs="Courier New" w:eastAsia="Courier New" w:hAnsi="Courier New"/>
          <w:sz w:val="18"/>
          <w:szCs w:val="18"/>
          <w:color w:val="auto"/>
        </w:rPr>
        <w:t>OMB APPROVAL</w:t>
      </w:r>
    </w:p>
    <w:p>
      <w:pPr>
        <w:ind w:left="5160"/>
        <w:spacing w:after="0"/>
        <w:rPr>
          <w:sz w:val="20"/>
          <w:szCs w:val="20"/>
          <w:color w:val="auto"/>
        </w:rPr>
      </w:pPr>
      <w:r>
        <w:rPr>
          <w:rFonts w:ascii="Courier New" w:cs="Courier New" w:eastAsia="Courier New" w:hAnsi="Courier New"/>
          <w:sz w:val="18"/>
          <w:szCs w:val="18"/>
          <w:color w:val="auto"/>
        </w:rPr>
        <w:t>------------------------------</w:t>
      </w:r>
    </w:p>
    <w:tbl>
      <w:tblPr>
        <w:tblLayout w:type="fixed"/>
        <w:tblInd w:w="5160" w:type="dxa"/>
        <w:tblCellMar>
          <w:top w:w="0" w:type="dxa"/>
          <w:left w:w="0" w:type="dxa"/>
          <w:bottom w:w="0" w:type="dxa"/>
          <w:right w:w="0" w:type="dxa"/>
        </w:tblCellMar>
      </w:tblPr>
      <w:tr>
        <w:trPr>
          <w:trHeight w:val="202"/>
        </w:trPr>
        <w:tc>
          <w:tcPr>
            <w:tcW w:w="190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2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1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6"/>
              </w:rPr>
              <w:t>August 31,1999</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2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14.90</w:t>
            </w:r>
          </w:p>
        </w:tc>
      </w:tr>
    </w:tbl>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 *</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595112103</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(3-98)</w:t>
      </w:r>
    </w:p>
    <w:p>
      <w:pPr>
        <w:spacing w:after="0" w:line="377"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Page 2 of 12</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33-0704072</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c>
          <w:tcPr>
            <w:tcW w:w="300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Bene-</w:t>
            </w:r>
          </w:p>
        </w:tc>
        <w:tc>
          <w:tcPr>
            <w:tcW w:w="6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0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by Each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136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900" w:type="dxa"/>
            <w:vAlign w:val="bottom"/>
            <w:gridSpan w:val="2"/>
          </w:tcPr>
          <w:p>
            <w:pPr>
              <w:jc w:val="center"/>
              <w:ind w:left="443"/>
              <w:spacing w:after="0"/>
              <w:rPr>
                <w:sz w:val="20"/>
                <w:szCs w:val="20"/>
                <w:color w:val="auto"/>
              </w:rPr>
            </w:pPr>
            <w:r>
              <w:rPr>
                <w:rFonts w:ascii="Courier New" w:cs="Courier New" w:eastAsia="Courier New" w:hAnsi="Courier New"/>
                <w:sz w:val="13"/>
                <w:szCs w:val="13"/>
                <w:color w:val="auto"/>
                <w:w w:val="74"/>
              </w:rPr>
              <w:t>----------------------------------------------------------</w:t>
            </w:r>
          </w:p>
        </w:tc>
        <w:tc>
          <w:tcPr>
            <w:tcW w:w="1360" w:type="dxa"/>
            <w:vAlign w:val="bottom"/>
          </w:tcPr>
          <w:p>
            <w:pPr>
              <w:spacing w:after="0"/>
              <w:rPr>
                <w:sz w:val="17"/>
                <w:szCs w:val="17"/>
                <w:color w:val="auto"/>
              </w:rPr>
            </w:pPr>
          </w:p>
        </w:tc>
      </w:tr>
      <w:tr>
        <w:trPr>
          <w:trHeight w:val="203"/>
        </w:trPr>
        <w:tc>
          <w:tcPr>
            <w:tcW w:w="1800" w:type="dxa"/>
            <w:vAlign w:val="bottom"/>
          </w:tcPr>
          <w:p>
            <w:pPr>
              <w:spacing w:after="0"/>
              <w:rPr>
                <w:sz w:val="17"/>
                <w:szCs w:val="17"/>
                <w:color w:val="auto"/>
              </w:rPr>
            </w:pPr>
          </w:p>
        </w:tc>
        <w:tc>
          <w:tcPr>
            <w:tcW w:w="1060" w:type="dxa"/>
            <w:vAlign w:val="bottom"/>
          </w:tcPr>
          <w:p>
            <w:pPr>
              <w:jc w:val="right"/>
              <w:ind w:right="143"/>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6020"/>
        <w:spacing w:after="0"/>
        <w:rPr>
          <w:sz w:val="20"/>
          <w:szCs w:val="20"/>
          <w:color w:val="auto"/>
        </w:rPr>
      </w:pPr>
      <w:r>
        <w:rPr>
          <w:rFonts w:ascii="Courier New" w:cs="Courier New" w:eastAsia="Courier New" w:hAnsi="Courier New"/>
          <w:sz w:val="18"/>
          <w:szCs w:val="18"/>
          <w:color w:val="auto"/>
        </w:rPr>
        <w:t>49,121,578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7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IA, PN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7180"/>
        <w:spacing w:after="0"/>
        <w:rPr>
          <w:sz w:val="20"/>
          <w:szCs w:val="20"/>
          <w:color w:val="auto"/>
        </w:rPr>
      </w:pPr>
      <w:r>
        <w:rPr>
          <w:rFonts w:ascii="Courier New" w:cs="Courier New" w:eastAsia="Courier New" w:hAnsi="Courier New"/>
          <w:sz w:val="18"/>
          <w:szCs w:val="18"/>
          <w:color w:val="auto"/>
        </w:rPr>
        <w:t>Page 3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Investment Partners, Inc.</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33-0090873</w:t>
      </w: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49,121,578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Investment Partners, Inc.,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Investment Partners, Inc.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 this</w:t>
      </w:r>
    </w:p>
    <w:p>
      <w:pPr>
        <w:ind w:left="1700"/>
        <w:spacing w:after="0"/>
        <w:rPr>
          <w:sz w:val="20"/>
          <w:szCs w:val="20"/>
          <w:color w:val="auto"/>
        </w:rPr>
      </w:pPr>
      <w:r>
        <w:rPr>
          <w:rFonts w:ascii="Courier New" w:cs="Courier New" w:eastAsia="Courier New" w:hAnsi="Courier New"/>
          <w:sz w:val="18"/>
          <w:szCs w:val="18"/>
          <w:color w:val="auto"/>
        </w:rPr>
        <w:t>Schedule 13G, except for an amount that is</w:t>
      </w:r>
    </w:p>
    <w:p>
      <w:pPr>
        <w:ind w:left="1700"/>
        <w:spacing w:after="0" w:line="237" w:lineRule="auto"/>
        <w:rPr>
          <w:sz w:val="20"/>
          <w:szCs w:val="20"/>
          <w:color w:val="auto"/>
        </w:rPr>
      </w:pPr>
      <w:r>
        <w:rPr>
          <w:rFonts w:ascii="Courier New" w:cs="Courier New" w:eastAsia="Courier New" w:hAnsi="Courier New"/>
          <w:sz w:val="18"/>
          <w:szCs w:val="18"/>
          <w:color w:val="auto"/>
        </w:rPr>
        <w:t>substantially less than one per cent of the</w:t>
      </w:r>
    </w:p>
    <w:p>
      <w:pPr>
        <w:ind w:left="1700"/>
        <w:spacing w:after="0"/>
        <w:rPr>
          <w:sz w:val="20"/>
          <w:szCs w:val="20"/>
          <w:color w:val="auto"/>
        </w:rPr>
      </w:pPr>
      <w:r>
        <w:rPr>
          <w:rFonts w:ascii="Courier New" w:cs="Courier New" w:eastAsia="Courier New" w:hAnsi="Courier New"/>
          <w:sz w:val="18"/>
          <w:szCs w:val="18"/>
          <w:color w:val="auto"/>
        </w:rPr>
        <w:t>number of shares reported herein.</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6.51% - -------------------------------------------------------------------------------- 12. Type of Reporting Person (See Instructions) CO, OO (Control Person) - --------------------------------------------------------------------------------</w:t>
      </w:r>
    </w:p>
    <w:p>
      <w:pPr>
        <w:sectPr>
          <w:pgSz w:w="11900" w:h="16838" w:orient="portrait"/>
          <w:cols w:equalWidth="0" w:num="1">
            <w:col w:w="10219"/>
          </w:cols>
          <w:pgMar w:left="240" w:top="514"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8"/>
          <w:szCs w:val="18"/>
          <w:color w:val="auto"/>
        </w:rPr>
        <w:t>Page 4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Brandes Worldwide Holdings, L.P.</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380"/>
        <w:spacing w:after="0"/>
        <w:rPr>
          <w:sz w:val="20"/>
          <w:szCs w:val="20"/>
          <w:color w:val="auto"/>
        </w:rPr>
      </w:pPr>
      <w:r>
        <w:rPr>
          <w:rFonts w:ascii="Courier New" w:cs="Courier New" w:eastAsia="Courier New" w:hAnsi="Courier New"/>
          <w:sz w:val="18"/>
          <w:szCs w:val="18"/>
          <w:color w:val="auto"/>
        </w:rPr>
        <w:t>33-0836630</w:t>
      </w:r>
    </w:p>
    <w:p>
      <w:pPr>
        <w:spacing w:after="0" w:line="206"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49,121,578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Brandes Worldwide Holdings, L.P., as</w:t>
      </w:r>
    </w:p>
    <w:p>
      <w:pPr>
        <w:ind w:left="1700"/>
        <w:spacing w:after="0"/>
        <w:rPr>
          <w:sz w:val="20"/>
          <w:szCs w:val="20"/>
          <w:color w:val="auto"/>
        </w:rPr>
      </w:pPr>
      <w:r>
        <w:rPr>
          <w:rFonts w:ascii="Courier New" w:cs="Courier New" w:eastAsia="Courier New" w:hAnsi="Courier New"/>
          <w:sz w:val="18"/>
          <w:szCs w:val="18"/>
          <w:color w:val="auto"/>
        </w:rPr>
        <w:t>a control person of the investment adviser.</w:t>
      </w:r>
    </w:p>
    <w:p>
      <w:pPr>
        <w:ind w:left="1700"/>
        <w:spacing w:after="0" w:line="237" w:lineRule="auto"/>
        <w:rPr>
          <w:sz w:val="20"/>
          <w:szCs w:val="20"/>
          <w:color w:val="auto"/>
        </w:rPr>
      </w:pPr>
      <w:r>
        <w:rPr>
          <w:rFonts w:ascii="Courier New" w:cs="Courier New" w:eastAsia="Courier New" w:hAnsi="Courier New"/>
          <w:sz w:val="18"/>
          <w:szCs w:val="18"/>
          <w:color w:val="auto"/>
        </w:rPr>
        <w:t>Brandes Worldwide Holdings, L.P. disclaims any</w:t>
      </w:r>
    </w:p>
    <w:p>
      <w:pPr>
        <w:ind w:left="1700"/>
        <w:spacing w:after="0" w:line="238" w:lineRule="auto"/>
        <w:rPr>
          <w:sz w:val="20"/>
          <w:szCs w:val="20"/>
          <w:color w:val="auto"/>
        </w:rPr>
      </w:pPr>
      <w:r>
        <w:rPr>
          <w:rFonts w:ascii="Courier New" w:cs="Courier New" w:eastAsia="Courier New" w:hAnsi="Courier New"/>
          <w:sz w:val="18"/>
          <w:szCs w:val="18"/>
          <w:color w:val="auto"/>
        </w:rPr>
        <w:t>direct ownership of the shares reported in</w:t>
      </w:r>
    </w:p>
    <w:p>
      <w:pPr>
        <w:ind w:left="1700"/>
        <w:spacing w:after="0"/>
        <w:rPr>
          <w:sz w:val="20"/>
          <w:szCs w:val="20"/>
          <w:color w:val="auto"/>
        </w:rPr>
      </w:pPr>
      <w:r>
        <w:rPr>
          <w:rFonts w:ascii="Courier New" w:cs="Courier New" w:eastAsia="Courier New" w:hAnsi="Courier New"/>
          <w:sz w:val="18"/>
          <w:szCs w:val="18"/>
          <w:color w:val="auto"/>
        </w:rPr>
        <w:t>this Schedule 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PN,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Page 5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2839" w:hanging="315"/>
        <w:spacing w:after="0" w:line="235" w:lineRule="auto"/>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 xml:space="preserve"> </w:t>
      </w:r>
      <w:r>
        <w:rPr>
          <w:rFonts w:ascii="Courier New" w:cs="Courier New" w:eastAsia="Courier New" w:hAnsi="Courier New"/>
          <w:sz w:val="18"/>
          <w:szCs w:val="18"/>
          <w:color w:val="auto"/>
        </w:rPr>
        <w:t>Charles H. Brandes I.R.S. Identification Nos. of above persons (entities only).</w:t>
      </w:r>
    </w:p>
    <w:p>
      <w:pPr>
        <w:spacing w:after="0" w:line="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49,121,578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Charles H. Brandes, a control person</w:t>
      </w:r>
    </w:p>
    <w:p>
      <w:pPr>
        <w:ind w:left="1700"/>
        <w:spacing w:after="0"/>
        <w:tabs>
          <w:tab w:leader="none" w:pos="4620" w:val="left"/>
        </w:tabs>
        <w:rPr>
          <w:sz w:val="20"/>
          <w:szCs w:val="20"/>
          <w:color w:val="auto"/>
        </w:rPr>
      </w:pPr>
      <w:r>
        <w:rPr>
          <w:rFonts w:ascii="Courier New" w:cs="Courier New" w:eastAsia="Courier New" w:hAnsi="Courier New"/>
          <w:sz w:val="18"/>
          <w:szCs w:val="18"/>
          <w:color w:val="auto"/>
        </w:rPr>
        <w:t>of the investment adviser.</w:t>
      </w:r>
      <w:r>
        <w:rPr>
          <w:sz w:val="20"/>
          <w:szCs w:val="20"/>
          <w:color w:val="auto"/>
        </w:rPr>
        <w:tab/>
      </w:r>
      <w:r>
        <w:rPr>
          <w:rFonts w:ascii="Courier New" w:cs="Courier New" w:eastAsia="Courier New" w:hAnsi="Courier New"/>
          <w:sz w:val="16"/>
          <w:szCs w:val="16"/>
          <w:color w:val="auto"/>
        </w:rPr>
        <w:t>Mr. Brandes</w:t>
      </w:r>
    </w:p>
    <w:p>
      <w:pPr>
        <w:ind w:left="1700"/>
        <w:spacing w:after="0" w:line="237" w:lineRule="auto"/>
        <w:rPr>
          <w:sz w:val="20"/>
          <w:szCs w:val="20"/>
          <w:color w:val="auto"/>
        </w:rPr>
      </w:pPr>
      <w:r>
        <w:rPr>
          <w:rFonts w:ascii="Courier New" w:cs="Courier New" w:eastAsia="Courier New" w:hAnsi="Courier New"/>
          <w:sz w:val="18"/>
          <w:szCs w:val="18"/>
          <w:color w:val="auto"/>
        </w:rPr>
        <w:t>disclaims any direct ownership of the shares</w:t>
      </w:r>
    </w:p>
    <w:p>
      <w:pPr>
        <w:ind w:left="1700"/>
        <w:spacing w:after="0" w:line="238" w:lineRule="auto"/>
        <w:rPr>
          <w:sz w:val="20"/>
          <w:szCs w:val="20"/>
          <w:color w:val="auto"/>
        </w:rPr>
      </w:pPr>
      <w:r>
        <w:rPr>
          <w:rFonts w:ascii="Courier New" w:cs="Courier New" w:eastAsia="Courier New" w:hAnsi="Courier New"/>
          <w:sz w:val="18"/>
          <w:szCs w:val="18"/>
          <w:color w:val="auto"/>
        </w:rPr>
        <w:t>reported in this Schedule 13G, except for an</w:t>
      </w:r>
    </w:p>
    <w:p>
      <w:pPr>
        <w:ind w:left="1700"/>
        <w:spacing w:after="0"/>
        <w:rPr>
          <w:sz w:val="20"/>
          <w:szCs w:val="20"/>
          <w:color w:val="auto"/>
        </w:rPr>
      </w:pPr>
      <w:r>
        <w:rPr>
          <w:rFonts w:ascii="Courier New" w:cs="Courier New" w:eastAsia="Courier New" w:hAnsi="Courier New"/>
          <w:sz w:val="18"/>
          <w:szCs w:val="18"/>
          <w:color w:val="auto"/>
        </w:rPr>
        <w:t>amount that is substantially less than one per</w:t>
      </w:r>
    </w:p>
    <w:p>
      <w:pPr>
        <w:ind w:left="1700"/>
        <w:spacing w:after="0" w:line="237" w:lineRule="auto"/>
        <w:rPr>
          <w:sz w:val="20"/>
          <w:szCs w:val="20"/>
          <w:color w:val="auto"/>
        </w:rPr>
      </w:pPr>
      <w:r>
        <w:rPr>
          <w:rFonts w:ascii="Courier New" w:cs="Courier New" w:eastAsia="Courier New" w:hAnsi="Courier New"/>
          <w:sz w:val="18"/>
          <w:szCs w:val="18"/>
          <w:color w:val="auto"/>
        </w:rPr>
        <w:t>cent of the number of shares reported</w:t>
      </w:r>
    </w:p>
    <w:p>
      <w:pPr>
        <w:ind w:left="1700"/>
        <w:spacing w:after="0"/>
        <w:rPr>
          <w:sz w:val="20"/>
          <w:szCs w:val="20"/>
          <w:color w:val="auto"/>
        </w:rPr>
      </w:pPr>
      <w:r>
        <w:rPr>
          <w:rFonts w:ascii="Courier New" w:cs="Courier New" w:eastAsia="Courier New" w:hAnsi="Courier New"/>
          <w:sz w:val="18"/>
          <w:szCs w:val="18"/>
          <w:color w:val="auto"/>
        </w:rPr>
        <w:t>herein.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10. 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0"/>
          <w:szCs w:val="20"/>
          <w:color w:val="auto"/>
        </w:rPr>
      </w:pPr>
    </w:p>
    <w:p>
      <w:pPr>
        <w:ind w:right="1579" w:firstLine="632"/>
        <w:spacing w:after="0" w:line="237" w:lineRule="auto"/>
        <w:rPr>
          <w:sz w:val="20"/>
          <w:szCs w:val="20"/>
          <w:color w:val="auto"/>
        </w:rPr>
      </w:pPr>
      <w:r>
        <w:rPr>
          <w:rFonts w:ascii="Courier New" w:cs="Courier New" w:eastAsia="Courier New" w:hAnsi="Courier New"/>
          <w:sz w:val="18"/>
          <w:szCs w:val="18"/>
          <w:color w:val="auto"/>
        </w:rPr>
        <w:t>11. Percent of Class Represented by Amount in Row (9) 6.51% - -------------------------------------------------------------------------------- 12. Type of Reporting Person (See Instructions) IN, OO (Control Person) - --------------------------------------------------------------------------------</w:t>
      </w:r>
    </w:p>
    <w:p>
      <w:pPr>
        <w:sectPr>
          <w:pgSz w:w="11900" w:h="16838" w:orient="portrait"/>
          <w:cols w:equalWidth="0" w:num="1">
            <w:col w:w="10219"/>
          </w:cols>
          <w:pgMar w:left="240" w:top="514" w:right="1440" w:bottom="1440" w:gutter="0" w:footer="0" w:header="0"/>
        </w:sectPr>
      </w:pPr>
    </w:p>
    <w:bookmarkStart w:id="5" w:name="page6"/>
    <w:bookmarkEnd w:id="5"/>
    <w:p>
      <w:pPr>
        <w:ind w:left="7180"/>
        <w:spacing w:after="0"/>
        <w:rPr>
          <w:sz w:val="20"/>
          <w:szCs w:val="20"/>
          <w:color w:val="auto"/>
        </w:rPr>
      </w:pPr>
      <w:r>
        <w:rPr>
          <w:rFonts w:ascii="Courier New" w:cs="Courier New" w:eastAsia="Courier New" w:hAnsi="Courier New"/>
          <w:sz w:val="18"/>
          <w:szCs w:val="18"/>
          <w:color w:val="auto"/>
        </w:rPr>
        <w:t>Page 6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Glenn R. Carlson</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49,121,578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Glenn R. Carlson,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Carlson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6" w:name="page7"/>
    <w:bookmarkEnd w:id="6"/>
    <w:p>
      <w:pPr>
        <w:ind w:left="7180"/>
        <w:spacing w:after="0"/>
        <w:rPr>
          <w:sz w:val="20"/>
          <w:szCs w:val="20"/>
          <w:color w:val="auto"/>
        </w:rPr>
      </w:pPr>
      <w:r>
        <w:rPr>
          <w:rFonts w:ascii="Courier New" w:cs="Courier New" w:eastAsia="Courier New" w:hAnsi="Courier New"/>
          <w:sz w:val="18"/>
          <w:szCs w:val="18"/>
          <w:color w:val="auto"/>
        </w:rPr>
        <w:t>Page 7 of 12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595112103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tabs>
          <w:tab w:leader="none" w:pos="4840" w:val="left"/>
        </w:tabs>
        <w:rPr>
          <w:sz w:val="20"/>
          <w:szCs w:val="20"/>
          <w:color w:val="auto"/>
        </w:rPr>
      </w:pPr>
      <w:r>
        <w:rPr>
          <w:rFonts w:ascii="Courier New" w:cs="Courier New" w:eastAsia="Courier New" w:hAnsi="Courier New"/>
          <w:sz w:val="18"/>
          <w:szCs w:val="18"/>
          <w:color w:val="auto"/>
        </w:rPr>
        <w:t>1. Names of Reporting Persons.</w:t>
      </w:r>
      <w:r>
        <w:rPr>
          <w:sz w:val="20"/>
          <w:szCs w:val="20"/>
          <w:color w:val="auto"/>
        </w:rPr>
        <w:tab/>
      </w:r>
      <w:r>
        <w:rPr>
          <w:rFonts w:ascii="Courier New" w:cs="Courier New" w:eastAsia="Courier New" w:hAnsi="Courier New"/>
          <w:sz w:val="16"/>
          <w:szCs w:val="16"/>
          <w:color w:val="auto"/>
        </w:rPr>
        <w:t>Jeffrey A. Busby</w:t>
      </w:r>
    </w:p>
    <w:p>
      <w:pPr>
        <w:ind w:left="10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5"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480" w:hanging="419"/>
        <w:spacing w:after="0" w:line="238" w:lineRule="auto"/>
        <w:tabs>
          <w:tab w:leader="none" w:pos="1480"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tabs>
          <w:tab w:leader="none" w:pos="6000" w:val="left"/>
        </w:tabs>
        <w:rPr>
          <w:sz w:val="20"/>
          <w:szCs w:val="20"/>
          <w:color w:val="auto"/>
        </w:rPr>
      </w:pPr>
      <w:r>
        <w:rPr>
          <w:rFonts w:ascii="Courier New" w:cs="Courier New" w:eastAsia="Courier New" w:hAnsi="Courier New"/>
          <w:sz w:val="18"/>
          <w:szCs w:val="18"/>
          <w:color w:val="auto"/>
        </w:rPr>
        <w:t>4. 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60" w:type="dxa"/>
            <w:vAlign w:val="bottom"/>
          </w:tcPr>
          <w:p>
            <w:pPr>
              <w:jc w:val="right"/>
              <w:ind w:right="138"/>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54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 owned</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38,195,966</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74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0" w:type="dxa"/>
            <w:vAlign w:val="bottom"/>
            <w:gridSpan w:val="2"/>
          </w:tcPr>
          <w:p>
            <w:pPr>
              <w:ind w:left="420"/>
              <w:spacing w:after="0"/>
              <w:rPr>
                <w:sz w:val="20"/>
                <w:szCs w:val="20"/>
                <w:color w:val="auto"/>
              </w:rPr>
            </w:pPr>
            <w:r>
              <w:rPr>
                <w:rFonts w:ascii="Courier New" w:cs="Courier New" w:eastAsia="Courier New" w:hAnsi="Courier New"/>
                <w:sz w:val="13"/>
                <w:szCs w:val="13"/>
                <w:color w:val="auto"/>
                <w:w w:val="74"/>
              </w:rPr>
              <w:t>----------------------------------------------------------</w:t>
            </w:r>
          </w:p>
        </w:tc>
        <w:tc>
          <w:tcPr>
            <w:tcW w:w="27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960" w:type="dxa"/>
            <w:vAlign w:val="bottom"/>
          </w:tcPr>
          <w:p>
            <w:pPr>
              <w:jc w:val="right"/>
              <w:ind w:right="138"/>
              <w:spacing w:after="0" w:line="203" w:lineRule="exact"/>
              <w:rPr>
                <w:sz w:val="20"/>
                <w:szCs w:val="20"/>
                <w:color w:val="auto"/>
              </w:rPr>
            </w:pPr>
            <w:r>
              <w:rPr>
                <w:rFonts w:ascii="Courier New" w:cs="Courier New" w:eastAsia="Courier New" w:hAnsi="Courier New"/>
                <w:sz w:val="18"/>
                <w:szCs w:val="18"/>
                <w:color w:val="auto"/>
              </w:rPr>
              <w:t>8.</w:t>
            </w:r>
          </w:p>
        </w:tc>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74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49,121,578</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315"/>
        <w:spacing w:after="0" w:line="238" w:lineRule="auto"/>
        <w:tabs>
          <w:tab w:leader="none" w:pos="106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49,121,578 shares are deemed to be beneficially</w:t>
      </w:r>
    </w:p>
    <w:p>
      <w:pPr>
        <w:ind w:left="1700"/>
        <w:spacing w:after="0" w:line="238" w:lineRule="auto"/>
        <w:rPr>
          <w:sz w:val="20"/>
          <w:szCs w:val="20"/>
          <w:color w:val="auto"/>
        </w:rPr>
      </w:pPr>
      <w:r>
        <w:rPr>
          <w:rFonts w:ascii="Courier New" w:cs="Courier New" w:eastAsia="Courier New" w:hAnsi="Courier New"/>
          <w:sz w:val="18"/>
          <w:szCs w:val="18"/>
          <w:color w:val="auto"/>
        </w:rPr>
        <w:t>owned by Jeffrey A. Busby, a control person of</w:t>
      </w:r>
    </w:p>
    <w:p>
      <w:pPr>
        <w:ind w:left="1700"/>
        <w:spacing w:after="0"/>
        <w:tabs>
          <w:tab w:leader="none" w:pos="4300" w:val="left"/>
        </w:tabs>
        <w:rPr>
          <w:sz w:val="20"/>
          <w:szCs w:val="20"/>
          <w:color w:val="auto"/>
        </w:rPr>
      </w:pPr>
      <w:r>
        <w:rPr>
          <w:rFonts w:ascii="Courier New" w:cs="Courier New" w:eastAsia="Courier New" w:hAnsi="Courier New"/>
          <w:sz w:val="18"/>
          <w:szCs w:val="18"/>
          <w:color w:val="auto"/>
        </w:rPr>
        <w:t>the investment adviser.</w:t>
      </w:r>
      <w:r>
        <w:rPr>
          <w:sz w:val="20"/>
          <w:szCs w:val="20"/>
          <w:color w:val="auto"/>
        </w:rPr>
        <w:tab/>
      </w:r>
      <w:r>
        <w:rPr>
          <w:rFonts w:ascii="Courier New" w:cs="Courier New" w:eastAsia="Courier New" w:hAnsi="Courier New"/>
          <w:sz w:val="16"/>
          <w:szCs w:val="16"/>
          <w:color w:val="auto"/>
        </w:rPr>
        <w:t>Mr. Busby disclaims</w:t>
      </w:r>
    </w:p>
    <w:p>
      <w:pPr>
        <w:ind w:left="1700"/>
        <w:spacing w:after="0" w:line="237" w:lineRule="auto"/>
        <w:rPr>
          <w:sz w:val="20"/>
          <w:szCs w:val="20"/>
          <w:color w:val="auto"/>
        </w:rPr>
      </w:pPr>
      <w:r>
        <w:rPr>
          <w:rFonts w:ascii="Courier New" w:cs="Courier New" w:eastAsia="Courier New" w:hAnsi="Courier New"/>
          <w:sz w:val="18"/>
          <w:szCs w:val="18"/>
          <w:color w:val="auto"/>
        </w:rPr>
        <w:t>any direct ownership of the shares reported in</w:t>
      </w:r>
    </w:p>
    <w:p>
      <w:pPr>
        <w:ind w:left="1700"/>
        <w:spacing w:after="0" w:line="238" w:lineRule="auto"/>
        <w:rPr>
          <w:sz w:val="20"/>
          <w:szCs w:val="20"/>
          <w:color w:val="auto"/>
        </w:rPr>
      </w:pPr>
      <w:r>
        <w:rPr>
          <w:rFonts w:ascii="Courier New" w:cs="Courier New" w:eastAsia="Courier New" w:hAnsi="Courier New"/>
          <w:sz w:val="18"/>
          <w:szCs w:val="18"/>
          <w:color w:val="auto"/>
        </w:rPr>
        <w:t>this Schedule 13G, except for an amount that</w:t>
      </w:r>
    </w:p>
    <w:p>
      <w:pPr>
        <w:ind w:left="1700"/>
        <w:spacing w:after="0"/>
        <w:rPr>
          <w:sz w:val="20"/>
          <w:szCs w:val="20"/>
          <w:color w:val="auto"/>
        </w:rPr>
      </w:pPr>
      <w:r>
        <w:rPr>
          <w:rFonts w:ascii="Courier New" w:cs="Courier New" w:eastAsia="Courier New" w:hAnsi="Courier New"/>
          <w:sz w:val="18"/>
          <w:szCs w:val="18"/>
          <w:color w:val="auto"/>
        </w:rPr>
        <w:t>is substantially less than one per cent of the</w:t>
      </w:r>
    </w:p>
    <w:p>
      <w:pPr>
        <w:ind w:left="1700"/>
        <w:spacing w:after="0" w:line="237" w:lineRule="auto"/>
        <w:rPr>
          <w:sz w:val="20"/>
          <w:szCs w:val="20"/>
          <w:color w:val="auto"/>
        </w:rPr>
      </w:pPr>
      <w:r>
        <w:rPr>
          <w:rFonts w:ascii="Courier New" w:cs="Courier New" w:eastAsia="Courier New" w:hAnsi="Courier New"/>
          <w:sz w:val="18"/>
          <w:szCs w:val="18"/>
          <w:color w:val="auto"/>
        </w:rPr>
        <w:t>number of shares reported herein.</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hanging="420"/>
        <w:spacing w:after="0" w:line="238" w:lineRule="auto"/>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1060"/>
        <w:spacing w:after="0"/>
        <w:tabs>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7880" w:val="left"/>
        </w:tabs>
        <w:rPr>
          <w:sz w:val="20"/>
          <w:szCs w:val="20"/>
          <w:color w:val="auto"/>
        </w:rPr>
      </w:pPr>
      <w:r>
        <w:rPr>
          <w:rFonts w:ascii="Courier New" w:cs="Courier New" w:eastAsia="Courier New" w:hAnsi="Courier New"/>
          <w:sz w:val="18"/>
          <w:szCs w:val="18"/>
          <w:color w:val="auto"/>
        </w:rPr>
        <w:t>11. Percent of Class Represented by Amount in Row (9)</w:t>
      </w:r>
      <w:r>
        <w:rPr>
          <w:sz w:val="20"/>
          <w:szCs w:val="20"/>
          <w:color w:val="auto"/>
        </w:rPr>
        <w:tab/>
      </w:r>
      <w:r>
        <w:rPr>
          <w:rFonts w:ascii="Courier New" w:cs="Courier New" w:eastAsia="Courier New" w:hAnsi="Courier New"/>
          <w:sz w:val="18"/>
          <w:szCs w:val="18"/>
          <w:color w:val="auto"/>
        </w:rPr>
        <w:t>6.51%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tabs>
          <w:tab w:leader="none" w:pos="5880" w:val="left"/>
        </w:tabs>
        <w:rPr>
          <w:sz w:val="20"/>
          <w:szCs w:val="20"/>
          <w:color w:val="auto"/>
        </w:rPr>
      </w:pPr>
      <w:r>
        <w:rPr>
          <w:rFonts w:ascii="Courier New" w:cs="Courier New" w:eastAsia="Courier New" w:hAnsi="Courier New"/>
          <w:sz w:val="18"/>
          <w:szCs w:val="18"/>
          <w:color w:val="auto"/>
        </w:rPr>
        <w:t>12. Type of Reporting Person (See Instructions)</w:t>
      </w:r>
      <w:r>
        <w:rPr>
          <w:sz w:val="20"/>
          <w:szCs w:val="20"/>
          <w:color w:val="auto"/>
        </w:rPr>
        <w:tab/>
      </w:r>
      <w:r>
        <w:rPr>
          <w:rFonts w:ascii="Courier New" w:cs="Courier New" w:eastAsia="Courier New" w:hAnsi="Courier New"/>
          <w:sz w:val="16"/>
          <w:szCs w:val="16"/>
          <w:color w:val="auto"/>
        </w:rPr>
        <w:t>IN, OO (Control Person)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80" w:type="dxa"/>
            <w:vAlign w:val="bottom"/>
          </w:tcPr>
          <w:p>
            <w:pPr>
              <w:ind w:left="4120"/>
              <w:spacing w:after="0"/>
              <w:rPr>
                <w:sz w:val="20"/>
                <w:szCs w:val="20"/>
                <w:color w:val="auto"/>
              </w:rPr>
            </w:pPr>
            <w:r>
              <w:rPr>
                <w:rFonts w:ascii="Courier New" w:cs="Courier New" w:eastAsia="Courier New" w:hAnsi="Courier New"/>
                <w:sz w:val="18"/>
                <w:szCs w:val="18"/>
                <w:color w:val="auto"/>
                <w:w w:val="95"/>
              </w:rPr>
              <w:t>Page 8 of 12</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6"/>
              </w:rPr>
              <w:t>Name of Issuer:</w:t>
            </w:r>
          </w:p>
        </w:tc>
        <w:tc>
          <w:tcPr>
            <w:tcW w:w="5380" w:type="dxa"/>
            <w:vAlign w:val="bottom"/>
          </w:tcPr>
          <w:p>
            <w:pPr>
              <w:spacing w:after="0"/>
              <w:rPr>
                <w:sz w:val="24"/>
                <w:szCs w:val="24"/>
                <w:color w:val="auto"/>
              </w:rPr>
            </w:pP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Micron</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220" w:type="dxa"/>
            <w:vAlign w:val="bottom"/>
          </w:tcPr>
          <w:p>
            <w:pPr>
              <w:spacing w:after="0"/>
              <w:rPr>
                <w:sz w:val="24"/>
                <w:szCs w:val="24"/>
                <w:color w:val="auto"/>
              </w:rPr>
            </w:pPr>
          </w:p>
        </w:tc>
        <w:tc>
          <w:tcPr>
            <w:tcW w:w="7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8000 South Federal Way, P.O. Box 6, Boise, ID 83707-0006</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18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Filing:</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Investment Partners, Inc.</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(iii)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Brandes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Worldwide Holdings, L.P.</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(iv)</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Charles</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H. Brandes</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w:t>
            </w:r>
          </w:p>
        </w:tc>
        <w:tc>
          <w:tcPr>
            <w:tcW w:w="6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Glenn R. Carlson</w:t>
            </w:r>
          </w:p>
        </w:tc>
      </w:tr>
      <w:tr>
        <w:trPr>
          <w:trHeight w:val="405"/>
        </w:trPr>
        <w:tc>
          <w:tcPr>
            <w:tcW w:w="1220" w:type="dxa"/>
            <w:vAlign w:val="bottom"/>
          </w:tcPr>
          <w:p>
            <w:pPr>
              <w:spacing w:after="0"/>
              <w:rPr>
                <w:sz w:val="24"/>
                <w:szCs w:val="24"/>
                <w:color w:val="auto"/>
              </w:rPr>
            </w:pPr>
          </w:p>
        </w:tc>
        <w:tc>
          <w:tcPr>
            <w:tcW w:w="940" w:type="dxa"/>
            <w:vAlign w:val="bottom"/>
          </w:tcPr>
          <w:p>
            <w:pPr>
              <w:ind w:left="260"/>
              <w:spacing w:after="0"/>
              <w:rPr>
                <w:sz w:val="20"/>
                <w:szCs w:val="20"/>
                <w:color w:val="auto"/>
              </w:rPr>
            </w:pPr>
            <w:r>
              <w:rPr>
                <w:rFonts w:ascii="Courier New" w:cs="Courier New" w:eastAsia="Courier New" w:hAnsi="Courier New"/>
                <w:sz w:val="18"/>
                <w:szCs w:val="18"/>
                <w:color w:val="auto"/>
              </w:rPr>
              <w:t>(vi)</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Jeffrey</w:t>
            </w:r>
          </w:p>
        </w:tc>
        <w:tc>
          <w:tcPr>
            <w:tcW w:w="5380" w:type="dxa"/>
            <w:vAlign w:val="bottom"/>
          </w:tcPr>
          <w:p>
            <w:pPr>
              <w:spacing w:after="0"/>
              <w:rPr>
                <w:sz w:val="20"/>
                <w:szCs w:val="20"/>
                <w:color w:val="auto"/>
              </w:rPr>
            </w:pPr>
            <w:r>
              <w:rPr>
                <w:rFonts w:ascii="Courier New" w:cs="Courier New" w:eastAsia="Courier New" w:hAnsi="Courier New"/>
                <w:sz w:val="18"/>
                <w:szCs w:val="18"/>
                <w:color w:val="auto"/>
              </w:rPr>
              <w:t>A. Busby</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11988 El Camino Real, Suite 500, San Diego, CA  92130</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ectPr>
          <w:pgSz w:w="11900" w:h="16838" w:orient="portrait"/>
          <w:cols w:equalWidth="0" w:num="1">
            <w:col w:w="10219"/>
          </w:cols>
          <w:pgMar w:left="240" w:top="514" w:right="1440" w:bottom="1440" w:gutter="0" w:footer="0" w:header="0"/>
        </w:sectPr>
      </w:pPr>
    </w:p>
    <w:bookmarkStart w:id="8" w:name="page9"/>
    <w:bookmarkEnd w:id="8"/>
    <w:p>
      <w:pPr>
        <w:ind w:left="7180"/>
        <w:spacing w:after="0"/>
        <w:rPr>
          <w:sz w:val="20"/>
          <w:szCs w:val="20"/>
          <w:color w:val="auto"/>
        </w:rPr>
      </w:pPr>
      <w:r>
        <w:rPr>
          <w:rFonts w:ascii="Courier New" w:cs="Courier New" w:eastAsia="Courier New" w:hAnsi="Courier New"/>
          <w:sz w:val="16"/>
          <w:szCs w:val="16"/>
          <w:color w:val="auto"/>
        </w:rPr>
        <w:t>Page 9 of 12</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of Class Securities:</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Common</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0"/>
          <w:szCs w:val="20"/>
          <w:color w:val="auto"/>
        </w:rPr>
      </w:pPr>
    </w:p>
    <w:p>
      <w:pPr>
        <w:sectPr>
          <w:pgSz w:w="11900" w:h="16838" w:orient="portrait"/>
          <w:cols w:equalWidth="0" w:num="2">
            <w:col w:w="960" w:space="520"/>
            <w:col w:w="8739"/>
          </w:cols>
          <w:pgMar w:left="240" w:top="520" w:right="1440" w:bottom="1440" w:gutter="0" w:footer="0" w:header="0"/>
          <w:type w:val="continuous"/>
        </w:sectPr>
      </w:pPr>
    </w:p>
    <w:p>
      <w:pPr>
        <w:spacing w:after="0" w:line="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595112103</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If this statement is filed pursuant to ss.ss. 240.13d-1(b), or 240.13d-2(b) or (c), check whether the person filing is a:</w:t>
      </w:r>
    </w:p>
    <w:p>
      <w:pPr>
        <w:spacing w:after="0" w:line="170" w:lineRule="exact"/>
        <w:rPr>
          <w:sz w:val="20"/>
          <w:szCs w:val="20"/>
          <w:color w:val="auto"/>
        </w:rPr>
      </w:pPr>
    </w:p>
    <w:p>
      <w:pPr>
        <w:sectPr>
          <w:pgSz w:w="11900" w:h="16838" w:orient="portrait"/>
          <w:cols w:equalWidth="0" w:num="2">
            <w:col w:w="760" w:space="720"/>
            <w:col w:w="8739"/>
          </w:cols>
          <w:pgMar w:left="240" w:top="520" w:right="1440" w:bottom="1440" w:gutter="0" w:footer="0" w:header="0"/>
          <w:type w:val="continuous"/>
        </w:sectPr>
      </w:pPr>
    </w:p>
    <w:p>
      <w:pPr>
        <w:ind w:left="2540" w:right="1879" w:hanging="1057"/>
        <w:spacing w:after="0" w:line="235" w:lineRule="auto"/>
        <w:tabs>
          <w:tab w:leader="none" w:pos="201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spacing w:after="0" w:line="207" w:lineRule="exact"/>
        <w:rPr>
          <w:sz w:val="20"/>
          <w:szCs w:val="20"/>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5" w:lineRule="exact"/>
        <w:rPr>
          <w:rFonts w:ascii="Courier New" w:cs="Courier New" w:eastAsia="Courier New" w:hAnsi="Courier New"/>
          <w:sz w:val="18"/>
          <w:szCs w:val="18"/>
          <w:color w:val="auto"/>
        </w:rPr>
      </w:pPr>
    </w:p>
    <w:p>
      <w:pPr>
        <w:ind w:left="2540" w:right="219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(15 U.S.C. 80a-8).</w:t>
      </w:r>
    </w:p>
    <w:p>
      <w:pPr>
        <w:spacing w:after="0" w:line="5" w:lineRule="exact"/>
        <w:rPr>
          <w:rFonts w:ascii="Courier New" w:cs="Courier New" w:eastAsia="Courier New" w:hAnsi="Courier New"/>
          <w:sz w:val="18"/>
          <w:szCs w:val="18"/>
          <w:color w:val="auto"/>
        </w:rPr>
      </w:pPr>
    </w:p>
    <w:p>
      <w:pPr>
        <w:ind w:left="2540" w:right="34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ss. 240.13d-1(b)(1)(ii)(E).</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ss. 240.13d-1(b)(ii)(F).</w:t>
      </w:r>
    </w:p>
    <w:p>
      <w:pPr>
        <w:spacing w:after="0" w:line="5" w:lineRule="exact"/>
        <w:rPr>
          <w:rFonts w:ascii="Courier New" w:cs="Courier New" w:eastAsia="Courier New" w:hAnsi="Courier New"/>
          <w:sz w:val="18"/>
          <w:szCs w:val="18"/>
          <w:color w:val="auto"/>
        </w:rPr>
      </w:pPr>
    </w:p>
    <w:p>
      <w:pPr>
        <w:ind w:left="2540" w:right="17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ss. 240.13d-1(b)(1)(ii)(G).</w:t>
      </w:r>
    </w:p>
    <w:p>
      <w:pPr>
        <w:spacing w:after="0" w:line="5" w:lineRule="exact"/>
        <w:rPr>
          <w:rFonts w:ascii="Courier New" w:cs="Courier New" w:eastAsia="Courier New" w:hAnsi="Courier New"/>
          <w:sz w:val="18"/>
          <w:szCs w:val="18"/>
          <w:color w:val="auto"/>
        </w:rPr>
      </w:pPr>
    </w:p>
    <w:p>
      <w:pPr>
        <w:ind w:left="2540" w:right="1879" w:hanging="1057"/>
        <w:spacing w:after="0" w:line="235"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2540" w:right="1779" w:hanging="1057"/>
        <w:spacing w:after="0" w:line="236" w:lineRule="auto"/>
        <w:tabs>
          <w:tab w:leader="none" w:pos="201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1" w:lineRule="exact"/>
        <w:rPr>
          <w:rFonts w:ascii="Courier New" w:cs="Courier New" w:eastAsia="Courier New" w:hAnsi="Courier New"/>
          <w:sz w:val="18"/>
          <w:szCs w:val="18"/>
          <w:color w:val="auto"/>
        </w:rPr>
      </w:pPr>
    </w:p>
    <w:p>
      <w:pPr>
        <w:ind w:left="2000" w:hanging="517"/>
        <w:spacing w:after="0" w:line="238" w:lineRule="auto"/>
        <w:tabs>
          <w:tab w:leader="none" w:pos="20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Group, in accordance with ss. 240.13d-1(b)(1)(ii)(J).</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This statement is filed by Brandes Investment Partners, L.P., an investment adviser registered under the Investment Advisers Act of 1940, its control persons and its holding company. (See, also, Exhibit A.)</w:t>
      </w:r>
    </w:p>
    <w:p>
      <w:pPr>
        <w:spacing w:after="0" w:line="200" w:lineRule="exact"/>
        <w:rPr>
          <w:sz w:val="20"/>
          <w:szCs w:val="20"/>
          <w:color w:val="auto"/>
        </w:rPr>
      </w:pP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Amount Beneficially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Owned:</w:t>
            </w: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w w:val="96"/>
              </w:rPr>
              <w:t>49,121,578</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Percent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Class:</w:t>
            </w:r>
          </w:p>
        </w:tc>
        <w:tc>
          <w:tcPr>
            <w:tcW w:w="2780" w:type="dxa"/>
            <w:vAlign w:val="bottom"/>
          </w:tcPr>
          <w:p>
            <w:pPr>
              <w:spacing w:after="0"/>
              <w:rPr>
                <w:sz w:val="24"/>
                <w:szCs w:val="2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6.51%</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(c)</w:t>
            </w:r>
          </w:p>
        </w:tc>
        <w:tc>
          <w:tcPr>
            <w:tcW w:w="22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Number of shares as</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which the joint filers have:</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w:t>
            </w:r>
          </w:p>
        </w:tc>
        <w:tc>
          <w:tcPr>
            <w:tcW w:w="64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4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to direct the vote: 0</w:t>
            </w:r>
          </w:p>
        </w:tc>
      </w:tr>
      <w:tr>
        <w:trPr>
          <w:trHeight w:val="405"/>
        </w:trPr>
        <w:tc>
          <w:tcPr>
            <w:tcW w:w="520" w:type="dxa"/>
            <w:vAlign w:val="bottom"/>
          </w:tcPr>
          <w:p>
            <w:pPr>
              <w:spacing w:after="0"/>
              <w:rPr>
                <w:sz w:val="24"/>
                <w:szCs w:val="24"/>
                <w:color w:val="auto"/>
              </w:rPr>
            </w:pP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(ii)</w:t>
            </w:r>
          </w:p>
        </w:tc>
        <w:tc>
          <w:tcPr>
            <w:tcW w:w="4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shared power to vote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2"/>
              </w:rPr>
              <w:t>vote:</w:t>
            </w: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38,195,966</w:t>
            </w:r>
          </w:p>
        </w:tc>
      </w:tr>
      <w:tr>
        <w:trPr>
          <w:trHeight w:val="405"/>
        </w:trPr>
        <w:tc>
          <w:tcPr>
            <w:tcW w:w="5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(iii) sole</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power to</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dispose or to direct the</w:t>
            </w:r>
          </w:p>
        </w:tc>
        <w:tc>
          <w:tcPr>
            <w:tcW w:w="128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860" w:hanging="640"/>
        <w:spacing w:after="0"/>
        <w:tabs>
          <w:tab w:leader="none" w:pos="2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2860" w:type="dxa"/>
        <w:tblCellMar>
          <w:top w:w="0" w:type="dxa"/>
          <w:left w:w="0" w:type="dxa"/>
          <w:bottom w:w="0" w:type="dxa"/>
          <w:right w:w="0" w:type="dxa"/>
        </w:tblCellMar>
      </w:tblPr>
      <w:tr>
        <w:trPr>
          <w:trHeight w:val="203"/>
        </w:trPr>
        <w:tc>
          <w:tcPr>
            <w:tcW w:w="3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49,121,578</w:t>
            </w:r>
          </w:p>
        </w:tc>
      </w:tr>
    </w:tbl>
    <w:p>
      <w:pPr>
        <w:sectPr>
          <w:pgSz w:w="11900" w:h="16838" w:orient="portrait"/>
          <w:cols w:equalWidth="0" w:num="1">
            <w:col w:w="10219"/>
          </w:cols>
          <w:pgMar w:left="240" w:top="520"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48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securities, check the following |_|. N/A</w:t>
      </w:r>
    </w:p>
    <w:p>
      <w:pPr>
        <w:spacing w:after="0" w:line="200" w:lineRule="exact"/>
        <w:rPr>
          <w:sz w:val="20"/>
          <w:szCs w:val="20"/>
          <w:color w:val="auto"/>
        </w:rPr>
      </w:pPr>
    </w:p>
    <w:p>
      <w:pPr>
        <w:spacing w:after="0" w:line="210" w:lineRule="exact"/>
        <w:rPr>
          <w:sz w:val="20"/>
          <w:szCs w:val="20"/>
          <w:color w:val="auto"/>
        </w:rPr>
      </w:pPr>
    </w:p>
    <w:p>
      <w:pPr>
        <w:ind w:left="1480" w:right="1999" w:hanging="3265"/>
        <w:spacing w:after="0" w:line="235" w:lineRule="auto"/>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N/A</w:t>
      </w:r>
    </w:p>
    <w:p>
      <w:pPr>
        <w:spacing w:after="0" w:line="208" w:lineRule="exact"/>
        <w:rPr>
          <w:sz w:val="20"/>
          <w:szCs w:val="20"/>
          <w:color w:val="auto"/>
        </w:rPr>
      </w:pPr>
    </w:p>
    <w:p>
      <w:pPr>
        <w:ind w:left="1480" w:right="1779" w:hanging="1474"/>
        <w:spacing w:after="0" w:line="268"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3280"/>
        <w:spacing w:after="0" w:line="233"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jc w:val="center"/>
        <w:ind w:right="2619"/>
        <w:spacing w:after="0"/>
        <w:tabs>
          <w:tab w:leader="none" w:pos="7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jc w:val="center"/>
        <w:ind w:right="2319"/>
        <w:spacing w:after="0" w:line="238" w:lineRule="auto"/>
        <w:rPr>
          <w:sz w:val="20"/>
          <w:szCs w:val="20"/>
          <w:color w:val="auto"/>
        </w:rPr>
      </w:pPr>
      <w:r>
        <w:rPr>
          <w:rFonts w:ascii="Courier New" w:cs="Courier New" w:eastAsia="Courier New" w:hAnsi="Courier New"/>
          <w:sz w:val="18"/>
          <w:szCs w:val="18"/>
          <w:color w:val="auto"/>
        </w:rPr>
        <w:t>See Exhibit 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328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2220" w:right="2519" w:hanging="737"/>
        <w:spacing w:after="0" w:line="290" w:lineRule="auto"/>
        <w:tabs>
          <w:tab w:leader="none" w:pos="2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certification shall be included if the statement is filed pursuant to ss. 240.13d-1(b):</w:t>
      </w:r>
    </w:p>
    <w:p>
      <w:pPr>
        <w:spacing w:after="0" w:line="169" w:lineRule="exact"/>
        <w:rPr>
          <w:rFonts w:ascii="Courier New" w:cs="Courier New" w:eastAsia="Courier New" w:hAnsi="Courier New"/>
          <w:sz w:val="16"/>
          <w:szCs w:val="16"/>
          <w:color w:val="auto"/>
        </w:rPr>
      </w:pPr>
    </w:p>
    <w:p>
      <w:pPr>
        <w:jc w:val="both"/>
        <w:ind w:left="222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2007</w:t>
      </w:r>
    </w:p>
    <w:p>
      <w:pPr>
        <w:ind w:left="3800"/>
        <w:spacing w:after="0" w:line="238" w:lineRule="auto"/>
        <w:rPr>
          <w:sz w:val="20"/>
          <w:szCs w:val="20"/>
          <w:color w:val="auto"/>
        </w:rPr>
      </w:pPr>
      <w:r>
        <w:rPr>
          <w:rFonts w:ascii="Courier New" w:cs="Courier New" w:eastAsia="Courier New" w:hAnsi="Courier New"/>
          <w:sz w:val="18"/>
          <w:szCs w:val="18"/>
          <w:color w:val="auto"/>
        </w:rPr>
        <w:t>BRANDES INVESTMENT PARTNERS, L.P.</w:t>
      </w: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By: /s/ Adelaide Pund</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Adelaide Pund as Attorney-In-Fact for</w:t>
      </w:r>
    </w:p>
    <w:p>
      <w:pPr>
        <w:ind w:left="422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ind w:left="4220"/>
        <w:spacing w:after="0" w:line="238" w:lineRule="auto"/>
        <w:rPr>
          <w:sz w:val="20"/>
          <w:szCs w:val="20"/>
          <w:color w:val="auto"/>
        </w:rPr>
      </w:pPr>
      <w:r>
        <w:rPr>
          <w:rFonts w:ascii="Courier New" w:cs="Courier New" w:eastAsia="Courier New" w:hAnsi="Courier New"/>
          <w:sz w:val="18"/>
          <w:szCs w:val="18"/>
          <w:color w:val="auto"/>
        </w:rPr>
        <w:t>Brandes Investment Partners, Inc., its</w:t>
      </w:r>
    </w:p>
    <w:p>
      <w:pPr>
        <w:ind w:left="4220"/>
        <w:spacing w:after="0"/>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11 of 12</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INVESTMENT PARTNERS, INC.</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w:t>
      </w:r>
    </w:p>
    <w:p>
      <w:pPr>
        <w:spacing w:after="0" w:line="200" w:lineRule="exact"/>
        <w:rPr>
          <w:sz w:val="20"/>
          <w:szCs w:val="20"/>
          <w:color w:val="auto"/>
        </w:rPr>
      </w:pPr>
    </w:p>
    <w:p>
      <w:pPr>
        <w:spacing w:after="0" w:line="204"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BRANDES WORLDWIDE HOLDINGS, L.P.</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President of</w:t>
      </w:r>
    </w:p>
    <w:p>
      <w:pPr>
        <w:spacing w:after="0" w:line="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Brandes Investment Partners, Inc., its General Partner</w:t>
      </w:r>
    </w:p>
    <w:p>
      <w:pPr>
        <w:spacing w:after="0" w:line="200" w:lineRule="exact"/>
        <w:rPr>
          <w:sz w:val="20"/>
          <w:szCs w:val="20"/>
          <w:color w:val="auto"/>
        </w:rPr>
      </w:pPr>
    </w:p>
    <w:p>
      <w:pPr>
        <w:spacing w:after="0" w:line="221"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Charles H. Brandes,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Glenn R. Carlson, Control Person</w:t>
      </w:r>
    </w:p>
    <w:p>
      <w:pPr>
        <w:spacing w:after="0" w:line="200" w:lineRule="exact"/>
        <w:rPr>
          <w:sz w:val="20"/>
          <w:szCs w:val="20"/>
          <w:color w:val="auto"/>
        </w:rPr>
      </w:pPr>
    </w:p>
    <w:p>
      <w:pPr>
        <w:spacing w:after="0" w:line="204" w:lineRule="exact"/>
        <w:rPr>
          <w:sz w:val="20"/>
          <w:szCs w:val="20"/>
          <w:color w:val="auto"/>
        </w:rPr>
      </w:pPr>
    </w:p>
    <w:p>
      <w:pPr>
        <w:ind w:left="1020"/>
        <w:spacing w:after="0"/>
        <w:tabs>
          <w:tab w:leader="none" w:pos="1520" w:val="left"/>
        </w:tabs>
        <w:rPr>
          <w:sz w:val="20"/>
          <w:szCs w:val="20"/>
          <w:color w:val="auto"/>
        </w:rPr>
      </w:pPr>
      <w:r>
        <w:rPr>
          <w:rFonts w:ascii="Courier New" w:cs="Courier New" w:eastAsia="Courier New" w:hAnsi="Courier New"/>
          <w:sz w:val="18"/>
          <w:szCs w:val="18"/>
          <w:color w:val="auto"/>
        </w:rPr>
        <w:t>By:</w:t>
        <w:tab/>
        <w:t>/s/ Adelaide Pund</w:t>
      </w:r>
    </w:p>
    <w:p>
      <w:pPr>
        <w:ind w:left="1540"/>
        <w:spacing w:after="0" w:line="238" w:lineRule="auto"/>
        <w:rPr>
          <w:sz w:val="20"/>
          <w:szCs w:val="20"/>
          <w:color w:val="auto"/>
        </w:rPr>
      </w:pPr>
      <w:r>
        <w:rPr>
          <w:rFonts w:ascii="Courier New" w:cs="Courier New" w:eastAsia="Courier New" w:hAnsi="Courier New"/>
          <w:sz w:val="18"/>
          <w:szCs w:val="18"/>
          <w:color w:val="auto"/>
        </w:rPr>
        <w:t>-----------------------------------------</w:t>
      </w:r>
    </w:p>
    <w:p>
      <w:pPr>
        <w:ind w:left="1540"/>
        <w:spacing w:after="0"/>
        <w:rPr>
          <w:sz w:val="20"/>
          <w:szCs w:val="20"/>
          <w:color w:val="auto"/>
        </w:rPr>
      </w:pPr>
      <w:r>
        <w:rPr>
          <w:rFonts w:ascii="Courier New" w:cs="Courier New" w:eastAsia="Courier New" w:hAnsi="Courier New"/>
          <w:sz w:val="18"/>
          <w:szCs w:val="18"/>
          <w:color w:val="auto"/>
        </w:rPr>
        <w:t>Adelaide Pund as Attorney-In-Fact for</w:t>
      </w:r>
    </w:p>
    <w:p>
      <w:pPr>
        <w:ind w:left="1540"/>
        <w:spacing w:after="0" w:line="237" w:lineRule="auto"/>
        <w:rPr>
          <w:sz w:val="20"/>
          <w:szCs w:val="20"/>
          <w:color w:val="auto"/>
        </w:rPr>
      </w:pPr>
      <w:r>
        <w:rPr>
          <w:rFonts w:ascii="Courier New" w:cs="Courier New" w:eastAsia="Courier New" w:hAnsi="Courier New"/>
          <w:sz w:val="18"/>
          <w:szCs w:val="18"/>
          <w:color w:val="auto"/>
        </w:rPr>
        <w:t>Jeffrey A. Busby, Control Person</w:t>
      </w:r>
    </w:p>
    <w:p>
      <w:pPr>
        <w:sectPr>
          <w:pgSz w:w="11900" w:h="16838" w:orient="portrait"/>
          <w:cols w:equalWidth="0" w:num="1">
            <w:col w:w="9019"/>
          </w:cols>
          <w:pgMar w:left="1440" w:top="514"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12 of 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A is incorporated by reference to Exhibit A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B is incorporated by reference to Exhibit B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C is incorporated by reference to Exhibit C of Schedule 13G for 3Com Corporation filed February 14, 2005.</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Exhibit D is incorporated by reference to Exhibit D of Schedule 13G for 3Com Corporation filed February 14, 2005.</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5">
    <w:nsid w:val="3F2DBA31"/>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6">
    <w:nsid w:val="7C83E458"/>
    <w:multiLevelType w:val="hybridMultilevel"/>
    <w:lvl w:ilvl="0">
      <w:lvlJc w:val="left"/>
      <w:lvlText w:val="-"/>
      <w:numFmt w:val="bullet"/>
      <w:start w:val="1"/>
    </w:lvl>
    <w:lvl w:ilvl="1">
      <w:lvlJc w:val="left"/>
      <w:lvlText w:val="%2."/>
      <w:numFmt w:val="decimal"/>
      <w:start w:val="9"/>
    </w:lvl>
  </w:abstractNum>
  <w:abstractNum w:abstractNumId="7">
    <w:nsid w:val="257130A3"/>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8">
    <w:nsid w:val="62BBD95A"/>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9">
    <w:nsid w:val="436C6125"/>
    <w:multiLevelType w:val="hybridMultilevel"/>
    <w:lvl w:ilvl="0">
      <w:lvlJc w:val="left"/>
      <w:lvlText w:val="-"/>
      <w:numFmt w:val="bullet"/>
      <w:start w:val="1"/>
    </w:lvl>
    <w:lvl w:ilvl="1">
      <w:lvlJc w:val="left"/>
      <w:lvlText w:val="%2."/>
      <w:numFmt w:val="decimal"/>
      <w:start w:val="9"/>
    </w:lvl>
  </w:abstractNum>
  <w:abstractNum w:abstractNumId="10">
    <w:nsid w:val="628C895D"/>
    <w:multiLevelType w:val="hybridMultilevel"/>
    <w:lvl w:ilvl="0">
      <w:lvlJc w:val="left"/>
      <w:lvlText w:val="-"/>
      <w:numFmt w:val="bullet"/>
      <w:start w:val="1"/>
    </w:lvl>
    <w:lvl w:ilvl="1">
      <w:lvlJc w:val="left"/>
      <w:lvlText w:val="%2."/>
      <w:numFmt w:val="decimal"/>
      <w:start w:val="10"/>
    </w:lvl>
  </w:abstractNum>
  <w:abstractNum w:abstractNumId="11">
    <w:nsid w:val="333AB105"/>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2">
    <w:nsid w:val="721DA317"/>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3">
    <w:nsid w:val="2443A858"/>
    <w:multiLevelType w:val="hybridMultilevel"/>
    <w:lvl w:ilvl="0">
      <w:lvlJc w:val="left"/>
      <w:lvlText w:val="-"/>
      <w:numFmt w:val="bullet"/>
      <w:start w:val="1"/>
    </w:lvl>
    <w:lvl w:ilvl="1">
      <w:lvlJc w:val="left"/>
      <w:lvlText w:val="%2."/>
      <w:numFmt w:val="decimal"/>
      <w:start w:val="9"/>
    </w:lvl>
  </w:abstractNum>
  <w:abstractNum w:abstractNumId="14">
    <w:nsid w:val="2D1D5AE9"/>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5">
    <w:nsid w:val="6763845E"/>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6">
    <w:nsid w:val="75A2A8D4"/>
    <w:multiLevelType w:val="hybridMultilevel"/>
    <w:lvl w:ilvl="0">
      <w:lvlJc w:val="left"/>
      <w:lvlText w:val="-"/>
      <w:numFmt w:val="bullet"/>
      <w:start w:val="1"/>
    </w:lvl>
    <w:lvl w:ilvl="1">
      <w:lvlJc w:val="left"/>
      <w:lvlText w:val="%2."/>
      <w:numFmt w:val="decimal"/>
      <w:start w:val="9"/>
    </w:lvl>
  </w:abstractNum>
  <w:abstractNum w:abstractNumId="17">
    <w:nsid w:val="8EDBDA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18">
    <w:nsid w:val="79838CB2"/>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19">
    <w:nsid w:val="4353D0CD"/>
    <w:multiLevelType w:val="hybridMultilevel"/>
    <w:lvl w:ilvl="0">
      <w:lvlJc w:val="left"/>
      <w:lvlText w:val="-"/>
      <w:numFmt w:val="bullet"/>
      <w:start w:val="1"/>
    </w:lvl>
    <w:lvl w:ilvl="1">
      <w:lvlJc w:val="left"/>
      <w:lvlText w:val="%2."/>
      <w:numFmt w:val="decimal"/>
      <w:start w:val="9"/>
    </w:lvl>
  </w:abstractNum>
  <w:abstractNum w:abstractNumId="20">
    <w:nsid w:val="B03E0C6"/>
    <w:multiLevelType w:val="hybridMultilevel"/>
    <w:lvl w:ilvl="0">
      <w:lvlJc w:val="left"/>
      <w:lvlText w:val="-"/>
      <w:numFmt w:val="bullet"/>
      <w:start w:val="1"/>
    </w:lvl>
    <w:lvl w:ilvl="1">
      <w:lvlJc w:val="left"/>
      <w:lvlText w:val="%2."/>
      <w:numFmt w:val="decimal"/>
      <w:start w:val="10"/>
    </w:lvl>
  </w:abstractNum>
  <w:abstractNum w:abstractNumId="21">
    <w:nsid w:val="189A769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22">
    <w:nsid w:val="54E49EB4"/>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23">
    <w:nsid w:val="71F32454"/>
    <w:multiLevelType w:val="hybridMultilevel"/>
    <w:lvl w:ilvl="0">
      <w:lvlJc w:val="left"/>
      <w:lvlText w:val="-"/>
      <w:numFmt w:val="bullet"/>
      <w:start w:val="1"/>
    </w:lvl>
    <w:lvl w:ilvl="1">
      <w:lvlJc w:val="left"/>
      <w:lvlText w:val="%2."/>
      <w:numFmt w:val="decimal"/>
      <w:start w:val="9"/>
    </w:lvl>
  </w:abstractNum>
  <w:abstractNum w:abstractNumId="24">
    <w:nsid w:val="2CA88611"/>
    <w:multiLevelType w:val="hybridMultilevel"/>
    <w:lvl w:ilvl="0">
      <w:lvlJc w:val="left"/>
      <w:lvlText w:val="-"/>
      <w:numFmt w:val="bullet"/>
      <w:start w:val="1"/>
    </w:lvl>
    <w:lvl w:ilvl="1">
      <w:lvlJc w:val="left"/>
      <w:lvlText w:val="%2."/>
      <w:numFmt w:val="decimal"/>
      <w:start w:val="10"/>
    </w:lvl>
  </w:abstractNum>
  <w:abstractNum w:abstractNumId="25">
    <w:nsid w:val="836C40E"/>
    <w:multiLevelType w:val="hybridMultilevel"/>
    <w:lvl w:ilvl="0">
      <w:lvlJc w:val="left"/>
      <w:lvlText w:val="(%1)"/>
      <w:numFmt w:val="lowerRoman"/>
      <w:start w:val="1"/>
    </w:lvl>
  </w:abstractNum>
  <w:abstractNum w:abstractNumId="26">
    <w:nsid w:val="2901D82"/>
    <w:multiLevelType w:val="hybridMultilevel"/>
    <w:lvl w:ilvl="0">
      <w:lvlJc w:val="left"/>
      <w:lvlText w:val="(%1)"/>
      <w:numFmt w:val="lowerRoman"/>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lvl w:ilvl="1">
      <w:lvlJc w:val="left"/>
      <w:lvlText w:val="%2"/>
      <w:numFmt w:val="lowerLetter"/>
      <w:start w:val="1"/>
    </w:lvl>
  </w:abstractNum>
  <w:abstractNum w:abstractNumId="29">
    <w:nsid w:val="1E7FF521"/>
    <w:multiLevelType w:val="hybridMultilevel"/>
    <w:lvl w:ilvl="0">
      <w:lvlJc w:val="left"/>
      <w:lvlText w:val="(%1)"/>
      <w:numFmt w:val="lowerRoman"/>
      <w:start w:val="4"/>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2019-12-11T19:35:55Z</dcterms:created>
  <dcterms:modified xsi:type="dcterms:W3CDTF">2019-12-11T19:35:55Z</dcterms:modified>
</cp:coreProperties>
</file>