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20" w:right="3219" w:hanging="3638"/>
        <w:spacing w:after="0" w:line="387" w:lineRule="auto"/>
        <w:rPr>
          <w:sz w:val="20"/>
          <w:szCs w:val="20"/>
          <w:color w:val="auto"/>
        </w:rPr>
      </w:pPr>
      <w:r>
        <w:rPr>
          <w:rFonts w:ascii="Courier New" w:cs="Courier New" w:eastAsia="Courier New" w:hAnsi="Courier New"/>
          <w:sz w:val="14"/>
          <w:szCs w:val="14"/>
          <w:color w:val="auto"/>
        </w:rPr>
        <w:t>As filed with the Securities and Exchange Commission on April 11, 2000 Registration No. 333-33050</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38"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Washington, D.C. 20549</w:t>
      </w:r>
    </w:p>
    <w:p>
      <w:pPr>
        <w:spacing w:after="0" w:line="145"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________________</w:t>
      </w:r>
    </w:p>
    <w:p>
      <w:pPr>
        <w:spacing w:after="0" w:line="27"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Amendment No. 1 to</w:t>
      </w:r>
    </w:p>
    <w:tbl>
      <w:tblPr>
        <w:tblLayout w:type="fixed"/>
        <w:tblInd w:w="0" w:type="dxa"/>
        <w:tblCellMar>
          <w:top w:w="0" w:type="dxa"/>
          <w:left w:w="0" w:type="dxa"/>
          <w:bottom w:w="0" w:type="dxa"/>
          <w:right w:w="0" w:type="dxa"/>
        </w:tblCellMar>
      </w:tblPr>
      <w:tr>
        <w:trPr>
          <w:trHeight w:val="145"/>
        </w:trPr>
        <w:tc>
          <w:tcPr>
            <w:tcW w:w="4700" w:type="dxa"/>
            <w:vAlign w:val="bottom"/>
          </w:tcPr>
          <w:p>
            <w:pPr>
              <w:jc w:val="center"/>
              <w:ind w:left="2126"/>
              <w:spacing w:after="0" w:line="146" w:lineRule="exact"/>
              <w:rPr>
                <w:sz w:val="20"/>
                <w:szCs w:val="20"/>
                <w:color w:val="auto"/>
              </w:rPr>
            </w:pPr>
            <w:r>
              <w:rPr>
                <w:rFonts w:ascii="Courier New" w:cs="Courier New" w:eastAsia="Courier New" w:hAnsi="Courier New"/>
                <w:sz w:val="15"/>
                <w:szCs w:val="15"/>
                <w:color w:val="auto"/>
                <w:w w:val="97"/>
              </w:rPr>
              <w:t>FORM S-3</w:t>
            </w:r>
          </w:p>
        </w:tc>
        <w:tc>
          <w:tcPr>
            <w:tcW w:w="1760" w:type="dxa"/>
            <w:vAlign w:val="bottom"/>
          </w:tcPr>
          <w:p>
            <w:pPr>
              <w:spacing w:after="0"/>
              <w:rPr>
                <w:sz w:val="12"/>
                <w:szCs w:val="12"/>
                <w:color w:val="auto"/>
              </w:rPr>
            </w:pPr>
          </w:p>
        </w:tc>
      </w:tr>
      <w:tr>
        <w:trPr>
          <w:trHeight w:val="171"/>
        </w:trPr>
        <w:tc>
          <w:tcPr>
            <w:tcW w:w="4700" w:type="dxa"/>
            <w:vAlign w:val="bottom"/>
          </w:tcPr>
          <w:p>
            <w:pPr>
              <w:jc w:val="center"/>
              <w:ind w:left="2126"/>
              <w:spacing w:after="0"/>
              <w:rPr>
                <w:sz w:val="20"/>
                <w:szCs w:val="20"/>
                <w:color w:val="auto"/>
              </w:rPr>
            </w:pPr>
            <w:r>
              <w:rPr>
                <w:rFonts w:ascii="Courier New" w:cs="Courier New" w:eastAsia="Courier New" w:hAnsi="Courier New"/>
                <w:sz w:val="15"/>
                <w:szCs w:val="15"/>
                <w:color w:val="auto"/>
                <w:w w:val="97"/>
              </w:rPr>
              <w:t>REGISTRATION STATEMENT</w:t>
            </w:r>
          </w:p>
        </w:tc>
        <w:tc>
          <w:tcPr>
            <w:tcW w:w="1760" w:type="dxa"/>
            <w:vAlign w:val="bottom"/>
          </w:tcPr>
          <w:p>
            <w:pPr>
              <w:spacing w:after="0"/>
              <w:rPr>
                <w:sz w:val="14"/>
                <w:szCs w:val="14"/>
                <w:color w:val="auto"/>
              </w:rPr>
            </w:pPr>
          </w:p>
        </w:tc>
      </w:tr>
      <w:tr>
        <w:trPr>
          <w:trHeight w:val="171"/>
        </w:trPr>
        <w:tc>
          <w:tcPr>
            <w:tcW w:w="4700" w:type="dxa"/>
            <w:vAlign w:val="bottom"/>
          </w:tcPr>
          <w:p>
            <w:pPr>
              <w:jc w:val="center"/>
              <w:ind w:left="2226"/>
              <w:spacing w:after="0"/>
              <w:rPr>
                <w:sz w:val="20"/>
                <w:szCs w:val="20"/>
                <w:color w:val="auto"/>
              </w:rPr>
            </w:pPr>
            <w:r>
              <w:rPr>
                <w:rFonts w:ascii="Courier New" w:cs="Courier New" w:eastAsia="Courier New" w:hAnsi="Courier New"/>
                <w:sz w:val="15"/>
                <w:szCs w:val="15"/>
                <w:color w:val="auto"/>
                <w:w w:val="97"/>
              </w:rPr>
              <w:t>Under</w:t>
            </w:r>
          </w:p>
        </w:tc>
        <w:tc>
          <w:tcPr>
            <w:tcW w:w="1760" w:type="dxa"/>
            <w:vAlign w:val="bottom"/>
          </w:tcPr>
          <w:p>
            <w:pPr>
              <w:spacing w:after="0"/>
              <w:rPr>
                <w:sz w:val="14"/>
                <w:szCs w:val="14"/>
                <w:color w:val="auto"/>
              </w:rPr>
            </w:pPr>
          </w:p>
        </w:tc>
      </w:tr>
      <w:tr>
        <w:trPr>
          <w:trHeight w:val="171"/>
        </w:trPr>
        <w:tc>
          <w:tcPr>
            <w:tcW w:w="4700" w:type="dxa"/>
            <w:vAlign w:val="bottom"/>
          </w:tcPr>
          <w:p>
            <w:pPr>
              <w:jc w:val="center"/>
              <w:ind w:left="2126"/>
              <w:spacing w:after="0"/>
              <w:rPr>
                <w:sz w:val="20"/>
                <w:szCs w:val="20"/>
                <w:color w:val="auto"/>
              </w:rPr>
            </w:pPr>
            <w:r>
              <w:rPr>
                <w:rFonts w:ascii="Courier New" w:cs="Courier New" w:eastAsia="Courier New" w:hAnsi="Courier New"/>
                <w:sz w:val="15"/>
                <w:szCs w:val="15"/>
                <w:color w:val="auto"/>
                <w:w w:val="98"/>
              </w:rPr>
              <w:t>THE SECURITIES ACT OF 1933</w:t>
            </w:r>
          </w:p>
        </w:tc>
        <w:tc>
          <w:tcPr>
            <w:tcW w:w="1760" w:type="dxa"/>
            <w:vAlign w:val="bottom"/>
          </w:tcPr>
          <w:p>
            <w:pPr>
              <w:spacing w:after="0"/>
              <w:rPr>
                <w:sz w:val="14"/>
                <w:szCs w:val="14"/>
                <w:color w:val="auto"/>
              </w:rPr>
            </w:pPr>
          </w:p>
        </w:tc>
      </w:tr>
      <w:tr>
        <w:trPr>
          <w:trHeight w:val="171"/>
        </w:trPr>
        <w:tc>
          <w:tcPr>
            <w:tcW w:w="4700" w:type="dxa"/>
            <w:vAlign w:val="bottom"/>
          </w:tcPr>
          <w:p>
            <w:pPr>
              <w:jc w:val="center"/>
              <w:ind w:left="2226"/>
              <w:spacing w:after="0"/>
              <w:rPr>
                <w:sz w:val="20"/>
                <w:szCs w:val="20"/>
                <w:color w:val="auto"/>
              </w:rPr>
            </w:pPr>
            <w:r>
              <w:rPr>
                <w:rFonts w:ascii="Courier New" w:cs="Courier New" w:eastAsia="Courier New" w:hAnsi="Courier New"/>
                <w:sz w:val="15"/>
                <w:szCs w:val="15"/>
                <w:color w:val="auto"/>
                <w:w w:val="98"/>
              </w:rPr>
              <w:t>MICRON TECHNOLOGY, INC.</w:t>
            </w:r>
          </w:p>
        </w:tc>
        <w:tc>
          <w:tcPr>
            <w:tcW w:w="1760" w:type="dxa"/>
            <w:vAlign w:val="bottom"/>
          </w:tcPr>
          <w:p>
            <w:pPr>
              <w:spacing w:after="0"/>
              <w:rPr>
                <w:sz w:val="14"/>
                <w:szCs w:val="14"/>
                <w:color w:val="auto"/>
              </w:rPr>
            </w:pPr>
          </w:p>
        </w:tc>
      </w:tr>
      <w:tr>
        <w:trPr>
          <w:trHeight w:val="249"/>
        </w:trPr>
        <w:tc>
          <w:tcPr>
            <w:tcW w:w="6460" w:type="dxa"/>
            <w:vAlign w:val="bottom"/>
            <w:gridSpan w:val="2"/>
          </w:tcPr>
          <w:p>
            <w:pPr>
              <w:jc w:val="center"/>
              <w:ind w:left="366"/>
              <w:spacing w:after="0"/>
              <w:rPr>
                <w:sz w:val="20"/>
                <w:szCs w:val="20"/>
                <w:color w:val="auto"/>
              </w:rPr>
            </w:pPr>
            <w:r>
              <w:rPr>
                <w:rFonts w:ascii="Courier New" w:cs="Courier New" w:eastAsia="Courier New" w:hAnsi="Courier New"/>
                <w:sz w:val="15"/>
                <w:szCs w:val="15"/>
                <w:color w:val="auto"/>
                <w:w w:val="98"/>
              </w:rPr>
              <w:t>(Exact name of Registrant as specified in its charter)</w:t>
            </w:r>
          </w:p>
        </w:tc>
      </w:tr>
      <w:tr>
        <w:trPr>
          <w:trHeight w:val="433"/>
        </w:trPr>
        <w:tc>
          <w:tcPr>
            <w:tcW w:w="4700" w:type="dxa"/>
            <w:vAlign w:val="bottom"/>
          </w:tcPr>
          <w:p>
            <w:pPr>
              <w:ind w:left="960"/>
              <w:spacing w:after="0"/>
              <w:rPr>
                <w:sz w:val="20"/>
                <w:szCs w:val="20"/>
                <w:color w:val="auto"/>
              </w:rPr>
            </w:pPr>
            <w:r>
              <w:rPr>
                <w:rFonts w:ascii="Courier New" w:cs="Courier New" w:eastAsia="Courier New" w:hAnsi="Courier New"/>
                <w:sz w:val="15"/>
                <w:szCs w:val="15"/>
                <w:color w:val="auto"/>
              </w:rPr>
              <w:t>DELAWARE</w:t>
            </w:r>
          </w:p>
        </w:tc>
        <w:tc>
          <w:tcPr>
            <w:tcW w:w="17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75-1618004</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17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(I.R.S. Employer</w:t>
            </w:r>
          </w:p>
        </w:tc>
      </w:tr>
      <w:tr>
        <w:trPr>
          <w:trHeight w:val="249"/>
        </w:trPr>
        <w:tc>
          <w:tcPr>
            <w:tcW w:w="470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w w:val="97"/>
              </w:rPr>
              <w:t>Identification No.)</w:t>
            </w:r>
          </w:p>
        </w:tc>
      </w:tr>
    </w:tbl>
    <w:p>
      <w:pPr>
        <w:spacing w:after="0" w:line="92"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8000 South Federal Way</w:t>
      </w:r>
    </w:p>
    <w:p>
      <w:pPr>
        <w:spacing w:after="0" w:line="27"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P.O. Box 6</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Boise, Idaho 83707-0006</w:t>
      </w:r>
    </w:p>
    <w:p>
      <w:pPr>
        <w:spacing w:after="0" w:line="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(208) 368-4000</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45"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W. G. Stover, Jr.</w:t>
      </w:r>
    </w:p>
    <w:p>
      <w:pPr>
        <w:spacing w:after="0" w:line="2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Vice President of Finance and Chief Financial Officer</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Micron Technology, Inc.</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8000 South Federal Way</w:t>
      </w:r>
    </w:p>
    <w:p>
      <w:pPr>
        <w:spacing w:after="0" w:line="1" w:lineRule="exact"/>
        <w:rPr>
          <w:sz w:val="24"/>
          <w:szCs w:val="24"/>
          <w:color w:val="auto"/>
        </w:rPr>
      </w:pPr>
    </w:p>
    <w:p>
      <w:pPr>
        <w:ind w:left="2380"/>
        <w:spacing w:after="0"/>
        <w:tabs>
          <w:tab w:leader="none" w:pos="3600" w:val="left"/>
        </w:tabs>
        <w:rPr>
          <w:sz w:val="20"/>
          <w:szCs w:val="20"/>
          <w:color w:val="auto"/>
        </w:rPr>
      </w:pPr>
      <w:r>
        <w:rPr>
          <w:rFonts w:ascii="Courier New" w:cs="Courier New" w:eastAsia="Courier New" w:hAnsi="Courier New"/>
          <w:sz w:val="15"/>
          <w:szCs w:val="15"/>
          <w:color w:val="auto"/>
        </w:rPr>
        <w:t>Boise, Idaho</w:t>
      </w:r>
      <w:r>
        <w:rPr>
          <w:sz w:val="20"/>
          <w:szCs w:val="20"/>
          <w:color w:val="auto"/>
        </w:rPr>
        <w:tab/>
      </w:r>
      <w:r>
        <w:rPr>
          <w:rFonts w:ascii="Courier New" w:cs="Courier New" w:eastAsia="Courier New" w:hAnsi="Courier New"/>
          <w:sz w:val="14"/>
          <w:szCs w:val="14"/>
          <w:color w:val="auto"/>
        </w:rPr>
        <w:t>83707-0006</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of agent for service)</w:t>
      </w:r>
    </w:p>
    <w:p>
      <w:pPr>
        <w:spacing w:after="0" w:line="145"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Copies To:</w:t>
      </w:r>
    </w:p>
    <w:p>
      <w:pPr>
        <w:spacing w:after="0" w:line="27" w:lineRule="exact"/>
        <w:rPr>
          <w:sz w:val="24"/>
          <w:szCs w:val="24"/>
          <w:color w:val="auto"/>
        </w:rPr>
      </w:pPr>
    </w:p>
    <w:p>
      <w:pPr>
        <w:ind w:left="2660"/>
        <w:spacing w:after="0"/>
        <w:tabs>
          <w:tab w:leader="none" w:pos="3440" w:val="left"/>
        </w:tabs>
        <w:rPr>
          <w:sz w:val="20"/>
          <w:szCs w:val="20"/>
          <w:color w:val="auto"/>
        </w:rPr>
      </w:pPr>
      <w:r>
        <w:rPr>
          <w:rFonts w:ascii="Courier New" w:cs="Courier New" w:eastAsia="Courier New" w:hAnsi="Courier New"/>
          <w:sz w:val="15"/>
          <w:szCs w:val="15"/>
          <w:color w:val="auto"/>
        </w:rPr>
        <w:t>John A.</w:t>
      </w:r>
      <w:r>
        <w:rPr>
          <w:sz w:val="20"/>
          <w:szCs w:val="20"/>
          <w:color w:val="auto"/>
        </w:rPr>
        <w:tab/>
      </w:r>
      <w:r>
        <w:rPr>
          <w:rFonts w:ascii="Courier New" w:cs="Courier New" w:eastAsia="Courier New" w:hAnsi="Courier New"/>
          <w:sz w:val="14"/>
          <w:szCs w:val="14"/>
          <w:color w:val="auto"/>
        </w:rPr>
        <w:t>Fore, Esq.</w:t>
      </w:r>
    </w:p>
    <w:p>
      <w:pPr>
        <w:spacing w:after="0" w:line="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Wilson Sonsini Goodrich &amp; Rosati, Professional Corporation</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650 Page Mill Road</w:t>
      </w:r>
    </w:p>
    <w:p>
      <w:pPr>
        <w:spacing w:after="0" w:line="1"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Palo Alto, California 94304</w:t>
      </w:r>
    </w:p>
    <w:p>
      <w:pPr>
        <w:spacing w:after="0" w:line="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(650) 493-9300</w:t>
      </w:r>
    </w:p>
    <w:p>
      <w:pPr>
        <w:spacing w:after="0" w:line="145"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171"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From time to time after the effective date of this Registration Statement.</w:t>
      </w:r>
    </w:p>
    <w:p>
      <w:pPr>
        <w:spacing w:after="0" w:line="171" w:lineRule="exact"/>
        <w:rPr>
          <w:sz w:val="24"/>
          <w:szCs w:val="24"/>
          <w:color w:val="auto"/>
        </w:rPr>
      </w:pPr>
    </w:p>
    <w:p>
      <w:pPr>
        <w:jc w:val="both"/>
        <w:ind w:right="3119" w:firstLine="887"/>
        <w:spacing w:after="0" w:line="29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52" w:lineRule="exact"/>
        <w:rPr>
          <w:sz w:val="24"/>
          <w:szCs w:val="24"/>
          <w:color w:val="auto"/>
        </w:rPr>
      </w:pPr>
    </w:p>
    <w:p>
      <w:pPr>
        <w:ind w:right="3399" w:firstLine="887"/>
        <w:spacing w:after="0" w:line="278"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66" w:lineRule="exact"/>
        <w:rPr>
          <w:sz w:val="24"/>
          <w:szCs w:val="24"/>
          <w:color w:val="auto"/>
        </w:rPr>
      </w:pPr>
    </w:p>
    <w:p>
      <w:pPr>
        <w:ind w:right="3219" w:firstLine="887"/>
        <w:spacing w:after="0" w:line="303"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 __________</w:t>
      </w:r>
    </w:p>
    <w:p>
      <w:pPr>
        <w:spacing w:after="0" w:line="52" w:lineRule="exact"/>
        <w:rPr>
          <w:sz w:val="24"/>
          <w:szCs w:val="24"/>
          <w:color w:val="auto"/>
        </w:rPr>
      </w:pPr>
    </w:p>
    <w:p>
      <w:pPr>
        <w:ind w:right="3479" w:firstLine="887"/>
        <w:spacing w:after="0" w:line="278"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please check the following box and list the Securities Act registration statement number of the earlier effective registration statement for the same offering. [_] _________________</w:t>
      </w:r>
    </w:p>
    <w:p>
      <w:pPr>
        <w:spacing w:after="0" w:line="66" w:lineRule="exact"/>
        <w:rPr>
          <w:sz w:val="24"/>
          <w:szCs w:val="24"/>
          <w:color w:val="auto"/>
        </w:rPr>
      </w:pPr>
    </w:p>
    <w:p>
      <w:pPr>
        <w:ind w:right="3219" w:firstLine="887"/>
        <w:spacing w:after="0" w:line="35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83" w:lineRule="exact"/>
        <w:rPr>
          <w:sz w:val="24"/>
          <w:szCs w:val="24"/>
          <w:color w:val="auto"/>
        </w:rPr>
      </w:pPr>
    </w:p>
    <w:p>
      <w:pPr>
        <w:ind w:left="2740"/>
        <w:spacing w:after="0"/>
        <w:rPr>
          <w:sz w:val="20"/>
          <w:szCs w:val="20"/>
          <w:color w:val="auto"/>
        </w:rPr>
      </w:pPr>
      <w:r>
        <w:rPr>
          <w:rFonts w:ascii="Courier New" w:cs="Courier New" w:eastAsia="Courier New" w:hAnsi="Courier New"/>
          <w:sz w:val="15"/>
          <w:szCs w:val="15"/>
          <w:color w:val="auto"/>
        </w:rPr>
        <w:t>________________</w:t>
      </w: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The Registrant hereby amends this Registration Statement on such date</w:t>
      </w:r>
    </w:p>
    <w:p>
      <w:pPr>
        <w:spacing w:after="0" w:line="2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or dates as may be necessary to delay its effective date until the Registrant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shall file a further amendment which specifically states that this Registration</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Statement shall thereafter become effective in accordance with Section 8(a) of</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Securities Act of 1933 or until this Registration Statement shall become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effective on such date as the Commission, acting pursuant to said Section 8(a),</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may determine.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718" w:right="1440" w:bottom="1440" w:gutter="0" w:footer="0" w:header="0"/>
        </w:sectPr>
      </w:pPr>
    </w:p>
    <w:bookmarkStart w:id="1" w:name="page2"/>
    <w:bookmarkEnd w:id="1"/>
    <w:p>
      <w:pPr>
        <w:ind w:right="3119"/>
        <w:spacing w:after="0" w:line="281" w:lineRule="auto"/>
        <w:rPr>
          <w:sz w:val="20"/>
          <w:szCs w:val="20"/>
          <w:color w:val="auto"/>
        </w:rPr>
      </w:pPr>
      <w:r>
        <w:rPr>
          <w:rFonts w:ascii="Courier New" w:cs="Courier New" w:eastAsia="Courier New" w:hAnsi="Courier New"/>
          <w:sz w:val="14"/>
          <w:szCs w:val="14"/>
          <w:color w:val="auto"/>
        </w:rPr>
        <w:t>++++++++++++++++++++++++++++++++++++++++++++++++++++++++++++++++++++++++++++++++ 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 ++++++++++++++++++++++++++++++++++++++++++++++++++++++++++++++++++++++++++++++++</w:t>
      </w:r>
    </w:p>
    <w:p>
      <w:pPr>
        <w:spacing w:after="0" w:line="6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Subject to Completion, dated April 11,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$1,000,000,000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By this prospectus, we may offer --</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Common Stock</w:t>
      </w:r>
    </w:p>
    <w:p>
      <w:pPr>
        <w:spacing w:after="0" w:line="2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Debt Securities</w:t>
      </w:r>
    </w:p>
    <w:p>
      <w:pPr>
        <w:spacing w:after="0" w:line="14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"Risk Factors" on page 5 for information you should</w:t>
      </w:r>
    </w:p>
    <w:p>
      <w:pPr>
        <w:spacing w:after="0" w:line="2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consider before buying the securities.</w:t>
      </w:r>
    </w:p>
    <w:p>
      <w:pPr>
        <w:spacing w:after="0" w:line="14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_______________</w:t>
      </w:r>
    </w:p>
    <w:p>
      <w:pPr>
        <w:spacing w:after="0" w:line="34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We will provide specific terms of these securities in supplements to this prospectus. You should read this prospectus and any supplement carefully before you invest.</w:t>
      </w:r>
    </w:p>
    <w:p>
      <w:pPr>
        <w:spacing w:after="0" w:line="22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_______________</w:t>
      </w:r>
    </w:p>
    <w:p>
      <w:pPr>
        <w:spacing w:after="0" w:line="342" w:lineRule="exact"/>
        <w:rPr>
          <w:sz w:val="20"/>
          <w:szCs w:val="20"/>
          <w:color w:val="auto"/>
        </w:rPr>
      </w:pPr>
    </w:p>
    <w:p>
      <w:pPr>
        <w:ind w:right="3839" w:firstLine="444"/>
        <w:spacing w:after="0" w:line="353" w:lineRule="auto"/>
        <w:rPr>
          <w:sz w:val="20"/>
          <w:szCs w:val="20"/>
          <w:color w:val="auto"/>
        </w:rPr>
      </w:pPr>
      <w:r>
        <w:rPr>
          <w:rFonts w:ascii="Courier New" w:cs="Courier New" w:eastAsia="Courier New" w:hAnsi="Courier New"/>
          <w:sz w:val="15"/>
          <w:szCs w:val="15"/>
          <w:color w:val="auto"/>
        </w:rPr>
        <w:t>This prospectus may not be used to offer and sell securities unless accompanied by a prospectus supplement.</w:t>
      </w:r>
    </w:p>
    <w:p>
      <w:pPr>
        <w:spacing w:after="0" w:line="1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_______________</w:t>
      </w:r>
    </w:p>
    <w:p>
      <w:pPr>
        <w:spacing w:after="0" w:line="34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7" w:lineRule="exact"/>
        <w:rPr>
          <w:sz w:val="20"/>
          <w:szCs w:val="20"/>
          <w:color w:val="auto"/>
        </w:rPr>
      </w:pPr>
    </w:p>
    <w:tbl>
      <w:tblPr>
        <w:tblLayout w:type="fixed"/>
        <w:tblInd w:w="1680" w:type="dxa"/>
        <w:tblCellMar>
          <w:top w:w="0" w:type="dxa"/>
          <w:left w:w="0" w:type="dxa"/>
          <w:bottom w:w="0" w:type="dxa"/>
          <w:right w:w="0" w:type="dxa"/>
        </w:tblCellMar>
      </w:tblPr>
      <w:tr>
        <w:trPr>
          <w:trHeight w:val="2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This prospectus is dated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9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05" w:right="1440" w:bottom="1440" w:gutter="0" w:footer="0" w:header="0"/>
        </w:sectPr>
      </w:pPr>
    </w:p>
    <w:bookmarkStart w:id="2" w:name="page3"/>
    <w:bookmarkEnd w:id="2"/>
    <w:p>
      <w:pPr>
        <w:ind w:left="3180"/>
        <w:spacing w:after="0"/>
        <w:rPr>
          <w:sz w:val="20"/>
          <w:szCs w:val="20"/>
          <w:color w:val="auto"/>
        </w:rPr>
      </w:pPr>
      <w:r>
        <w:rPr>
          <w:rFonts w:ascii="Courier New" w:cs="Courier New" w:eastAsia="Courier New" w:hAnsi="Courier New"/>
          <w:sz w:val="15"/>
          <w:szCs w:val="15"/>
          <w:color w:val="auto"/>
        </w:rPr>
        <w:t>SUMMARY</w:t>
      </w:r>
    </w:p>
    <w:p>
      <w:pPr>
        <w:spacing w:after="0" w:line="171" w:lineRule="exact"/>
        <w:rPr>
          <w:sz w:val="20"/>
          <w:szCs w:val="20"/>
          <w:color w:val="auto"/>
        </w:rPr>
      </w:pPr>
    </w:p>
    <w:p>
      <w:pPr>
        <w:ind w:right="3119" w:firstLine="887"/>
        <w:spacing w:after="0" w:line="252" w:lineRule="auto"/>
        <w:rPr>
          <w:sz w:val="20"/>
          <w:szCs w:val="20"/>
          <w:color w:val="auto"/>
        </w:rPr>
      </w:pPr>
      <w:r>
        <w:rPr>
          <w:rFonts w:ascii="Courier New" w:cs="Courier New" w:eastAsia="Courier New" w:hAnsi="Courier New"/>
          <w:sz w:val="15"/>
          <w:szCs w:val="15"/>
          <w:color w:val="auto"/>
        </w:rPr>
        <w:t>This prospectus is part of a Registration Statement on Form S-3 that we filed with the Securities and Exchange Commission ("Commission") utilizing a "shelf" registration process. Under this shelf process, we may sell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below under the heading "Where You Can Find More Information."</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right="3399" w:firstLine="887"/>
        <w:spacing w:after="0" w:line="326" w:lineRule="auto"/>
        <w:rPr>
          <w:sz w:val="20"/>
          <w:szCs w:val="20"/>
          <w:color w:val="auto"/>
        </w:rPr>
      </w:pPr>
      <w:r>
        <w:rPr>
          <w:rFonts w:ascii="Courier New" w:cs="Courier New" w:eastAsia="Courier New" w:hAnsi="Courier New"/>
          <w:sz w:val="14"/>
          <w:szCs w:val="14"/>
          <w:color w:val="auto"/>
        </w:rPr>
        <w:t>We were originally incorporated in Idaho in 1978. In 1984, we were reincorporated in Delaware. Our executive offices are located at 8000 South Federal Way, Boise, Idaho 83707-0006. Our telephone number is (208) 368-4000.</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Securities We May Offer</w:t>
      </w:r>
    </w:p>
    <w:p>
      <w:pPr>
        <w:spacing w:after="0" w:line="171" w:lineRule="exact"/>
        <w:rPr>
          <w:sz w:val="20"/>
          <w:szCs w:val="20"/>
          <w:color w:val="auto"/>
        </w:rPr>
      </w:pPr>
    </w:p>
    <w:p>
      <w:pPr>
        <w:ind w:right="3119" w:firstLine="887"/>
        <w:spacing w:after="0" w:line="297" w:lineRule="auto"/>
        <w:rPr>
          <w:sz w:val="20"/>
          <w:szCs w:val="20"/>
          <w:color w:val="auto"/>
        </w:rPr>
      </w:pPr>
      <w:r>
        <w:rPr>
          <w:rFonts w:ascii="Courier New" w:cs="Courier New" w:eastAsia="Courier New" w:hAnsi="Courier New"/>
          <w:sz w:val="15"/>
          <w:szCs w:val="15"/>
          <w:color w:val="auto"/>
        </w:rPr>
        <w:t>We may offer up to $1,000,000,000 of debt securities and common stock. The prospectus supplement will describe the specific amounts, prices and terms of these securities.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Securities</w:t>
      </w:r>
    </w:p>
    <w:p>
      <w:pPr>
        <w:spacing w:after="0" w:line="171" w:lineRule="exact"/>
        <w:rPr>
          <w:sz w:val="20"/>
          <w:szCs w:val="20"/>
          <w:color w:val="auto"/>
        </w:rPr>
      </w:pPr>
    </w:p>
    <w:p>
      <w:pPr>
        <w:ind w:right="3119" w:firstLine="887"/>
        <w:spacing w:after="0" w:line="255" w:lineRule="auto"/>
        <w:rPr>
          <w:sz w:val="20"/>
          <w:szCs w:val="20"/>
          <w:color w:val="auto"/>
        </w:rPr>
      </w:pPr>
      <w:r>
        <w:rPr>
          <w:rFonts w:ascii="Courier New" w:cs="Courier New" w:eastAsia="Courier New" w:hAnsi="Courier New"/>
          <w:sz w:val="15"/>
          <w:szCs w:val="15"/>
          <w:color w:val="auto"/>
        </w:rPr>
        <w:t>We may offer unsecured general obligations in the form of either senior or subordinated debt. The senior debt securities and the subordinated debt securities are together referred to in this prospectus as the "debt securities". The senior debt securities will have the same rank as all of our other unsecured, unsubordinated debt. The subordinated debt securities will be entitled to payment only after payment on our senior indebtedness. Senior indebtedness generally includes all indebtedness for money borrowed by us, except indebtedness that is stated to be not senior to, or to have the same rank as, or is expressly junior to the subordinated debt securities.</w:t>
      </w:r>
    </w:p>
    <w:p>
      <w:pPr>
        <w:spacing w:after="0" w:line="82" w:lineRule="exact"/>
        <w:rPr>
          <w:sz w:val="20"/>
          <w:szCs w:val="20"/>
          <w:color w:val="auto"/>
        </w:rPr>
      </w:pPr>
    </w:p>
    <w:p>
      <w:pPr>
        <w:ind w:right="3219" w:firstLine="887"/>
        <w:spacing w:after="0" w:line="257" w:lineRule="auto"/>
        <w:rPr>
          <w:sz w:val="20"/>
          <w:szCs w:val="20"/>
          <w:color w:val="auto"/>
        </w:rPr>
      </w:pPr>
      <w:r>
        <w:rPr>
          <w:rFonts w:ascii="Courier New" w:cs="Courier New" w:eastAsia="Courier New" w:hAnsi="Courier New"/>
          <w:sz w:val="15"/>
          <w:szCs w:val="15"/>
          <w:color w:val="auto"/>
        </w:rPr>
        <w:t>The senior and subordinated debt securities will be issued under separate indentures between Micron and Norwest Bank Minnesota, National Association, as trustee. We have summarized the general features of the debt from the indentures. We encourage you to read the indentures which are exhibits to our Registration Statement No. (333-33050), our annual report on Form 10-K and our recent quarterly reports on Form 10-Q. Instructions on how you can get copies of these documents are provided below under the heading "Where You Can Find More Information."</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Indenture Provisions That Apply to Senior and Subordinated Debt</w:t>
      </w:r>
    </w:p>
    <w:p>
      <w:pPr>
        <w:spacing w:after="0" w:line="171" w:lineRule="exact"/>
        <w:rPr>
          <w:sz w:val="20"/>
          <w:szCs w:val="20"/>
          <w:color w:val="auto"/>
        </w:rPr>
      </w:pPr>
    </w:p>
    <w:p>
      <w:pPr>
        <w:ind w:left="1320" w:right="3219" w:hanging="442"/>
        <w:spacing w:after="0" w:line="297" w:lineRule="auto"/>
        <w:tabs>
          <w:tab w:leader="none" w:pos="13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indenture limits the amount of debt that we may issue or provides holders any protection should there be a highly leveraged transaction involving our company.</w:t>
      </w:r>
    </w:p>
    <w:p>
      <w:pPr>
        <w:spacing w:after="0" w:line="52" w:lineRule="exact"/>
        <w:rPr>
          <w:sz w:val="20"/>
          <w:szCs w:val="20"/>
          <w:color w:val="auto"/>
        </w:rPr>
      </w:pPr>
    </w:p>
    <w:p>
      <w:pPr>
        <w:ind w:left="1320" w:right="3219" w:hanging="442"/>
        <w:spacing w:after="0" w:line="259" w:lineRule="auto"/>
        <w:tabs>
          <w:tab w:leader="none" w:pos="13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indentures allow us to merge or to consolidate with another U.S. entity or convey, transfer or lease our properties and assets substantially as an entirety to another U.S. entity, so long as certain conditions are met. If these events occur, the other company will be required to assume our responsibilities on the debt, and we will be released from all liabilities and obligations (except in the case of a lease).</w:t>
      </w:r>
    </w:p>
    <w:p>
      <w:pPr>
        <w:spacing w:after="0" w:line="82" w:lineRule="exact"/>
        <w:rPr>
          <w:sz w:val="20"/>
          <w:szCs w:val="20"/>
          <w:color w:val="auto"/>
        </w:rPr>
      </w:pPr>
    </w:p>
    <w:p>
      <w:pPr>
        <w:ind w:left="1320" w:right="3119" w:hanging="442"/>
        <w:spacing w:after="0" w:line="263"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indentures provide that holders of a majority of the total principal amount of the debt outstanding in any series may vote to change our obligations or your rights concerning the debt. But to change the payment of principal, interest, or adversely affect the right to convert or certain other matters, every holder in that series must consent.</w:t>
      </w:r>
    </w:p>
    <w:p>
      <w:pPr>
        <w:spacing w:after="0" w:line="77" w:lineRule="exact"/>
        <w:rPr>
          <w:sz w:val="20"/>
          <w:szCs w:val="20"/>
          <w:color w:val="auto"/>
        </w:rPr>
      </w:pPr>
    </w:p>
    <w:p>
      <w:pPr>
        <w:ind w:left="1320" w:right="3119" w:hanging="442"/>
        <w:spacing w:after="0" w:line="269" w:lineRule="auto"/>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discharge the indentures and defease restrictive covenants by depositing sufficient funds with the trustee to pay the obligations when due, as long as certain conditions are met. All amounts due to you on the debt would be paid by the trustee from the deposited funds.</w:t>
      </w:r>
    </w:p>
    <w:p>
      <w:pPr>
        <w:spacing w:after="0" w:line="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5" w:right="1440" w:bottom="1440" w:gutter="0" w:footer="0" w:header="0"/>
        </w:sectPr>
      </w:pPr>
    </w:p>
    <w:bookmarkStart w:id="3" w:name="page4"/>
    <w:bookmarkEnd w:id="3"/>
    <w:p>
      <w:pPr>
        <w:ind w:left="440"/>
        <w:spacing w:after="0"/>
        <w:rPr>
          <w:sz w:val="20"/>
          <w:szCs w:val="20"/>
          <w:color w:val="auto"/>
        </w:rPr>
      </w:pPr>
      <w:r>
        <w:rPr>
          <w:rFonts w:ascii="Courier New" w:cs="Courier New" w:eastAsia="Courier New" w:hAnsi="Courier New"/>
          <w:sz w:val="15"/>
          <w:szCs w:val="15"/>
          <w:color w:val="auto"/>
        </w:rPr>
        <w:t>Events of Default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are the events of default under the indentures:</w:t>
      </w:r>
    </w:p>
    <w:p>
      <w:pPr>
        <w:spacing w:after="0" w:line="171" w:lineRule="exact"/>
        <w:rPr>
          <w:sz w:val="20"/>
          <w:szCs w:val="20"/>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not paid when due,</w:t>
      </w:r>
    </w:p>
    <w:p>
      <w:pPr>
        <w:spacing w:after="0" w:line="171" w:lineRule="exact"/>
        <w:rPr>
          <w:sz w:val="20"/>
          <w:szCs w:val="20"/>
          <w:color w:val="auto"/>
        </w:rPr>
      </w:pPr>
    </w:p>
    <w:p>
      <w:pPr>
        <w:ind w:left="880" w:hanging="445"/>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Sinking fund payment not made when due,</w:t>
      </w:r>
    </w:p>
    <w:p>
      <w:pPr>
        <w:spacing w:after="0" w:line="171" w:lineRule="exact"/>
        <w:rPr>
          <w:sz w:val="20"/>
          <w:szCs w:val="20"/>
          <w:color w:val="auto"/>
        </w:rPr>
      </w:pPr>
    </w:p>
    <w:p>
      <w:pPr>
        <w:ind w:left="880" w:hanging="445"/>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interest when due for more than 30 days,</w:t>
      </w:r>
    </w:p>
    <w:p>
      <w:pPr>
        <w:spacing w:after="0" w:line="171" w:lineRule="exact"/>
        <w:rPr>
          <w:sz w:val="20"/>
          <w:szCs w:val="20"/>
          <w:color w:val="auto"/>
        </w:rPr>
      </w:pPr>
    </w:p>
    <w:p>
      <w:pPr>
        <w:ind w:left="880" w:hanging="445"/>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not performed within 60 days after receipt of notice,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Bankruptcy, insolvency or reorganization, and</w:t>
      </w:r>
    </w:p>
    <w:p>
      <w:pPr>
        <w:spacing w:after="0" w:line="171" w:lineRule="exact"/>
        <w:rPr>
          <w:rFonts w:ascii="Courier New" w:cs="Courier New" w:eastAsia="Courier New" w:hAnsi="Courier New"/>
          <w:sz w:val="15"/>
          <w:szCs w:val="15"/>
          <w:color w:val="auto"/>
        </w:rPr>
      </w:pPr>
    </w:p>
    <w:p>
      <w:pPr>
        <w:ind w:left="440" w:right="5439" w:hanging="5"/>
        <w:spacing w:after="0" w:line="482" w:lineRule="auto"/>
        <w:tabs>
          <w:tab w:leader="none" w:pos="88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in the indenture. Remedy</w:t>
      </w:r>
    </w:p>
    <w:p>
      <w:pPr>
        <w:ind w:right="3219" w:firstLine="444"/>
        <w:spacing w:after="0" w:line="269" w:lineRule="auto"/>
        <w:rPr>
          <w:sz w:val="20"/>
          <w:szCs w:val="20"/>
          <w:color w:val="auto"/>
        </w:rPr>
      </w:pPr>
      <w:r>
        <w:rPr>
          <w:rFonts w:ascii="Courier New" w:cs="Courier New" w:eastAsia="Courier New" w:hAnsi="Courier New"/>
          <w:sz w:val="15"/>
          <w:szCs w:val="15"/>
          <w:color w:val="auto"/>
        </w:rPr>
        <w:t>Upon an event of default, other than our bankruptcy, insolvency or reorganization, the trustee or holders of 25% of the principal amount outstanding in a series may declare principal immediately payable. However, the holders of a majority of the principal amount may, under certain circumstances, rescind this action.</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Indenture Provisions That Apply Only to Senior Debt Securities</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indenture relating to the senior debt securities contains covenants restricting our ability to incur secured debt and enter into sale and leaseback transactions.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Indenture Provisions That Apply Only to Subordinated Debt Securities</w:t>
      </w:r>
    </w:p>
    <w:p>
      <w:pPr>
        <w:spacing w:after="0" w:line="171" w:lineRule="exact"/>
        <w:rPr>
          <w:sz w:val="20"/>
          <w:szCs w:val="20"/>
          <w:color w:val="auto"/>
        </w:rPr>
      </w:pPr>
    </w:p>
    <w:p>
      <w:pPr>
        <w:ind w:right="3839" w:firstLine="444"/>
        <w:spacing w:after="0" w:line="353" w:lineRule="auto"/>
        <w:rPr>
          <w:sz w:val="20"/>
          <w:szCs w:val="20"/>
          <w:color w:val="auto"/>
        </w:rPr>
      </w:pPr>
      <w:r>
        <w:rPr>
          <w:rFonts w:ascii="Courier New" w:cs="Courier New" w:eastAsia="Courier New" w:hAnsi="Courier New"/>
          <w:sz w:val="15"/>
          <w:szCs w:val="15"/>
          <w:color w:val="auto"/>
        </w:rPr>
        <w:t>The subordinated debt securities will be subordinated to all senior indebtedness.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right="3579" w:firstLine="444"/>
        <w:spacing w:after="0" w:line="278" w:lineRule="auto"/>
        <w:rPr>
          <w:sz w:val="20"/>
          <w:szCs w:val="20"/>
          <w:color w:val="auto"/>
        </w:rPr>
      </w:pPr>
      <w:r>
        <w:rPr>
          <w:rFonts w:ascii="Courier New" w:cs="Courier New" w:eastAsia="Courier New" w:hAnsi="Courier New"/>
          <w:sz w:val="15"/>
          <w:szCs w:val="15"/>
          <w:color w:val="auto"/>
        </w:rPr>
        <w:t>Common stock holders are entitled to receive dividends declared by the Board of Directors. Each holder of common stock is entitled to one vote per share. The holders of common stock have no preemptive rights or cumulative voting rights.</w:t>
      </w:r>
    </w:p>
    <w:p>
      <w:pPr>
        <w:spacing w:after="0" w:line="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We file reports, proxy statements and other information with the Commission, in accordance with the Securities Exchange Act of 1934. You may read and copy our reports, proxy statements and other information filed by us at the public reference facilities of the Commission in Washington, D.C., New York, New York and Chicago, Illinois. Please call the Commission at 1-800-SEC-0330 for further information about the public reference rooms. Our reports, proxy statements and other information filed with the Commission are available to the public over the Internet at the Commission's World Wide Web site at http://www.sec.gov.</w:t>
      </w:r>
    </w:p>
    <w:p>
      <w:pPr>
        <w:spacing w:after="0" w:line="8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Commission allows us to "incorporate by reference" the information we filed with them, which means that we can disclose important information by referring you to those documents. The information incorporated by reference is considered to be a part of this prospectus, and information that we file later with the Commission will automatically update and supersede this information. We incorporate by reference the documents listed below and any future filings made by us with the Commission under Sections 13(a), 13(c), 14 or 15(d) of the Exchange Act until our offering is complete.</w:t>
      </w:r>
    </w:p>
    <w:p>
      <w:pPr>
        <w:spacing w:after="0" w:line="80" w:lineRule="exact"/>
        <w:rPr>
          <w:sz w:val="20"/>
          <w:szCs w:val="20"/>
          <w:color w:val="auto"/>
        </w:rPr>
      </w:pPr>
    </w:p>
    <w:p>
      <w:pPr>
        <w:ind w:left="880" w:right="3579" w:hanging="445"/>
        <w:spacing w:after="0" w:line="353"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on Form 10-K for the fiscal year ended September 2, 1999,</w:t>
      </w:r>
    </w:p>
    <w:p>
      <w:pPr>
        <w:spacing w:after="0" w:line="12" w:lineRule="exact"/>
        <w:rPr>
          <w:sz w:val="20"/>
          <w:szCs w:val="20"/>
          <w:color w:val="auto"/>
        </w:rPr>
      </w:pPr>
    </w:p>
    <w:p>
      <w:pPr>
        <w:ind w:left="880" w:right="4019" w:hanging="445"/>
        <w:spacing w:after="0" w:line="353"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Reports on Form 10-Q for the fiscal quarters ended December 2, 1999 and March 2, 2000, and</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5" w:right="1440" w:bottom="1440" w:gutter="0" w:footer="0" w:header="0"/>
        </w:sectPr>
      </w:pPr>
    </w:p>
    <w:bookmarkStart w:id="4" w:name="page5"/>
    <w:bookmarkEnd w:id="4"/>
    <w:p>
      <w:pPr>
        <w:ind w:left="880" w:right="3219" w:hanging="445"/>
        <w:spacing w:after="0" w:line="278" w:lineRule="auto"/>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our registration statement on Form 8-A (No. 1-10658) that became effective on November 28, 1999, and any amendment or report filed for the purpose of updating this description.</w:t>
      </w:r>
    </w:p>
    <w:p>
      <w:pPr>
        <w:spacing w:after="0" w:line="66" w:lineRule="exact"/>
        <w:rPr>
          <w:sz w:val="20"/>
          <w:szCs w:val="20"/>
          <w:color w:val="auto"/>
        </w:rPr>
      </w:pPr>
    </w:p>
    <w:p>
      <w:pPr>
        <w:ind w:right="3919" w:firstLine="444"/>
        <w:spacing w:after="0" w:line="353"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8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Corporate Affairs</w:t>
      </w:r>
    </w:p>
    <w:p>
      <w:pPr>
        <w:spacing w:after="0" w:line="2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Micron Technology, Inc.</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8000 South Federal Way</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Boise, Idaho 83707-0006</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(208) 368-4400</w:t>
      </w:r>
    </w:p>
    <w:p>
      <w:pPr>
        <w:spacing w:after="0" w:line="1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the information in this prospectus or any prospectus supplement is accurate as of any date other than the date on the front of those documents.</w:t>
      </w:r>
    </w:p>
    <w:p>
      <w:pPr>
        <w:spacing w:after="0" w:line="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5" w:right="1440" w:bottom="1440" w:gutter="0" w:footer="0" w:header="0"/>
        </w:sectPr>
      </w:pPr>
    </w:p>
    <w:bookmarkStart w:id="5" w:name="page6"/>
    <w:bookmarkEnd w:id="5"/>
    <w:p>
      <w:pPr>
        <w:ind w:left="2920"/>
        <w:spacing w:after="0"/>
        <w:rPr>
          <w:sz w:val="20"/>
          <w:szCs w:val="20"/>
          <w:color w:val="auto"/>
        </w:rPr>
      </w:pPr>
      <w:r>
        <w:rPr>
          <w:rFonts w:ascii="Courier New" w:cs="Courier New" w:eastAsia="Courier New" w:hAnsi="Courier New"/>
          <w:sz w:val="15"/>
          <w:szCs w:val="15"/>
          <w:color w:val="auto"/>
        </w:rPr>
        <w:t>RISK FACTORS</w:t>
      </w:r>
    </w:p>
    <w:p>
      <w:pPr>
        <w:spacing w:after="0" w:line="34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You should carefully consider the risks described below before participating in this offering. If any of the following risks actually occur, our business financial condition and operating results could be materially adversely affected, the trading price of our securities could decline, and you might lose all or part of your investment.</w:t>
      </w:r>
    </w:p>
    <w:p>
      <w:pPr>
        <w:spacing w:after="0" w:line="72"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The volatile nature of the DRAM industry could adversely affect our future operating results</w:t>
      </w:r>
    </w:p>
    <w:p>
      <w:pPr>
        <w:spacing w:after="0" w:line="1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DRAM industry is highly volatile. Due to the commodity nature of DRAM products, when the supply of DRAM products exceeds the demand for such products, average selling prices for DRAM products decline, sometimes rapidly. In the past, our operating results have been adversely affected by:</w:t>
      </w:r>
    </w:p>
    <w:p>
      <w:pPr>
        <w:spacing w:after="0" w:line="66" w:lineRule="exact"/>
        <w:rPr>
          <w:sz w:val="20"/>
          <w:szCs w:val="20"/>
          <w:color w:val="auto"/>
        </w:rPr>
      </w:pPr>
    </w:p>
    <w:p>
      <w:pPr>
        <w:ind w:left="880" w:hanging="445"/>
        <w:spacing w:after="0"/>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excess worldwide DRAM supply, and</w:t>
      </w:r>
    </w:p>
    <w:p>
      <w:pPr>
        <w:spacing w:after="0" w:line="171" w:lineRule="exact"/>
        <w:rPr>
          <w:sz w:val="20"/>
          <w:szCs w:val="20"/>
          <w:color w:val="auto"/>
        </w:rPr>
      </w:pPr>
    </w:p>
    <w:p>
      <w:pPr>
        <w:ind w:left="880" w:hanging="445"/>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declines in average selling prices for DRAM products.</w:t>
      </w:r>
    </w:p>
    <w:p>
      <w:pPr>
        <w:spacing w:after="0" w:line="171" w:lineRule="exact"/>
        <w:rPr>
          <w:sz w:val="20"/>
          <w:szCs w:val="20"/>
          <w:color w:val="auto"/>
        </w:rPr>
      </w:pPr>
    </w:p>
    <w:p>
      <w:pPr>
        <w:ind w:right="3299"/>
        <w:spacing w:after="0" w:line="353" w:lineRule="auto"/>
        <w:rPr>
          <w:sz w:val="20"/>
          <w:szCs w:val="20"/>
          <w:color w:val="auto"/>
        </w:rPr>
      </w:pPr>
      <w:r>
        <w:rPr>
          <w:rFonts w:ascii="Courier New" w:cs="Courier New" w:eastAsia="Courier New" w:hAnsi="Courier New"/>
          <w:sz w:val="15"/>
          <w:szCs w:val="15"/>
          <w:color w:val="auto"/>
        </w:rPr>
        <w:t>We have experienced dramatic declines in average selling prices for our memory products which have adversely affected our business</w:t>
      </w:r>
    </w:p>
    <w:p>
      <w:pPr>
        <w:spacing w:after="0" w:line="1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Average selling prices for memory products have decreased approximately 30% on a long-term, annualized basis. However, significant fluctuations in average selling prices for our memory products, including DRAM, have occurred from time to time, as shown in following chart:</w:t>
      </w: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Fiscal year to year comparison</w:t>
            </w:r>
          </w:p>
        </w:tc>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Average price per megabit decline</w:t>
            </w:r>
          </w:p>
        </w:tc>
        <w:tc>
          <w:tcPr>
            <w:tcW w:w="0" w:type="dxa"/>
            <w:vAlign w:val="bottom"/>
          </w:tcPr>
          <w:p>
            <w:pPr>
              <w:spacing w:after="0"/>
              <w:rPr>
                <w:sz w:val="1"/>
                <w:szCs w:val="1"/>
                <w:color w:val="auto"/>
              </w:rPr>
            </w:pPr>
          </w:p>
        </w:tc>
      </w:tr>
      <w:tr>
        <w:trPr>
          <w:trHeight w:val="171"/>
        </w:trPr>
        <w:tc>
          <w:tcPr>
            <w:tcW w:w="1420" w:type="dxa"/>
            <w:vAlign w:val="bottom"/>
            <w:vMerge w:val="restart"/>
          </w:tcPr>
          <w:p>
            <w:pPr>
              <w:spacing w:after="0"/>
              <w:rPr>
                <w:sz w:val="20"/>
                <w:szCs w:val="20"/>
                <w:color w:val="auto"/>
              </w:rPr>
            </w:pPr>
            <w:r>
              <w:rPr>
                <w:rFonts w:ascii="Courier New" w:cs="Courier New" w:eastAsia="Courier New" w:hAnsi="Courier New"/>
                <w:sz w:val="9"/>
                <w:szCs w:val="9"/>
                <w:color w:val="auto"/>
                <w:w w:val="75"/>
              </w:rPr>
              <w:t>------------------------------</w:t>
            </w:r>
            <w:r>
              <w:rPr>
                <w:rFonts w:ascii="Courier New" w:cs="Courier New" w:eastAsia="Courier New" w:hAnsi="Courier New"/>
                <w:sz w:val="14"/>
                <w:szCs w:val="14"/>
                <w:color w:val="auto"/>
                <w:w w:val="75"/>
                <w:vertAlign w:val="subscript"/>
              </w:rPr>
              <w:t>1999</w:t>
            </w:r>
          </w:p>
        </w:tc>
        <w:tc>
          <w:tcPr>
            <w:tcW w:w="1340" w:type="dxa"/>
            <w:vAlign w:val="bottom"/>
            <w:vMerge w:val="restart"/>
          </w:tcPr>
          <w:p>
            <w:pPr>
              <w:spacing w:after="0"/>
              <w:rPr>
                <w:sz w:val="20"/>
                <w:szCs w:val="20"/>
                <w:color w:val="auto"/>
              </w:rPr>
            </w:pPr>
            <w:r>
              <w:rPr>
                <w:rFonts w:ascii="Courier New" w:cs="Courier New" w:eastAsia="Courier New" w:hAnsi="Courier New"/>
                <w:sz w:val="15"/>
                <w:szCs w:val="15"/>
                <w:color w:val="auto"/>
              </w:rPr>
              <w:t>to 1998</w:t>
            </w:r>
          </w:p>
        </w:tc>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4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302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71"/>
        </w:trPr>
        <w:tc>
          <w:tcPr>
            <w:tcW w:w="1420" w:type="dxa"/>
            <w:vAlign w:val="bottom"/>
          </w:tcPr>
          <w:p>
            <w:pPr>
              <w:jc w:val="right"/>
              <w:ind w:right="11"/>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to 1997</w:t>
            </w:r>
          </w:p>
        </w:tc>
        <w:tc>
          <w:tcPr>
            <w:tcW w:w="302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1"/>
        </w:trPr>
        <w:tc>
          <w:tcPr>
            <w:tcW w:w="1420" w:type="dxa"/>
            <w:vAlign w:val="bottom"/>
          </w:tcPr>
          <w:p>
            <w:pPr>
              <w:jc w:val="right"/>
              <w:ind w:right="11"/>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to 1996</w:t>
            </w:r>
          </w:p>
        </w:tc>
        <w:tc>
          <w:tcPr>
            <w:tcW w:w="302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249"/>
        </w:trPr>
        <w:tc>
          <w:tcPr>
            <w:tcW w:w="1420" w:type="dxa"/>
            <w:vAlign w:val="bottom"/>
          </w:tcPr>
          <w:p>
            <w:pPr>
              <w:jc w:val="right"/>
              <w:ind w:right="11"/>
              <w:spacing w:after="0"/>
              <w:rPr>
                <w:sz w:val="20"/>
                <w:szCs w:val="20"/>
                <w:color w:val="auto"/>
              </w:rPr>
            </w:pPr>
            <w:r>
              <w:rPr>
                <w:rFonts w:ascii="Courier New" w:cs="Courier New" w:eastAsia="Courier New" w:hAnsi="Courier New"/>
                <w:sz w:val="15"/>
                <w:szCs w:val="15"/>
                <w:color w:val="auto"/>
              </w:rPr>
              <w:t>1996</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to 1995</w:t>
            </w:r>
          </w:p>
        </w:tc>
        <w:tc>
          <w:tcPr>
            <w:tcW w:w="302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We are unable to predict pricing conditions for any future period. If average selling prices for our memory products decrease faster than we are able to decrease our per megabit manufacturing costs, our operations, cash flows and financial condition would be adversely affected.</w:t>
      </w:r>
    </w:p>
    <w:p>
      <w:pPr>
        <w:spacing w:after="0" w:line="66"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Increased worldwide DRAM production could lead to further declines in average selling prices for memory products</w:t>
      </w:r>
    </w:p>
    <w:p>
      <w:pPr>
        <w:spacing w:after="0" w:line="1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We, like our competitors, are constantly seeking to improve yields, reduce die size and use fewer manufacturing steps in our product design. These types of improvements result in increases in worldwide supply of DRAM. Increases in worldwide supply also result from DRAM capacity expansion, either by building new facilities or a relocating existing semiconductor production capacity to DRAM production. Increases in worldwide supply of DRAM could lead to further declines in average selling prices for our products and have an adverse affect on our results of operations and cash flows.</w:t>
      </w:r>
    </w:p>
    <w:p>
      <w:pPr>
        <w:spacing w:after="0" w:line="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5" w:right="1440" w:bottom="1440" w:gutter="0" w:footer="0" w:header="0"/>
        </w:sectPr>
      </w:pPr>
    </w:p>
    <w:bookmarkStart w:id="6" w:name="page7"/>
    <w:bookmarkEnd w:id="6"/>
    <w:p>
      <w:pPr>
        <w:ind w:right="3299"/>
        <w:spacing w:after="0" w:line="387" w:lineRule="auto"/>
        <w:rPr>
          <w:sz w:val="20"/>
          <w:szCs w:val="20"/>
          <w:color w:val="auto"/>
        </w:rPr>
      </w:pPr>
      <w:r>
        <w:rPr>
          <w:rFonts w:ascii="Courier New" w:cs="Courier New" w:eastAsia="Courier New" w:hAnsi="Courier New"/>
          <w:sz w:val="14"/>
          <w:szCs w:val="14"/>
          <w:color w:val="auto"/>
        </w:rPr>
        <w:t>We sell a majority of our memory products to the personal computer market and are therefore dependent on the performance of personal computer ("PC") markets</w:t>
      </w:r>
    </w:p>
    <w:p>
      <w:pPr>
        <w:spacing w:after="0" w:line="1" w:lineRule="exact"/>
        <w:rPr>
          <w:sz w:val="20"/>
          <w:szCs w:val="20"/>
          <w:color w:val="auto"/>
        </w:rPr>
      </w:pPr>
    </w:p>
    <w:p>
      <w:pPr>
        <w:ind w:right="3299" w:firstLine="444"/>
        <w:spacing w:after="0" w:line="281" w:lineRule="auto"/>
        <w:rPr>
          <w:sz w:val="20"/>
          <w:szCs w:val="20"/>
          <w:color w:val="auto"/>
        </w:rPr>
      </w:pPr>
      <w:r>
        <w:rPr>
          <w:rFonts w:ascii="Courier New" w:cs="Courier New" w:eastAsia="Courier New" w:hAnsi="Courier New"/>
          <w:sz w:val="14"/>
          <w:szCs w:val="14"/>
          <w:color w:val="auto"/>
        </w:rPr>
        <w:t>We sold approximately 83% of our sales of memory products to PC or peripheral markets for the second quarter of fiscal 2000 and approximately 85% of our sales to PC or peripheral markets for the first six months of 2000. DRAMs are the most widely used semiconductor memory component in most PCs. If the amount of memory included in each PC decreases or if the growth rate in sales of PCs decreases, sales of our memory products could also decrease. This could further decrease average selling prices for our memory products.</w:t>
      </w:r>
    </w:p>
    <w:p>
      <w:pPr>
        <w:spacing w:after="0" w:line="65" w:lineRule="exact"/>
        <w:rPr>
          <w:sz w:val="20"/>
          <w:szCs w:val="20"/>
          <w:color w:val="auto"/>
        </w:rPr>
      </w:pPr>
    </w:p>
    <w:p>
      <w:pPr>
        <w:ind w:right="3219"/>
        <w:spacing w:after="0" w:line="297" w:lineRule="auto"/>
        <w:rPr>
          <w:sz w:val="20"/>
          <w:szCs w:val="20"/>
          <w:color w:val="auto"/>
        </w:rPr>
      </w:pPr>
      <w:r>
        <w:rPr>
          <w:rFonts w:ascii="Courier New" w:cs="Courier New" w:eastAsia="Courier New" w:hAnsi="Courier New"/>
          <w:sz w:val="15"/>
          <w:szCs w:val="15"/>
          <w:color w:val="auto"/>
        </w:rPr>
        <w:t>If we are unable to continue to supply our customers with a large percentage of their memory requirements, our results of operations and cash flows could be adversely affected</w:t>
      </w:r>
    </w:p>
    <w:p>
      <w:pPr>
        <w:spacing w:after="0" w:line="5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We supply a number of major original equipment manufacturers with more than 30% of their memory requirements and aggergate sales to our five largest customers comprised 44% of our semiconductor operations net sales for the first six months of 2000. If any of these original equipment manufacturers reduce their purchases of DRAM from us, our results of operations and cash flows could be adversely affected.</w:t>
      </w:r>
    </w:p>
    <w:p>
      <w:pPr>
        <w:spacing w:after="0" w:line="77"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If we are unable to make adequate capital investments, our results of operations and cash flows could be adversely affected</w:t>
      </w:r>
    </w:p>
    <w:p>
      <w:pPr>
        <w:spacing w:after="0" w:line="1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In order to develop new product and process technologies, support future growth, achieve operating efficiencies and maintain product quality, we must invest significant amounts of capital in manufacturing technology, facilities and capital equipment, research and development, and product and process technology. We made approximately $1 billion in capital investments in fiscal 1999 and we expect to make $1.7 billion in capital investments in fiscal 2000. If we are unable to make adequate capital investments, our results of operations and cash flows could be adversely affected.</w:t>
      </w:r>
    </w:p>
    <w:p>
      <w:pPr>
        <w:spacing w:after="0" w:line="200" w:lineRule="exact"/>
        <w:rPr>
          <w:sz w:val="20"/>
          <w:szCs w:val="20"/>
          <w:color w:val="auto"/>
        </w:rPr>
      </w:pPr>
    </w:p>
    <w:p>
      <w:pPr>
        <w:spacing w:after="0" w:line="222" w:lineRule="exact"/>
        <w:rPr>
          <w:sz w:val="20"/>
          <w:szCs w:val="20"/>
          <w:color w:val="auto"/>
        </w:rPr>
      </w:pPr>
    </w:p>
    <w:p>
      <w:pPr>
        <w:ind w:right="3399"/>
        <w:spacing w:after="0" w:line="387" w:lineRule="auto"/>
        <w:rPr>
          <w:sz w:val="20"/>
          <w:szCs w:val="20"/>
          <w:color w:val="auto"/>
        </w:rPr>
      </w:pPr>
      <w:r>
        <w:rPr>
          <w:rFonts w:ascii="Courier New" w:cs="Courier New" w:eastAsia="Courier New" w:hAnsi="Courier New"/>
          <w:sz w:val="14"/>
          <w:szCs w:val="14"/>
          <w:color w:val="auto"/>
        </w:rPr>
        <w:t>If we fail to effectively compete in the highly competitive semiconductor industry, our results of operations and cash flows will be adversely affected</w:t>
      </w:r>
    </w:p>
    <w:p>
      <w:pPr>
        <w:spacing w:after="0" w:line="1"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semiconductor industry is highly competitive. We face intense competition from a number of companies, including Hitachi, Ltd., Hyundai Electronics Industries Co., Ltd., Infineon Technologies AG., NEC Corporation and Samsung Semiconductor, Inc. Some of these competitors are very large corporations or conglomerates that may have greater financial resources and a better ability to withstand downturns in the semiconductor memory market. In addition, a number of these competitors have historically been able to introduce new products more quickly than we have. Consolidations in the semiconductor industry could put us at a further disadvantage against these large competitors. If we fail to effectively compete in the highly competitive semiconductor industry, our results of operations and cash flows will be adversely affected.</w:t>
      </w:r>
    </w:p>
    <w:p>
      <w:pPr>
        <w:spacing w:after="0" w:line="78"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If we are unable to reduce per megabit manufacturing costs, our results of operations could be adversely affected</w:t>
      </w:r>
    </w:p>
    <w:p>
      <w:pPr>
        <w:spacing w:after="0" w:line="12" w:lineRule="exact"/>
        <w:rPr>
          <w:sz w:val="20"/>
          <w:szCs w:val="20"/>
          <w:color w:val="auto"/>
        </w:rPr>
      </w:pPr>
    </w:p>
    <w:p>
      <w:pPr>
        <w:ind w:right="3839" w:firstLine="444"/>
        <w:spacing w:after="0" w:line="353" w:lineRule="auto"/>
        <w:rPr>
          <w:sz w:val="20"/>
          <w:szCs w:val="20"/>
          <w:color w:val="auto"/>
        </w:rPr>
      </w:pPr>
      <w:r>
        <w:rPr>
          <w:rFonts w:ascii="Courier New" w:cs="Courier New" w:eastAsia="Courier New" w:hAnsi="Courier New"/>
          <w:sz w:val="15"/>
          <w:szCs w:val="15"/>
          <w:color w:val="auto"/>
        </w:rPr>
        <w:t>Our ability to reduce per megabit manufacturing costs of our memory products depends on our ability to:</w:t>
      </w:r>
    </w:p>
    <w:p>
      <w:pPr>
        <w:spacing w:after="0" w:line="12" w:lineRule="exact"/>
        <w:rPr>
          <w:sz w:val="20"/>
          <w:szCs w:val="20"/>
          <w:color w:val="auto"/>
        </w:rPr>
      </w:pPr>
    </w:p>
    <w:p>
      <w:pPr>
        <w:ind w:left="880" w:hanging="445"/>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and develop new generation products,</w:t>
      </w:r>
    </w:p>
    <w:p>
      <w:pPr>
        <w:spacing w:after="0" w:line="171" w:lineRule="exact"/>
        <w:rPr>
          <w:sz w:val="20"/>
          <w:szCs w:val="20"/>
          <w:color w:val="auto"/>
        </w:rPr>
      </w:pPr>
    </w:p>
    <w:p>
      <w:pPr>
        <w:ind w:left="880" w:hanging="445"/>
        <w:spacing w:after="0"/>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die size of our existing products, and</w:t>
      </w:r>
    </w:p>
    <w:p>
      <w:pPr>
        <w:spacing w:after="0" w:line="171" w:lineRule="exact"/>
        <w:rPr>
          <w:sz w:val="20"/>
          <w:szCs w:val="20"/>
          <w:color w:val="auto"/>
        </w:rPr>
      </w:pPr>
    </w:p>
    <w:p>
      <w:pPr>
        <w:ind w:left="880" w:right="3659" w:hanging="445"/>
        <w:spacing w:after="0" w:line="353"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production of these products at acceptable rates to acceptable yields.</w:t>
      </w:r>
    </w:p>
    <w:p>
      <w:pPr>
        <w:spacing w:after="0" w:line="12" w:lineRule="exact"/>
        <w:rPr>
          <w:sz w:val="20"/>
          <w:szCs w:val="20"/>
          <w:color w:val="auto"/>
        </w:rPr>
      </w:pPr>
    </w:p>
    <w:p>
      <w:pPr>
        <w:ind w:right="3219"/>
        <w:spacing w:after="0" w:line="297" w:lineRule="auto"/>
        <w:rPr>
          <w:sz w:val="20"/>
          <w:szCs w:val="20"/>
          <w:color w:val="auto"/>
        </w:rPr>
      </w:pPr>
      <w:r>
        <w:rPr>
          <w:rFonts w:ascii="Courier New" w:cs="Courier New" w:eastAsia="Courier New" w:hAnsi="Courier New"/>
          <w:sz w:val="15"/>
          <w:szCs w:val="15"/>
          <w:color w:val="auto"/>
        </w:rPr>
        <w:t>If we are unable to address these factors, we may not be able to reduce our per megabit manufacturing costs for our memory products and our results of operations and cash flows could be adversely affected.</w:t>
      </w:r>
    </w:p>
    <w:p>
      <w:pPr>
        <w:spacing w:after="0" w:line="52" w:lineRule="exact"/>
        <w:rPr>
          <w:sz w:val="20"/>
          <w:szCs w:val="20"/>
          <w:color w:val="auto"/>
        </w:rPr>
      </w:pPr>
    </w:p>
    <w:p>
      <w:pPr>
        <w:ind w:right="3579"/>
        <w:spacing w:after="0" w:line="353" w:lineRule="auto"/>
        <w:rPr>
          <w:sz w:val="20"/>
          <w:szCs w:val="20"/>
          <w:color w:val="auto"/>
        </w:rPr>
      </w:pPr>
      <w:r>
        <w:rPr>
          <w:rFonts w:ascii="Courier New" w:cs="Courier New" w:eastAsia="Courier New" w:hAnsi="Courier New"/>
          <w:sz w:val="15"/>
          <w:szCs w:val="15"/>
          <w:color w:val="auto"/>
        </w:rPr>
        <w:t>Our results of operations and cash flows could be adversely affected if our manufacturing process is interrupted</w:t>
      </w:r>
    </w:p>
    <w:p>
      <w:pPr>
        <w:spacing w:after="0" w:line="1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We manufacture our products using processes that are highly complex, require advanced and costly equipment and must continuously be modified to improve yields and performance. Difficulties in the manufacturing process can reduce yields or interrupt production. As a result, we may not be able to deliver products on time or in a cost-effective manner. If production at a fabrication facility is interrupted, we may not be able to shift production to other facilities on a timely basis or customers may purchase products from other suppliers. In either case, the loss of revenues and damage to the relationship with our customers could be significant.</w:t>
      </w:r>
    </w:p>
    <w:p>
      <w:pPr>
        <w:spacing w:after="0" w:line="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5" w:right="1440" w:bottom="1440" w:gutter="0" w:footer="0" w:header="0"/>
        </w:sectPr>
      </w:pPr>
    </w:p>
    <w:bookmarkStart w:id="7" w:name="page8"/>
    <w:bookmarkEnd w:id="7"/>
    <w:p>
      <w:pPr>
        <w:spacing w:after="0" w:line="9"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Our manufacturing efficiency may be adversely affected as we transition to higher bandwidth products</w:t>
      </w:r>
    </w:p>
    <w:p>
      <w:pPr>
        <w:spacing w:after="0" w:line="1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semiconductor industry is currently transitioning to higher bandwidth products, including Double Data Rate Synchronous DRAM ("DDR SDRAM") and direct Rambus(TM) DRAM ("RDRAM"). We may have trouble achieving the same manufacturing efficiencies in higher bandwidth products that we have achieved in the past with our other memory products. Our transition to higher bandwidth products may adversely impact our:</w:t>
      </w:r>
    </w:p>
    <w:p>
      <w:pPr>
        <w:spacing w:after="0" w:line="77" w:lineRule="exact"/>
        <w:rPr>
          <w:sz w:val="20"/>
          <w:szCs w:val="20"/>
          <w:color w:val="auto"/>
        </w:rPr>
      </w:pPr>
    </w:p>
    <w:p>
      <w:pPr>
        <w:ind w:left="880" w:hanging="445"/>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productivity levels,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die per wafer yields,</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backend assembly, and</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equipment requirements.</w:t>
      </w:r>
    </w:p>
    <w:p>
      <w:pPr>
        <w:spacing w:after="0" w:line="171" w:lineRule="exact"/>
        <w:rPr>
          <w:sz w:val="20"/>
          <w:szCs w:val="20"/>
          <w:color w:val="auto"/>
        </w:rPr>
      </w:pPr>
    </w:p>
    <w:p>
      <w:pPr>
        <w:ind w:right="3119"/>
        <w:spacing w:after="0" w:line="278" w:lineRule="auto"/>
        <w:rPr>
          <w:sz w:val="20"/>
          <w:szCs w:val="20"/>
          <w:color w:val="auto"/>
        </w:rPr>
      </w:pPr>
      <w:r>
        <w:rPr>
          <w:rFonts w:ascii="Courier New" w:cs="Courier New" w:eastAsia="Courier New" w:hAnsi="Courier New"/>
          <w:sz w:val="15"/>
          <w:szCs w:val="15"/>
          <w:color w:val="auto"/>
        </w:rPr>
        <w:t>Our per megabit production costs may increase as a result of this transition to higher bandwidth products. If we are unable to successfully transition to higher bandwidth products, we may not be able to achieve our historical rate of cost per megabit reductions.</w:t>
      </w:r>
    </w:p>
    <w:p>
      <w:pPr>
        <w:spacing w:after="0" w:line="66" w:lineRule="exact"/>
        <w:rPr>
          <w:sz w:val="20"/>
          <w:szCs w:val="20"/>
          <w:color w:val="auto"/>
        </w:rPr>
      </w:pPr>
    </w:p>
    <w:p>
      <w:pPr>
        <w:ind w:right="3299"/>
        <w:spacing w:after="0" w:line="297" w:lineRule="auto"/>
        <w:rPr>
          <w:sz w:val="20"/>
          <w:szCs w:val="20"/>
          <w:color w:val="auto"/>
        </w:rPr>
      </w:pPr>
      <w:r>
        <w:rPr>
          <w:rFonts w:ascii="Courier New" w:cs="Courier New" w:eastAsia="Courier New" w:hAnsi="Courier New"/>
          <w:sz w:val="15"/>
          <w:szCs w:val="15"/>
          <w:color w:val="auto"/>
        </w:rPr>
        <w:t>We have enhanced our production processes in recent years which has led to an increase in megabit production, but we may not be able to continue to increase production at the same rate in the future</w:t>
      </w:r>
    </w:p>
    <w:p>
      <w:pPr>
        <w:spacing w:after="0" w:line="5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Historically, we have improved our production processes by reducing the die size of our existing products. As a result, we have decreased our per megabit production costs and significantly increased our megabit production. However, we may not be able to maintain this historical rate of increase in megabit production in the future. In addition, our manufacturing yield or production may decrease as we implement future technologies. We may also from time to time experience volatility in our manufacturing yields if we have problems ramping the latest shrink versions of existing devices or new generation devices to commercial volumes.</w:t>
      </w:r>
    </w:p>
    <w:p>
      <w:pPr>
        <w:spacing w:after="0" w:line="82" w:lineRule="exact"/>
        <w:rPr>
          <w:sz w:val="20"/>
          <w:szCs w:val="20"/>
          <w:color w:val="auto"/>
        </w:rPr>
      </w:pPr>
    </w:p>
    <w:p>
      <w:pPr>
        <w:ind w:right="3579"/>
        <w:spacing w:after="0" w:line="297" w:lineRule="auto"/>
        <w:rPr>
          <w:sz w:val="20"/>
          <w:szCs w:val="20"/>
          <w:color w:val="auto"/>
        </w:rPr>
      </w:pPr>
      <w:r>
        <w:rPr>
          <w:rFonts w:ascii="Courier New" w:cs="Courier New" w:eastAsia="Courier New" w:hAnsi="Courier New"/>
          <w:sz w:val="15"/>
          <w:szCs w:val="15"/>
          <w:color w:val="auto"/>
        </w:rPr>
        <w:t>Third parties may assert that our products and processes infringe their intellectual property rights. An adverse determination in this regard could adversely affect our results of operation and financial condition.</w:t>
      </w:r>
    </w:p>
    <w:p>
      <w:pPr>
        <w:spacing w:after="0" w:line="52" w:lineRule="exact"/>
        <w:rPr>
          <w:sz w:val="20"/>
          <w:szCs w:val="20"/>
          <w:color w:val="auto"/>
        </w:rPr>
      </w:pPr>
    </w:p>
    <w:p>
      <w:pPr>
        <w:ind w:right="3299" w:firstLine="444"/>
        <w:spacing w:after="0" w:line="248" w:lineRule="auto"/>
        <w:rPr>
          <w:sz w:val="20"/>
          <w:szCs w:val="20"/>
          <w:color w:val="auto"/>
        </w:rPr>
      </w:pPr>
      <w:r>
        <w:rPr>
          <w:rFonts w:ascii="Courier New" w:cs="Courier New" w:eastAsia="Courier New" w:hAnsi="Courier New"/>
          <w:sz w:val="15"/>
          <w:szCs w:val="15"/>
          <w:color w:val="auto"/>
        </w:rPr>
        <w:t>From time to time third parties have asserted, and may in the future assert, that our products or our processes may infringe product or process technology rights held by others. If there was a determination that our manufacturing processes or products infringed on the product or process rights held by others, we could have significant liabilities to third parties or be required to make material changes in our production processes. If our products infringed the rights of others or we had to modify our production processes, our business, results of operations or financial condition could be materially adversely affected. We have also entered into a number of patent and intellectual property license agreements with third parties. Some of these license agreements require us to make one-time or periodic royalty payments. We may also need to obtain additional patent licenses or to renew existing license agreements in the future. We are unable to predict whether these license agreements can be obtained or renewed on terms acceptable to us. If we are unable to obtain or renew these license agreements on acceptable terms, our business, results of operations or financial condition could be materially adversely affected.</w:t>
      </w:r>
    </w:p>
    <w:p>
      <w:pPr>
        <w:spacing w:after="0" w:line="87"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Interruptions in the availability of raw materials could adversely affect our results of operations</w:t>
      </w:r>
    </w:p>
    <w:p>
      <w:pPr>
        <w:spacing w:after="0" w:line="12"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Our semiconductor operations require raw materials that must meet exacting standards. We generally have more than one source of supply for our raw materials. However, there are only a limited number of suppliers capable of delivering raw materials that meet our standards. If there is an increase in worldwide semiconductor manufacturing, the availability of raw materials may decrease. For example, silicon wafers, photomasks, chemicals, lead frames and molding compound may become difficult to obtain if there is an increase in semiconductor manufacturing. Our operations in the past have not been interrupted as a result of raw materials shortages. However, shortages may occur from time to time in the future. Lead times for the supply of raw materials have also been extended in the past. If our supply of raw materials is interrupted, our results of operations could be adversely affected.</w:t>
      </w:r>
    </w:p>
    <w:p>
      <w:pPr>
        <w:spacing w:after="0" w:line="86" w:lineRule="exact"/>
        <w:rPr>
          <w:sz w:val="20"/>
          <w:szCs w:val="20"/>
          <w:color w:val="auto"/>
        </w:rPr>
      </w:pPr>
    </w:p>
    <w:p>
      <w:pPr>
        <w:ind w:right="3479"/>
        <w:spacing w:after="0" w:line="353" w:lineRule="auto"/>
        <w:rPr>
          <w:sz w:val="20"/>
          <w:szCs w:val="20"/>
          <w:color w:val="auto"/>
        </w:rPr>
      </w:pPr>
      <w:r>
        <w:rPr>
          <w:rFonts w:ascii="Courier New" w:cs="Courier New" w:eastAsia="Courier New" w:hAnsi="Courier New"/>
          <w:sz w:val="15"/>
          <w:szCs w:val="15"/>
          <w:color w:val="auto"/>
        </w:rPr>
        <w:t>If our supply of memory products from our joint ventures is interrupted, our results of operations could be adversely affected</w:t>
      </w:r>
    </w:p>
    <w:p>
      <w:pPr>
        <w:spacing w:after="0" w:line="1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We are partners in two joint ventures that supply us with DRAMs. We have agreed to purchase all of our joint ventures' production, subject to specified terms and conditions. These joint ventures have historically required external financing to fund their operations and to transition to next generation technology. These joint ventures are also dependent on particular key personnel and have a limited number of sources for raw materials. Our supply from these joint ventures would be reduced if:</w:t>
      </w:r>
    </w:p>
    <w:p>
      <w:pPr>
        <w:spacing w:after="0" w:line="82" w:lineRule="exact"/>
        <w:rPr>
          <w:sz w:val="20"/>
          <w:szCs w:val="20"/>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unable to secure required external financing,</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experience a loss of key personnel,</w:t>
      </w:r>
    </w:p>
    <w:p>
      <w:pPr>
        <w:spacing w:after="0" w:line="171" w:lineRule="exact"/>
        <w:rPr>
          <w:sz w:val="20"/>
          <w:szCs w:val="20"/>
          <w:color w:val="auto"/>
        </w:rPr>
      </w:pPr>
    </w:p>
    <w:p>
      <w:pPr>
        <w:ind w:left="880" w:right="3219" w:hanging="445"/>
        <w:spacing w:after="0" w:line="353"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incur significant interruption in the delivery of raw materials, or</w:t>
      </w:r>
    </w:p>
    <w:p>
      <w:pPr>
        <w:spacing w:after="0" w:line="12"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there are disruptions in their manufacturing process.</w:t>
      </w:r>
    </w:p>
    <w:p>
      <w:pPr>
        <w:sectPr>
          <w:pgSz w:w="11900" w:h="16847" w:orient="portrait"/>
          <w:cols w:equalWidth="0" w:num="1">
            <w:col w:w="10219"/>
          </w:cols>
          <w:pgMar w:left="240" w:top="605" w:right="1440" w:bottom="0" w:gutter="0" w:footer="0" w:header="0"/>
        </w:sectPr>
      </w:pPr>
    </w:p>
    <w:bookmarkStart w:id="8" w:name="page9"/>
    <w:bookmarkEnd w:id="8"/>
    <w:p>
      <w:pPr>
        <w:ind w:right="3119"/>
        <w:spacing w:after="0" w:line="353" w:lineRule="auto"/>
        <w:rPr>
          <w:sz w:val="20"/>
          <w:szCs w:val="20"/>
          <w:color w:val="auto"/>
        </w:rPr>
      </w:pPr>
      <w:r>
        <w:rPr>
          <w:rFonts w:ascii="Courier New" w:cs="Courier New" w:eastAsia="Courier New" w:hAnsi="Courier New"/>
          <w:sz w:val="15"/>
          <w:szCs w:val="15"/>
          <w:color w:val="auto"/>
        </w:rPr>
        <w:t>Any reduction of supply, regardless of cause, could adversely affect our results of operations and cash flows.</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6" w:right="1440" w:bottom="1440" w:gutter="0" w:footer="0" w:header="0"/>
        </w:sectPr>
      </w:pPr>
    </w:p>
    <w:bookmarkStart w:id="9" w:name="page10"/>
    <w:bookmarkEnd w:id="9"/>
    <w:p>
      <w:pPr>
        <w:ind w:right="3579"/>
        <w:spacing w:after="0" w:line="387" w:lineRule="auto"/>
        <w:rPr>
          <w:sz w:val="20"/>
          <w:szCs w:val="20"/>
          <w:color w:val="auto"/>
        </w:rPr>
      </w:pPr>
      <w:r>
        <w:rPr>
          <w:rFonts w:ascii="Courier New" w:cs="Courier New" w:eastAsia="Courier New" w:hAnsi="Courier New"/>
          <w:sz w:val="14"/>
          <w:szCs w:val="14"/>
          <w:color w:val="auto"/>
        </w:rPr>
        <w:t>If we are unable to retain existing key employees or are unable to hire new qualified employees, our operating results could be adversely affected</w:t>
      </w:r>
    </w:p>
    <w:p>
      <w:pPr>
        <w:spacing w:after="0" w:line="1" w:lineRule="exact"/>
        <w:rPr>
          <w:sz w:val="20"/>
          <w:szCs w:val="20"/>
          <w:color w:val="auto"/>
        </w:rPr>
      </w:pPr>
    </w:p>
    <w:p>
      <w:pPr>
        <w:ind w:right="3219" w:firstLine="621"/>
        <w:spacing w:after="0" w:line="263" w:lineRule="auto"/>
        <w:rPr>
          <w:sz w:val="20"/>
          <w:szCs w:val="20"/>
          <w:color w:val="auto"/>
        </w:rPr>
      </w:pPr>
      <w:r>
        <w:rPr>
          <w:rFonts w:ascii="Courier New" w:cs="Courier New" w:eastAsia="Courier New" w:hAnsi="Courier New"/>
          <w:sz w:val="15"/>
          <w:szCs w:val="15"/>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their recruitment of our existing personnel.</w:t>
      </w:r>
    </w:p>
    <w:p>
      <w:pPr>
        <w:spacing w:after="0" w:line="77"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We face risks associated with our international sales and operations that could adversely affect our operating results</w:t>
      </w:r>
    </w:p>
    <w:p>
      <w:pPr>
        <w:spacing w:after="0" w:line="12" w:lineRule="exact"/>
        <w:rPr>
          <w:sz w:val="20"/>
          <w:szCs w:val="20"/>
          <w:color w:val="auto"/>
        </w:rPr>
      </w:pPr>
    </w:p>
    <w:p>
      <w:pPr>
        <w:ind w:right="3299" w:firstLine="621"/>
        <w:spacing w:after="0" w:line="285" w:lineRule="auto"/>
        <w:rPr>
          <w:sz w:val="20"/>
          <w:szCs w:val="20"/>
          <w:color w:val="auto"/>
        </w:rPr>
      </w:pPr>
      <w:r>
        <w:rPr>
          <w:rFonts w:ascii="Courier New" w:cs="Courier New" w:eastAsia="Courier New" w:hAnsi="Courier New"/>
          <w:sz w:val="14"/>
          <w:szCs w:val="14"/>
          <w:color w:val="auto"/>
        </w:rPr>
        <w:t>International sales comprised approximately 36% of our consolidated net sales in the second quarter of fiscal 2000 and 37% of our consolidated net sales in the first six months of fiscal 2000. We expect international sales to continue to increase in the future. In addition, we have manufacturing operations in Italy, Singapore, Japan and Scotland. Our international sales and international operations are subject to a variety of risks, including:</w:t>
      </w:r>
    </w:p>
    <w:p>
      <w:pPr>
        <w:spacing w:after="0" w:line="65" w:lineRule="exact"/>
        <w:rPr>
          <w:sz w:val="20"/>
          <w:szCs w:val="20"/>
          <w:color w:val="auto"/>
        </w:rPr>
      </w:pPr>
    </w:p>
    <w:p>
      <w:pPr>
        <w:ind w:left="880" w:right="3479" w:hanging="268"/>
        <w:spacing w:after="0" w:line="353"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fluctuations, export duties, changes to import and export regulations and restrictions on the transfer of funds,</w:t>
      </w:r>
    </w:p>
    <w:p>
      <w:pPr>
        <w:spacing w:after="0" w:line="12" w:lineRule="exact"/>
        <w:rPr>
          <w:sz w:val="20"/>
          <w:szCs w:val="20"/>
          <w:color w:val="auto"/>
        </w:rPr>
      </w:pPr>
    </w:p>
    <w:p>
      <w:pPr>
        <w:ind w:left="880" w:hanging="268"/>
        <w:spacing w:after="0"/>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turnover and labor unrest,</w:t>
      </w:r>
    </w:p>
    <w:p>
      <w:pPr>
        <w:spacing w:after="0" w:line="171" w:lineRule="exact"/>
        <w:rPr>
          <w:sz w:val="20"/>
          <w:szCs w:val="20"/>
          <w:color w:val="auto"/>
        </w:rPr>
      </w:pPr>
    </w:p>
    <w:p>
      <w:pPr>
        <w:ind w:left="880" w:right="3399" w:hanging="268"/>
        <w:spacing w:after="0" w:line="353"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 and greater difficulty in collecting accounts receivable, and</w:t>
      </w:r>
    </w:p>
    <w:p>
      <w:pPr>
        <w:spacing w:after="0" w:line="12" w:lineRule="exact"/>
        <w:rPr>
          <w:sz w:val="20"/>
          <w:szCs w:val="20"/>
          <w:color w:val="auto"/>
        </w:rPr>
      </w:pPr>
    </w:p>
    <w:p>
      <w:pPr>
        <w:ind w:left="880" w:right="3399" w:hanging="268"/>
        <w:spacing w:after="0" w:line="353"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burdens and costs of compliance with a variety of international laws, and political and economic instability.</w:t>
      </w:r>
    </w:p>
    <w:p>
      <w:pPr>
        <w:spacing w:after="0" w:line="12"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These factors may adversely impact our business, results of operations and financial condition.</w:t>
      </w:r>
    </w:p>
    <w:p>
      <w:pPr>
        <w:spacing w:after="0" w:line="12" w:lineRule="exact"/>
        <w:rPr>
          <w:sz w:val="20"/>
          <w:szCs w:val="20"/>
          <w:color w:val="auto"/>
        </w:rPr>
      </w:pPr>
    </w:p>
    <w:p>
      <w:pPr>
        <w:jc w:val="both"/>
        <w:ind w:right="3299"/>
        <w:spacing w:after="0" w:line="297" w:lineRule="auto"/>
        <w:rPr>
          <w:sz w:val="20"/>
          <w:szCs w:val="20"/>
          <w:color w:val="auto"/>
        </w:rPr>
      </w:pPr>
      <w:r>
        <w:rPr>
          <w:rFonts w:ascii="Courier New" w:cs="Courier New" w:eastAsia="Courier New" w:hAnsi="Courier New"/>
          <w:sz w:val="15"/>
          <w:szCs w:val="15"/>
          <w:color w:val="auto"/>
        </w:rPr>
        <w:t>If our subsidiary Micron Electronics, Inc. fails to effectively compete in the highly competitive PC and e-services industry, our results of operations could be adversely affected</w:t>
      </w:r>
    </w:p>
    <w:p>
      <w:pPr>
        <w:spacing w:after="0" w:line="52" w:lineRule="exact"/>
        <w:rPr>
          <w:sz w:val="20"/>
          <w:szCs w:val="20"/>
          <w:color w:val="auto"/>
        </w:rPr>
      </w:pPr>
    </w:p>
    <w:p>
      <w:pPr>
        <w:ind w:right="3219" w:firstLine="621"/>
        <w:spacing w:after="0" w:line="259" w:lineRule="auto"/>
        <w:rPr>
          <w:sz w:val="20"/>
          <w:szCs w:val="20"/>
          <w:color w:val="auto"/>
        </w:rPr>
      </w:pPr>
      <w:r>
        <w:rPr>
          <w:rFonts w:ascii="Courier New" w:cs="Courier New" w:eastAsia="Courier New" w:hAnsi="Courier New"/>
          <w:sz w:val="15"/>
          <w:szCs w:val="15"/>
          <w:color w:val="auto"/>
        </w:rPr>
        <w:t>Historically, our operations have been affected by the operating results of Micron Electronics, Inc. ("MEI"), a PC and e-services business. MEI is a publicly traded company in which we own a majority of the common stock. MEI's results of operations, and the potential effect upon our results of operations, are linked to MEI's ability to effectively compete in the PC and e-services market places. This success depends on many factors, including MEI's ability to:</w:t>
      </w:r>
    </w:p>
    <w:p>
      <w:pPr>
        <w:spacing w:after="0" w:line="82" w:lineRule="exact"/>
        <w:rPr>
          <w:sz w:val="20"/>
          <w:szCs w:val="20"/>
          <w:color w:val="auto"/>
        </w:rPr>
      </w:pPr>
    </w:p>
    <w:p>
      <w:pPr>
        <w:ind w:left="880" w:right="3479" w:hanging="268"/>
        <w:spacing w:after="0" w:line="353"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accurately forecast technology trends, design and introduce new PC products and correctly identify demand for such products,</w:t>
      </w:r>
    </w:p>
    <w:p>
      <w:pPr>
        <w:spacing w:after="0" w:line="12" w:lineRule="exact"/>
        <w:rPr>
          <w:sz w:val="20"/>
          <w:szCs w:val="20"/>
          <w:color w:val="auto"/>
        </w:rPr>
      </w:pPr>
    </w:p>
    <w:p>
      <w:pPr>
        <w:ind w:left="880" w:right="4019" w:hanging="268"/>
        <w:spacing w:after="0" w:line="387" w:lineRule="auto"/>
        <w:tabs>
          <w:tab w:leader="none" w:pos="8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effectively manage materials and finished goods inventories, manufacturing constraints, and component costs,</w:t>
      </w:r>
    </w:p>
    <w:p>
      <w:pPr>
        <w:spacing w:after="0" w:line="1" w:lineRule="exact"/>
        <w:rPr>
          <w:sz w:val="20"/>
          <w:szCs w:val="20"/>
          <w:color w:val="auto"/>
        </w:rPr>
      </w:pPr>
    </w:p>
    <w:p>
      <w:pPr>
        <w:ind w:left="880" w:right="3299" w:hanging="268"/>
        <w:spacing w:after="0" w:line="353"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 market share and effectively market PC products directly to end customers relative to MEI's competitors, and</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75" w:right="1440" w:bottom="1440" w:gutter="0" w:footer="0" w:header="0"/>
        </w:sectPr>
      </w:pPr>
    </w:p>
    <w:bookmarkStart w:id="10" w:name="page11"/>
    <w:bookmarkEnd w:id="10"/>
    <w:p>
      <w:pPr>
        <w:ind w:left="880" w:right="3659" w:hanging="268"/>
        <w:spacing w:after="0" w:line="297"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identify value added e-services solutions, build an e-services infrastructure to deliver such solutions and generate e-services customers at acceptable margins.</w:t>
      </w:r>
    </w:p>
    <w:p>
      <w:pPr>
        <w:spacing w:after="0" w:line="52" w:lineRule="exact"/>
        <w:rPr>
          <w:sz w:val="20"/>
          <w:szCs w:val="20"/>
          <w:color w:val="auto"/>
        </w:rPr>
      </w:pPr>
    </w:p>
    <w:p>
      <w:pPr>
        <w:ind w:right="3479"/>
        <w:spacing w:after="0" w:line="353" w:lineRule="auto"/>
        <w:rPr>
          <w:sz w:val="20"/>
          <w:szCs w:val="20"/>
          <w:color w:val="auto"/>
        </w:rPr>
      </w:pPr>
      <w:r>
        <w:rPr>
          <w:rFonts w:ascii="Courier New" w:cs="Courier New" w:eastAsia="Courier New" w:hAnsi="Courier New"/>
          <w:sz w:val="15"/>
          <w:szCs w:val="15"/>
          <w:color w:val="auto"/>
        </w:rPr>
        <w:t>If MEI fails to effectively compete in the PC and e-services industries, our results of operations could be adversely affected.</w:t>
      </w:r>
    </w:p>
    <w:p>
      <w:pPr>
        <w:spacing w:after="0" w:line="12"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We may not be able to generate sufficient cash flow to fund our operations if average selling prices of memory products decline</w:t>
      </w:r>
    </w:p>
    <w:p>
      <w:pPr>
        <w:spacing w:after="0" w:line="12" w:lineRule="exact"/>
        <w:rPr>
          <w:sz w:val="20"/>
          <w:szCs w:val="20"/>
          <w:color w:val="auto"/>
        </w:rPr>
      </w:pPr>
    </w:p>
    <w:p>
      <w:pPr>
        <w:ind w:right="3299" w:firstLine="621"/>
        <w:spacing w:after="0" w:line="251" w:lineRule="auto"/>
        <w:rPr>
          <w:sz w:val="20"/>
          <w:szCs w:val="20"/>
          <w:color w:val="auto"/>
        </w:rPr>
      </w:pPr>
      <w:r>
        <w:rPr>
          <w:rFonts w:ascii="Courier New" w:cs="Courier New" w:eastAsia="Courier New" w:hAnsi="Courier New"/>
          <w:sz w:val="15"/>
          <w:szCs w:val="15"/>
          <w:color w:val="auto"/>
        </w:rPr>
        <w:t>Substantially all of our cash flow from semiconductor operations has historically been invested in capacity expansion and enhancement programs. Our cash flow from operations depends primarily on average selling prices and per megabit manufacturing costs of our semiconductor memory products. If average selling prices decline faster than the rate we are able to decrease our per megabit manufacturing costs, we may not be able to generate sufficient cash flows to sustain our operations. We may not be able to obtain other external sources of liquidity to fund our operations or our capacity and product and process technology enhancement programs. If we were unable to obtain additional financing, we may not be able to make investments in the enhancement programs, which could materially adversely affect our business, results of operations and financial condition.</w:t>
      </w:r>
    </w:p>
    <w:p>
      <w:pPr>
        <w:spacing w:after="0" w:line="86"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Two of our shareholders own a significant portion of our common stock that could limit our ability to raise additional equity capital</w:t>
      </w:r>
    </w:p>
    <w:p>
      <w:pPr>
        <w:spacing w:after="0" w:line="12" w:lineRule="exact"/>
        <w:rPr>
          <w:sz w:val="20"/>
          <w:szCs w:val="20"/>
          <w:color w:val="auto"/>
        </w:rPr>
      </w:pPr>
    </w:p>
    <w:p>
      <w:pPr>
        <w:ind w:right="3119" w:firstLine="621"/>
        <w:spacing w:after="0" w:line="252" w:lineRule="auto"/>
        <w:rPr>
          <w:sz w:val="20"/>
          <w:szCs w:val="20"/>
          <w:color w:val="auto"/>
        </w:rPr>
      </w:pPr>
      <w:r>
        <w:rPr>
          <w:rFonts w:ascii="Courier New" w:cs="Courier New" w:eastAsia="Courier New" w:hAnsi="Courier New"/>
          <w:sz w:val="15"/>
          <w:szCs w:val="15"/>
          <w:color w:val="auto"/>
        </w:rPr>
        <w:t>As of the date of this prospectus, Texas Instruments Incorporated and Intel Corporation held an aggregate of 44,743,369 shares of common stock, representing 16% of our total outstanding common stock. We have not registered these shares with the Commission. However, Texas Instruments and Intel each have registration rights. Until such time as Texas Instruments and Intel substantially reduce their common stock holdings, we may be limited in raising additional financing through equity or equity-linked offerings. Texas Instruments also holds notes with a face value of $740 million which are convertible into 12,333,333 shares of our common stock. Texas Instruments' resale of these notes could affect our ability to raise capital through the issuance of additional convertible debt instruments.</w:t>
      </w:r>
    </w:p>
    <w:p>
      <w:pPr>
        <w:spacing w:after="0" w:line="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1" w:lineRule="exact"/>
        <w:rPr>
          <w:sz w:val="20"/>
          <w:szCs w:val="20"/>
          <w:color w:val="auto"/>
        </w:rPr>
      </w:pPr>
    </w:p>
    <w:p>
      <w:pPr>
        <w:ind w:right="3119" w:firstLine="621"/>
        <w:spacing w:after="0" w:line="275" w:lineRule="auto"/>
        <w:rPr>
          <w:sz w:val="20"/>
          <w:szCs w:val="20"/>
          <w:color w:val="auto"/>
        </w:rPr>
      </w:pPr>
      <w:r>
        <w:rPr>
          <w:rFonts w:ascii="Courier New" w:cs="Courier New" w:eastAsia="Courier New" w:hAnsi="Courier New"/>
          <w:sz w:val="14"/>
          <w:szCs w:val="14"/>
          <w:color w:val="auto"/>
        </w:rPr>
        <w:t>Some of the statements under "Risk Factors" and elsewhere in this prospectus constitute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In some cases, you can identify forward-looking statements by terminology such as "may," "will," "should," "expects," "plans," "anticipates," "believes," "estimates," "predicts," "potential," "continue" or the negative of these terms or other comparable terminology.</w:t>
      </w:r>
    </w:p>
    <w:p>
      <w:pPr>
        <w:spacing w:after="0" w:line="71" w:lineRule="exact"/>
        <w:rPr>
          <w:sz w:val="20"/>
          <w:szCs w:val="20"/>
          <w:color w:val="auto"/>
        </w:rPr>
      </w:pPr>
    </w:p>
    <w:p>
      <w:pPr>
        <w:ind w:right="3119" w:firstLine="621"/>
        <w:spacing w:after="0" w:line="285"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spacing w:after="0" w:line="6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5" w:right="1440" w:bottom="1440" w:gutter="0" w:footer="0" w:header="0"/>
        </w:sectPr>
      </w:pPr>
    </w:p>
    <w:bookmarkStart w:id="11" w:name="page12"/>
    <w:bookmarkEnd w:id="11"/>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171" w:lineRule="exact"/>
        <w:rPr>
          <w:sz w:val="20"/>
          <w:szCs w:val="20"/>
          <w:color w:val="auto"/>
        </w:rPr>
      </w:pPr>
    </w:p>
    <w:p>
      <w:pPr>
        <w:ind w:right="3360" w:firstLine="621"/>
        <w:spacing w:after="0" w:line="269" w:lineRule="auto"/>
        <w:rPr>
          <w:sz w:val="20"/>
          <w:szCs w:val="20"/>
          <w:color w:val="auto"/>
        </w:rPr>
      </w:pPr>
      <w:r>
        <w:rPr>
          <w:rFonts w:ascii="Courier New" w:cs="Courier New" w:eastAsia="Courier New" w:hAnsi="Courier New"/>
          <w:sz w:val="15"/>
          <w:szCs w:val="15"/>
          <w:color w:val="auto"/>
        </w:rPr>
        <w:t>Unless otherwise indicated in the prospectus supplement, the net proceeds from the sale of securities offered by this prospectus will be used for general corporate purposes, including capital expenditures and to meet working capital needs. Pending such uses, we will invest the net proceeds in interest-bearing securities.</w:t>
      </w:r>
    </w:p>
    <w:p>
      <w:pPr>
        <w:spacing w:after="0" w:line="7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1" w:lineRule="exact"/>
        <w:rPr>
          <w:sz w:val="20"/>
          <w:szCs w:val="20"/>
          <w:color w:val="auto"/>
        </w:rPr>
      </w:pPr>
    </w:p>
    <w:p>
      <w:pPr>
        <w:ind w:right="3360" w:firstLine="621"/>
        <w:spacing w:after="0" w:line="259" w:lineRule="auto"/>
        <w:rPr>
          <w:sz w:val="20"/>
          <w:szCs w:val="20"/>
          <w:color w:val="auto"/>
        </w:rPr>
      </w:pPr>
      <w:r>
        <w:rPr>
          <w:rFonts w:ascii="Courier New" w:cs="Courier New" w:eastAsia="Courier New" w:hAnsi="Courier New"/>
          <w:sz w:val="15"/>
          <w:szCs w:val="15"/>
          <w:color w:val="auto"/>
        </w:rPr>
        <w:t>Set forth below is the ratio of earnings to fixed charges for each of the fiscal years in the five-year period ended September 2, 1999 and for the six month period ended March 2, 2000. For the purpose of calculating such ratios, "earnings" consist of income from continuing operations before income taxes plus fixed charges and "fixed charges" consist of interest expense (net of capitalized portion), capitalized interest and the interest factor attributable to rentals.</w:t>
      </w:r>
    </w:p>
    <w:p>
      <w:pPr>
        <w:spacing w:after="0" w:line="200" w:lineRule="exact"/>
        <w:rPr>
          <w:sz w:val="20"/>
          <w:szCs w:val="20"/>
          <w:color w:val="auto"/>
        </w:rPr>
      </w:pPr>
    </w:p>
    <w:p>
      <w:pPr>
        <w:spacing w:after="0" w:line="39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Fiscal years ended</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 months</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80" w:type="dxa"/>
            <w:vAlign w:val="bottom"/>
            <w:vMerge w:val="restart"/>
          </w:tcPr>
          <w:p>
            <w:pPr>
              <w:ind w:left="140"/>
              <w:spacing w:after="0"/>
              <w:rPr>
                <w:sz w:val="20"/>
                <w:szCs w:val="20"/>
                <w:color w:val="auto"/>
              </w:rPr>
            </w:pPr>
            <w:r>
              <w:rPr>
                <w:rFonts w:ascii="Courier New" w:cs="Courier New" w:eastAsia="Courier New" w:hAnsi="Courier New"/>
                <w:sz w:val="7"/>
                <w:szCs w:val="7"/>
                <w:color w:val="auto"/>
                <w:w w:val="75"/>
                <w:vertAlign w:val="subscript"/>
              </w:rPr>
              <w:t>Aug.</w:t>
            </w:r>
            <w:r>
              <w:rPr>
                <w:rFonts w:ascii="Courier New" w:cs="Courier New" w:eastAsia="Courier New" w:hAnsi="Courier New"/>
                <w:sz w:val="4"/>
                <w:szCs w:val="4"/>
                <w:color w:val="auto"/>
                <w:w w:val="75"/>
              </w:rPr>
              <w:t>------------------------------------------------------</w:t>
            </w:r>
            <w:r>
              <w:rPr>
                <w:rFonts w:ascii="Courier New" w:cs="Courier New" w:eastAsia="Courier New" w:hAnsi="Courier New"/>
                <w:sz w:val="7"/>
                <w:szCs w:val="7"/>
                <w:color w:val="auto"/>
                <w:w w:val="75"/>
                <w:vertAlign w:val="subscript"/>
              </w:rPr>
              <w:t>31,</w:t>
            </w:r>
          </w:p>
        </w:tc>
        <w:tc>
          <w:tcPr>
            <w:tcW w:w="9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w w:val="97"/>
              </w:rPr>
              <w:t>Aug. 29,</w:t>
            </w:r>
          </w:p>
        </w:tc>
        <w:tc>
          <w:tcPr>
            <w:tcW w:w="11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Aug. 28,</w:t>
            </w:r>
          </w:p>
        </w:tc>
        <w:tc>
          <w:tcPr>
            <w:tcW w:w="9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Sept. 3,</w:t>
            </w:r>
          </w:p>
        </w:tc>
        <w:tc>
          <w:tcPr>
            <w:tcW w:w="84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Sept.2,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Mar. 2,</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12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128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105.3x</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54.0x</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15.2x</w:t>
            </w: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12.5x</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right="3460" w:firstLine="444"/>
        <w:spacing w:after="0" w:line="297" w:lineRule="auto"/>
        <w:rPr>
          <w:sz w:val="20"/>
          <w:szCs w:val="20"/>
          <w:color w:val="auto"/>
        </w:rPr>
      </w:pPr>
      <w:r>
        <w:rPr>
          <w:rFonts w:ascii="Courier New" w:cs="Courier New" w:eastAsia="Courier New" w:hAnsi="Courier New"/>
          <w:sz w:val="15"/>
          <w:szCs w:val="15"/>
          <w:color w:val="auto"/>
        </w:rPr>
        <w:t>Earnings before fixed charges were inadequate to cover total fixed charges by $374.4 million for the fiscal year ended September 3, 1998 and $89.4 million for the fiscal year ended September 2, 1999.</w:t>
      </w:r>
    </w:p>
    <w:p>
      <w:pPr>
        <w:spacing w:after="0" w:line="22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DESCRIPTION OF THE DEBT SECURITIES</w:t>
      </w:r>
    </w:p>
    <w:p>
      <w:pPr>
        <w:spacing w:after="0" w:line="171" w:lineRule="exact"/>
        <w:rPr>
          <w:sz w:val="20"/>
          <w:szCs w:val="20"/>
          <w:color w:val="auto"/>
        </w:rPr>
      </w:pPr>
    </w:p>
    <w:p>
      <w:pPr>
        <w:ind w:right="3360" w:firstLine="444"/>
        <w:spacing w:after="0" w:line="257" w:lineRule="auto"/>
        <w:rPr>
          <w:sz w:val="20"/>
          <w:szCs w:val="20"/>
          <w:color w:val="auto"/>
        </w:rPr>
      </w:pPr>
      <w:r>
        <w:rPr>
          <w:rFonts w:ascii="Courier New" w:cs="Courier New" w:eastAsia="Courier New" w:hAnsi="Courier New"/>
          <w:sz w:val="15"/>
          <w:szCs w:val="15"/>
          <w:color w:val="auto"/>
        </w:rPr>
        <w:t>The debt securities will either be senior debt securities or subordinated debt securities. The debt securities will be issued under one or more separate indentures between us and Norwest Bank Minnesota, National Association, as trustee. Senior debt securities will be issued under a senior indenture and subordinated debt securities will be issued under a subordinated indenture. Together, the senior indenture and subordinated indenture are called indentures. The prospectus, together with its prospectus supplement, will describe all the material terms of a particular series of debt securities.</w:t>
      </w:r>
    </w:p>
    <w:p>
      <w:pPr>
        <w:spacing w:after="0" w:line="80" w:lineRule="exact"/>
        <w:rPr>
          <w:sz w:val="20"/>
          <w:szCs w:val="20"/>
          <w:color w:val="auto"/>
        </w:rPr>
      </w:pPr>
    </w:p>
    <w:p>
      <w:pPr>
        <w:ind w:right="3360" w:firstLine="444"/>
        <w:spacing w:after="0" w:line="263" w:lineRule="auto"/>
        <w:rPr>
          <w:sz w:val="20"/>
          <w:szCs w:val="20"/>
          <w:color w:val="auto"/>
        </w:rPr>
      </w:pPr>
      <w:r>
        <w:rPr>
          <w:rFonts w:ascii="Courier New" w:cs="Courier New" w:eastAsia="Courier New" w:hAnsi="Courier New"/>
          <w:sz w:val="15"/>
          <w:szCs w:val="15"/>
          <w:color w:val="auto"/>
        </w:rPr>
        <w:t>The following is a summary of the most important provisions and definitions of the indentures. For additional information, you should look at the applicable indenture that is filed as an exhibit to the registration statement which includes the prospectus. In this description of the debt securities, the words "Micron," "we," "us" or "our" refer only to Micron Technology, Inc. and not to any of our subsidiaries.</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right="3460" w:firstLine="444"/>
        <w:spacing w:after="0" w:line="278" w:lineRule="auto"/>
        <w:rPr>
          <w:sz w:val="20"/>
          <w:szCs w:val="20"/>
          <w:color w:val="auto"/>
        </w:rPr>
      </w:pPr>
      <w:r>
        <w:rPr>
          <w:rFonts w:ascii="Courier New" w:cs="Courier New" w:eastAsia="Courier New" w:hAnsi="Courier New"/>
          <w:sz w:val="15"/>
          <w:szCs w:val="15"/>
          <w:color w:val="auto"/>
        </w:rPr>
        <w:t>Debt securities may be issued in separate series without limitation as to aggregate principal amount. We may specify a maximum aggregate principal amount for the debt securities of any series. We are not limited as to the amount of debt securities we may issue under the indentures.</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prospectus supplement will set forth:</w:t>
      </w:r>
    </w:p>
    <w:p>
      <w:pPr>
        <w:spacing w:after="0" w:line="171" w:lineRule="exact"/>
        <w:rPr>
          <w:sz w:val="20"/>
          <w:szCs w:val="20"/>
          <w:color w:val="auto"/>
        </w:rPr>
      </w:pPr>
    </w:p>
    <w:p>
      <w:pPr>
        <w:ind w:left="880" w:hanging="445"/>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debt securities are senior or subordinated,</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offering price,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on the aggregate principal amount,</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460"/>
          </w:cols>
          <w:pgMar w:left="240" w:top="605" w:right="1199" w:bottom="1440" w:gutter="0" w:footer="0" w:header="0"/>
        </w:sectPr>
      </w:pPr>
    </w:p>
    <w:bookmarkStart w:id="12" w:name="page13"/>
    <w:bookmarkEnd w:id="12"/>
    <w:p>
      <w:pPr>
        <w:ind w:left="880" w:right="3399" w:hanging="445"/>
        <w:spacing w:after="0" w:line="353"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who shall be entitled to receive interest, if other than the record holder on the record date,</w:t>
      </w:r>
    </w:p>
    <w:p>
      <w:pPr>
        <w:spacing w:after="0" w:line="12" w:lineRule="exact"/>
        <w:rPr>
          <w:sz w:val="20"/>
          <w:szCs w:val="20"/>
          <w:color w:val="auto"/>
        </w:rPr>
      </w:pPr>
    </w:p>
    <w:p>
      <w:pPr>
        <w:ind w:left="880" w:hanging="445"/>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principal will be payable,</w:t>
      </w:r>
    </w:p>
    <w:p>
      <w:pPr>
        <w:spacing w:after="0" w:line="171" w:lineRule="exact"/>
        <w:rPr>
          <w:sz w:val="20"/>
          <w:szCs w:val="20"/>
          <w:color w:val="auto"/>
        </w:rPr>
      </w:pPr>
    </w:p>
    <w:p>
      <w:pPr>
        <w:ind w:left="880" w:right="3119" w:hanging="445"/>
        <w:spacing w:after="0" w:line="353"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rate, if any, the date interest will accrue, the interest payment dates and the regular record dates,</w:t>
      </w:r>
    </w:p>
    <w:p>
      <w:pPr>
        <w:spacing w:after="0" w:line="12" w:lineRule="exact"/>
        <w:rPr>
          <w:sz w:val="20"/>
          <w:szCs w:val="20"/>
          <w:color w:val="auto"/>
        </w:rPr>
      </w:pPr>
    </w:p>
    <w:p>
      <w:pPr>
        <w:ind w:left="880" w:hanging="445"/>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where payments shall be made,</w:t>
      </w:r>
    </w:p>
    <w:p>
      <w:pPr>
        <w:spacing w:after="0" w:line="171" w:lineRule="exact"/>
        <w:rPr>
          <w:sz w:val="20"/>
          <w:szCs w:val="20"/>
          <w:color w:val="auto"/>
        </w:rPr>
      </w:pPr>
    </w:p>
    <w:p>
      <w:pPr>
        <w:ind w:left="880" w:hanging="445"/>
        <w:spacing w:after="0"/>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mandatory or optional redemption provisions,</w:t>
      </w:r>
    </w:p>
    <w:p>
      <w:pPr>
        <w:spacing w:after="0" w:line="171" w:lineRule="exact"/>
        <w:rPr>
          <w:sz w:val="20"/>
          <w:szCs w:val="20"/>
          <w:color w:val="auto"/>
        </w:rPr>
      </w:pPr>
    </w:p>
    <w:p>
      <w:pPr>
        <w:ind w:left="880" w:right="3299" w:hanging="445"/>
        <w:spacing w:after="0" w:line="297"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method for determining how principal, premium, if any, or interest will be calculated by reference to an index or formula,</w:t>
      </w:r>
    </w:p>
    <w:p>
      <w:pPr>
        <w:spacing w:after="0" w:line="52" w:lineRule="exact"/>
        <w:rPr>
          <w:sz w:val="20"/>
          <w:szCs w:val="20"/>
          <w:color w:val="auto"/>
        </w:rPr>
      </w:pPr>
    </w:p>
    <w:p>
      <w:pPr>
        <w:ind w:left="880" w:right="3119" w:hanging="445"/>
        <w:spacing w:after="0" w:line="326" w:lineRule="auto"/>
        <w:tabs>
          <w:tab w:leader="none" w:pos="8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U.S. currency, the currency or currency units in which principal, premium, if any, or interest will be payable and whether we or the holder may elect payment to be made in a different currency,</w:t>
      </w:r>
    </w:p>
    <w:p>
      <w:pPr>
        <w:spacing w:after="0" w:line="36" w:lineRule="exact"/>
        <w:rPr>
          <w:sz w:val="20"/>
          <w:szCs w:val="20"/>
          <w:color w:val="auto"/>
        </w:rPr>
      </w:pPr>
    </w:p>
    <w:p>
      <w:pPr>
        <w:ind w:left="880" w:right="3399" w:hanging="445"/>
        <w:spacing w:after="0" w:line="297"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that will be payable upon acceleration of stated maturity, if other than the entire principal amount,</w:t>
      </w:r>
    </w:p>
    <w:p>
      <w:pPr>
        <w:spacing w:after="0" w:line="52" w:lineRule="exact"/>
        <w:rPr>
          <w:sz w:val="20"/>
          <w:szCs w:val="20"/>
          <w:color w:val="auto"/>
        </w:rPr>
      </w:pPr>
    </w:p>
    <w:p>
      <w:pPr>
        <w:ind w:left="880" w:right="3119" w:hanging="445"/>
        <w:spacing w:after="0" w:line="297"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amount payable at stated maturity will not be determinable as of any date prior to stated maturity, the amount which will be deemed to be the principal amount,</w:t>
      </w:r>
    </w:p>
    <w:p>
      <w:pPr>
        <w:spacing w:after="0" w:line="52" w:lineRule="exact"/>
        <w:rPr>
          <w:sz w:val="20"/>
          <w:szCs w:val="20"/>
          <w:color w:val="auto"/>
        </w:rPr>
      </w:pPr>
    </w:p>
    <w:p>
      <w:pPr>
        <w:ind w:left="880" w:right="3579" w:hanging="445"/>
        <w:spacing w:after="0" w:line="353" w:lineRule="auto"/>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defeasance provisions if different from those described below under "Satisfaction and Discharge--Defeasance,"</w:t>
      </w:r>
    </w:p>
    <w:p>
      <w:pPr>
        <w:spacing w:after="0" w:line="12" w:lineRule="exact"/>
        <w:rPr>
          <w:sz w:val="20"/>
          <w:szCs w:val="20"/>
          <w:color w:val="auto"/>
        </w:rPr>
      </w:pPr>
    </w:p>
    <w:p>
      <w:pPr>
        <w:ind w:left="880" w:hanging="445"/>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conversion or exchange provisions,</w:t>
      </w:r>
    </w:p>
    <w:p>
      <w:pPr>
        <w:spacing w:after="0" w:line="171" w:lineRule="exact"/>
        <w:rPr>
          <w:sz w:val="20"/>
          <w:szCs w:val="20"/>
          <w:color w:val="auto"/>
        </w:rPr>
      </w:pPr>
    </w:p>
    <w:p>
      <w:pPr>
        <w:ind w:left="880" w:right="3299" w:hanging="445"/>
        <w:spacing w:after="0" w:line="353"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debt securities will be issuable in the form of a global security,</w:t>
      </w:r>
    </w:p>
    <w:p>
      <w:pPr>
        <w:spacing w:after="0" w:line="12" w:lineRule="exact"/>
        <w:rPr>
          <w:sz w:val="20"/>
          <w:szCs w:val="20"/>
          <w:color w:val="auto"/>
        </w:rPr>
      </w:pPr>
    </w:p>
    <w:p>
      <w:pPr>
        <w:ind w:left="880" w:right="3299" w:hanging="445"/>
        <w:spacing w:after="0" w:line="353"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subordination provisions if different from those described below under "Subordinated Debt Securities,"</w:t>
      </w:r>
    </w:p>
    <w:p>
      <w:pPr>
        <w:spacing w:after="0" w:line="12" w:lineRule="exact"/>
        <w:rPr>
          <w:sz w:val="20"/>
          <w:szCs w:val="20"/>
          <w:color w:val="auto"/>
        </w:rPr>
      </w:pPr>
    </w:p>
    <w:p>
      <w:pPr>
        <w:ind w:left="880" w:right="3119" w:hanging="445"/>
        <w:spacing w:after="0" w:line="353"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of, or changes or additions to, the events of default or covenants, and</w:t>
      </w:r>
    </w:p>
    <w:p>
      <w:pPr>
        <w:spacing w:after="0" w:line="12" w:lineRule="exact"/>
        <w:rPr>
          <w:sz w:val="20"/>
          <w:szCs w:val="20"/>
          <w:color w:val="auto"/>
        </w:rPr>
      </w:pPr>
    </w:p>
    <w:p>
      <w:pPr>
        <w:ind w:left="440" w:right="4819" w:hanging="5"/>
        <w:spacing w:after="0" w:line="516" w:lineRule="auto"/>
        <w:tabs>
          <w:tab w:leader="none" w:pos="88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specific terms of such debt securities. Unless otherwise specified in the prospectus supplement:</w:t>
      </w:r>
    </w:p>
    <w:p>
      <w:pPr>
        <w:ind w:left="880" w:hanging="445"/>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debt securities will be registered debt securities; and</w:t>
      </w:r>
    </w:p>
    <w:p>
      <w:pPr>
        <w:spacing w:after="0" w:line="171" w:lineRule="exact"/>
        <w:rPr>
          <w:sz w:val="20"/>
          <w:szCs w:val="20"/>
          <w:color w:val="auto"/>
        </w:rPr>
      </w:pPr>
    </w:p>
    <w:p>
      <w:pPr>
        <w:ind w:left="880" w:right="3219" w:hanging="445"/>
        <w:spacing w:after="0" w:line="353" w:lineRule="auto"/>
        <w:tabs>
          <w:tab w:leader="none" w:pos="8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debt securities denominated in U.S. dollars will be issued in denominations of $1,000 or multiples of $1,000.</w:t>
      </w:r>
    </w:p>
    <w:p>
      <w:pPr>
        <w:spacing w:after="0" w:line="12" w:lineRule="exact"/>
        <w:rPr>
          <w:sz w:val="20"/>
          <w:szCs w:val="20"/>
          <w:color w:val="auto"/>
        </w:rPr>
      </w:pPr>
    </w:p>
    <w:p>
      <w:pPr>
        <w:jc w:val="both"/>
        <w:ind w:right="3399" w:firstLine="444"/>
        <w:spacing w:after="0" w:line="297" w:lineRule="auto"/>
        <w:rPr>
          <w:sz w:val="20"/>
          <w:szCs w:val="20"/>
          <w:color w:val="auto"/>
        </w:rPr>
      </w:pPr>
      <w:r>
        <w:rPr>
          <w:rFonts w:ascii="Courier New" w:cs="Courier New" w:eastAsia="Courier New" w:hAnsi="Courier New"/>
          <w:sz w:val="15"/>
          <w:szCs w:val="15"/>
          <w:color w:val="auto"/>
        </w:rPr>
        <w:t>Debt securities may be sold at a substantial discount below their stated principal amount, bearing no interest or interest at a rate which at time of issuance is below market rates.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and Transfer</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Debt securities may be transferred or exchanged at the office of the security registrar or at the office of any transfer agent designated by us. We will not impose a service charge for any transfer or exchange, but we may require holders to pay any tax or other governmental charges associated with any transfer or exchange.</w:t>
      </w:r>
    </w:p>
    <w:p>
      <w:pPr>
        <w:spacing w:after="0" w:line="7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In the event of any potential redemption of debt securities of any series, we will not be required to:</w:t>
      </w:r>
    </w:p>
    <w:p>
      <w:pPr>
        <w:spacing w:after="0" w:line="12" w:lineRule="exact"/>
        <w:rPr>
          <w:sz w:val="20"/>
          <w:szCs w:val="20"/>
          <w:color w:val="auto"/>
        </w:rPr>
      </w:pPr>
    </w:p>
    <w:p>
      <w:pPr>
        <w:ind w:left="880" w:right="3119" w:hanging="445"/>
        <w:spacing w:after="0" w:line="278"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05" w:right="1440" w:bottom="1440" w:gutter="0" w:footer="0" w:header="0"/>
        </w:sectPr>
      </w:pPr>
    </w:p>
    <w:bookmarkStart w:id="13" w:name="page14"/>
    <w:bookmarkEnd w:id="13"/>
    <w:p>
      <w:pPr>
        <w:ind w:left="880" w:right="3219" w:hanging="445"/>
        <w:spacing w:after="0" w:line="297"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the transfer of or exchange any debt security of that series selected for redemption, in whole or in part, except the unredeemed portion being redeemed in part.</w:t>
      </w:r>
    </w:p>
    <w:p>
      <w:pPr>
        <w:spacing w:after="0" w:line="52"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We have initially appointed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7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The debt securities of any series may be represented, in whole or in part, by one or more global securities. Each global security will:</w:t>
      </w:r>
    </w:p>
    <w:p>
      <w:pPr>
        <w:spacing w:after="0" w:line="12" w:lineRule="exact"/>
        <w:rPr>
          <w:sz w:val="20"/>
          <w:szCs w:val="20"/>
          <w:color w:val="auto"/>
        </w:rPr>
      </w:pPr>
    </w:p>
    <w:p>
      <w:pPr>
        <w:ind w:left="880" w:right="3299" w:hanging="445"/>
        <w:spacing w:after="0" w:line="353" w:lineRule="auto"/>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registered in the name of a depositary that we will identify in a prospectus supplement,</w:t>
      </w:r>
    </w:p>
    <w:p>
      <w:pPr>
        <w:spacing w:after="0" w:line="12" w:lineRule="exact"/>
        <w:rPr>
          <w:sz w:val="20"/>
          <w:szCs w:val="20"/>
          <w:color w:val="auto"/>
        </w:rPr>
      </w:pPr>
    </w:p>
    <w:p>
      <w:pPr>
        <w:ind w:left="880" w:hanging="445"/>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deposited with the depositary or nominee or custodian, and</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bear any required legends.</w:t>
      </w:r>
    </w:p>
    <w:p>
      <w:pPr>
        <w:spacing w:after="0" w:line="17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No global security may be exchanged in whole or in part for debt securities registered in the name of any person other than the depositary or any nominee unless:</w:t>
      </w:r>
    </w:p>
    <w:p>
      <w:pPr>
        <w:spacing w:after="0" w:line="52" w:lineRule="exact"/>
        <w:rPr>
          <w:sz w:val="20"/>
          <w:szCs w:val="20"/>
          <w:color w:val="auto"/>
        </w:rPr>
      </w:pPr>
    </w:p>
    <w:p>
      <w:pPr>
        <w:ind w:left="880" w:right="3659" w:hanging="445"/>
        <w:spacing w:after="0" w:line="297"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has notified us that it is unwilling or unable to continue as depositary or has ceased to be qualified to act as depositary,</w:t>
      </w:r>
    </w:p>
    <w:p>
      <w:pPr>
        <w:spacing w:after="0" w:line="52" w:lineRule="exact"/>
        <w:rPr>
          <w:sz w:val="20"/>
          <w:szCs w:val="20"/>
          <w:color w:val="auto"/>
        </w:rPr>
      </w:pPr>
    </w:p>
    <w:p>
      <w:pPr>
        <w:ind w:left="880" w:hanging="445"/>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of default is continuing, or</w:t>
      </w:r>
    </w:p>
    <w:p>
      <w:pPr>
        <w:spacing w:after="0" w:line="171" w:lineRule="exact"/>
        <w:rPr>
          <w:sz w:val="20"/>
          <w:szCs w:val="20"/>
          <w:color w:val="auto"/>
        </w:rPr>
      </w:pPr>
    </w:p>
    <w:p>
      <w:pPr>
        <w:ind w:left="880" w:hanging="445"/>
        <w:spacing w:after="0"/>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circumstances described in a prospectus supplement.</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As long as the depositary, or its nominee, is the registered owner of a global security, the depositary or nominee will be considered the sole owner and holder of the debt securities represented by the global security for all purposes under the indentures. Except in the above limited circumstances, owners of beneficial interests in a global security will not be:</w:t>
      </w:r>
    </w:p>
    <w:p>
      <w:pPr>
        <w:spacing w:after="0" w:line="72" w:lineRule="exact"/>
        <w:rPr>
          <w:sz w:val="20"/>
          <w:szCs w:val="20"/>
          <w:color w:val="auto"/>
        </w:rPr>
      </w:pPr>
    </w:p>
    <w:p>
      <w:pPr>
        <w:ind w:left="880" w:hanging="445"/>
        <w:spacing w:after="0"/>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entitled to have the debt securities registered in their names,</w:t>
      </w:r>
    </w:p>
    <w:p>
      <w:pPr>
        <w:spacing w:after="0" w:line="171" w:lineRule="exact"/>
        <w:rPr>
          <w:sz w:val="20"/>
          <w:szCs w:val="20"/>
          <w:color w:val="auto"/>
        </w:rPr>
      </w:pPr>
    </w:p>
    <w:p>
      <w:pPr>
        <w:ind w:left="880" w:hanging="445"/>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entitled to physical delivery of certificated debt securities, and</w:t>
      </w:r>
    </w:p>
    <w:p>
      <w:pPr>
        <w:spacing w:after="0" w:line="171" w:lineRule="exact"/>
        <w:rPr>
          <w:sz w:val="20"/>
          <w:szCs w:val="20"/>
          <w:color w:val="auto"/>
        </w:rPr>
      </w:pPr>
    </w:p>
    <w:p>
      <w:pPr>
        <w:ind w:left="880" w:hanging="445"/>
        <w:spacing w:after="0"/>
        <w:tabs>
          <w:tab w:leader="none" w:pos="8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considered to be holders of those debt securities under the indenture.</w:t>
      </w:r>
    </w:p>
    <w:p>
      <w:pPr>
        <w:spacing w:after="0" w:line="183"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7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8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66"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Payments, transfers and exchanges relating to beneficial interests in a global security will be subject to policies and procedures of the depositary. The depositary policies and procedures may change from time to time. Neither we nor the trustee will</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05" w:right="1440" w:bottom="1440" w:gutter="0" w:footer="0" w:header="0"/>
        </w:sectPr>
      </w:pPr>
    </w:p>
    <w:bookmarkStart w:id="14" w:name="page15"/>
    <w:bookmarkEnd w:id="14"/>
    <w:p>
      <w:pPr>
        <w:ind w:right="3299"/>
        <w:spacing w:after="0" w:line="387" w:lineRule="auto"/>
        <w:rPr>
          <w:sz w:val="20"/>
          <w:szCs w:val="20"/>
          <w:color w:val="auto"/>
        </w:rPr>
      </w:pPr>
      <w:r>
        <w:rPr>
          <w:rFonts w:ascii="Courier New" w:cs="Courier New" w:eastAsia="Courier New" w:hAnsi="Courier New"/>
          <w:sz w:val="14"/>
          <w:szCs w:val="14"/>
          <w:color w:val="auto"/>
        </w:rPr>
        <w:t>have any responsibility or liability for the depositary's or any participant's records with respect to beneficial interests in a global security.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1"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72" w:lineRule="exact"/>
        <w:rPr>
          <w:sz w:val="20"/>
          <w:szCs w:val="20"/>
          <w:color w:val="auto"/>
        </w:rPr>
      </w:pPr>
    </w:p>
    <w:p>
      <w:pPr>
        <w:ind w:right="3299" w:firstLine="444"/>
        <w:spacing w:after="0" w:line="303" w:lineRule="auto"/>
        <w:rPr>
          <w:sz w:val="20"/>
          <w:szCs w:val="20"/>
          <w:color w:val="auto"/>
        </w:rPr>
      </w:pPr>
      <w:r>
        <w:rPr>
          <w:rFonts w:ascii="Courier New" w:cs="Courier New" w:eastAsia="Courier New" w:hAnsi="Courier New"/>
          <w:sz w:val="14"/>
          <w:szCs w:val="14"/>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52"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All moneys paid by us to a paying agent for payment on any debt security which remain unclaimed for a period ending the earlier of:</w:t>
      </w:r>
    </w:p>
    <w:p>
      <w:pPr>
        <w:spacing w:after="0" w:line="12" w:lineRule="exact"/>
        <w:rPr>
          <w:sz w:val="20"/>
          <w:szCs w:val="20"/>
          <w:color w:val="auto"/>
        </w:rPr>
      </w:pPr>
    </w:p>
    <w:p>
      <w:pPr>
        <w:ind w:left="880" w:right="3119" w:hanging="445"/>
        <w:spacing w:after="0" w:line="353" w:lineRule="auto"/>
        <w:tabs>
          <w:tab w:leader="none" w:pos="8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business days prior to the date the money would be turned over to a state of the United States of America, or</w:t>
      </w:r>
    </w:p>
    <w:p>
      <w:pPr>
        <w:spacing w:after="0" w:line="12" w:lineRule="exact"/>
        <w:rPr>
          <w:sz w:val="20"/>
          <w:szCs w:val="20"/>
          <w:color w:val="auto"/>
        </w:rPr>
      </w:pPr>
    </w:p>
    <w:p>
      <w:pPr>
        <w:ind w:left="880" w:hanging="445"/>
        <w:spacing w:after="0"/>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two years after the payment was due</w:t>
      </w:r>
    </w:p>
    <w:p>
      <w:pPr>
        <w:spacing w:after="0" w:line="171" w:lineRule="exact"/>
        <w:rPr>
          <w:sz w:val="20"/>
          <w:szCs w:val="20"/>
          <w:color w:val="auto"/>
        </w:rPr>
      </w:pPr>
    </w:p>
    <w:p>
      <w:pPr>
        <w:ind w:right="3759"/>
        <w:spacing w:after="0" w:line="353" w:lineRule="auto"/>
        <w:rPr>
          <w:sz w:val="20"/>
          <w:szCs w:val="20"/>
          <w:color w:val="auto"/>
        </w:rPr>
      </w:pPr>
      <w:r>
        <w:rPr>
          <w:rFonts w:ascii="Courier New" w:cs="Courier New" w:eastAsia="Courier New" w:hAnsi="Courier New"/>
          <w:sz w:val="15"/>
          <w:szCs w:val="15"/>
          <w:color w:val="auto"/>
        </w:rPr>
        <w:t>will be repaid to us. Thereafter, the holder may look only to us for such payment.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We may not consolidate with or merge into any other person, in a transaction in which we are not the surviving corporation, or convey, transfer or lease its properties and assets substantially as an entirety to, any person, unless:</w:t>
      </w:r>
    </w:p>
    <w:p>
      <w:pPr>
        <w:spacing w:after="0" w:line="66" w:lineRule="exact"/>
        <w:rPr>
          <w:sz w:val="20"/>
          <w:szCs w:val="20"/>
          <w:color w:val="auto"/>
        </w:rPr>
      </w:pPr>
    </w:p>
    <w:p>
      <w:pPr>
        <w:ind w:left="880" w:right="3759" w:hanging="445"/>
        <w:spacing w:after="0" w:line="353" w:lineRule="auto"/>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if any, is a U.S. corporation, limited liability company, partnership, trust or other entity,</w:t>
      </w:r>
    </w:p>
    <w:p>
      <w:pPr>
        <w:spacing w:after="0" w:line="12" w:lineRule="exact"/>
        <w:rPr>
          <w:sz w:val="20"/>
          <w:szCs w:val="20"/>
          <w:color w:val="auto"/>
        </w:rPr>
      </w:pPr>
    </w:p>
    <w:p>
      <w:pPr>
        <w:ind w:left="880" w:right="3119" w:hanging="445"/>
        <w:spacing w:after="0" w:line="353" w:lineRule="auto"/>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assumes our obligations on the debt securities and under the indentures,</w:t>
      </w:r>
    </w:p>
    <w:p>
      <w:pPr>
        <w:spacing w:after="0" w:line="12" w:lineRule="exact"/>
        <w:rPr>
          <w:sz w:val="20"/>
          <w:szCs w:val="20"/>
          <w:color w:val="auto"/>
        </w:rPr>
      </w:pPr>
    </w:p>
    <w:p>
      <w:pPr>
        <w:ind w:left="880" w:right="3579" w:hanging="445"/>
        <w:spacing w:after="0" w:line="353" w:lineRule="auto"/>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no default or event of default shall have occurred and be continuing, and</w:t>
      </w:r>
    </w:p>
    <w:p>
      <w:pPr>
        <w:spacing w:after="0" w:line="12" w:lineRule="exact"/>
        <w:rPr>
          <w:sz w:val="20"/>
          <w:szCs w:val="20"/>
          <w:color w:val="auto"/>
        </w:rPr>
      </w:pPr>
    </w:p>
    <w:p>
      <w:pPr>
        <w:ind w:right="6419" w:firstLine="435"/>
        <w:spacing w:after="0" w:line="482" w:lineRule="auto"/>
        <w:tabs>
          <w:tab w:leader="none" w:pos="88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other conditions are met. Events of Default</w:t>
      </w:r>
    </w:p>
    <w:p>
      <w:pPr>
        <w:ind w:right="3399" w:firstLine="444"/>
        <w:spacing w:after="0" w:line="353" w:lineRule="auto"/>
        <w:rPr>
          <w:sz w:val="20"/>
          <w:szCs w:val="20"/>
          <w:color w:val="auto"/>
        </w:rPr>
      </w:pPr>
      <w:r>
        <w:rPr>
          <w:rFonts w:ascii="Courier New" w:cs="Courier New" w:eastAsia="Courier New" w:hAnsi="Courier New"/>
          <w:sz w:val="15"/>
          <w:szCs w:val="15"/>
          <w:color w:val="auto"/>
        </w:rPr>
        <w:t>Each indenture defines an event of default with respect to any series of debt securities as one or more of the following events:</w:t>
      </w:r>
    </w:p>
    <w:p>
      <w:pPr>
        <w:spacing w:after="0" w:line="12" w:lineRule="exact"/>
        <w:rPr>
          <w:sz w:val="20"/>
          <w:szCs w:val="20"/>
          <w:color w:val="auto"/>
        </w:rPr>
      </w:pPr>
    </w:p>
    <w:p>
      <w:pPr>
        <w:ind w:left="880" w:right="3479" w:hanging="445"/>
        <w:spacing w:after="0" w:line="353"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principal of or any premium on any debt security of that series when due,</w:t>
      </w:r>
    </w:p>
    <w:p>
      <w:pPr>
        <w:spacing w:after="0" w:line="12" w:lineRule="exact"/>
        <w:rPr>
          <w:rFonts w:ascii="Courier New" w:cs="Courier New" w:eastAsia="Courier New" w:hAnsi="Courier New"/>
          <w:sz w:val="15"/>
          <w:szCs w:val="15"/>
          <w:color w:val="auto"/>
        </w:rPr>
      </w:pPr>
    </w:p>
    <w:p>
      <w:pPr>
        <w:ind w:left="880" w:right="3119" w:hanging="445"/>
        <w:spacing w:after="0" w:line="353"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any interest on any debt security of that series for 30 days when due,</w:t>
      </w:r>
    </w:p>
    <w:p>
      <w:pPr>
        <w:spacing w:after="0" w:line="1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deposit any sinking fund payment when due,</w:t>
      </w:r>
    </w:p>
    <w:p>
      <w:pPr>
        <w:spacing w:after="0" w:line="171" w:lineRule="exact"/>
        <w:rPr>
          <w:rFonts w:ascii="Courier New" w:cs="Courier New" w:eastAsia="Courier New" w:hAnsi="Courier New"/>
          <w:sz w:val="15"/>
          <w:szCs w:val="15"/>
          <w:color w:val="auto"/>
        </w:rPr>
      </w:pPr>
    </w:p>
    <w:p>
      <w:pPr>
        <w:ind w:left="880" w:right="3299" w:hanging="445"/>
        <w:spacing w:after="0" w:line="353"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perform any other covenant in the indenture continued for 60 days after being given the notice required in the indenture,</w:t>
      </w:r>
    </w:p>
    <w:p>
      <w:pPr>
        <w:spacing w:after="0" w:line="1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bankruptcy, insolvency or reorganization, and</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specified in the prospectus supplement.</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5" w:right="1440" w:bottom="1440" w:gutter="0" w:footer="0" w:header="0"/>
        </w:sectPr>
      </w:pPr>
    </w:p>
    <w:bookmarkStart w:id="15" w:name="page16"/>
    <w:bookmarkEnd w:id="15"/>
    <w:p>
      <w:pPr>
        <w:ind w:left="9" w:right="3219" w:firstLine="444"/>
        <w:spacing w:after="0" w:line="353" w:lineRule="auto"/>
        <w:rPr>
          <w:sz w:val="20"/>
          <w:szCs w:val="20"/>
          <w:color w:val="auto"/>
        </w:rPr>
      </w:pPr>
      <w:r>
        <w:rPr>
          <w:rFonts w:ascii="Courier New" w:cs="Courier New" w:eastAsia="Courier New" w:hAnsi="Courier New"/>
          <w:sz w:val="15"/>
          <w:szCs w:val="15"/>
          <w:color w:val="auto"/>
        </w:rPr>
        <w:t>An event of default of one series of debt securities is not necessarily an event of default for any other series of debt securities.</w:t>
      </w:r>
    </w:p>
    <w:p>
      <w:pPr>
        <w:spacing w:after="0" w:line="12"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If an event of default, other than an event of default described in clause</w:t>
      </w:r>
    </w:p>
    <w:p>
      <w:pPr>
        <w:spacing w:after="0" w:line="38" w:lineRule="exact"/>
        <w:rPr>
          <w:sz w:val="20"/>
          <w:szCs w:val="20"/>
          <w:color w:val="auto"/>
        </w:rPr>
      </w:pPr>
    </w:p>
    <w:p>
      <w:pPr>
        <w:ind w:left="9" w:right="3119" w:hanging="9"/>
        <w:spacing w:after="0" w:line="250" w:lineRule="auto"/>
        <w:tabs>
          <w:tab w:leader="none" w:pos="36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shall occur and be continuing, either the trustee or the holders of at least 25% in aggregate principal amount of the outstanding securities of that series may declare the principal amount of the debt securities of that series to be due and payable immediately. If an event of default described in clause (5) above shall occur, the principal amount of all the debt securities of that series, will automatically become immediately due and payable. Any payment by us on the subordinated debt securities following any acceleration will be subject to the subordination provisions described below under "Subordinated Debt Securities."</w:t>
      </w:r>
    </w:p>
    <w:p>
      <w:pPr>
        <w:spacing w:after="0" w:line="88" w:lineRule="exact"/>
        <w:rPr>
          <w:sz w:val="20"/>
          <w:szCs w:val="20"/>
          <w:color w:val="auto"/>
        </w:rPr>
      </w:pPr>
    </w:p>
    <w:p>
      <w:pPr>
        <w:ind w:left="9" w:right="3119" w:firstLine="444"/>
        <w:spacing w:after="0" w:line="269" w:lineRule="auto"/>
        <w:rPr>
          <w:sz w:val="20"/>
          <w:szCs w:val="20"/>
          <w:color w:val="auto"/>
        </w:rPr>
      </w:pPr>
      <w:r>
        <w:rPr>
          <w:rFonts w:ascii="Courier New" w:cs="Courier New" w:eastAsia="Courier New" w:hAnsi="Courier New"/>
          <w:sz w:val="15"/>
          <w:szCs w:val="15"/>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72" w:lineRule="exact"/>
        <w:rPr>
          <w:sz w:val="20"/>
          <w:szCs w:val="20"/>
          <w:color w:val="auto"/>
        </w:rPr>
      </w:pPr>
    </w:p>
    <w:p>
      <w:pPr>
        <w:ind w:left="9" w:right="3119" w:firstLine="444"/>
        <w:spacing w:after="0" w:line="257" w:lineRule="auto"/>
        <w:rPr>
          <w:sz w:val="20"/>
          <w:szCs w:val="20"/>
          <w:color w:val="auto"/>
        </w:rPr>
      </w:pPr>
      <w:r>
        <w:rPr>
          <w:rFonts w:ascii="Courier New" w:cs="Courier New" w:eastAsia="Courier New" w:hAnsi="Courier New"/>
          <w:sz w:val="15"/>
          <w:szCs w:val="15"/>
          <w:color w:val="auto"/>
        </w:rPr>
        <w:t>Other than the duty to act with the required care during an event of default, the trustee will not be obligated to exercise any of its rights or powers at the request of the holders unless the holders shall have offered to the trustee reasonable indemnification.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80" w:lineRule="exact"/>
        <w:rPr>
          <w:sz w:val="20"/>
          <w:szCs w:val="20"/>
          <w:color w:val="auto"/>
        </w:rPr>
      </w:pPr>
    </w:p>
    <w:p>
      <w:pPr>
        <w:ind w:left="9" w:right="3219" w:firstLine="444"/>
        <w:spacing w:after="0" w:line="297" w:lineRule="auto"/>
        <w:rPr>
          <w:sz w:val="20"/>
          <w:szCs w:val="20"/>
          <w:color w:val="auto"/>
        </w:rPr>
      </w:pPr>
      <w:r>
        <w:rPr>
          <w:rFonts w:ascii="Courier New" w:cs="Courier New" w:eastAsia="Courier New" w:hAnsi="Courier New"/>
          <w:sz w:val="15"/>
          <w:szCs w:val="15"/>
          <w:color w:val="auto"/>
        </w:rPr>
        <w:t>A holder will not have any right to institute any proceeding under the indentures, or for the appointment of a receiver or a trustee, or for any other remedy under the indentures, unless:</w:t>
      </w:r>
    </w:p>
    <w:p>
      <w:pPr>
        <w:spacing w:after="0" w:line="52" w:lineRule="exact"/>
        <w:rPr>
          <w:sz w:val="20"/>
          <w:szCs w:val="20"/>
          <w:color w:val="auto"/>
        </w:rPr>
      </w:pPr>
    </w:p>
    <w:p>
      <w:pPr>
        <w:jc w:val="both"/>
        <w:ind w:left="889" w:right="3479" w:hanging="445"/>
        <w:spacing w:after="0" w:line="297" w:lineRule="auto"/>
        <w:tabs>
          <w:tab w:leader="none" w:pos="88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previously given to the trustee written notice of a continuing event of default with respect to the debt securities of that series,</w:t>
      </w:r>
    </w:p>
    <w:p>
      <w:pPr>
        <w:spacing w:after="0" w:line="51" w:lineRule="exact"/>
        <w:rPr>
          <w:rFonts w:ascii="Courier New" w:cs="Courier New" w:eastAsia="Courier New" w:hAnsi="Courier New"/>
          <w:sz w:val="15"/>
          <w:szCs w:val="15"/>
          <w:color w:val="auto"/>
        </w:rPr>
      </w:pPr>
    </w:p>
    <w:p>
      <w:pPr>
        <w:ind w:left="889" w:right="3119" w:hanging="445"/>
        <w:spacing w:after="0" w:line="278" w:lineRule="auto"/>
        <w:tabs>
          <w:tab w:leader="none" w:pos="88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the outstanding debt securities of that series have made a written request and have offered reasonable indemnification to the trustee to institute the proceeding, and</w:t>
      </w:r>
    </w:p>
    <w:p>
      <w:pPr>
        <w:spacing w:after="0" w:line="66" w:lineRule="exact"/>
        <w:rPr>
          <w:rFonts w:ascii="Courier New" w:cs="Courier New" w:eastAsia="Courier New" w:hAnsi="Courier New"/>
          <w:sz w:val="15"/>
          <w:szCs w:val="15"/>
          <w:color w:val="auto"/>
        </w:rPr>
      </w:pPr>
    </w:p>
    <w:p>
      <w:pPr>
        <w:ind w:left="889" w:right="3119" w:hanging="445"/>
        <w:spacing w:after="0" w:line="269" w:lineRule="auto"/>
        <w:tabs>
          <w:tab w:leader="none" w:pos="88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72" w:lineRule="exact"/>
        <w:rPr>
          <w:sz w:val="20"/>
          <w:szCs w:val="20"/>
          <w:color w:val="auto"/>
        </w:rPr>
      </w:pPr>
    </w:p>
    <w:p>
      <w:pPr>
        <w:ind w:left="9" w:right="3299" w:firstLine="444"/>
        <w:spacing w:after="0" w:line="278" w:lineRule="auto"/>
        <w:rPr>
          <w:sz w:val="20"/>
          <w:szCs w:val="20"/>
          <w:color w:val="auto"/>
        </w:rPr>
      </w:pPr>
      <w:r>
        <w:rPr>
          <w:rFonts w:ascii="Courier New" w:cs="Courier New" w:eastAsia="Courier New" w:hAnsi="Courier New"/>
          <w:sz w:val="15"/>
          <w:szCs w:val="15"/>
          <w:color w:val="auto"/>
        </w:rPr>
        <w:t>Holders may, however, sue to enforce the payment of principal, premium or interest on the debt securities or after the due date or the right to convert, if any, teh debt securities without following the procedures listed in (1) through (3) above.</w:t>
      </w:r>
    </w:p>
    <w:p>
      <w:pPr>
        <w:spacing w:after="0" w:line="66" w:lineRule="exact"/>
        <w:rPr>
          <w:sz w:val="20"/>
          <w:szCs w:val="20"/>
          <w:color w:val="auto"/>
        </w:rPr>
      </w:pPr>
    </w:p>
    <w:p>
      <w:pPr>
        <w:ind w:left="9" w:right="3119" w:firstLine="444"/>
        <w:spacing w:after="0" w:line="297" w:lineRule="auto"/>
        <w:rPr>
          <w:sz w:val="20"/>
          <w:szCs w:val="20"/>
          <w:color w:val="auto"/>
        </w:rPr>
      </w:pPr>
      <w:r>
        <w:rPr>
          <w:rFonts w:ascii="Courier New" w:cs="Courier New" w:eastAsia="Courier New" w:hAnsi="Courier New"/>
          <w:sz w:val="15"/>
          <w:szCs w:val="15"/>
          <w:color w:val="auto"/>
        </w:rPr>
        <w:t>We will furnish the trustee an annual statement by our officers as to whether or not we are in default in the performance of the indenture and, if so, specifying all known defaults.</w:t>
      </w:r>
    </w:p>
    <w:p>
      <w:pPr>
        <w:spacing w:after="0" w:line="5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Modification and Waiver</w:t>
      </w:r>
    </w:p>
    <w:p>
      <w:pPr>
        <w:spacing w:after="0" w:line="171" w:lineRule="exact"/>
        <w:rPr>
          <w:sz w:val="20"/>
          <w:szCs w:val="20"/>
          <w:color w:val="auto"/>
        </w:rPr>
      </w:pPr>
    </w:p>
    <w:p>
      <w:pPr>
        <w:ind w:left="9" w:right="3399" w:firstLine="444"/>
        <w:spacing w:after="0" w:line="278" w:lineRule="auto"/>
        <w:rPr>
          <w:sz w:val="20"/>
          <w:szCs w:val="20"/>
          <w:color w:val="auto"/>
        </w:rPr>
      </w:pPr>
      <w:r>
        <w:rPr>
          <w:rFonts w:ascii="Courier New" w:cs="Courier New" w:eastAsia="Courier New" w:hAnsi="Courier New"/>
          <w:sz w:val="15"/>
          <w:szCs w:val="15"/>
          <w:color w:val="auto"/>
        </w:rPr>
        <w:t>Micron and the trustee may make modifications and amendments to the indentures with the consent of the holders of a majority of an aggregate principal amount of the outstanding securities of each series affected by the modification or amendment.</w:t>
      </w:r>
    </w:p>
    <w:p>
      <w:pPr>
        <w:spacing w:after="0" w:line="66" w:lineRule="exact"/>
        <w:rPr>
          <w:sz w:val="20"/>
          <w:szCs w:val="20"/>
          <w:color w:val="auto"/>
        </w:rPr>
      </w:pPr>
    </w:p>
    <w:p>
      <w:pPr>
        <w:ind w:left="9" w:right="3219" w:firstLine="444"/>
        <w:spacing w:after="0" w:line="278" w:lineRule="auto"/>
        <w:rPr>
          <w:sz w:val="20"/>
          <w:szCs w:val="20"/>
          <w:color w:val="auto"/>
        </w:rPr>
      </w:pPr>
      <w:r>
        <w:rPr>
          <w:rFonts w:ascii="Courier New" w:cs="Courier New" w:eastAsia="Courier New" w:hAnsi="Courier New"/>
          <w:sz w:val="15"/>
          <w:szCs w:val="15"/>
          <w:color w:val="auto"/>
        </w:rPr>
        <w:t>However, neither we nor the trustee may make any modification or amendment without the consent of the holder of each outstanding security of that series affected by the modification or amendment if such modification or amendment would:</w:t>
      </w:r>
    </w:p>
    <w:p>
      <w:pPr>
        <w:spacing w:after="0" w:line="66" w:lineRule="exact"/>
        <w:rPr>
          <w:sz w:val="20"/>
          <w:szCs w:val="20"/>
          <w:color w:val="auto"/>
        </w:rPr>
      </w:pPr>
    </w:p>
    <w:p>
      <w:pPr>
        <w:ind w:left="889" w:hanging="445"/>
        <w:spacing w:after="0"/>
        <w:tabs>
          <w:tab w:leader="none" w:pos="88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any debt security,</w:t>
      </w:r>
    </w:p>
    <w:p>
      <w:pPr>
        <w:spacing w:after="0" w:line="171" w:lineRule="exact"/>
        <w:rPr>
          <w:sz w:val="20"/>
          <w:szCs w:val="20"/>
          <w:color w:val="auto"/>
        </w:rPr>
      </w:pPr>
    </w:p>
    <w:p>
      <w:pPr>
        <w:ind w:left="889" w:right="3839" w:hanging="445"/>
        <w:spacing w:after="0" w:line="353" w:lineRule="auto"/>
        <w:tabs>
          <w:tab w:leader="none" w:pos="88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premium, if any, or interest on any debt security,</w:t>
      </w:r>
    </w:p>
    <w:p>
      <w:pPr>
        <w:spacing w:after="0" w:line="12" w:lineRule="exact"/>
        <w:rPr>
          <w:sz w:val="20"/>
          <w:szCs w:val="20"/>
          <w:color w:val="auto"/>
        </w:rPr>
      </w:pPr>
    </w:p>
    <w:p>
      <w:pPr>
        <w:ind w:left="889" w:right="3479" w:hanging="445"/>
        <w:spacing w:after="0" w:line="353" w:lineRule="auto"/>
        <w:tabs>
          <w:tab w:leader="none" w:pos="88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an original issue discount security or any other debt security payable on acceleration of maturity,</w:t>
      </w:r>
    </w:p>
    <w:p>
      <w:pPr>
        <w:spacing w:after="0" w:line="12" w:lineRule="exact"/>
        <w:rPr>
          <w:sz w:val="20"/>
          <w:szCs w:val="20"/>
          <w:color w:val="auto"/>
        </w:rPr>
      </w:pPr>
    </w:p>
    <w:p>
      <w:pPr>
        <w:ind w:left="889" w:right="3119" w:hanging="445"/>
        <w:spacing w:after="0" w:line="353" w:lineRule="auto"/>
        <w:tabs>
          <w:tab w:leader="none" w:pos="88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place of payment or the currency in which any debt security is payable,</w:t>
      </w:r>
    </w:p>
    <w:p>
      <w:pPr>
        <w:spacing w:after="0" w:line="12" w:lineRule="exact"/>
        <w:rPr>
          <w:sz w:val="20"/>
          <w:szCs w:val="20"/>
          <w:color w:val="auto"/>
        </w:rPr>
      </w:pPr>
    </w:p>
    <w:p>
      <w:pPr>
        <w:ind w:left="889" w:right="3299" w:hanging="445"/>
        <w:spacing w:after="0" w:line="353" w:lineRule="auto"/>
        <w:tabs>
          <w:tab w:leader="none" w:pos="88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sue for any payment after the stated maturity or redemption date,</w:t>
      </w:r>
    </w:p>
    <w:p>
      <w:pPr>
        <w:spacing w:after="0" w:line="1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05" w:right="1440" w:bottom="1440" w:gutter="0" w:footer="0" w:header="0"/>
        </w:sectPr>
      </w:pPr>
    </w:p>
    <w:bookmarkStart w:id="16" w:name="page17"/>
    <w:bookmarkEnd w:id="16"/>
    <w:p>
      <w:pPr>
        <w:ind w:left="880" w:right="3299" w:hanging="445"/>
        <w:spacing w:after="0" w:line="297" w:lineRule="auto"/>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subordinated debt securities, modify the subordination provisions in a materially adverse manner to the holders of subordinated debt securities, or</w:t>
      </w:r>
    </w:p>
    <w:p>
      <w:pPr>
        <w:spacing w:after="0" w:line="52" w:lineRule="exact"/>
        <w:rPr>
          <w:sz w:val="20"/>
          <w:szCs w:val="20"/>
          <w:color w:val="auto"/>
        </w:rPr>
      </w:pPr>
    </w:p>
    <w:p>
      <w:pPr>
        <w:ind w:left="880" w:right="3479" w:hanging="445"/>
        <w:spacing w:after="0" w:line="353" w:lineRule="auto"/>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provisions in the indenture that relate to modifying or amending the indenture.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 Defeasance</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indenture contains a provision that permits us to elect:</w:t>
      </w:r>
    </w:p>
    <w:p>
      <w:pPr>
        <w:spacing w:after="0" w:line="171" w:lineRule="exact"/>
        <w:rPr>
          <w:sz w:val="20"/>
          <w:szCs w:val="20"/>
          <w:color w:val="auto"/>
        </w:rPr>
      </w:pPr>
    </w:p>
    <w:p>
      <w:pPr>
        <w:ind w:left="880" w:right="3659" w:hanging="445"/>
        <w:spacing w:after="0" w:line="297" w:lineRule="auto"/>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discharged from all of our obligations, subject to limited exceptions, with respect to any series of debt securities then outstanding; and/or</w:t>
      </w:r>
    </w:p>
    <w:p>
      <w:pPr>
        <w:spacing w:after="0" w:line="52" w:lineRule="exact"/>
        <w:rPr>
          <w:sz w:val="20"/>
          <w:szCs w:val="20"/>
          <w:color w:val="auto"/>
        </w:rPr>
      </w:pPr>
    </w:p>
    <w:p>
      <w:pPr>
        <w:ind w:left="880" w:right="3219" w:hanging="445"/>
        <w:spacing w:after="0" w:line="297" w:lineRule="auto"/>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released from our obligations under the following covenants and from the consequences of an event of default resulting from a breach of these covenants:</w:t>
      </w:r>
    </w:p>
    <w:p>
      <w:pPr>
        <w:spacing w:after="0" w:line="51" w:lineRule="exact"/>
        <w:rPr>
          <w:rFonts w:ascii="Courier New" w:cs="Courier New" w:eastAsia="Courier New" w:hAnsi="Courier New"/>
          <w:sz w:val="15"/>
          <w:szCs w:val="15"/>
          <w:color w:val="auto"/>
        </w:rPr>
      </w:pPr>
    </w:p>
    <w:p>
      <w:pPr>
        <w:ind w:left="1320" w:right="3579" w:hanging="442"/>
        <w:spacing w:after="0" w:line="353" w:lineRule="auto"/>
        <w:tabs>
          <w:tab w:leader="none" w:pos="132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limitations on sale and leaseback transactions under the senior indenture,</w:t>
      </w:r>
    </w:p>
    <w:p>
      <w:pPr>
        <w:spacing w:after="0" w:line="12"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limitations on secured debt under the senior indenture, and</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subordination provisions under the subordinated indenture.</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To make either of the above elections, we must deposit in trust with the trustee enough money to pay in full the principal, interest and premium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8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If any of the above events occur, the holders of the debt securities of the series will not be entitled to the benefits of the indenture, except for registration of transfer and exchange of debt securities and replacement of lost, stolen or mutilated debt securities.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1"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Notices to holders will be given by mail to the addresses of the holders in the security register.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indentures and the debt securities will be governed by, and construed under, the law of the State of New York, without regard to conflicts of laws principles.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Trustee</w:t>
      </w:r>
    </w:p>
    <w:p>
      <w:pPr>
        <w:spacing w:after="0" w:line="17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The indentures limit the right of the trustee, should it become a creditor of Micron, to obtain payment of claims or secure its claims.</w:t>
      </w:r>
    </w:p>
    <w:p>
      <w:pPr>
        <w:spacing w:after="0" w:line="1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trustee is permitted to engage in certain other transactions. However, if the trustee , acquires any conflicting interest, and there is a default under the debt securities of any series for which they are trustee, the trustee must eliminate the conflict or resign.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Debt Securities</w:t>
      </w:r>
    </w:p>
    <w:p>
      <w:pPr>
        <w:spacing w:after="0" w:line="171"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The senior debt securities will be unsecured and will rank equally with all of our other unsecured and non-subordinated senior indebtedness.</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5" w:right="1440" w:bottom="1440" w:gutter="0" w:footer="0" w:header="0"/>
        </w:sectPr>
      </w:pPr>
    </w:p>
    <w:bookmarkStart w:id="17" w:name="page18"/>
    <w:bookmarkEnd w:id="17"/>
    <w:p>
      <w:pPr>
        <w:ind w:left="440"/>
        <w:spacing w:after="0"/>
        <w:rPr>
          <w:sz w:val="20"/>
          <w:szCs w:val="20"/>
          <w:color w:val="auto"/>
        </w:rPr>
      </w:pPr>
      <w:r>
        <w:rPr>
          <w:rFonts w:ascii="Courier New" w:cs="Courier New" w:eastAsia="Courier New" w:hAnsi="Courier New"/>
          <w:sz w:val="15"/>
          <w:szCs w:val="15"/>
          <w:color w:val="auto"/>
        </w:rPr>
        <w:t>Covenants in the Senior Indenture</w:t>
      </w:r>
    </w:p>
    <w:p>
      <w:pPr>
        <w:spacing w:after="0" w:line="171"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Limitations on Liens. Neither we nor any restricted subsidiary will issue, incur, create, assume or guarantee any secured debt without securing the senior debt securities equally and ratably with or prior to that secured debt unless the total amount of all secured debt that the senior debt securities are not secured equally and ratably with, would not exceed 15% of our consolidated net tangible assets.</w:t>
      </w:r>
    </w:p>
    <w:p>
      <w:pPr>
        <w:spacing w:after="0" w:line="77"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Limitations on Sale and Lease-back Transactions. Subject to the last paragraph of this Section, neither we nor any restricted subsidiary will enter into any lease longer than three years covering any of our principal property or any restricted subsidiary that is sold to any other person in connection with that lease unless either:</w:t>
      </w:r>
    </w:p>
    <w:p>
      <w:pPr>
        <w:spacing w:after="0" w:line="72" w:lineRule="exact"/>
        <w:rPr>
          <w:sz w:val="20"/>
          <w:szCs w:val="20"/>
          <w:color w:val="auto"/>
        </w:rPr>
      </w:pPr>
    </w:p>
    <w:p>
      <w:pPr>
        <w:ind w:left="880" w:right="3219" w:hanging="445"/>
        <w:spacing w:after="0" w:line="263" w:lineRule="auto"/>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any restricted subsidiary would be entitled to incur indebtedness secured by a mortgage on the principal property involved in such transaction at least equal in amount to the attributable debt with respect to the lease, without equally and ratably securing the senior debt securities, pursuant to "Limitation on Liens" described above, or</w:t>
      </w:r>
    </w:p>
    <w:p>
      <w:pPr>
        <w:spacing w:after="0" w:line="77" w:lineRule="exact"/>
        <w:rPr>
          <w:rFonts w:ascii="Courier New" w:cs="Courier New" w:eastAsia="Courier New" w:hAnsi="Courier New"/>
          <w:sz w:val="15"/>
          <w:szCs w:val="15"/>
          <w:color w:val="auto"/>
        </w:rPr>
      </w:pPr>
    </w:p>
    <w:p>
      <w:pPr>
        <w:ind w:left="880" w:right="3479" w:hanging="445"/>
        <w:spacing w:after="0" w:line="278" w:lineRule="auto"/>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 the following amounts is applied within 180 days to the retirement of our or any restricted subsidiary's long-term debt or the purchase or development of comparable property:</w:t>
      </w:r>
    </w:p>
    <w:p>
      <w:pPr>
        <w:spacing w:after="0" w:line="66" w:lineRule="exact"/>
        <w:rPr>
          <w:sz w:val="20"/>
          <w:szCs w:val="20"/>
          <w:color w:val="auto"/>
        </w:rPr>
      </w:pPr>
    </w:p>
    <w:p>
      <w:pPr>
        <w:ind w:left="880" w:hanging="445"/>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from the sale;</w:t>
      </w:r>
    </w:p>
    <w:p>
      <w:pPr>
        <w:spacing w:after="0" w:line="171" w:lineRule="exact"/>
        <w:rPr>
          <w:sz w:val="20"/>
          <w:szCs w:val="20"/>
          <w:color w:val="auto"/>
        </w:rPr>
      </w:pPr>
    </w:p>
    <w:p>
      <w:pPr>
        <w:ind w:left="880" w:right="4019" w:hanging="445"/>
        <w:spacing w:after="0" w:line="353"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attributable debt with respect to the sale and leaseback transaction.</w:t>
      </w:r>
    </w:p>
    <w:p>
      <w:pPr>
        <w:spacing w:after="0" w:line="1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However, either we or our restricted subsidiaries would be able to enter into a sale and lease back transaction without being required to apply to net proceeds from this sale and lease back transaction as required by (2) above if the sum of the following amounts would not exceed 15% of our consolidated net tangible assets:</w:t>
      </w:r>
    </w:p>
    <w:p>
      <w:pPr>
        <w:spacing w:after="0" w:line="72" w:lineRule="exact"/>
        <w:rPr>
          <w:sz w:val="20"/>
          <w:szCs w:val="20"/>
          <w:color w:val="auto"/>
        </w:rPr>
      </w:pPr>
    </w:p>
    <w:p>
      <w:pPr>
        <w:ind w:left="880" w:hanging="445"/>
        <w:spacing w:after="0"/>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amount of the sale and leaseback transactions, and</w:t>
      </w:r>
    </w:p>
    <w:p>
      <w:pPr>
        <w:spacing w:after="0" w:line="171" w:lineRule="exact"/>
        <w:rPr>
          <w:rFonts w:ascii="Courier New" w:cs="Courier New" w:eastAsia="Courier New" w:hAnsi="Courier New"/>
          <w:sz w:val="15"/>
          <w:szCs w:val="15"/>
          <w:color w:val="auto"/>
        </w:rPr>
      </w:pPr>
    </w:p>
    <w:p>
      <w:pPr>
        <w:ind w:left="440" w:right="6419" w:hanging="5"/>
        <w:spacing w:after="0" w:line="482" w:lineRule="auto"/>
        <w:tabs>
          <w:tab w:leader="none" w:pos="88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amount of secured debt. Definitions</w:t>
      </w:r>
    </w:p>
    <w:p>
      <w:pPr>
        <w:ind w:right="3299" w:firstLine="444"/>
        <w:spacing w:after="0" w:line="353" w:lineRule="auto"/>
        <w:rPr>
          <w:sz w:val="20"/>
          <w:szCs w:val="20"/>
          <w:color w:val="auto"/>
        </w:rPr>
      </w:pPr>
      <w:r>
        <w:rPr>
          <w:rFonts w:ascii="Courier New" w:cs="Courier New" w:eastAsia="Courier New" w:hAnsi="Courier New"/>
          <w:sz w:val="15"/>
          <w:szCs w:val="15"/>
          <w:color w:val="auto"/>
        </w:rPr>
        <w:t>"attributable debt" with regard to a sale and leaseback transaction means the lesser of:</w:t>
      </w:r>
    </w:p>
    <w:p>
      <w:pPr>
        <w:spacing w:after="0" w:line="12" w:lineRule="exact"/>
        <w:rPr>
          <w:sz w:val="20"/>
          <w:szCs w:val="20"/>
          <w:color w:val="auto"/>
        </w:rPr>
      </w:pPr>
    </w:p>
    <w:p>
      <w:pPr>
        <w:ind w:left="880" w:right="3219" w:hanging="445"/>
        <w:spacing w:after="0" w:line="353" w:lineRule="auto"/>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such property as determined in good faith by our board of directors, or</w:t>
      </w:r>
    </w:p>
    <w:p>
      <w:pPr>
        <w:spacing w:after="0" w:line="1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present value of all net rentals under the lease.</w:t>
      </w:r>
    </w:p>
    <w:p>
      <w:pPr>
        <w:spacing w:after="0" w:line="171"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"consolidated net tangible assets" means total assets, less reserves and other properly deductible items, after deducting:</w:t>
      </w:r>
    </w:p>
    <w:p>
      <w:pPr>
        <w:spacing w:after="0" w:line="12" w:lineRule="exact"/>
        <w:rPr>
          <w:sz w:val="20"/>
          <w:szCs w:val="20"/>
          <w:color w:val="auto"/>
        </w:rPr>
      </w:pPr>
    </w:p>
    <w:p>
      <w:pPr>
        <w:ind w:left="880" w:hanging="445"/>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current liabilities, excluding:</w:t>
      </w:r>
    </w:p>
    <w:p>
      <w:pPr>
        <w:spacing w:after="0" w:line="17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notes and loans payable,</w:t>
      </w:r>
    </w:p>
    <w:p>
      <w:pPr>
        <w:spacing w:after="0" w:line="17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current maturities of long-term debt, and</w:t>
      </w:r>
    </w:p>
    <w:p>
      <w:pPr>
        <w:spacing w:after="0" w:line="17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current maturities of capital leases,</w:t>
      </w:r>
    </w:p>
    <w:p>
      <w:pPr>
        <w:spacing w:after="0" w:line="171" w:lineRule="exact"/>
        <w:rPr>
          <w:rFonts w:ascii="Courier New" w:cs="Courier New" w:eastAsia="Courier New" w:hAnsi="Courier New"/>
          <w:sz w:val="15"/>
          <w:szCs w:val="15"/>
          <w:color w:val="auto"/>
        </w:rPr>
      </w:pPr>
    </w:p>
    <w:p>
      <w:pPr>
        <w:ind w:left="880" w:right="3219" w:hanging="445"/>
        <w:spacing w:after="0" w:line="353" w:lineRule="auto"/>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goodwill, patents and trademarks, to the extent included in total assets.</w:t>
      </w:r>
    </w:p>
    <w:p>
      <w:pPr>
        <w:spacing w:after="0" w:line="12"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"mortgage" means a mortgage, security interest, pledge, lien, charge or other encumbrance.</w:t>
      </w:r>
    </w:p>
    <w:p>
      <w:pPr>
        <w:spacing w:after="0" w:line="1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"Nonrecourse obligation" means indebtedness substantially related to:</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5" w:right="1440" w:bottom="1440" w:gutter="0" w:footer="0" w:header="0"/>
        </w:sectPr>
      </w:pPr>
    </w:p>
    <w:bookmarkStart w:id="18" w:name="page19"/>
    <w:bookmarkEnd w:id="18"/>
    <w:p>
      <w:pPr>
        <w:ind w:left="880" w:right="3119" w:hanging="445"/>
        <w:spacing w:after="0" w:line="353" w:lineRule="auto"/>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assets not previously owned by us or any restricted subsidiary, or</w:t>
      </w:r>
    </w:p>
    <w:p>
      <w:pPr>
        <w:spacing w:after="0" w:line="12" w:lineRule="exact"/>
        <w:rPr>
          <w:sz w:val="20"/>
          <w:szCs w:val="20"/>
          <w:color w:val="auto"/>
        </w:rPr>
      </w:pPr>
    </w:p>
    <w:p>
      <w:pPr>
        <w:ind w:left="880" w:right="3479" w:hanging="445"/>
        <w:spacing w:after="0" w:line="269" w:lineRule="auto"/>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financing of any project involving the development of either Micron's or any restricted subsidiary's property in which the only recourse is to the assets acquired with the proceeds of the transaction or the project financed with the proceeds of the transaction.</w:t>
      </w:r>
    </w:p>
    <w:p>
      <w:pPr>
        <w:spacing w:after="0" w:line="72"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"principal property" means the land, improvements, buildings and fixtures owned by us or a restricted subsidiary located in the United States that constitutes our principal corporate office, any manufacturing plant or any manufacturing facility and has a market value in excess of 2.0% of our consolidated net tangible assets as of the determination date. Principal property does not include any property that our board of directors has determined not to be of material importance to the business conducted by us and our subsidiaries, taken as a whole.</w:t>
      </w:r>
    </w:p>
    <w:p>
      <w:pPr>
        <w:spacing w:after="0" w:line="80"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"restricted subsidiary" means any subsidiary that owns any principal property. "Restricted subsidiary" does not include:</w:t>
      </w:r>
    </w:p>
    <w:p>
      <w:pPr>
        <w:spacing w:after="0" w:line="12" w:lineRule="exact"/>
        <w:rPr>
          <w:sz w:val="20"/>
          <w:szCs w:val="20"/>
          <w:color w:val="auto"/>
        </w:rPr>
      </w:pPr>
    </w:p>
    <w:p>
      <w:pPr>
        <w:ind w:left="880" w:right="3299" w:hanging="445"/>
        <w:spacing w:after="0" w:line="297"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primarily engaged in financing receivables or that is principally engaged in financing Micron's operations outside the United States, or</w:t>
      </w:r>
    </w:p>
    <w:p>
      <w:pPr>
        <w:spacing w:after="0" w:line="52" w:lineRule="exact"/>
        <w:rPr>
          <w:sz w:val="20"/>
          <w:szCs w:val="20"/>
          <w:color w:val="auto"/>
        </w:rPr>
      </w:pPr>
    </w:p>
    <w:p>
      <w:pPr>
        <w:ind w:left="880" w:right="3119" w:hanging="445"/>
        <w:spacing w:after="0" w:line="326" w:lineRule="auto"/>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 our less than 80% owned subsidiaries if the common stock of the subsidiary is traded on any national securities exchange or quoted on the Nasdaq National Market or in the over-the-counter markets.</w:t>
      </w:r>
    </w:p>
    <w:p>
      <w:pPr>
        <w:spacing w:after="0" w:line="36" w:lineRule="exact"/>
        <w:rPr>
          <w:sz w:val="20"/>
          <w:szCs w:val="20"/>
          <w:color w:val="auto"/>
        </w:rPr>
      </w:pPr>
    </w:p>
    <w:p>
      <w:pPr>
        <w:jc w:val="both"/>
        <w:ind w:right="3119" w:firstLine="444"/>
        <w:spacing w:after="0" w:line="326" w:lineRule="auto"/>
        <w:rPr>
          <w:sz w:val="20"/>
          <w:szCs w:val="20"/>
          <w:color w:val="auto"/>
        </w:rPr>
      </w:pPr>
      <w:r>
        <w:rPr>
          <w:rFonts w:ascii="Courier New" w:cs="Courier New" w:eastAsia="Courier New" w:hAnsi="Courier New"/>
          <w:sz w:val="14"/>
          <w:szCs w:val="14"/>
          <w:color w:val="auto"/>
        </w:rPr>
        <w:t>"secured debt" means any of our debt or any debt of a restricted subsidiary for borrowed money secured by a mortgage on any principal property or any stock or indebtedness of a restricted subsidiary. Secured debt does not include:</w:t>
      </w:r>
    </w:p>
    <w:p>
      <w:pPr>
        <w:spacing w:after="0" w:line="36" w:lineRule="exact"/>
        <w:rPr>
          <w:sz w:val="20"/>
          <w:szCs w:val="20"/>
          <w:color w:val="auto"/>
        </w:rPr>
      </w:pPr>
    </w:p>
    <w:p>
      <w:pPr>
        <w:ind w:left="880" w:right="3659" w:hanging="445"/>
        <w:spacing w:after="0" w:line="353" w:lineRule="auto"/>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existing at the time of acquisition of the property by us or any subsidiary,</w:t>
      </w:r>
    </w:p>
    <w:p>
      <w:pPr>
        <w:spacing w:after="0" w:line="12" w:lineRule="exact"/>
        <w:rPr>
          <w:sz w:val="20"/>
          <w:szCs w:val="20"/>
          <w:color w:val="auto"/>
        </w:rPr>
      </w:pPr>
    </w:p>
    <w:p>
      <w:pPr>
        <w:ind w:left="880" w:right="3119" w:hanging="445"/>
        <w:spacing w:after="0" w:line="297" w:lineRule="auto"/>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shares of stock or indebtedness or other assets of a corporation existing at the time it becomes a restricted subsidiary,</w:t>
      </w:r>
    </w:p>
    <w:p>
      <w:pPr>
        <w:spacing w:after="0" w:line="52" w:lineRule="exact"/>
        <w:rPr>
          <w:sz w:val="20"/>
          <w:szCs w:val="20"/>
          <w:color w:val="auto"/>
        </w:rPr>
      </w:pPr>
    </w:p>
    <w:p>
      <w:pPr>
        <w:ind w:left="880" w:right="3119" w:hanging="445"/>
        <w:spacing w:after="0" w:line="285" w:lineRule="auto"/>
        <w:tabs>
          <w:tab w:leader="none" w:pos="8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existing at the time of acquisition by Micron or a restricted subsidiary, or mortgages to secure payment of all or any part of the purchase price, or to secure any debt within 270 days after the acquisition thereof, or in the case of property, the completion of construction, improvement or commencement of substantial commercial operation of the property,</w:t>
      </w:r>
    </w:p>
    <w:p>
      <w:pPr>
        <w:spacing w:after="0" w:line="65" w:lineRule="exact"/>
        <w:rPr>
          <w:sz w:val="20"/>
          <w:szCs w:val="20"/>
          <w:color w:val="auto"/>
        </w:rPr>
      </w:pPr>
    </w:p>
    <w:p>
      <w:pPr>
        <w:ind w:left="880" w:right="3399" w:hanging="445"/>
        <w:spacing w:after="0" w:line="353" w:lineRule="auto"/>
        <w:tabs>
          <w:tab w:leader="none" w:pos="8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to secure indebtedness owing to Micron or to a restricted subsidiary,</w:t>
      </w:r>
    </w:p>
    <w:p>
      <w:pPr>
        <w:spacing w:after="0" w:line="12" w:lineRule="exact"/>
        <w:rPr>
          <w:sz w:val="20"/>
          <w:szCs w:val="20"/>
          <w:color w:val="auto"/>
        </w:rPr>
      </w:pPr>
    </w:p>
    <w:p>
      <w:pPr>
        <w:ind w:left="880" w:hanging="445"/>
        <w:spacing w:after="0"/>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existing at the date of the senior indenture,</w:t>
      </w:r>
    </w:p>
    <w:p>
      <w:pPr>
        <w:spacing w:after="0" w:line="171" w:lineRule="exact"/>
        <w:rPr>
          <w:sz w:val="20"/>
          <w:szCs w:val="20"/>
          <w:color w:val="auto"/>
        </w:rPr>
      </w:pPr>
    </w:p>
    <w:p>
      <w:pPr>
        <w:ind w:left="880" w:right="3759" w:hanging="445"/>
        <w:spacing w:after="0" w:line="297" w:lineRule="auto"/>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of a corporation existing at the time the corporation is merged or consolidated with us or a restricted subsidiary,</w:t>
      </w:r>
    </w:p>
    <w:p>
      <w:pPr>
        <w:spacing w:after="0" w:line="52" w:lineRule="exact"/>
        <w:rPr>
          <w:sz w:val="20"/>
          <w:szCs w:val="20"/>
          <w:color w:val="auto"/>
        </w:rPr>
      </w:pPr>
    </w:p>
    <w:p>
      <w:pPr>
        <w:jc w:val="both"/>
        <w:ind w:left="880" w:right="3219" w:hanging="445"/>
        <w:spacing w:after="0" w:line="297" w:lineRule="auto"/>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of a corporation at the time of a sale or lease of the properties of a corporation as an entirety or substantially as an entirety to us or a restricted subsidiary,</w:t>
      </w:r>
    </w:p>
    <w:p>
      <w:pPr>
        <w:spacing w:after="0" w:line="52" w:lineRule="exact"/>
        <w:rPr>
          <w:sz w:val="20"/>
          <w:szCs w:val="20"/>
          <w:color w:val="auto"/>
        </w:rPr>
      </w:pPr>
    </w:p>
    <w:p>
      <w:pPr>
        <w:jc w:val="both"/>
        <w:ind w:left="880" w:right="3659" w:hanging="445"/>
        <w:spacing w:after="0" w:line="297" w:lineRule="auto"/>
        <w:tabs>
          <w:tab w:leader="none" w:pos="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incurred to finance the acquisition or construction of property secured by mortgages in favor of the United States or a political subdivision of the United States,</w:t>
      </w:r>
    </w:p>
    <w:p>
      <w:pPr>
        <w:spacing w:after="0" w:line="52" w:lineRule="exact"/>
        <w:rPr>
          <w:sz w:val="20"/>
          <w:szCs w:val="20"/>
          <w:color w:val="auto"/>
        </w:rPr>
      </w:pPr>
    </w:p>
    <w:p>
      <w:pPr>
        <w:ind w:left="880" w:right="3299" w:hanging="445"/>
        <w:spacing w:after="0" w:line="353" w:lineRule="auto"/>
        <w:tabs>
          <w:tab w:leader="none" w:pos="8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incurred in connection with asset acquisition or a project financed with a non-recourse obligation, or</w:t>
      </w:r>
    </w:p>
    <w:p>
      <w:pPr>
        <w:spacing w:after="0" w:line="12" w:lineRule="exact"/>
        <w:rPr>
          <w:sz w:val="20"/>
          <w:szCs w:val="20"/>
          <w:color w:val="auto"/>
        </w:rPr>
      </w:pPr>
    </w:p>
    <w:p>
      <w:pPr>
        <w:ind w:left="880" w:right="3399" w:hanging="445"/>
        <w:spacing w:after="0" w:line="387" w:lineRule="auto"/>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constituting any extension, renewal or replacement of any mortgage listed above to the extent the mortgage is not increased.</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Subordinated Debt Securities</w:t>
      </w:r>
    </w:p>
    <w:p>
      <w:pPr>
        <w:spacing w:after="0" w:line="17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The indebtedness evidenced by the subordinated debt securities is subordinated to the extent provided in the subordinated indenture to the prior payment in full of all senior indebtedness, including any senior debt securities.</w:t>
      </w:r>
    </w:p>
    <w:p>
      <w:pPr>
        <w:spacing w:after="0" w:line="66" w:lineRule="exact"/>
        <w:rPr>
          <w:sz w:val="20"/>
          <w:szCs w:val="20"/>
          <w:color w:val="auto"/>
        </w:rPr>
      </w:pPr>
    </w:p>
    <w:p>
      <w:pPr>
        <w:ind w:right="3579" w:firstLine="444"/>
        <w:spacing w:after="0" w:line="259" w:lineRule="auto"/>
        <w:rPr>
          <w:sz w:val="20"/>
          <w:szCs w:val="20"/>
          <w:color w:val="auto"/>
        </w:rPr>
      </w:pPr>
      <w:r>
        <w:rPr>
          <w:rFonts w:ascii="Courier New" w:cs="Courier New" w:eastAsia="Courier New" w:hAnsi="Courier New"/>
          <w:sz w:val="15"/>
          <w:szCs w:val="15"/>
          <w:color w:val="auto"/>
        </w:rPr>
        <w:t>In the event of any insolvency, bankruptcy, receivership, liquidation, reorganization, debt restructuring or similar proceeding or liquidation, dissolution or winding up or any assignment for the benefit of creditors or marshalling of assets and liabilities, payments on the subordinated debt securities will be subordinated in right of payment to the prior payment in full, in cash or other payment satisfactory to the holders of senior indebtedness, of all senior indebtedness.</w:t>
      </w:r>
    </w:p>
    <w:p>
      <w:pPr>
        <w:spacing w:after="0" w:line="82" w:lineRule="exact"/>
        <w:rPr>
          <w:sz w:val="20"/>
          <w:szCs w:val="20"/>
          <w:color w:val="auto"/>
        </w:rPr>
      </w:pPr>
    </w:p>
    <w:p>
      <w:pPr>
        <w:ind w:right="3579" w:firstLine="444"/>
        <w:spacing w:after="0" w:line="278" w:lineRule="auto"/>
        <w:rPr>
          <w:sz w:val="20"/>
          <w:szCs w:val="20"/>
          <w:color w:val="auto"/>
        </w:rPr>
      </w:pPr>
      <w:r>
        <w:rPr>
          <w:rFonts w:ascii="Courier New" w:cs="Courier New" w:eastAsia="Courier New" w:hAnsi="Courier New"/>
          <w:sz w:val="15"/>
          <w:szCs w:val="15"/>
          <w:color w:val="auto"/>
        </w:rPr>
        <w:t>As a result of these subordination provisions, in the event of our liquidation or insolvency, holders of senior indebtedness may receive more, ratably, and holders of the subordinated debt securities may receive less, ratably, than our other creditors.</w:t>
      </w:r>
    </w:p>
    <w:p>
      <w:pPr>
        <w:spacing w:after="0" w:line="66"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In the event of any acceleration of the subordinated debt securities because of an event of default, holders of any senior indebtedness would be entitled to payment in full in cash or other payment satisfactory to the holders of senior indebtedness, of all senior indebtedness before the holders of subordinated debt securities are entitled to receive any payment or distribution.</w:t>
      </w:r>
    </w:p>
    <w:p>
      <w:pPr>
        <w:spacing w:after="0" w:line="77"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We are required to promptly notify holders of senior indebtedness if payment of the subordinated debt securities is accelerated because of an event of default.</w:t>
      </w:r>
    </w:p>
    <w:p>
      <w:pPr>
        <w:spacing w:after="0" w:line="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also not make payment on the subordinated debt securities if:</w:t>
      </w:r>
    </w:p>
    <w:p>
      <w:pPr>
        <w:spacing w:after="0" w:line="171" w:lineRule="exact"/>
        <w:rPr>
          <w:sz w:val="20"/>
          <w:szCs w:val="20"/>
          <w:color w:val="auto"/>
        </w:rPr>
      </w:pPr>
    </w:p>
    <w:p>
      <w:pPr>
        <w:ind w:left="1320" w:right="3479" w:hanging="442"/>
        <w:spacing w:after="0" w:line="353" w:lineRule="auto"/>
        <w:tabs>
          <w:tab w:leader="none" w:pos="13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senior indebtedness occurs and is continuing beyond any grace period, or</w:t>
      </w:r>
    </w:p>
    <w:p>
      <w:pPr>
        <w:spacing w:after="0" w:line="12" w:lineRule="exact"/>
        <w:rPr>
          <w:sz w:val="20"/>
          <w:szCs w:val="20"/>
          <w:color w:val="auto"/>
        </w:rPr>
      </w:pPr>
    </w:p>
    <w:p>
      <w:pPr>
        <w:ind w:left="1320" w:right="3119" w:hanging="442"/>
        <w:spacing w:after="0" w:line="263" w:lineRule="auto"/>
        <w:tabs>
          <w:tab w:leader="none" w:pos="13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default occurs and is continuing with respect to designated senior debt that permits holders or their representatives of designated senior debt to accelerate its maturity, and the trustee receives a payment blockage notice from us or some other person permitted to give the notice under the subordinated indenture.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and shall resume payments on the subordinated debt securities:</w:t>
      </w:r>
    </w:p>
    <w:p>
      <w:pPr>
        <w:spacing w:after="0" w:line="171" w:lineRule="exact"/>
        <w:rPr>
          <w:sz w:val="20"/>
          <w:szCs w:val="20"/>
          <w:color w:val="auto"/>
        </w:rPr>
      </w:pPr>
    </w:p>
    <w:p>
      <w:pPr>
        <w:ind w:left="1320" w:right="3119" w:hanging="442"/>
        <w:spacing w:after="0" w:line="353" w:lineRule="auto"/>
        <w:tabs>
          <w:tab w:leader="none" w:pos="13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payment default, when the default is cured or waived or ceases to exist, and</w:t>
      </w:r>
    </w:p>
    <w:p>
      <w:pPr>
        <w:spacing w:after="0" w:line="12" w:lineRule="exact"/>
        <w:rPr>
          <w:sz w:val="20"/>
          <w:szCs w:val="20"/>
          <w:color w:val="auto"/>
        </w:rPr>
      </w:pPr>
    </w:p>
    <w:p>
      <w:pPr>
        <w:ind w:left="1320" w:right="3219" w:hanging="442"/>
        <w:spacing w:after="0" w:line="278" w:lineRule="auto"/>
        <w:tabs>
          <w:tab w:leader="none" w:pos="13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nonpayment default, the earlier of when the default is cured or waived or ceases to exist or 179 days after the receipt of the payment blockage notice unless the subordination provisions prohibit such payment.</w:t>
      </w:r>
    </w:p>
    <w:p>
      <w:pPr>
        <w:spacing w:after="0" w:line="66"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No new payment blockage period may start unless 365 days have elapsed from the effectiveness of the prior payment blockage notice. No nonpayment default that existed or was continuing on the date of delivery of any payment blockage notice to the trustee shall be the basis for a subsequent payment blockage notice.</w:t>
      </w:r>
    </w:p>
    <w:p>
      <w:pPr>
        <w:spacing w:after="0" w:line="7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In the case of subordinated debt securities that are convertible at the option of a holder, the payment, issuance and delivery of cash, property or securities, other than stock and certain subordinated securities of Micron, upon conversion of a subordinated debt security will be deemed to constitute payment on account of the principal of such subordinated debt security.</w:t>
      </w:r>
    </w:p>
    <w:p>
      <w:pPr>
        <w:spacing w:after="0" w:line="7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The subordination provisions will not prevent the occurrence of any event of default under the subordinated indenture.</w:t>
      </w:r>
    </w:p>
    <w:p>
      <w:pPr>
        <w:spacing w:after="0" w:line="1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If the trustee or any holder receives any payment that should not have been made to them in contravention of subordination provisions before all senior indebtedness is paid in full, then such payment will be held in trust for the holders of senior indebtedness.</w:t>
      </w:r>
    </w:p>
    <w:p>
      <w:pPr>
        <w:spacing w:after="0" w:line="66"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Senior debt securities will constitute senior indebtedness under the subordinated indenture.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Definitions</w:t>
      </w:r>
    </w:p>
    <w:p>
      <w:pPr>
        <w:spacing w:after="0" w:line="171"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"designated senior debt" means any senior indebtedness that expressly provides that it is "designated senior debt."</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05" w:right="1440" w:bottom="1440" w:gutter="0" w:footer="0" w:header="0"/>
        </w:sectPr>
      </w:pPr>
    </w:p>
    <w:bookmarkStart w:id="20" w:name="page21"/>
    <w:bookmarkEnd w:id="20"/>
    <w:p>
      <w:pPr>
        <w:ind w:right="3219" w:firstLine="444"/>
        <w:spacing w:after="0" w:line="257" w:lineRule="auto"/>
        <w:rPr>
          <w:sz w:val="20"/>
          <w:szCs w:val="20"/>
          <w:color w:val="auto"/>
        </w:rPr>
      </w:pPr>
      <w:r>
        <w:rPr>
          <w:rFonts w:ascii="Courier New" w:cs="Courier New" w:eastAsia="Courier New" w:hAnsi="Courier New"/>
          <w:sz w:val="15"/>
          <w:szCs w:val="15"/>
          <w:color w:val="auto"/>
        </w:rPr>
        <w:t>"senior indebtedness" means the principal, premium, if any, and interest, if any, including interest accruing on or after the filing of any petition in bankruptcy or for reorganization of Micron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the subordinated indenture or thereafter created, incurred or assumed:</w:t>
      </w:r>
    </w:p>
    <w:p>
      <w:pPr>
        <w:spacing w:after="0" w:line="80" w:lineRule="exact"/>
        <w:rPr>
          <w:sz w:val="20"/>
          <w:szCs w:val="20"/>
          <w:color w:val="auto"/>
        </w:rPr>
      </w:pPr>
    </w:p>
    <w:p>
      <w:pPr>
        <w:ind w:left="880" w:right="3399" w:hanging="445"/>
        <w:spacing w:after="0" w:line="353" w:lineRule="auto"/>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indebtedness evidenced by credit or loan agreement, note, bond, debenture or other written obligation;</w:t>
      </w:r>
    </w:p>
    <w:p>
      <w:pPr>
        <w:spacing w:after="0" w:line="12" w:lineRule="exact"/>
        <w:rPr>
          <w:sz w:val="20"/>
          <w:szCs w:val="20"/>
          <w:color w:val="auto"/>
        </w:rPr>
      </w:pPr>
    </w:p>
    <w:p>
      <w:pPr>
        <w:ind w:left="880" w:hanging="445"/>
        <w:spacing w:after="0"/>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for money borrowed;</w:t>
      </w:r>
    </w:p>
    <w:p>
      <w:pPr>
        <w:spacing w:after="0" w:line="171" w:lineRule="exact"/>
        <w:rPr>
          <w:sz w:val="20"/>
          <w:szCs w:val="20"/>
          <w:color w:val="auto"/>
        </w:rPr>
      </w:pPr>
    </w:p>
    <w:p>
      <w:pPr>
        <w:ind w:left="880" w:right="3119" w:hanging="445"/>
        <w:spacing w:after="0" w:line="297" w:lineRule="auto"/>
        <w:tabs>
          <w:tab w:leader="none" w:pos="8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evidenced by a note or similar instrument given in connection with the acquisition of any businesses, properties or assets of any kind;</w:t>
      </w:r>
    </w:p>
    <w:p>
      <w:pPr>
        <w:spacing w:after="0" w:line="52" w:lineRule="exact"/>
        <w:rPr>
          <w:sz w:val="20"/>
          <w:szCs w:val="20"/>
          <w:color w:val="auto"/>
        </w:rPr>
      </w:pPr>
    </w:p>
    <w:p>
      <w:pPr>
        <w:ind w:left="880" w:right="3299" w:hanging="445"/>
        <w:spacing w:after="0" w:line="297" w:lineRule="auto"/>
        <w:tabs>
          <w:tab w:leader="none" w:pos="8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obligations as lessee under leases required to be capitalized on the balance sheet of the lessee under generally accepted accounting principles;</w:t>
      </w:r>
    </w:p>
    <w:p>
      <w:pPr>
        <w:spacing w:after="0" w:line="52" w:lineRule="exact"/>
        <w:rPr>
          <w:sz w:val="20"/>
          <w:szCs w:val="20"/>
          <w:color w:val="auto"/>
        </w:rPr>
      </w:pPr>
    </w:p>
    <w:p>
      <w:pPr>
        <w:ind w:left="880" w:right="3119" w:hanging="445"/>
        <w:spacing w:after="0" w:line="278" w:lineRule="auto"/>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obligations as lessee under other leases for facilities, equipment or related assets, whether or not capitalized, entered into or leased after the date of the subordinated indenture, for financing purposes as determined by Micron;</w:t>
      </w:r>
    </w:p>
    <w:p>
      <w:pPr>
        <w:spacing w:after="0" w:line="66" w:lineRule="exact"/>
        <w:rPr>
          <w:sz w:val="20"/>
          <w:szCs w:val="20"/>
          <w:color w:val="auto"/>
        </w:rPr>
      </w:pPr>
    </w:p>
    <w:p>
      <w:pPr>
        <w:ind w:left="880" w:right="3119" w:hanging="445"/>
        <w:spacing w:after="0" w:line="269" w:lineRule="auto"/>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obligations under any lease or related document, including a purchase agreement, that provides that we are contractually obligated to purchase or cause a third party to purchase the leased property and the obligations of Micron under such lease or related document to purchase or cause a third party to purchase such lease property;</w:t>
      </w:r>
    </w:p>
    <w:p>
      <w:pPr>
        <w:spacing w:after="0" w:line="72" w:lineRule="exact"/>
        <w:rPr>
          <w:sz w:val="20"/>
          <w:szCs w:val="20"/>
          <w:color w:val="auto"/>
        </w:rPr>
      </w:pPr>
    </w:p>
    <w:p>
      <w:pPr>
        <w:ind w:left="880" w:right="3299" w:hanging="445"/>
        <w:spacing w:after="0" w:line="297" w:lineRule="auto"/>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under interest rate and currency swaps, caps, floors, collars, hedge agreements, forward contracts, or similar agreements or arrangements;</w:t>
      </w:r>
    </w:p>
    <w:p>
      <w:pPr>
        <w:spacing w:after="0" w:line="52" w:lineRule="exact"/>
        <w:rPr>
          <w:sz w:val="20"/>
          <w:szCs w:val="20"/>
          <w:color w:val="auto"/>
        </w:rPr>
      </w:pPr>
    </w:p>
    <w:p>
      <w:pPr>
        <w:ind w:left="880" w:right="3119" w:hanging="445"/>
        <w:spacing w:after="0" w:line="297" w:lineRule="auto"/>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with respect to letters of credit, bankers' acceptances or similar facilities, including reimbursement obligations with respect to any of the foregoing;</w:t>
      </w:r>
    </w:p>
    <w:p>
      <w:pPr>
        <w:spacing w:after="0" w:line="52" w:lineRule="exact"/>
        <w:rPr>
          <w:sz w:val="20"/>
          <w:szCs w:val="20"/>
          <w:color w:val="auto"/>
        </w:rPr>
      </w:pPr>
    </w:p>
    <w:p>
      <w:pPr>
        <w:ind w:left="880" w:right="3579" w:hanging="445"/>
        <w:spacing w:after="0" w:line="297" w:lineRule="auto"/>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issued or assumed as the deferred purchase price of property or services, excluding trade accounts payable arising in the ordinary course of business;</w:t>
      </w:r>
    </w:p>
    <w:p>
      <w:pPr>
        <w:spacing w:after="0" w:line="52" w:lineRule="exact"/>
        <w:rPr>
          <w:sz w:val="20"/>
          <w:szCs w:val="20"/>
          <w:color w:val="auto"/>
        </w:rPr>
      </w:pPr>
    </w:p>
    <w:p>
      <w:pPr>
        <w:ind w:left="880" w:right="3119" w:hanging="445"/>
        <w:spacing w:after="0" w:line="259" w:lineRule="auto"/>
        <w:tabs>
          <w:tab w:leader="none" w:pos="8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of the type referred to in the above bullets of another person and all dividends of another person, the payment of which, in either case, we have either assumed or guaranteed or in effect guaranteed through an agreement to purchase or otherwise, or for which we are responsible or liable, directly or indirectly, jointly or severally, as obligor, guarantor or otherwise, or which is secured by a lien on our property;</w:t>
      </w:r>
    </w:p>
    <w:p>
      <w:pPr>
        <w:spacing w:after="0" w:line="82" w:lineRule="exact"/>
        <w:rPr>
          <w:sz w:val="20"/>
          <w:szCs w:val="20"/>
          <w:color w:val="auto"/>
        </w:rPr>
      </w:pPr>
    </w:p>
    <w:p>
      <w:pPr>
        <w:ind w:left="880" w:hanging="445"/>
        <w:spacing w:after="0"/>
        <w:tabs>
          <w:tab w:leader="none" w:pos="8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obligations with respect thereto; and</w:t>
      </w:r>
    </w:p>
    <w:p>
      <w:pPr>
        <w:spacing w:after="0" w:line="171" w:lineRule="exact"/>
        <w:rPr>
          <w:sz w:val="20"/>
          <w:szCs w:val="20"/>
          <w:color w:val="auto"/>
        </w:rPr>
      </w:pPr>
    </w:p>
    <w:p>
      <w:pPr>
        <w:ind w:left="880" w:right="3399" w:hanging="445"/>
        <w:spacing w:after="0" w:line="278" w:lineRule="auto"/>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renewals, extensions, modifications, replacements, restatements and refundings of, or any indebtedness or obligation issued in exchange for, any such indebtedness or obligation described in the above bullets;</w:t>
      </w:r>
    </w:p>
    <w:p>
      <w:pPr>
        <w:spacing w:after="0" w:line="66" w:lineRule="exact"/>
        <w:rPr>
          <w:sz w:val="20"/>
          <w:szCs w:val="20"/>
          <w:color w:val="auto"/>
        </w:rPr>
      </w:pPr>
    </w:p>
    <w:p>
      <w:pPr>
        <w:ind w:right="3219"/>
        <w:spacing w:after="0" w:line="263" w:lineRule="auto"/>
        <w:rPr>
          <w:sz w:val="20"/>
          <w:szCs w:val="20"/>
          <w:color w:val="auto"/>
        </w:rPr>
      </w:pPr>
      <w:r>
        <w:rPr>
          <w:rFonts w:ascii="Courier New" w:cs="Courier New" w:eastAsia="Courier New" w:hAnsi="Courier New"/>
          <w:sz w:val="15"/>
          <w:szCs w:val="15"/>
          <w:color w:val="auto"/>
        </w:rPr>
        <w:t>provided, however, that senior indebtedness shall not include subordinated debt securities or any such indebtedness or obligation if the terms of such indebtedness or obligation, or the terms of the instrument under which, or pursuant to which it is issued, expressly provides that such indebtedness or obligation is not superior in right of payment to the subordinated debt securities.</w:t>
      </w:r>
    </w:p>
    <w:p>
      <w:pPr>
        <w:spacing w:after="0" w:line="7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5" w:right="1440" w:bottom="1440" w:gutter="0" w:footer="0" w:header="0"/>
        </w:sectPr>
      </w:pPr>
    </w:p>
    <w:bookmarkStart w:id="21" w:name="page22"/>
    <w:bookmarkEnd w:id="21"/>
    <w:p>
      <w:pPr>
        <w:ind w:left="22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The authorized capital stock of the Company consists of 1,000,000,000 shares of common stock, $0.10 par value ("common stock"), and 32,000,000 shares of non-voting Class A common stock, $0.10 par value ("Class A common stock"). As of March 2, 2000, there were 256,948,418 shares of common stock issued and outstanding, and 15,810,277 shares of Class A common stock were issued and outstanding. The following summary is qualified in its entirety by reference to our Certificate of Incorporation and Bylaws.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Micron,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8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4"/>
          <w:szCs w:val="14"/>
          <w:color w:val="auto"/>
        </w:rPr>
        <w:t>A Common Stock</w:t>
      </w:r>
    </w:p>
    <w:p>
      <w:pPr>
        <w:spacing w:after="0" w:line="171"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On October 19, 1998, we issued to Intel Corporation 15,810,277 stock rights that were later exchanged into non-voting Class A common stock after receipt of shareholder approval in January 1999. The Class A common stock is convertible into shares of common stock at a conversion ratio of one-to-one, subject to adjustment upon the occurrence of certain events or circumstances as described below. An amount equal to the fair market value of one share of common stock, as determined in good faith by our board of directors, will be paid in lieu of any fractional shares. In the event the Class A common stock is transferred to a person other than Intel or a 90% owned subsidiary of Intel, each share of Class A common stock will automatically convert into shares of common stock at the applicable conversion ratio.</w:t>
      </w:r>
    </w:p>
    <w:p>
      <w:pPr>
        <w:spacing w:after="0" w:line="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conversion ratio is subject to adjustment:</w:t>
      </w:r>
    </w:p>
    <w:p>
      <w:pPr>
        <w:spacing w:after="0" w:line="171" w:lineRule="exact"/>
        <w:rPr>
          <w:sz w:val="20"/>
          <w:szCs w:val="20"/>
          <w:color w:val="auto"/>
        </w:rPr>
      </w:pPr>
    </w:p>
    <w:p>
      <w:pPr>
        <w:ind w:left="880" w:right="3479" w:hanging="445"/>
        <w:spacing w:after="0" w:line="353" w:lineRule="auto"/>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subdivision, by stock split, stock dividend or otherwise, of the common stock, or</w:t>
      </w:r>
    </w:p>
    <w:p>
      <w:pPr>
        <w:spacing w:after="0" w:line="12" w:lineRule="exact"/>
        <w:rPr>
          <w:sz w:val="20"/>
          <w:szCs w:val="20"/>
          <w:color w:val="auto"/>
        </w:rPr>
      </w:pPr>
    </w:p>
    <w:p>
      <w:pPr>
        <w:ind w:left="880" w:right="3479" w:hanging="445"/>
        <w:spacing w:after="0" w:line="353" w:lineRule="auto"/>
        <w:tabs>
          <w:tab w:leader="none" w:pos="88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Class A common stock, by reverse stock split or otherwise, or</w:t>
      </w:r>
    </w:p>
    <w:p>
      <w:pPr>
        <w:spacing w:after="0" w:line="12" w:lineRule="exact"/>
        <w:rPr>
          <w:sz w:val="20"/>
          <w:szCs w:val="20"/>
          <w:color w:val="auto"/>
        </w:rPr>
      </w:pPr>
    </w:p>
    <w:p>
      <w:pPr>
        <w:ind w:left="880" w:right="3839" w:hanging="445"/>
        <w:spacing w:after="0" w:line="353" w:lineRule="auto"/>
        <w:tabs>
          <w:tab w:leader="none" w:pos="88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common stock, by reverse stock split or otherwise, or</w:t>
      </w:r>
    </w:p>
    <w:p>
      <w:pPr>
        <w:spacing w:after="0" w:line="12" w:lineRule="exact"/>
        <w:rPr>
          <w:sz w:val="20"/>
          <w:szCs w:val="20"/>
          <w:color w:val="auto"/>
        </w:rPr>
      </w:pPr>
    </w:p>
    <w:p>
      <w:pPr>
        <w:ind w:left="880" w:right="3119" w:hanging="445"/>
        <w:spacing w:after="0" w:line="353" w:lineRule="auto"/>
        <w:tabs>
          <w:tab w:leader="none" w:pos="88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subdivision of Class A common stock by stock split, stock dividend or otherwise.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conversion rights are also subject to adjustment in the event of:</w:t>
      </w:r>
    </w:p>
    <w:p>
      <w:pPr>
        <w:spacing w:after="0" w:line="171" w:lineRule="exact"/>
        <w:rPr>
          <w:sz w:val="20"/>
          <w:szCs w:val="20"/>
          <w:color w:val="auto"/>
        </w:rPr>
      </w:pPr>
    </w:p>
    <w:p>
      <w:pPr>
        <w:ind w:left="880" w:right="3119" w:hanging="445"/>
        <w:spacing w:after="0" w:line="297" w:lineRule="auto"/>
        <w:tabs>
          <w:tab w:leader="none" w:pos="88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reorganization, reclassification or change of shares of the common stock, other than a change in par value or from par value to no par value as a result of a subdivision or combination, or</w:t>
      </w:r>
    </w:p>
    <w:p>
      <w:pPr>
        <w:spacing w:after="0" w:line="52" w:lineRule="exact"/>
        <w:rPr>
          <w:sz w:val="20"/>
          <w:szCs w:val="20"/>
          <w:color w:val="auto"/>
        </w:rPr>
      </w:pPr>
    </w:p>
    <w:p>
      <w:pPr>
        <w:ind w:left="880" w:right="3119" w:hanging="445"/>
        <w:spacing w:after="0" w:line="269" w:lineRule="auto"/>
        <w:tabs>
          <w:tab w:leader="none" w:pos="8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Micron with one or more corporations or a merger of Micron with another corporation, other than a consolidation or merger in which Micron is the resulting or surviving corporation and which does not result in any reclassification or change of outstanding shares of common stock.</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Anti-Takeover Effects of Delaware Law</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Micron is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72" w:lineRule="exact"/>
        <w:rPr>
          <w:sz w:val="20"/>
          <w:szCs w:val="20"/>
          <w:color w:val="auto"/>
        </w:rPr>
      </w:pPr>
    </w:p>
    <w:p>
      <w:pPr>
        <w:ind w:left="880" w:right="3119" w:hanging="445"/>
        <w:spacing w:after="0" w:line="297" w:lineRule="auto"/>
        <w:tabs>
          <w:tab w:leader="none" w:pos="8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time, the board of directors of the corporation approved either the business combination or the transaction that resulted in the stockholder becoming an interested stockholder,</w:t>
      </w:r>
    </w:p>
    <w:p>
      <w:pPr>
        <w:spacing w:after="0" w:line="51" w:lineRule="exact"/>
        <w:rPr>
          <w:rFonts w:ascii="Courier New" w:cs="Courier New" w:eastAsia="Courier New" w:hAnsi="Courier New"/>
          <w:sz w:val="15"/>
          <w:szCs w:val="15"/>
          <w:color w:val="auto"/>
        </w:rPr>
      </w:pPr>
    </w:p>
    <w:p>
      <w:pPr>
        <w:ind w:left="880" w:right="3119" w:hanging="445"/>
        <w:spacing w:after="0" w:line="269" w:lineRule="auto"/>
        <w:tabs>
          <w:tab w:leader="none" w:pos="8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w:t>
      </w:r>
    </w:p>
    <w:p>
      <w:pPr>
        <w:spacing w:after="0" w:line="7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by persons who are directors and also officers, and</w:t>
      </w:r>
    </w:p>
    <w:p>
      <w:pPr>
        <w:spacing w:after="0" w:line="171" w:lineRule="exact"/>
        <w:rPr>
          <w:rFonts w:ascii="Courier New" w:cs="Courier New" w:eastAsia="Courier New" w:hAnsi="Courier New"/>
          <w:sz w:val="15"/>
          <w:szCs w:val="15"/>
          <w:color w:val="auto"/>
        </w:rPr>
      </w:pPr>
    </w:p>
    <w:p>
      <w:pPr>
        <w:ind w:left="1320" w:right="3399" w:hanging="444"/>
        <w:spacing w:after="0" w:line="2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employee stock plans in which employee participants do not have the right to determine confidentially whether shares held subject to the plan will be tendered in a tender or exchange offer, or</w:t>
      </w:r>
    </w:p>
    <w:p>
      <w:pPr>
        <w:spacing w:after="0" w:line="66" w:lineRule="exact"/>
        <w:rPr>
          <w:rFonts w:ascii="Courier New" w:cs="Courier New" w:eastAsia="Courier New" w:hAnsi="Courier New"/>
          <w:sz w:val="15"/>
          <w:szCs w:val="15"/>
          <w:color w:val="auto"/>
        </w:rPr>
      </w:pPr>
    </w:p>
    <w:p>
      <w:pPr>
        <w:ind w:left="880" w:right="3119" w:hanging="445"/>
        <w:spacing w:after="0" w:line="269" w:lineRule="auto"/>
        <w:tabs>
          <w:tab w:leader="none" w:pos="88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203 defines "business combination" to include:</w:t>
      </w:r>
    </w:p>
    <w:p>
      <w:pPr>
        <w:spacing w:after="0" w:line="171" w:lineRule="exact"/>
        <w:rPr>
          <w:sz w:val="20"/>
          <w:szCs w:val="20"/>
          <w:color w:val="auto"/>
        </w:rPr>
      </w:pPr>
    </w:p>
    <w:p>
      <w:pPr>
        <w:ind w:left="880" w:right="3919" w:hanging="445"/>
        <w:spacing w:after="0" w:line="353" w:lineRule="auto"/>
        <w:tabs>
          <w:tab w:leader="none" w:pos="8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involving the corporation and the interested stockholder,</w:t>
      </w:r>
    </w:p>
    <w:p>
      <w:pPr>
        <w:spacing w:after="0" w:line="12" w:lineRule="exact"/>
        <w:rPr>
          <w:rFonts w:ascii="Courier New" w:cs="Courier New" w:eastAsia="Courier New" w:hAnsi="Courier New"/>
          <w:sz w:val="15"/>
          <w:szCs w:val="15"/>
          <w:color w:val="auto"/>
        </w:rPr>
      </w:pPr>
    </w:p>
    <w:p>
      <w:pPr>
        <w:ind w:left="880" w:right="3219" w:hanging="445"/>
        <w:spacing w:after="0" w:line="353" w:lineRule="auto"/>
        <w:tabs>
          <w:tab w:leader="none" w:pos="8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pledge or other disposition of 10% or more of the assets of the corporation involving the interested stockholder,</w:t>
      </w:r>
    </w:p>
    <w:p>
      <w:pPr>
        <w:spacing w:after="0" w:line="12" w:lineRule="exact"/>
        <w:rPr>
          <w:rFonts w:ascii="Courier New" w:cs="Courier New" w:eastAsia="Courier New" w:hAnsi="Courier New"/>
          <w:sz w:val="15"/>
          <w:szCs w:val="15"/>
          <w:color w:val="auto"/>
        </w:rPr>
      </w:pPr>
    </w:p>
    <w:p>
      <w:pPr>
        <w:ind w:left="880" w:right="3479" w:hanging="445"/>
        <w:spacing w:after="0" w:line="297" w:lineRule="auto"/>
        <w:tabs>
          <w:tab w:leader="none" w:pos="8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any transaction that results in the issuance or transfer by the corporation of any stock of the corporation to the interested stockholder,</w:t>
      </w:r>
    </w:p>
    <w:p>
      <w:pPr>
        <w:spacing w:after="0" w:line="51" w:lineRule="exact"/>
        <w:rPr>
          <w:rFonts w:ascii="Courier New" w:cs="Courier New" w:eastAsia="Courier New" w:hAnsi="Courier New"/>
          <w:sz w:val="15"/>
          <w:szCs w:val="15"/>
          <w:color w:val="auto"/>
        </w:rPr>
      </w:pPr>
    </w:p>
    <w:p>
      <w:pPr>
        <w:ind w:left="880" w:right="3119" w:hanging="445"/>
        <w:spacing w:after="0" w:line="278" w:lineRule="auto"/>
        <w:tabs>
          <w:tab w:leader="none" w:pos="8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involving the corporation that has the effect of increasing the proportionate share of the stock of any class or series of the corporation beneficially owned by the interested stockholder, or</w:t>
      </w:r>
    </w:p>
    <w:p>
      <w:pPr>
        <w:spacing w:after="0" w:line="66" w:lineRule="exact"/>
        <w:rPr>
          <w:rFonts w:ascii="Courier New" w:cs="Courier New" w:eastAsia="Courier New" w:hAnsi="Courier New"/>
          <w:sz w:val="15"/>
          <w:szCs w:val="15"/>
          <w:color w:val="auto"/>
        </w:rPr>
      </w:pPr>
    </w:p>
    <w:p>
      <w:pPr>
        <w:ind w:left="880" w:right="3119" w:hanging="445"/>
        <w:spacing w:after="0" w:line="297" w:lineRule="auto"/>
        <w:tabs>
          <w:tab w:leader="none" w:pos="8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interested stockholder of the benefit of any loans, advances, guarantees, pledges or other financial benefits provided by or through the corporation.</w:t>
      </w:r>
    </w:p>
    <w:p>
      <w:pPr>
        <w:spacing w:after="0" w:line="52" w:lineRule="exact"/>
        <w:rPr>
          <w:sz w:val="20"/>
          <w:szCs w:val="20"/>
          <w:color w:val="auto"/>
        </w:rPr>
      </w:pPr>
    </w:p>
    <w:p>
      <w:pPr>
        <w:ind w:right="3399"/>
        <w:spacing w:after="0" w:line="278" w:lineRule="auto"/>
        <w:rPr>
          <w:sz w:val="20"/>
          <w:szCs w:val="20"/>
          <w:color w:val="auto"/>
        </w:rPr>
      </w:pPr>
      <w:r>
        <w:rPr>
          <w:rFonts w:ascii="Courier New" w:cs="Courier New" w:eastAsia="Courier New" w:hAnsi="Courier New"/>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1"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The transfer agent and registrar for the common stock is Norwest Bank Minnesota, N.A.</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05" w:right="1440" w:bottom="1440" w:gutter="0" w:footer="0" w:header="0"/>
        </w:sectPr>
      </w:pPr>
    </w:p>
    <w:bookmarkStart w:id="23" w:name="page24"/>
    <w:bookmarkEnd w:id="23"/>
    <w:p>
      <w:pPr>
        <w:ind w:left="2560"/>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sell the securities separately or together:</w:t>
      </w:r>
    </w:p>
    <w:p>
      <w:pPr>
        <w:spacing w:after="0" w:line="171" w:lineRule="exact"/>
        <w:rPr>
          <w:sz w:val="20"/>
          <w:szCs w:val="20"/>
          <w:color w:val="auto"/>
        </w:rPr>
      </w:pPr>
    </w:p>
    <w:p>
      <w:pPr>
        <w:ind w:left="880" w:right="3299" w:hanging="445"/>
        <w:spacing w:after="0" w:line="353" w:lineRule="auto"/>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one or more underwriters or dealers in a public offering and sale by them,</w:t>
      </w:r>
    </w:p>
    <w:p>
      <w:pPr>
        <w:spacing w:after="0" w:line="12" w:lineRule="exact"/>
        <w:rPr>
          <w:sz w:val="20"/>
          <w:szCs w:val="20"/>
          <w:color w:val="auto"/>
        </w:rPr>
      </w:pPr>
    </w:p>
    <w:p>
      <w:pPr>
        <w:ind w:left="880" w:hanging="445"/>
        <w:spacing w:after="0"/>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to investors, or</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agents.</w:t>
      </w:r>
    </w:p>
    <w:p>
      <w:pPr>
        <w:spacing w:after="0" w:line="171" w:lineRule="exact"/>
        <w:rPr>
          <w:sz w:val="20"/>
          <w:szCs w:val="20"/>
          <w:color w:val="auto"/>
        </w:rPr>
      </w:pPr>
    </w:p>
    <w:p>
      <w:pPr>
        <w:ind w:right="3119" w:firstLine="444"/>
        <w:spacing w:after="0" w:line="387" w:lineRule="auto"/>
        <w:rPr>
          <w:sz w:val="20"/>
          <w:szCs w:val="20"/>
          <w:color w:val="auto"/>
        </w:rPr>
      </w:pPr>
      <w:r>
        <w:rPr>
          <w:rFonts w:ascii="Courier New" w:cs="Courier New" w:eastAsia="Courier New" w:hAnsi="Courier New"/>
          <w:sz w:val="14"/>
          <w:szCs w:val="14"/>
          <w:color w:val="auto"/>
        </w:rPr>
        <w:t>We may describe the securities from time to time in one or more transactions at a fixed price or prices, which may be changed from time to time:</w:t>
      </w:r>
    </w:p>
    <w:p>
      <w:pPr>
        <w:spacing w:after="0" w:line="1" w:lineRule="exact"/>
        <w:rPr>
          <w:sz w:val="20"/>
          <w:szCs w:val="20"/>
          <w:color w:val="auto"/>
        </w:rPr>
      </w:pPr>
    </w:p>
    <w:p>
      <w:pPr>
        <w:ind w:left="880" w:hanging="445"/>
        <w:spacing w:after="0"/>
        <w:tabs>
          <w:tab w:leader="none" w:pos="8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market prices prevailing at the times of sale,</w:t>
      </w:r>
    </w:p>
    <w:p>
      <w:pPr>
        <w:spacing w:after="0" w:line="171" w:lineRule="exact"/>
        <w:rPr>
          <w:sz w:val="20"/>
          <w:szCs w:val="20"/>
          <w:color w:val="auto"/>
        </w:rPr>
      </w:pPr>
    </w:p>
    <w:p>
      <w:pPr>
        <w:ind w:left="880" w:hanging="445"/>
        <w:spacing w:after="0"/>
        <w:tabs>
          <w:tab w:leader="none" w:pos="8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prices related to such prevailing market prices, or</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negotiated prices.</w:t>
      </w:r>
    </w:p>
    <w:p>
      <w:pPr>
        <w:spacing w:after="0" w:line="171"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We will describe the method of distribution of the securities in the prospectus supplement.</w:t>
      </w:r>
    </w:p>
    <w:p>
      <w:pPr>
        <w:spacing w:after="0" w:line="12"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86"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72"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We may grant underwriters who participate in the distribution of securities an option to purchase additional securities to cover over-allotments, if any, in connection with the distribution.</w:t>
      </w:r>
    </w:p>
    <w:p>
      <w:pPr>
        <w:spacing w:after="0" w:line="52" w:lineRule="exact"/>
        <w:rPr>
          <w:sz w:val="20"/>
          <w:szCs w:val="20"/>
          <w:color w:val="auto"/>
        </w:rPr>
      </w:pPr>
    </w:p>
    <w:p>
      <w:pPr>
        <w:ind w:right="3399" w:firstLine="444"/>
        <w:spacing w:after="0" w:line="263" w:lineRule="auto"/>
        <w:rPr>
          <w:sz w:val="20"/>
          <w:szCs w:val="20"/>
          <w:color w:val="auto"/>
        </w:rPr>
      </w:pPr>
      <w:r>
        <w:rPr>
          <w:rFonts w:ascii="Courier New" w:cs="Courier New" w:eastAsia="Courier New" w:hAnsi="Courier New"/>
          <w:sz w:val="15"/>
          <w:szCs w:val="15"/>
          <w:color w:val="auto"/>
        </w:rPr>
        <w:t>All debt securities will be new issues of securities with no established trading market. Underwriters involved in the public offering and sale of debt securities may make a market in the debt securities. However, they are not obligated to make a market and may discontinue market making activity at any time. No assurance can be given as to the liquidity of the trading market for any debt securities.</w:t>
      </w:r>
    </w:p>
    <w:p>
      <w:pPr>
        <w:spacing w:after="0" w:line="77" w:lineRule="exact"/>
        <w:rPr>
          <w:sz w:val="20"/>
          <w:szCs w:val="20"/>
          <w:color w:val="auto"/>
        </w:rPr>
      </w:pPr>
    </w:p>
    <w:p>
      <w:pPr>
        <w:ind w:right="3119" w:firstLine="444"/>
        <w:spacing w:after="0" w:line="387" w:lineRule="auto"/>
        <w:rPr>
          <w:sz w:val="20"/>
          <w:szCs w:val="20"/>
          <w:color w:val="auto"/>
        </w:rPr>
      </w:pPr>
      <w:r>
        <w:rPr>
          <w:rFonts w:ascii="Courier New" w:cs="Courier New" w:eastAsia="Courier New" w:hAnsi="Courier New"/>
          <w:sz w:val="14"/>
          <w:szCs w:val="14"/>
          <w:color w:val="auto"/>
        </w:rPr>
        <w:t>Underwriters or agents and their associates may be customers of, engage in transactions with or perform services for us in the ordinary course of business.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validity of the issuance of the securities offered by this prospectus will be passed upon for Micron Technology, Inc. by Wilson Sonsini Goodrich &amp; Rosati, Professional Corporation, Palo Alto, California.</w:t>
      </w:r>
    </w:p>
    <w:p>
      <w:pPr>
        <w:spacing w:after="0" w:line="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consolidated financial statements of Micron Technology, Inc. incorporated in this prospectus by reference to the Annual Report on Form 10-K for the year ended September 2, 1999, have been so incorporated in reliance on the report of PricewaterhouseCoopers LLP, independent accountants, given on the authority of said firm as experts in auditing and accounting.</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05" w:right="1440" w:bottom="1440" w:gutter="0" w:footer="0" w:header="0"/>
        </w:sectPr>
      </w:pPr>
    </w:p>
    <w:bookmarkStart w:id="24" w:name="page25"/>
    <w:bookmarkEnd w:id="24"/>
    <w:p>
      <w:pPr>
        <w:jc w:val="center"/>
        <w:ind w:right="800"/>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INFORMATION NOT REQUIRED IN THE PROSPECTUS</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1" w:lineRule="exact"/>
        <w:rPr>
          <w:sz w:val="20"/>
          <w:szCs w:val="20"/>
          <w:color w:val="auto"/>
        </w:rPr>
      </w:pPr>
    </w:p>
    <w:p>
      <w:pPr>
        <w:jc w:val="both"/>
        <w:ind w:right="980" w:firstLine="444"/>
        <w:spacing w:after="0" w:line="278" w:lineRule="auto"/>
        <w:rPr>
          <w:sz w:val="20"/>
          <w:szCs w:val="20"/>
          <w:color w:val="auto"/>
        </w:rPr>
      </w:pPr>
      <w:r>
        <w:rPr>
          <w:rFonts w:ascii="Courier New" w:cs="Courier New" w:eastAsia="Courier New" w:hAnsi="Courier New"/>
          <w:sz w:val="15"/>
          <w:szCs w:val="15"/>
          <w:color w:val="auto"/>
        </w:rPr>
        <w:t>The following table sets forth the expenses, other than any underwriting discount and commissions, in connection with the issuance and distribution of the Securities being registered. All amounts indicated are estimates (other than the registration fee):</w:t>
      </w:r>
    </w:p>
    <w:p>
      <w:pPr>
        <w:spacing w:after="0" w:line="200" w:lineRule="exact"/>
        <w:rPr>
          <w:sz w:val="20"/>
          <w:szCs w:val="20"/>
          <w:color w:val="auto"/>
        </w:rPr>
      </w:pPr>
    </w:p>
    <w:p>
      <w:pPr>
        <w:spacing w:after="0" w:line="207"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Registration fee.........................................................</w:t>
      </w:r>
    </w:p>
    <w:p>
      <w:pPr>
        <w:spacing w:after="0" w:line="3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Trustee's fees and expenses..............................................</w:t>
      </w: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Rating agency fee........................................................</w:t>
      </w: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Accounting fees and expenses.............................................</w:t>
      </w: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Printing and engraving...................................................</w:t>
      </w: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Transfer agent and registrar fees and expenses...........................</w:t>
      </w: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Blue sky and legal investment fees and expenses..........................</w:t>
      </w: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Legal fees and expenses of the registrant................................</w:t>
      </w:r>
    </w:p>
    <w:p>
      <w:pPr>
        <w:spacing w:after="0" w:line="1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Miscellaneous............................................................</w:t>
      </w:r>
    </w:p>
    <w:p>
      <w:pPr>
        <w:spacing w:after="0" w:line="15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Total..........................................................</w:t>
      </w:r>
    </w:p>
    <w:p>
      <w:pPr>
        <w:spacing w:after="0" w:line="200" w:lineRule="exact"/>
        <w:rPr>
          <w:sz w:val="20"/>
          <w:szCs w:val="20"/>
          <w:color w:val="auto"/>
        </w:rPr>
      </w:pPr>
    </w:p>
    <w:p>
      <w:pPr>
        <w:spacing w:after="0" w:line="32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1" w:lineRule="exact"/>
        <w:rPr>
          <w:sz w:val="20"/>
          <w:szCs w:val="20"/>
          <w:color w:val="auto"/>
        </w:rPr>
      </w:pPr>
    </w:p>
    <w:p>
      <w:pPr>
        <w:ind w:right="700" w:firstLine="444"/>
        <w:spacing w:after="0" w:line="271" w:lineRule="auto"/>
        <w:rPr>
          <w:sz w:val="20"/>
          <w:szCs w:val="20"/>
          <w:color w:val="auto"/>
        </w:rPr>
      </w:pPr>
      <w:r>
        <w:rPr>
          <w:rFonts w:ascii="Courier New" w:cs="Courier New" w:eastAsia="Courier New" w:hAnsi="Courier New"/>
          <w:sz w:val="14"/>
          <w:szCs w:val="14"/>
          <w:color w:val="auto"/>
        </w:rPr>
        <w:t>Section 145 of the Delaware General Corporation Law ("Delaware Law") authorized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78" w:lineRule="exact"/>
        <w:rPr>
          <w:sz w:val="20"/>
          <w:szCs w:val="20"/>
          <w:color w:val="auto"/>
        </w:rPr>
      </w:pPr>
    </w:p>
    <w:p>
      <w:pPr>
        <w:ind w:right="800" w:firstLine="444"/>
        <w:spacing w:after="0" w:line="269" w:lineRule="auto"/>
        <w:rPr>
          <w:sz w:val="20"/>
          <w:szCs w:val="20"/>
          <w:color w:val="auto"/>
        </w:rPr>
      </w:pPr>
      <w:r>
        <w:rPr>
          <w:rFonts w:ascii="Courier New" w:cs="Courier New" w:eastAsia="Courier New" w:hAnsi="Courier New"/>
          <w:sz w:val="15"/>
          <w:szCs w:val="15"/>
          <w:color w:val="auto"/>
        </w:rPr>
        <w:t>Reference is made to the forms of Underwriting Agreement to be filed as an exhibit to this Registration Statement as incorporated by reference as an exhibit to a current Report on Form 8-K for certain provisions regarding indemnification of officers and directors of the registrant by the several Underwriters.</w:t>
      </w:r>
    </w:p>
    <w:p>
      <w:pPr>
        <w:spacing w:after="0" w:line="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71" w:lineRule="exact"/>
        <w:rPr>
          <w:sz w:val="20"/>
          <w:szCs w:val="20"/>
          <w:color w:val="auto"/>
        </w:rPr>
      </w:pPr>
    </w:p>
    <w:p>
      <w:pPr>
        <w:ind w:right="1160" w:firstLine="444"/>
        <w:spacing w:after="0" w:line="353" w:lineRule="auto"/>
        <w:rPr>
          <w:sz w:val="20"/>
          <w:szCs w:val="20"/>
          <w:color w:val="auto"/>
        </w:rPr>
      </w:pPr>
      <w:r>
        <w:rPr>
          <w:rFonts w:ascii="Courier New" w:cs="Courier New" w:eastAsia="Courier New" w:hAnsi="Courier New"/>
          <w:sz w:val="15"/>
          <w:szCs w:val="15"/>
          <w:color w:val="auto"/>
        </w:rPr>
        <w:t>The following exhibits are filed herewith or incorporated by reference herein:</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Exhibit</w:t>
            </w:r>
          </w:p>
        </w:tc>
        <w:tc>
          <w:tcPr>
            <w:tcW w:w="512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40" w:type="dxa"/>
            <w:vAlign w:val="bottom"/>
            <w:vMerge w:val="continue"/>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Underwriting Agreement.*</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w:t>
            </w: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Certificate of Incorporation.(1)</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w:t>
            </w: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Bylaws.(1)</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Senior Indenture.</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Subordinated Indenture.</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Senior Debt Security (included in Exhibit 4.1).</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Subordinated Debt Security (included in Exhibit 4.2).</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Opinion</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of Wilson Sonsini Goodrich &amp; Rosati, Professional</w:t>
            </w:r>
          </w:p>
        </w:tc>
        <w:tc>
          <w:tcPr>
            <w:tcW w:w="0" w:type="dxa"/>
            <w:vAlign w:val="bottom"/>
          </w:tcPr>
          <w:p>
            <w:pPr>
              <w:spacing w:after="0"/>
              <w:rPr>
                <w:sz w:val="1"/>
                <w:szCs w:val="1"/>
                <w:color w:val="auto"/>
              </w:rPr>
            </w:pPr>
          </w:p>
        </w:tc>
      </w:tr>
      <w:tr>
        <w:trPr>
          <w:trHeight w:val="171"/>
        </w:trPr>
        <w:tc>
          <w:tcPr>
            <w:tcW w:w="80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4"/>
              </w:rPr>
              <w:t>12.1</w:t>
            </w: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Corporation.</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Computation of Ratio of Earnings to Fixed Charges.</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of PricewaterhouseCoopers LLP, independent accountants.</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23.2</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5120" w:type="dxa"/>
            <w:vAlign w:val="bottom"/>
          </w:tcPr>
          <w:p>
            <w:pPr>
              <w:ind w:left="60"/>
              <w:spacing w:after="0"/>
              <w:rPr>
                <w:sz w:val="20"/>
                <w:szCs w:val="20"/>
                <w:color w:val="auto"/>
              </w:rPr>
            </w:pPr>
            <w:r>
              <w:rPr>
                <w:rFonts w:ascii="Courier New" w:cs="Courier New" w:eastAsia="Courier New" w:hAnsi="Courier New"/>
                <w:sz w:val="15"/>
                <w:szCs w:val="15"/>
                <w:color w:val="auto"/>
              </w:rPr>
              <w:t>of Wilson Sonsini Goodrich &amp; Rosati, Professional</w:t>
            </w:r>
          </w:p>
        </w:tc>
        <w:tc>
          <w:tcPr>
            <w:tcW w:w="0" w:type="dxa"/>
            <w:vAlign w:val="bottom"/>
          </w:tcPr>
          <w:p>
            <w:pPr>
              <w:spacing w:after="0"/>
              <w:rPr>
                <w:sz w:val="1"/>
                <w:szCs w:val="1"/>
                <w:color w:val="auto"/>
              </w:rPr>
            </w:pPr>
          </w:p>
        </w:tc>
      </w:tr>
      <w:tr>
        <w:trPr>
          <w:trHeight w:val="171"/>
        </w:trPr>
        <w:tc>
          <w:tcPr>
            <w:tcW w:w="80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4"/>
              </w:rPr>
              <w:t>24.1</w:t>
            </w: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Corporation (included in Exhibit 5.1).</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Power of Attorney of certain directors and officers of Micron</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Technology, Inc. (see page II-4 of initial filing of this Form S-</w:t>
            </w:r>
          </w:p>
        </w:tc>
        <w:tc>
          <w:tcPr>
            <w:tcW w:w="0" w:type="dxa"/>
            <w:vAlign w:val="bottom"/>
          </w:tcPr>
          <w:p>
            <w:pPr>
              <w:spacing w:after="0"/>
              <w:rPr>
                <w:sz w:val="1"/>
                <w:szCs w:val="1"/>
                <w:color w:val="auto"/>
              </w:rPr>
            </w:pPr>
          </w:p>
        </w:tc>
      </w:tr>
      <w:tr>
        <w:trPr>
          <w:trHeight w:val="171"/>
        </w:trPr>
        <w:tc>
          <w:tcPr>
            <w:tcW w:w="80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4"/>
              </w:rPr>
              <w:t>25.1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Form T-1 Statement of Eligibility of Trustee for Senior Indenture</w:t>
            </w: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5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under the Trust Indenture Act of 1939.</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4" w:hanging="364"/>
        <w:spacing w:after="0"/>
        <w:tabs>
          <w:tab w:leader="none" w:pos="364"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132,000</w:t>
      </w:r>
    </w:p>
    <w:p>
      <w:pPr>
        <w:spacing w:after="0" w:line="38" w:lineRule="exact"/>
        <w:rPr>
          <w:rFonts w:ascii="Courier New" w:cs="Courier New" w:eastAsia="Courier New" w:hAnsi="Courier New"/>
          <w:sz w:val="14"/>
          <w:szCs w:val="14"/>
          <w:color w:val="auto"/>
        </w:rPr>
      </w:pPr>
    </w:p>
    <w:p>
      <w:pPr>
        <w:ind w:left="444"/>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25,000</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125,000</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75,000</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200,000</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25,000</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25,000</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350,000</w:t>
      </w:r>
    </w:p>
    <w:p>
      <w:pPr>
        <w:spacing w:after="0" w:line="1" w:lineRule="exact"/>
        <w:rPr>
          <w:sz w:val="20"/>
          <w:szCs w:val="20"/>
          <w:color w:val="auto"/>
        </w:rPr>
      </w:pPr>
    </w:p>
    <w:p>
      <w:pPr>
        <w:jc w:val="right"/>
        <w:ind w:right="1079"/>
        <w:spacing w:after="0"/>
        <w:rPr>
          <w:sz w:val="20"/>
          <w:szCs w:val="20"/>
          <w:color w:val="auto"/>
        </w:rPr>
      </w:pPr>
      <w:r>
        <w:rPr>
          <w:rFonts w:ascii="Courier New" w:cs="Courier New" w:eastAsia="Courier New" w:hAnsi="Courier New"/>
          <w:sz w:val="15"/>
          <w:szCs w:val="15"/>
          <w:color w:val="auto"/>
        </w:rPr>
        <w:t>43,000</w:t>
      </w:r>
    </w:p>
    <w:p>
      <w:pPr>
        <w:spacing w:after="0" w:line="1" w:lineRule="exact"/>
        <w:rPr>
          <w:sz w:val="20"/>
          <w:szCs w:val="20"/>
          <w:color w:val="auto"/>
        </w:rPr>
      </w:pPr>
    </w:p>
    <w:p>
      <w:pPr>
        <w:ind w:left="4"/>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 w:hanging="184"/>
        <w:spacing w:after="0"/>
        <w:tabs>
          <w:tab w:leader="none" w:pos="184"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w:t>
      </w:r>
    </w:p>
    <w:p>
      <w:pPr>
        <w:spacing w:after="0" w:line="12" w:lineRule="exact"/>
        <w:rPr>
          <w:rFonts w:ascii="Courier New" w:cs="Courier New" w:eastAsia="Courier New" w:hAnsi="Courier New"/>
          <w:sz w:val="14"/>
          <w:szCs w:val="14"/>
          <w:color w:val="auto"/>
        </w:rPr>
      </w:pPr>
    </w:p>
    <w:p>
      <w:pPr>
        <w:ind w:left="4"/>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800" w:space="356"/>
            <w:col w:w="2064"/>
          </w:cols>
          <w:pgMar w:left="240" w:top="605"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Exhibit</w:t>
            </w:r>
          </w:p>
        </w:tc>
        <w:tc>
          <w:tcPr>
            <w:tcW w:w="56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Exhibit Title</w:t>
            </w:r>
          </w:p>
        </w:tc>
        <w:tc>
          <w:tcPr>
            <w:tcW w:w="0" w:type="dxa"/>
            <w:vAlign w:val="bottom"/>
          </w:tcPr>
          <w:p>
            <w:pPr>
              <w:spacing w:after="0"/>
              <w:rPr>
                <w:sz w:val="1"/>
                <w:szCs w:val="1"/>
                <w:color w:val="auto"/>
              </w:rPr>
            </w:pPr>
          </w:p>
        </w:tc>
      </w:tr>
      <w:tr>
        <w:trPr>
          <w:trHeight w:val="171"/>
        </w:trPr>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Number</w:t>
            </w: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25.2</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w w:val="98"/>
              </w:rPr>
              <w:t>Form T-1 Statement of Eligibility of Trustee for Subordinated</w:t>
            </w:r>
          </w:p>
        </w:tc>
        <w:tc>
          <w:tcPr>
            <w:tcW w:w="0" w:type="dxa"/>
            <w:vAlign w:val="bottom"/>
          </w:tcPr>
          <w:p>
            <w:pPr>
              <w:spacing w:after="0"/>
              <w:rPr>
                <w:sz w:val="1"/>
                <w:szCs w:val="1"/>
                <w:color w:val="auto"/>
              </w:rPr>
            </w:pPr>
          </w:p>
        </w:tc>
      </w:tr>
      <w:tr>
        <w:trPr>
          <w:trHeight w:val="249"/>
        </w:trPr>
        <w:tc>
          <w:tcPr>
            <w:tcW w:w="11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w w:val="95"/>
              </w:rPr>
              <w:t>__________</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Indenture under the Trust Indenture Act of 1939.</w:t>
            </w: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40" w:right="3119" w:hanging="271"/>
        <w:spacing w:after="0" w:line="353" w:lineRule="auto"/>
        <w:tabs>
          <w:tab w:leader="none" w:pos="44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or by a report on Form 8-K pursuant to Section 601 of Regulation S-K.</w:t>
      </w:r>
    </w:p>
    <w:p>
      <w:pPr>
        <w:spacing w:after="0" w:line="12" w:lineRule="exact"/>
        <w:rPr>
          <w:sz w:val="20"/>
          <w:szCs w:val="20"/>
          <w:color w:val="auto"/>
        </w:rPr>
      </w:pPr>
    </w:p>
    <w:p>
      <w:pPr>
        <w:ind w:left="440" w:hanging="360"/>
        <w:spacing w:after="0"/>
        <w:tabs>
          <w:tab w:leader="none" w:pos="4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171" w:lineRule="exact"/>
        <w:rPr>
          <w:sz w:val="20"/>
          <w:szCs w:val="20"/>
          <w:color w:val="auto"/>
        </w:rPr>
      </w:pPr>
    </w:p>
    <w:p>
      <w:pPr>
        <w:ind w:left="80" w:right="3399"/>
        <w:spacing w:after="0" w:line="353" w:lineRule="auto"/>
        <w:tabs>
          <w:tab w:leader="none" w:pos="43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September 2, 1999.</w:t>
      </w:r>
    </w:p>
    <w:p>
      <w:pPr>
        <w:spacing w:after="0" w:line="1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1" w:lineRule="exact"/>
        <w:rPr>
          <w:sz w:val="20"/>
          <w:szCs w:val="20"/>
          <w:color w:val="auto"/>
        </w:rPr>
      </w:pPr>
    </w:p>
    <w:p>
      <w:pPr>
        <w:ind w:left="880" w:hanging="445"/>
        <w:spacing w:after="0"/>
        <w:tabs>
          <w:tab w:leader="none" w:pos="88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1" w:lineRule="exact"/>
        <w:rPr>
          <w:rFonts w:ascii="Courier New" w:cs="Courier New" w:eastAsia="Courier New" w:hAnsi="Courier New"/>
          <w:sz w:val="15"/>
          <w:szCs w:val="15"/>
          <w:color w:val="auto"/>
        </w:rPr>
      </w:pPr>
    </w:p>
    <w:p>
      <w:pPr>
        <w:ind w:left="440" w:right="3479" w:firstLine="438"/>
        <w:spacing w:after="0" w:line="387" w:lineRule="auto"/>
        <w:tabs>
          <w:tab w:leader="none" w:pos="1327"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ind w:left="880" w:right="3299" w:firstLine="442"/>
        <w:spacing w:after="0" w:line="353" w:lineRule="auto"/>
        <w:tabs>
          <w:tab w:leader="none" w:pos="1856" w:val="left"/>
        </w:tabs>
        <w:numPr>
          <w:ilvl w:val="2"/>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(the "Act");</w:t>
      </w:r>
    </w:p>
    <w:p>
      <w:pPr>
        <w:spacing w:after="0" w:line="12" w:lineRule="exact"/>
        <w:rPr>
          <w:rFonts w:ascii="Courier New" w:cs="Courier New" w:eastAsia="Courier New" w:hAnsi="Courier New"/>
          <w:sz w:val="15"/>
          <w:szCs w:val="15"/>
          <w:color w:val="auto"/>
        </w:rPr>
      </w:pPr>
    </w:p>
    <w:p>
      <w:pPr>
        <w:ind w:left="880" w:right="3119" w:firstLine="442"/>
        <w:spacing w:after="0" w:line="249" w:lineRule="auto"/>
        <w:tabs>
          <w:tab w:leader="none" w:pos="1856" w:val="left"/>
        </w:tabs>
        <w:numPr>
          <w:ilvl w:val="2"/>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1" w:lineRule="exact"/>
        <w:rPr>
          <w:rFonts w:ascii="Courier New" w:cs="Courier New" w:eastAsia="Courier New" w:hAnsi="Courier New"/>
          <w:sz w:val="15"/>
          <w:szCs w:val="15"/>
          <w:color w:val="auto"/>
        </w:rPr>
      </w:pPr>
    </w:p>
    <w:p>
      <w:pPr>
        <w:ind w:left="880" w:right="3479" w:firstLine="442"/>
        <w:spacing w:after="0" w:line="278" w:lineRule="auto"/>
        <w:tabs>
          <w:tab w:leader="none" w:pos="1856" w:val="left"/>
        </w:tabs>
        <w:numPr>
          <w:ilvl w:val="2"/>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ind w:right="3119"/>
        <w:spacing w:after="0" w:line="263" w:lineRule="auto"/>
        <w:rPr>
          <w:sz w:val="20"/>
          <w:szCs w:val="20"/>
          <w:color w:val="auto"/>
        </w:rPr>
      </w:pPr>
      <w:r>
        <w:rPr>
          <w:rFonts w:ascii="Courier New" w:cs="Courier New" w:eastAsia="Courier New" w:hAnsi="Courier New"/>
          <w:sz w:val="15"/>
          <w:szCs w:val="15"/>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77" w:lineRule="exact"/>
        <w:rPr>
          <w:sz w:val="20"/>
          <w:szCs w:val="20"/>
          <w:color w:val="auto"/>
        </w:rPr>
      </w:pPr>
    </w:p>
    <w:p>
      <w:pPr>
        <w:ind w:left="440" w:right="3119" w:firstLine="438"/>
        <w:spacing w:after="0" w:line="269" w:lineRule="auto"/>
        <w:tabs>
          <w:tab w:leader="none" w:pos="1327"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Courier New" w:cs="Courier New" w:eastAsia="Courier New" w:hAnsi="Courier New"/>
          <w:sz w:val="15"/>
          <w:szCs w:val="15"/>
          <w:color w:val="auto"/>
        </w:rPr>
      </w:pPr>
    </w:p>
    <w:p>
      <w:pPr>
        <w:ind w:left="440" w:right="3119" w:firstLine="438"/>
        <w:spacing w:after="0" w:line="297" w:lineRule="auto"/>
        <w:tabs>
          <w:tab w:leader="none" w:pos="1327"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51" w:lineRule="exact"/>
        <w:rPr>
          <w:rFonts w:ascii="Courier New" w:cs="Courier New" w:eastAsia="Courier New" w:hAnsi="Courier New"/>
          <w:sz w:val="15"/>
          <w:szCs w:val="15"/>
          <w:color w:val="auto"/>
        </w:rPr>
      </w:pPr>
    </w:p>
    <w:p>
      <w:pPr>
        <w:ind w:right="3219" w:firstLine="435"/>
        <w:spacing w:after="0" w:line="259" w:lineRule="auto"/>
        <w:tabs>
          <w:tab w:leader="none" w:pos="88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Courier New" w:cs="Courier New" w:eastAsia="Courier New" w:hAnsi="Courier New"/>
          <w:sz w:val="15"/>
          <w:szCs w:val="15"/>
          <w:color w:val="auto"/>
        </w:rPr>
      </w:pPr>
    </w:p>
    <w:p>
      <w:pPr>
        <w:ind w:right="3119" w:firstLine="435"/>
        <w:spacing w:after="0" w:line="249" w:lineRule="auto"/>
        <w:tabs>
          <w:tab w:leader="none" w:pos="88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05" w:right="1440" w:bottom="651" w:gutter="0" w:footer="0" w:header="0"/>
        </w:sectPr>
      </w:pPr>
    </w:p>
    <w:bookmarkStart w:id="26" w:name="page27"/>
    <w:bookmarkEnd w:id="26"/>
    <w:p>
      <w:pPr>
        <w:ind w:left="445" w:hanging="445"/>
        <w:spacing w:after="0"/>
        <w:tabs>
          <w:tab w:leader="none" w:pos="44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1" w:lineRule="exact"/>
        <w:rPr>
          <w:rFonts w:ascii="Courier New" w:cs="Courier New" w:eastAsia="Courier New" w:hAnsi="Courier New"/>
          <w:sz w:val="15"/>
          <w:szCs w:val="15"/>
          <w:color w:val="auto"/>
        </w:rPr>
      </w:pPr>
    </w:p>
    <w:p>
      <w:pPr>
        <w:ind w:left="5" w:right="3219" w:firstLine="438"/>
        <w:spacing w:after="0" w:line="263" w:lineRule="auto"/>
        <w:tabs>
          <w:tab w:leader="none" w:pos="893"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77" w:lineRule="exact"/>
        <w:rPr>
          <w:rFonts w:ascii="Courier New" w:cs="Courier New" w:eastAsia="Courier New" w:hAnsi="Courier New"/>
          <w:sz w:val="15"/>
          <w:szCs w:val="15"/>
          <w:color w:val="auto"/>
        </w:rPr>
      </w:pPr>
    </w:p>
    <w:p>
      <w:pPr>
        <w:ind w:left="5" w:right="3119" w:firstLine="438"/>
        <w:spacing w:after="0" w:line="269" w:lineRule="auto"/>
        <w:tabs>
          <w:tab w:leader="none" w:pos="893"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2" w:lineRule="exact"/>
        <w:rPr>
          <w:sz w:val="20"/>
          <w:szCs w:val="20"/>
          <w:color w:val="auto"/>
        </w:rPr>
      </w:pPr>
    </w:p>
    <w:p>
      <w:pPr>
        <w:ind w:left="2845"/>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784"/>
          </w:cols>
          <w:pgMar w:left="675" w:top="605" w:right="1440" w:bottom="1440" w:gutter="0" w:footer="0" w:header="0"/>
        </w:sectPr>
      </w:pPr>
    </w:p>
    <w:bookmarkStart w:id="27" w:name="page28"/>
    <w:bookmarkEnd w:id="27"/>
    <w:p>
      <w:pPr>
        <w:ind w:left="3000"/>
        <w:spacing w:after="0"/>
        <w:rPr>
          <w:sz w:val="20"/>
          <w:szCs w:val="20"/>
          <w:color w:val="auto"/>
        </w:rPr>
      </w:pPr>
      <w:r>
        <w:rPr>
          <w:rFonts w:ascii="Courier New" w:cs="Courier New" w:eastAsia="Courier New" w:hAnsi="Courier New"/>
          <w:sz w:val="15"/>
          <w:szCs w:val="15"/>
          <w:color w:val="auto"/>
        </w:rPr>
        <w:t>SIGNATURES</w:t>
      </w:r>
    </w:p>
    <w:p>
      <w:pPr>
        <w:spacing w:after="0" w:line="342"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this Amendment No. 1 on Form S-3 and has duly caused this Amendment No. 1 to this Registration Statement to be signed on its behalf by the undersigned, thereunto duly authorized, in the City of Boise, State of Idaho, on April 11, 2000.</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/s/ W. G. Stover, Jr.</w:t>
      </w:r>
    </w:p>
    <w:p>
      <w:pPr>
        <w:spacing w:after="0" w:line="2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 G. Stover, Jr.</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Vice President of Finance and</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Chief Financial Officer</w:t>
      </w:r>
    </w:p>
    <w:p>
      <w:pPr>
        <w:spacing w:after="0" w:line="316"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Pursuant to the requirements of the Securities Act of 1933, on April 11, 2000 this Amendment No. 1 to this Registration Statement has been signed by the following persons in the capacities indicated: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ind w:left="1060"/>
              <w:spacing w:after="0"/>
              <w:rPr>
                <w:sz w:val="20"/>
                <w:szCs w:val="20"/>
                <w:color w:val="auto"/>
              </w:rPr>
            </w:pPr>
            <w:r>
              <w:rPr>
                <w:rFonts w:ascii="Courier New" w:cs="Courier New" w:eastAsia="Courier New" w:hAnsi="Courier New"/>
                <w:sz w:val="15"/>
                <w:szCs w:val="15"/>
                <w:color w:val="auto"/>
                <w:w w:val="94"/>
              </w:rPr>
              <w:t>Name</w:t>
            </w:r>
          </w:p>
        </w:tc>
        <w:tc>
          <w:tcPr>
            <w:tcW w:w="1720" w:type="dxa"/>
            <w:vAlign w:val="bottom"/>
          </w:tcPr>
          <w:p>
            <w:pPr>
              <w:spacing w:after="0"/>
              <w:rPr>
                <w:sz w:val="14"/>
                <w:szCs w:val="14"/>
                <w:color w:val="auto"/>
              </w:rPr>
            </w:pPr>
          </w:p>
        </w:tc>
        <w:tc>
          <w:tcPr>
            <w:tcW w:w="5200" w:type="dxa"/>
            <w:vAlign w:val="bottom"/>
          </w:tcPr>
          <w:p>
            <w:pPr>
              <w:ind w:left="1820"/>
              <w:spacing w:after="0"/>
              <w:rPr>
                <w:sz w:val="20"/>
                <w:szCs w:val="20"/>
                <w:color w:val="auto"/>
              </w:rPr>
            </w:pPr>
            <w:r>
              <w:rPr>
                <w:rFonts w:ascii="Courier New" w:cs="Courier New" w:eastAsia="Courier New" w:hAnsi="Courier New"/>
                <w:sz w:val="15"/>
                <w:szCs w:val="15"/>
                <w:color w:val="auto"/>
              </w:rPr>
              <w:t>Title</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49"/>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5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 Directors, Chief Executive</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April 11, 2000</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52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Officer and President (Principal Executive Officer)</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Steven</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R. Appleton</w:t>
            </w:r>
          </w:p>
        </w:tc>
        <w:tc>
          <w:tcPr>
            <w:tcW w:w="520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/s/  W. G. Stover, Jr.</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Vice President of Finance and Chief Financial Officer</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April 11, 2000</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5200" w:type="dxa"/>
            <w:vAlign w:val="bottom"/>
            <w:vMerge w:val="restart"/>
          </w:tcPr>
          <w:p>
            <w:pPr>
              <w:ind w:left="1280"/>
              <w:spacing w:after="0"/>
              <w:rPr>
                <w:sz w:val="20"/>
                <w:szCs w:val="20"/>
                <w:color w:val="auto"/>
              </w:rPr>
            </w:pPr>
            <w:r>
              <w:rPr>
                <w:rFonts w:ascii="Courier New" w:cs="Courier New" w:eastAsia="Courier New" w:hAnsi="Courier New"/>
                <w:sz w:val="15"/>
                <w:szCs w:val="15"/>
                <w:color w:val="auto"/>
              </w:rPr>
              <w:t>(Principal Financial Officer),</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 G. Stover, Jr.</w:t>
            </w:r>
          </w:p>
        </w:tc>
        <w:tc>
          <w:tcPr>
            <w:tcW w:w="520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4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0" w:type="dxa"/>
            <w:vAlign w:val="bottom"/>
          </w:tcPr>
          <w:p>
            <w:pPr>
              <w:ind w:left="2360"/>
              <w:spacing w:after="0"/>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April 11, 2000</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5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James W. Bagley</w:t>
            </w:r>
          </w:p>
        </w:tc>
        <w:tc>
          <w:tcPr>
            <w:tcW w:w="5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4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0" w:type="dxa"/>
            <w:vAlign w:val="bottom"/>
          </w:tcPr>
          <w:p>
            <w:pPr>
              <w:ind w:left="2360"/>
              <w:spacing w:after="0"/>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April 11, 2000</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5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Robert</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A. Lothrop</w:t>
            </w:r>
          </w:p>
        </w:tc>
        <w:tc>
          <w:tcPr>
            <w:tcW w:w="5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4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0" w:type="dxa"/>
            <w:vAlign w:val="bottom"/>
          </w:tcPr>
          <w:p>
            <w:pPr>
              <w:ind w:left="2360"/>
              <w:spacing w:after="0"/>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April 11, 2000</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5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Thomas</w:t>
            </w: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T. Nicholson</w:t>
            </w:r>
          </w:p>
        </w:tc>
        <w:tc>
          <w:tcPr>
            <w:tcW w:w="5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4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0" w:type="dxa"/>
            <w:vAlign w:val="bottom"/>
          </w:tcPr>
          <w:p>
            <w:pPr>
              <w:ind w:left="2360"/>
              <w:spacing w:after="0"/>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April 11, 2000</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5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Don J. Simplot</w:t>
            </w:r>
          </w:p>
        </w:tc>
        <w:tc>
          <w:tcPr>
            <w:tcW w:w="5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4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0" w:type="dxa"/>
            <w:vAlign w:val="bottom"/>
          </w:tcPr>
          <w:p>
            <w:pPr>
              <w:ind w:left="2360"/>
              <w:spacing w:after="0"/>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April 11, 2000</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5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1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Gordon C. Smith</w:t>
            </w:r>
          </w:p>
        </w:tc>
        <w:tc>
          <w:tcPr>
            <w:tcW w:w="5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605" w:right="1440" w:bottom="1440" w:gutter="0" w:footer="0" w:header="0"/>
        </w:sectPr>
      </w:pPr>
    </w:p>
    <w:bookmarkStart w:id="28" w:name="page29"/>
    <w:bookmarkEnd w:id="28"/>
    <w:p>
      <w:pPr>
        <w:ind w:left="969"/>
        <w:spacing w:after="0"/>
        <w:rPr>
          <w:sz w:val="20"/>
          <w:szCs w:val="20"/>
          <w:color w:val="auto"/>
        </w:rPr>
      </w:pPr>
      <w:r>
        <w:rPr>
          <w:rFonts w:ascii="Courier New" w:cs="Courier New" w:eastAsia="Courier New" w:hAnsi="Courier New"/>
          <w:sz w:val="15"/>
          <w:szCs w:val="15"/>
          <w:color w:val="auto"/>
        </w:rPr>
        <w:t>Name</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Title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Date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sectPr>
          <w:pgSz w:w="11900" w:h="16838" w:orient="portrait"/>
          <w:cols w:equalWidth="0" w:num="3">
            <w:col w:w="2849" w:space="440"/>
            <w:col w:w="1500" w:space="720"/>
            <w:col w:w="4719"/>
          </w:cols>
          <w:pgMar w:left="231" w:top="775" w:right="1440" w:bottom="1440" w:gutter="0" w:footer="0" w:header="0"/>
        </w:sectPr>
      </w:pPr>
    </w:p>
    <w:p>
      <w:pPr>
        <w:ind w:left="1429"/>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11, 2000</w:t>
      </w:r>
    </w:p>
    <w:p>
      <w:pPr>
        <w:spacing w:after="0" w:line="38" w:lineRule="exact"/>
        <w:rPr>
          <w:sz w:val="20"/>
          <w:szCs w:val="20"/>
          <w:color w:val="auto"/>
        </w:rPr>
      </w:pPr>
    </w:p>
    <w:p>
      <w:pPr>
        <w:sectPr>
          <w:pgSz w:w="11900" w:h="16838" w:orient="portrait"/>
          <w:cols w:equalWidth="0" w:num="3">
            <w:col w:w="2649" w:space="720"/>
            <w:col w:w="1240" w:space="720"/>
            <w:col w:w="4899"/>
          </w:cols>
          <w:pgMar w:left="231" w:top="775" w:right="1440" w:bottom="1440" w:gutter="0" w:footer="0" w:header="0"/>
          <w:type w:val="continuous"/>
        </w:sectPr>
      </w:pPr>
    </w:p>
    <w:p>
      <w:pPr>
        <w:ind w:left="169" w:hanging="169"/>
        <w:spacing w:after="0"/>
        <w:tabs>
          <w:tab w:leader="none" w:pos="16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Weber</w:t>
      </w:r>
    </w:p>
    <w:p>
      <w:pPr>
        <w:spacing w:after="0" w:line="316" w:lineRule="exact"/>
        <w:rPr>
          <w:sz w:val="20"/>
          <w:szCs w:val="20"/>
          <w:color w:val="auto"/>
        </w:rPr>
      </w:pPr>
    </w:p>
    <w:p>
      <w:pPr>
        <w:ind w:left="9"/>
        <w:spacing w:after="0"/>
        <w:tabs>
          <w:tab w:leader="none" w:pos="60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Wilbur G. Stover, Jr.</w:t>
      </w:r>
    </w:p>
    <w:p>
      <w:pPr>
        <w:spacing w:after="0" w:line="27"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Wilbur G. Stover, Jr.</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Attorney-in-Fact</w:t>
      </w:r>
    </w:p>
    <w:p>
      <w:pPr>
        <w:spacing w:after="0" w:line="145" w:lineRule="exact"/>
        <w:rPr>
          <w:sz w:val="20"/>
          <w:szCs w:val="20"/>
          <w:color w:val="auto"/>
        </w:rPr>
      </w:pPr>
    </w:p>
    <w:p>
      <w:pPr>
        <w:ind w:left="3629"/>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28"/>
          </w:cols>
          <w:pgMar w:left="231" w:top="775" w:right="1440" w:bottom="1440" w:gutter="0" w:footer="0" w:header="0"/>
          <w:type w:val="continuous"/>
        </w:sectPr>
      </w:pPr>
    </w:p>
    <w:bookmarkStart w:id="29" w:name="page30"/>
    <w:bookmarkEnd w:id="29"/>
    <w:tbl>
      <w:tblPr>
        <w:tblLayout w:type="fixed"/>
        <w:tblInd w:w="269" w:type="dxa"/>
        <w:tblCellMar>
          <w:top w:w="0" w:type="dxa"/>
          <w:left w:w="0" w:type="dxa"/>
          <w:bottom w:w="0" w:type="dxa"/>
          <w:right w:w="0" w:type="dxa"/>
        </w:tblCellMar>
      </w:tblPr>
      <w:tr>
        <w:trPr>
          <w:trHeight w:val="249"/>
        </w:trPr>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100" w:type="dxa"/>
            <w:vAlign w:val="bottom"/>
          </w:tcPr>
          <w:p>
            <w:pPr>
              <w:ind w:left="102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8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Exhibit</w:t>
            </w:r>
          </w:p>
        </w:tc>
        <w:tc>
          <w:tcPr>
            <w:tcW w:w="51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840" w:type="dxa"/>
            <w:vAlign w:val="bottom"/>
            <w:vMerge w:val="continue"/>
          </w:tcPr>
          <w:p>
            <w:pPr>
              <w:spacing w:after="0"/>
              <w:rPr>
                <w:sz w:val="14"/>
                <w:szCs w:val="14"/>
                <w:color w:val="auto"/>
              </w:rPr>
            </w:pPr>
          </w:p>
        </w:tc>
        <w:tc>
          <w:tcPr>
            <w:tcW w:w="5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Underwriting Agreement.*</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w:t>
            </w: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Certificate of Incorporation.(1)</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3.2</w:t>
            </w: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Bylaws.(1)</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Senior Indenture.</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Subordinated Indenture.</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Senior Debt Security (included in Exhibit 4.1).</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Form of</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Subordinated Debt Security (included in Exhibit 4.2).</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Opinion</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of Wilson Sonsini Goodrich &amp; Rosati, Professional</w:t>
            </w:r>
          </w:p>
        </w:tc>
        <w:tc>
          <w:tcPr>
            <w:tcW w:w="0" w:type="dxa"/>
            <w:vAlign w:val="bottom"/>
          </w:tcPr>
          <w:p>
            <w:pPr>
              <w:spacing w:after="0"/>
              <w:rPr>
                <w:sz w:val="1"/>
                <w:szCs w:val="1"/>
                <w:color w:val="auto"/>
              </w:rPr>
            </w:pPr>
          </w:p>
        </w:tc>
      </w:tr>
      <w:tr>
        <w:trPr>
          <w:trHeight w:val="171"/>
        </w:trPr>
        <w:tc>
          <w:tcPr>
            <w:tcW w:w="80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4"/>
              </w:rPr>
              <w:t>12.1</w:t>
            </w: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Corporation.</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Computation of Ratio of Earnings to Fixed Charges.</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23.1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of PricewaterhouseCoopers LLP, independent accountants.</w:t>
            </w:r>
          </w:p>
        </w:tc>
        <w:tc>
          <w:tcPr>
            <w:tcW w:w="0" w:type="dxa"/>
            <w:vAlign w:val="bottom"/>
          </w:tcPr>
          <w:p>
            <w:pPr>
              <w:spacing w:after="0"/>
              <w:rPr>
                <w:sz w:val="1"/>
                <w:szCs w:val="1"/>
                <w:color w:val="auto"/>
              </w:rPr>
            </w:pPr>
          </w:p>
        </w:tc>
      </w:tr>
      <w:tr>
        <w:trPr>
          <w:trHeight w:val="171"/>
        </w:trPr>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23.2</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Consent</w:t>
            </w:r>
          </w:p>
        </w:tc>
        <w:tc>
          <w:tcPr>
            <w:tcW w:w="5100" w:type="dxa"/>
            <w:vAlign w:val="bottom"/>
          </w:tcPr>
          <w:p>
            <w:pPr>
              <w:ind w:left="40"/>
              <w:spacing w:after="0"/>
              <w:rPr>
                <w:sz w:val="20"/>
                <w:szCs w:val="20"/>
                <w:color w:val="auto"/>
              </w:rPr>
            </w:pPr>
            <w:r>
              <w:rPr>
                <w:rFonts w:ascii="Courier New" w:cs="Courier New" w:eastAsia="Courier New" w:hAnsi="Courier New"/>
                <w:sz w:val="15"/>
                <w:szCs w:val="15"/>
                <w:color w:val="auto"/>
              </w:rPr>
              <w:t>of Wilson Sonsini Goodrich &amp; Rosati, Professional</w:t>
            </w:r>
          </w:p>
        </w:tc>
        <w:tc>
          <w:tcPr>
            <w:tcW w:w="0" w:type="dxa"/>
            <w:vAlign w:val="bottom"/>
          </w:tcPr>
          <w:p>
            <w:pPr>
              <w:spacing w:after="0"/>
              <w:rPr>
                <w:sz w:val="1"/>
                <w:szCs w:val="1"/>
                <w:color w:val="auto"/>
              </w:rPr>
            </w:pPr>
          </w:p>
        </w:tc>
      </w:tr>
      <w:tr>
        <w:trPr>
          <w:trHeight w:val="171"/>
        </w:trPr>
        <w:tc>
          <w:tcPr>
            <w:tcW w:w="80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4"/>
              </w:rPr>
              <w:t>24.1</w:t>
            </w: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Corporation (included in Exhibit 5.1).</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Power of Attorney of certain directors and officers of Micron</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Technology, Inc. (see page II-4 of initial filing of this Form S-</w:t>
            </w:r>
          </w:p>
        </w:tc>
        <w:tc>
          <w:tcPr>
            <w:tcW w:w="0" w:type="dxa"/>
            <w:vAlign w:val="bottom"/>
          </w:tcPr>
          <w:p>
            <w:pPr>
              <w:spacing w:after="0"/>
              <w:rPr>
                <w:sz w:val="1"/>
                <w:szCs w:val="1"/>
                <w:color w:val="auto"/>
              </w:rPr>
            </w:pPr>
          </w:p>
        </w:tc>
      </w:tr>
      <w:tr>
        <w:trPr>
          <w:trHeight w:val="171"/>
        </w:trPr>
        <w:tc>
          <w:tcPr>
            <w:tcW w:w="80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4"/>
              </w:rPr>
              <w:t>25.1</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c>
          <w:tcPr>
            <w:tcW w:w="5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Form T-1 Statement of Eligibility of Trustee for Senior Indenture</w:t>
            </w:r>
          </w:p>
        </w:tc>
        <w:tc>
          <w:tcPr>
            <w:tcW w:w="0" w:type="dxa"/>
            <w:vAlign w:val="bottom"/>
          </w:tcPr>
          <w:p>
            <w:pPr>
              <w:spacing w:after="0"/>
              <w:rPr>
                <w:sz w:val="1"/>
                <w:szCs w:val="1"/>
                <w:color w:val="auto"/>
              </w:rPr>
            </w:pPr>
          </w:p>
        </w:tc>
      </w:tr>
      <w:tr>
        <w:trPr>
          <w:trHeight w:val="171"/>
        </w:trPr>
        <w:tc>
          <w:tcPr>
            <w:tcW w:w="800" w:type="dxa"/>
            <w:vAlign w:val="bottom"/>
            <w:vMerge w:val="restart"/>
          </w:tcPr>
          <w:p>
            <w:pPr>
              <w:jc w:val="right"/>
              <w:ind w:right="366"/>
              <w:spacing w:after="0"/>
              <w:rPr>
                <w:sz w:val="20"/>
                <w:szCs w:val="20"/>
                <w:color w:val="auto"/>
              </w:rPr>
            </w:pPr>
            <w:r>
              <w:rPr>
                <w:rFonts w:ascii="Courier New" w:cs="Courier New" w:eastAsia="Courier New" w:hAnsi="Courier New"/>
                <w:sz w:val="15"/>
                <w:szCs w:val="15"/>
                <w:color w:val="auto"/>
                <w:w w:val="94"/>
              </w:rPr>
              <w:t>25.2</w:t>
            </w: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under the Trust Indenture Act of 1939.</w:t>
            </w:r>
          </w:p>
        </w:tc>
        <w:tc>
          <w:tcPr>
            <w:tcW w:w="0" w:type="dxa"/>
            <w:vAlign w:val="bottom"/>
          </w:tcPr>
          <w:p>
            <w:pPr>
              <w:spacing w:after="0"/>
              <w:rPr>
                <w:sz w:val="1"/>
                <w:szCs w:val="1"/>
                <w:color w:val="auto"/>
              </w:rPr>
            </w:pPr>
          </w:p>
        </w:tc>
      </w:tr>
      <w:tr>
        <w:trPr>
          <w:trHeight w:val="171"/>
        </w:trPr>
        <w:tc>
          <w:tcPr>
            <w:tcW w:w="800" w:type="dxa"/>
            <w:vAlign w:val="bottom"/>
            <w:vMerge w:val="continue"/>
          </w:tcPr>
          <w:p>
            <w:pPr>
              <w:spacing w:after="0"/>
              <w:rPr>
                <w:sz w:val="14"/>
                <w:szCs w:val="14"/>
                <w:color w:val="auto"/>
              </w:rPr>
            </w:pP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T-1 Statement of Eligibility of Trustee for Subordinated</w:t>
            </w:r>
          </w:p>
        </w:tc>
        <w:tc>
          <w:tcPr>
            <w:tcW w:w="0" w:type="dxa"/>
            <w:vAlign w:val="bottom"/>
          </w:tcPr>
          <w:p>
            <w:pPr>
              <w:spacing w:after="0"/>
              <w:rPr>
                <w:sz w:val="1"/>
                <w:szCs w:val="1"/>
                <w:color w:val="auto"/>
              </w:rPr>
            </w:pPr>
          </w:p>
        </w:tc>
      </w:tr>
      <w:tr>
        <w:trPr>
          <w:trHeight w:val="249"/>
        </w:trPr>
        <w:tc>
          <w:tcPr>
            <w:tcW w:w="800" w:type="dxa"/>
            <w:vAlign w:val="bottom"/>
          </w:tcPr>
          <w:p>
            <w:pPr>
              <w:spacing w:after="0"/>
              <w:rPr>
                <w:sz w:val="21"/>
                <w:szCs w:val="21"/>
                <w:color w:val="auto"/>
              </w:rPr>
            </w:pPr>
          </w:p>
        </w:tc>
        <w:tc>
          <w:tcPr>
            <w:tcW w:w="5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Indenture under the Trust Indenture Act of 1939.</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__________</w:t>
      </w:r>
    </w:p>
    <w:p>
      <w:pPr>
        <w:spacing w:after="0" w:line="171" w:lineRule="exact"/>
        <w:rPr>
          <w:sz w:val="20"/>
          <w:szCs w:val="20"/>
          <w:color w:val="auto"/>
        </w:rPr>
      </w:pPr>
    </w:p>
    <w:p>
      <w:pPr>
        <w:ind w:left="529" w:right="3399" w:hanging="440"/>
        <w:spacing w:after="0" w:line="353" w:lineRule="auto"/>
        <w:tabs>
          <w:tab w:leader="none" w:pos="52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or by a report on Form 8-K pursuant to Section 601 of Regulation S-K.</w:t>
      </w:r>
    </w:p>
    <w:p>
      <w:pPr>
        <w:spacing w:after="0" w:line="12" w:lineRule="exact"/>
        <w:rPr>
          <w:sz w:val="20"/>
          <w:szCs w:val="20"/>
          <w:color w:val="auto"/>
        </w:rPr>
      </w:pPr>
    </w:p>
    <w:p>
      <w:pPr>
        <w:ind w:left="529" w:hanging="440"/>
        <w:spacing w:after="0"/>
        <w:tabs>
          <w:tab w:leader="none" w:pos="52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171" w:lineRule="exact"/>
        <w:rPr>
          <w:sz w:val="20"/>
          <w:szCs w:val="20"/>
          <w:color w:val="auto"/>
        </w:rPr>
      </w:pPr>
    </w:p>
    <w:p>
      <w:pPr>
        <w:ind w:left="9" w:right="3299" w:hanging="9"/>
        <w:spacing w:after="0" w:line="353" w:lineRule="auto"/>
        <w:tabs>
          <w:tab w:leader="none" w:pos="54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Registrant's Annual Report on Form 10-K for the fiscal year ended September 2, 1999.</w:t>
      </w:r>
    </w:p>
    <w:p>
      <w:pPr>
        <w:spacing w:after="0" w:line="1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8"/>
          </w:cols>
          <w:pgMar w:left="231" w:top="605" w:right="1440" w:bottom="1440" w:gutter="0" w:footer="0" w:header="0"/>
        </w:sectPr>
      </w:pPr>
    </w:p>
    <w:bookmarkStart w:id="30" w:name="page31"/>
    <w:bookmarkEnd w:id="30"/>
    <w:p>
      <w:pPr>
        <w:ind w:left="6120"/>
        <w:spacing w:after="0"/>
        <w:rPr>
          <w:sz w:val="20"/>
          <w:szCs w:val="20"/>
          <w:color w:val="auto"/>
        </w:rPr>
      </w:pPr>
      <w:r>
        <w:rPr>
          <w:rFonts w:ascii="Courier New" w:cs="Courier New" w:eastAsia="Courier New" w:hAnsi="Courier New"/>
          <w:sz w:val="14"/>
          <w:szCs w:val="14"/>
          <w:color w:val="auto"/>
        </w:rPr>
        <w:t>Exhibit 4.1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to</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as Trustee</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________________</w:t>
      </w:r>
    </w:p>
    <w:p>
      <w:pPr>
        <w:spacing w:after="0" w:line="2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Indenture</w:t>
      </w:r>
    </w:p>
    <w:p>
      <w:pPr>
        <w:spacing w:after="0" w:line="14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Dated as of _______, 200__</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________________</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Senior Debt Securities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7"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9"/>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920" w:type="dxa"/>
            <w:vAlign w:val="bottom"/>
          </w:tcPr>
          <w:p>
            <w:pPr>
              <w:jc w:val="right"/>
              <w:ind w:right="2126"/>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21"/>
                <w:szCs w:val="21"/>
                <w:color w:val="auto"/>
              </w:rPr>
            </w:pPr>
          </w:p>
        </w:tc>
      </w:tr>
      <w:tr>
        <w:trPr>
          <w:trHeight w:val="604"/>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249"/>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64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ARTICLE ONE DEFINITIONS AND OTHER PROVISIONS OF GENERAL APPLICATION......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Compliance Certificates and Opinions...................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Documents Delivered to Trustee.................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Acts of Holders; Record Dates..........................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Notices, Etc...........................................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Notice to Holders; Waiver..............................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Conflict with Trust Indenture Act......................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Effect of Headings and Table of Contents...............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Successors and Assigns.................................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Separability Clause....................................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Benefits of Indenture..................................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Governing Law..........................................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Legal Holidays.........................................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5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Indenture and Securities Solely Corporate Obligations..  13</w:t>
            </w:r>
          </w:p>
        </w:tc>
      </w:tr>
      <w:tr>
        <w:trPr>
          <w:trHeight w:val="341"/>
        </w:trPr>
        <w:tc>
          <w:tcPr>
            <w:tcW w:w="64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ARTICLE TWO SECURITY FORMS...............................................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Forms Generally........................................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Face of Security...............................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Reverse of Security............................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Legend for Global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Trustee's Certificate of Authentication........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Conversion Notice..............................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41"/>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ARTICLE THREE THE</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Amount Unlimited; Issuable in Series...................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Denominations..........................................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Execution, Authentication, Delivery and Dating.........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Temporary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Registration; Registration of Transfer and Exchange....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Mutilated, Destroyed, Lost and Stolen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Payment of Interest; Interest Rights Preserved.........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Persons Deemed Owners..................................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Cancellation...........................................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Computation of 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FOUR</w:t>
            </w:r>
          </w:p>
        </w:tc>
        <w:tc>
          <w:tcPr>
            <w:tcW w:w="5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SATISFACTION AND DISCHARGE..................................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Satisfaction and Discharge of Indenture................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Application of Trust Money.............................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FIVE</w:t>
            </w:r>
          </w:p>
        </w:tc>
        <w:tc>
          <w:tcPr>
            <w:tcW w:w="5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REMEDIES....................................................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05" w:right="1440" w:bottom="1440" w:gutter="0" w:footer="0" w:header="0"/>
        </w:sectPr>
      </w:pPr>
    </w:p>
    <w:bookmarkStart w:id="32" w:name="page33"/>
    <w:bookmarkEnd w:id="32"/>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jc w:val="right"/>
        <w:ind w:right="279"/>
        <w:spacing w:after="0"/>
        <w:rPr>
          <w:sz w:val="20"/>
          <w:szCs w:val="20"/>
          <w:color w:val="auto"/>
        </w:rPr>
      </w:pPr>
      <w:r>
        <w:rPr>
          <w:rFonts w:ascii="Courier New" w:cs="Courier New" w:eastAsia="Courier New" w:hAnsi="Courier New"/>
          <w:sz w:val="15"/>
          <w:szCs w:val="15"/>
          <w:color w:val="auto"/>
        </w:rPr>
        <w:t>Page</w:t>
      </w:r>
    </w:p>
    <w:p>
      <w:pPr>
        <w:spacing w:after="0" w:line="27" w:lineRule="exact"/>
        <w:rPr>
          <w:sz w:val="20"/>
          <w:szCs w:val="20"/>
          <w:color w:val="auto"/>
        </w:rPr>
      </w:pPr>
    </w:p>
    <w:p>
      <w:pPr>
        <w:jc w:val="right"/>
        <w:ind w:right="279"/>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501. Events of Default</w:t>
      </w:r>
      <w:r>
        <w:rPr>
          <w:sz w:val="20"/>
          <w:szCs w:val="20"/>
          <w:color w:val="auto"/>
        </w:rPr>
        <w:tab/>
      </w:r>
      <w:r>
        <w:rPr>
          <w:rFonts w:ascii="Courier New" w:cs="Courier New" w:eastAsia="Courier New" w:hAnsi="Courier New"/>
          <w:sz w:val="15"/>
          <w:szCs w:val="15"/>
          <w:color w:val="auto"/>
        </w:rPr>
        <w:t>33</w:t>
      </w:r>
    </w:p>
    <w:p>
      <w:pPr>
        <w:spacing w:after="0" w:line="27"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502. Acceleration of Maturity; Rescission and Annulment</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503. Collection of Indebtedness and Suits for Enforcement by Trustee</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504. Trustee May File Proofs of Claim</w:t>
      </w:r>
      <w:r>
        <w:rPr>
          <w:sz w:val="20"/>
          <w:szCs w:val="20"/>
          <w:color w:val="auto"/>
        </w:rPr>
        <w:tab/>
      </w:r>
      <w:r>
        <w:rPr>
          <w:rFonts w:ascii="Courier New" w:cs="Courier New" w:eastAsia="Courier New" w:hAnsi="Courier New"/>
          <w:sz w:val="15"/>
          <w:szCs w:val="15"/>
          <w:color w:val="auto"/>
        </w:rPr>
        <w:t>36</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505. Trustee May Enforce Claims Without Possession of Securities</w:t>
      </w:r>
      <w:r>
        <w:rPr>
          <w:sz w:val="20"/>
          <w:szCs w:val="20"/>
          <w:color w:val="auto"/>
        </w:rPr>
        <w:tab/>
      </w:r>
      <w:r>
        <w:rPr>
          <w:rFonts w:ascii="Courier New" w:cs="Courier New" w:eastAsia="Courier New" w:hAnsi="Courier New"/>
          <w:sz w:val="15"/>
          <w:szCs w:val="15"/>
          <w:color w:val="auto"/>
        </w:rPr>
        <w:t>36</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506. Application of Money Collected</w:t>
      </w:r>
      <w:r>
        <w:rPr>
          <w:sz w:val="20"/>
          <w:szCs w:val="20"/>
          <w:color w:val="auto"/>
        </w:rPr>
        <w:tab/>
      </w:r>
      <w:r>
        <w:rPr>
          <w:rFonts w:ascii="Courier New" w:cs="Courier New" w:eastAsia="Courier New" w:hAnsi="Courier New"/>
          <w:sz w:val="15"/>
          <w:szCs w:val="15"/>
          <w:color w:val="auto"/>
        </w:rPr>
        <w:t>36</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507. Limitation on Suits</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508. Unconditional Right of Holders to Receive Principal, Premium and Interest and</w:t>
      </w:r>
    </w:p>
    <w:p>
      <w:pPr>
        <w:spacing w:after="0" w:line="1" w:lineRule="exact"/>
        <w:rPr>
          <w:sz w:val="20"/>
          <w:szCs w:val="20"/>
          <w:color w:val="auto"/>
        </w:rPr>
      </w:pPr>
    </w:p>
    <w:p>
      <w:pPr>
        <w:jc w:val="right"/>
        <w:ind w:right="279"/>
        <w:spacing w:after="0"/>
        <w:tabs>
          <w:tab w:leader="dot" w:pos="160" w:val="left"/>
        </w:tabs>
        <w:rPr>
          <w:sz w:val="20"/>
          <w:szCs w:val="20"/>
          <w:color w:val="auto"/>
        </w:rPr>
      </w:pPr>
      <w:r>
        <w:rPr>
          <w:rFonts w:ascii="Courier New" w:cs="Courier New" w:eastAsia="Courier New" w:hAnsi="Courier New"/>
          <w:sz w:val="15"/>
          <w:szCs w:val="15"/>
          <w:color w:val="auto"/>
        </w:rPr>
        <w:t>to Convert</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509. Restoration of Rights and Remedies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510. Rights and Remedies Cumulative</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511. Delay or Omission Not Waiver</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512. Control by Holders</w:t>
      </w:r>
      <w:r>
        <w:rPr>
          <w:sz w:val="20"/>
          <w:szCs w:val="20"/>
          <w:color w:val="auto"/>
        </w:rPr>
        <w:tab/>
      </w:r>
      <w:r>
        <w:rPr>
          <w:rFonts w:ascii="Courier New" w:cs="Courier New" w:eastAsia="Courier New" w:hAnsi="Courier New"/>
          <w:sz w:val="15"/>
          <w:szCs w:val="15"/>
          <w:color w:val="auto"/>
        </w:rPr>
        <w:t>38</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513. Waiver of Past Defaults</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514. Undertaking for Costs</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515. Waiver of Usury, Stay or Extension Laws</w:t>
      </w:r>
      <w:r>
        <w:rPr>
          <w:sz w:val="20"/>
          <w:szCs w:val="20"/>
          <w:color w:val="auto"/>
        </w:rPr>
        <w:tab/>
      </w:r>
      <w:r>
        <w:rPr>
          <w:rFonts w:ascii="Courier New" w:cs="Courier New" w:eastAsia="Courier New" w:hAnsi="Courier New"/>
          <w:sz w:val="15"/>
          <w:szCs w:val="15"/>
          <w:color w:val="auto"/>
        </w:rPr>
        <w:t>39</w:t>
      </w:r>
    </w:p>
    <w:p>
      <w:pPr>
        <w:spacing w:after="0" w:line="145" w:lineRule="exact"/>
        <w:rPr>
          <w:sz w:val="20"/>
          <w:szCs w:val="20"/>
          <w:color w:val="auto"/>
        </w:rPr>
      </w:pPr>
    </w:p>
    <w:p>
      <w:pPr>
        <w:spacing w:after="0"/>
        <w:tabs>
          <w:tab w:leader="dot" w:pos="9740" w:val="left"/>
        </w:tabs>
        <w:rPr>
          <w:sz w:val="20"/>
          <w:szCs w:val="20"/>
          <w:color w:val="auto"/>
        </w:rPr>
      </w:pPr>
      <w:r>
        <w:rPr>
          <w:rFonts w:ascii="Courier New" w:cs="Courier New" w:eastAsia="Courier New" w:hAnsi="Courier New"/>
          <w:sz w:val="15"/>
          <w:szCs w:val="15"/>
          <w:color w:val="auto"/>
        </w:rPr>
        <w:t>ARTICLE SIX THE TRUSTEE</w:t>
      </w:r>
      <w:r>
        <w:rPr>
          <w:sz w:val="20"/>
          <w:szCs w:val="20"/>
          <w:color w:val="auto"/>
        </w:rPr>
        <w:tab/>
      </w:r>
      <w:r>
        <w:rPr>
          <w:rFonts w:ascii="Courier New" w:cs="Courier New" w:eastAsia="Courier New" w:hAnsi="Courier New"/>
          <w:sz w:val="15"/>
          <w:szCs w:val="15"/>
          <w:color w:val="auto"/>
        </w:rPr>
        <w:t>40</w:t>
      </w:r>
    </w:p>
    <w:p>
      <w:pPr>
        <w:spacing w:after="0" w:line="17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601. Certain Duties and Responsibilities</w:t>
      </w:r>
      <w:r>
        <w:rPr>
          <w:sz w:val="20"/>
          <w:szCs w:val="20"/>
          <w:color w:val="auto"/>
        </w:rPr>
        <w:tab/>
      </w:r>
      <w:r>
        <w:rPr>
          <w:rFonts w:ascii="Courier New" w:cs="Courier New" w:eastAsia="Courier New" w:hAnsi="Courier New"/>
          <w:sz w:val="15"/>
          <w:szCs w:val="15"/>
          <w:color w:val="auto"/>
        </w:rPr>
        <w:t>40</w:t>
      </w:r>
    </w:p>
    <w:p>
      <w:pPr>
        <w:spacing w:after="0" w:line="27"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602. Notice of Defaults</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603. Certain Rights of Trustee</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604. Not Responsible for Recitals or Issuance of Securities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605. May Hold Securities and Act as Trustee Under Other Indentures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606. Money Held in Trust</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607. Compensation and Reimbursement</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608. Conflicting Interests</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609. Corporate Trustee Required; Eligibility</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610. Resignation and Removal; Appointment of Successor</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611. Acceptance of Appointment by Successor</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612. Merger, Conversion, Consolidation or Succession to Business</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613. Preferential Collection of Claims Against Company</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614. Appointment of Authenticating Agent</w:t>
      </w:r>
      <w:r>
        <w:rPr>
          <w:sz w:val="20"/>
          <w:szCs w:val="20"/>
          <w:color w:val="auto"/>
        </w:rPr>
        <w:tab/>
      </w:r>
      <w:r>
        <w:rPr>
          <w:rFonts w:ascii="Courier New" w:cs="Courier New" w:eastAsia="Courier New" w:hAnsi="Courier New"/>
          <w:sz w:val="15"/>
          <w:szCs w:val="15"/>
          <w:color w:val="auto"/>
        </w:rPr>
        <w:t>45</w:t>
      </w:r>
    </w:p>
    <w:p>
      <w:pPr>
        <w:spacing w:after="0" w:line="145" w:lineRule="exact"/>
        <w:rPr>
          <w:sz w:val="20"/>
          <w:szCs w:val="20"/>
          <w:color w:val="auto"/>
        </w:rPr>
      </w:pPr>
    </w:p>
    <w:p>
      <w:pPr>
        <w:spacing w:after="0"/>
        <w:tabs>
          <w:tab w:leader="dot" w:pos="9740" w:val="left"/>
        </w:tabs>
        <w:rPr>
          <w:sz w:val="20"/>
          <w:szCs w:val="20"/>
          <w:color w:val="auto"/>
        </w:rPr>
      </w:pPr>
      <w:r>
        <w:rPr>
          <w:rFonts w:ascii="Courier New" w:cs="Courier New" w:eastAsia="Courier New" w:hAnsi="Courier New"/>
          <w:sz w:val="15"/>
          <w:szCs w:val="15"/>
          <w:color w:val="auto"/>
        </w:rPr>
        <w:t>ARTICLE SEVEN HOLDERS' LISTS AND REPORTS BY TRUSTEE AND COMPANY</w:t>
      </w:r>
      <w:r>
        <w:rPr>
          <w:sz w:val="20"/>
          <w:szCs w:val="20"/>
          <w:color w:val="auto"/>
        </w:rPr>
        <w:tab/>
      </w:r>
      <w:r>
        <w:rPr>
          <w:rFonts w:ascii="Courier New" w:cs="Courier New" w:eastAsia="Courier New" w:hAnsi="Courier New"/>
          <w:sz w:val="15"/>
          <w:szCs w:val="15"/>
          <w:color w:val="auto"/>
        </w:rPr>
        <w:t>47</w:t>
      </w:r>
    </w:p>
    <w:p>
      <w:pPr>
        <w:spacing w:after="0" w:line="17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701. Company to Furnish Trustee Names and Addresses of Holders</w:t>
      </w:r>
      <w:r>
        <w:rPr>
          <w:sz w:val="20"/>
          <w:szCs w:val="20"/>
          <w:color w:val="auto"/>
        </w:rPr>
        <w:tab/>
      </w:r>
      <w:r>
        <w:rPr>
          <w:rFonts w:ascii="Courier New" w:cs="Courier New" w:eastAsia="Courier New" w:hAnsi="Courier New"/>
          <w:sz w:val="15"/>
          <w:szCs w:val="15"/>
          <w:color w:val="auto"/>
        </w:rPr>
        <w:t>47</w:t>
      </w:r>
    </w:p>
    <w:p>
      <w:pPr>
        <w:spacing w:after="0" w:line="27"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702. Preservation of Information; Communications to Holders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703. Reports by Trustee</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704. Reports by Company</w:t>
      </w:r>
      <w:r>
        <w:rPr>
          <w:sz w:val="20"/>
          <w:szCs w:val="20"/>
          <w:color w:val="auto"/>
        </w:rPr>
        <w:tab/>
      </w:r>
      <w:r>
        <w:rPr>
          <w:rFonts w:ascii="Courier New" w:cs="Courier New" w:eastAsia="Courier New" w:hAnsi="Courier New"/>
          <w:sz w:val="15"/>
          <w:szCs w:val="15"/>
          <w:color w:val="auto"/>
        </w:rPr>
        <w:t>48</w:t>
      </w: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05"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9"/>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920" w:type="dxa"/>
            <w:vAlign w:val="bottom"/>
          </w:tcPr>
          <w:p>
            <w:pPr>
              <w:jc w:val="right"/>
              <w:ind w:right="2226"/>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21"/>
                <w:szCs w:val="21"/>
                <w:color w:val="auto"/>
              </w:rPr>
            </w:pPr>
          </w:p>
        </w:tc>
      </w:tr>
      <w:tr>
        <w:trPr>
          <w:trHeight w:val="604"/>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249"/>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ARTICLE EIGHT CONSOLIDATION, MERGER, CONVEYANCE, TRANSFER OR LEASE.........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801.</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Company May Consolidate, Etc.............................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802.</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Successor Substituted....................................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NINE</w:t>
            </w:r>
          </w:p>
        </w:tc>
        <w:tc>
          <w:tcPr>
            <w:tcW w:w="54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SUPPLEMENTAL INDENTURES.......................................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901.</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Supplemental Indentures Without Consent of 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902.</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Supplemental Indentures With Consent of 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903.</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Execution of Supplemental Indentures.....................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904.</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Effect of Supplemental Indentures........................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905.</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Conformity with Trust Indenture Act......................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906.</w:t>
            </w:r>
          </w:p>
        </w:tc>
        <w:tc>
          <w:tcPr>
            <w:tcW w:w="5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Reference in Securities to Supplemental Indentures.......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341"/>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ARTICLE TEN COVENANTS......................................................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Payment of Principal, Premium and 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Maintenance of Office or Agency.........................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Money for Securities Payments to Be Held in Trust.......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1004.</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Statement by Officers as to Default.....................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1005.</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Existence...............................................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1006.</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Maintenance of Properties...............................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1007.</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Payment of Taxes and Other Claims.......................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1008.</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Limitation on Liens.....................................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Limitations on Sale and Leaseback Transactions..........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1010.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Waiver of Certain Covenants.............................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341"/>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ARTICLE ELEVEN REDEMPTION OF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Applicability of Article................................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Election to Redeem; Notice to Trustee...................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Selection by Trustee of Securities to Be Redeemed.......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1104.</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Notice of Redemption....................................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1105.</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Deposit of Redemption Price.............................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1106.</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Securities Payable on Redemption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1107.</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Securities Redeemed in Part.............................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341"/>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ARTICLE TWELVE SINKING FUNDS...............................................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Applicability of Article................................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Satisfaction of Sinking Fund Payments with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1203.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Redemption of Securities for Sinking Fund...............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bl>
    <w:p>
      <w:pPr>
        <w:spacing w:after="0" w:line="26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05" w:right="1440" w:bottom="1440" w:gutter="0" w:footer="0" w:header="0"/>
        </w:sectPr>
      </w:pPr>
    </w:p>
    <w:bookmarkStart w:id="34" w:name="page35"/>
    <w:bookmarkEnd w:id="34"/>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Page</w:t>
      </w:r>
    </w:p>
    <w:p>
      <w:pPr>
        <w:spacing w:after="0" w:line="27" w:lineRule="exact"/>
        <w:rPr>
          <w:sz w:val="20"/>
          <w:szCs w:val="20"/>
          <w:color w:val="auto"/>
        </w:rPr>
      </w:pPr>
    </w:p>
    <w:p>
      <w:pPr>
        <w:jc w:val="right"/>
        <w:ind w:right="3299"/>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ARTICLE THIRTEEN DEFEASANCE AND COVENANT DEFEASANCE</w:t>
      </w:r>
      <w:r>
        <w:rPr>
          <w:sz w:val="20"/>
          <w:szCs w:val="20"/>
          <w:color w:val="auto"/>
        </w:rPr>
        <w:tab/>
      </w:r>
      <w:r>
        <w:rPr>
          <w:rFonts w:ascii="Courier New" w:cs="Courier New" w:eastAsia="Courier New" w:hAnsi="Courier New"/>
          <w:sz w:val="15"/>
          <w:szCs w:val="15"/>
          <w:color w:val="auto"/>
        </w:rPr>
        <w:t>62</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1301. Company's Option to Effect Defeasance or Covenant</w:t>
      </w:r>
    </w:p>
    <w:p>
      <w:pPr>
        <w:spacing w:after="0" w:line="27"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Defeasance</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1302. Defeasance and Discharge</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1303. Covenant Defeasance</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1304. Conditions to Defeasance or Covenant Defeasance</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1305. Deposited Money and U</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1306. Reinstatement</w:t>
      </w:r>
      <w:r>
        <w:rPr>
          <w:sz w:val="20"/>
          <w:szCs w:val="20"/>
          <w:color w:val="auto"/>
        </w:rPr>
        <w:tab/>
      </w:r>
      <w:r>
        <w:rPr>
          <w:rFonts w:ascii="Courier New" w:cs="Courier New" w:eastAsia="Courier New" w:hAnsi="Courier New"/>
          <w:sz w:val="15"/>
          <w:szCs w:val="15"/>
          <w:color w:val="auto"/>
        </w:rPr>
        <w:t>65</w:t>
      </w:r>
    </w:p>
    <w:p>
      <w:pPr>
        <w:spacing w:after="0" w:line="145"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ARTICLE FOURTEEN CONVERSION OF SECURITIES</w:t>
      </w:r>
      <w:r>
        <w:rPr>
          <w:sz w:val="20"/>
          <w:szCs w:val="20"/>
          <w:color w:val="auto"/>
        </w:rPr>
        <w:tab/>
      </w:r>
      <w:r>
        <w:rPr>
          <w:rFonts w:ascii="Courier New" w:cs="Courier New" w:eastAsia="Courier New" w:hAnsi="Courier New"/>
          <w:sz w:val="15"/>
          <w:szCs w:val="15"/>
          <w:color w:val="auto"/>
        </w:rPr>
        <w:t>66</w:t>
      </w:r>
    </w:p>
    <w:p>
      <w:pPr>
        <w:spacing w:after="0" w:line="17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1401. Applicability of Article</w:t>
      </w:r>
      <w:r>
        <w:rPr>
          <w:sz w:val="20"/>
          <w:szCs w:val="20"/>
          <w:color w:val="auto"/>
        </w:rPr>
        <w:tab/>
      </w:r>
      <w:r>
        <w:rPr>
          <w:rFonts w:ascii="Courier New" w:cs="Courier New" w:eastAsia="Courier New" w:hAnsi="Courier New"/>
          <w:sz w:val="15"/>
          <w:szCs w:val="15"/>
          <w:color w:val="auto"/>
        </w:rPr>
        <w:t>66</w:t>
      </w:r>
    </w:p>
    <w:p>
      <w:pPr>
        <w:spacing w:after="0" w:line="27"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1402. Exercise of Conversion Privilege</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1403. No Fractional Shares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1404. Adjustment of Conversion Price</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1405. Notice of Certain Corporate Actions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1406. Reservation of Shares of Common Stock</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1407. Payment of Certain Taxes Upon Conversion</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1408. Nonassessability</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1409. Provision in Case of Consolidation, Merger or Sale of</w:t>
      </w:r>
    </w:p>
    <w:p>
      <w:pPr>
        <w:spacing w:after="0" w:line="1" w:lineRule="exact"/>
        <w:rPr>
          <w:sz w:val="20"/>
          <w:szCs w:val="20"/>
          <w:color w:val="auto"/>
        </w:rPr>
      </w:pPr>
    </w:p>
    <w:p>
      <w:pPr>
        <w:jc w:val="right"/>
        <w:ind w:right="3299"/>
        <w:spacing w:after="0"/>
        <w:tabs>
          <w:tab w:leader="dot" w:pos="160"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1410. Duties of Trustee Regarding Conversion</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SECTION 1411. Repayment of Certain Funds Upon Conversion</w:t>
      </w:r>
      <w:r>
        <w:rPr>
          <w:sz w:val="20"/>
          <w:szCs w:val="20"/>
          <w:color w:val="auto"/>
        </w:rPr>
        <w:tab/>
      </w:r>
      <w:r>
        <w:rPr>
          <w:rFonts w:ascii="Courier New" w:cs="Courier New" w:eastAsia="Courier New" w:hAnsi="Courier New"/>
          <w:sz w:val="15"/>
          <w:szCs w:val="15"/>
          <w:color w:val="auto"/>
        </w:rPr>
        <w:t>71</w:t>
      </w: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605" w:right="1440" w:bottom="1440" w:gutter="0" w:footer="0" w:header="0"/>
        </w:sectPr>
      </w:pPr>
    </w:p>
    <w:bookmarkStart w:id="35" w:name="page36"/>
    <w:bookmarkEnd w:id="35"/>
    <w:p>
      <w:pPr>
        <w:ind w:left="440"/>
        <w:spacing w:after="0"/>
        <w:rPr>
          <w:sz w:val="20"/>
          <w:szCs w:val="20"/>
          <w:color w:val="auto"/>
        </w:rPr>
      </w:pPr>
      <w:r>
        <w:rPr>
          <w:rFonts w:ascii="Courier New" w:cs="Courier New" w:eastAsia="Courier New" w:hAnsi="Courier New"/>
          <w:sz w:val="14"/>
          <w:szCs w:val="14"/>
          <w:color w:val="auto"/>
        </w:rPr>
        <w:t>INDENTURE, dated as of ___________, 200__, between Micron Technology, Inc.,</w:t>
      </w:r>
    </w:p>
    <w:p>
      <w:pPr>
        <w:spacing w:after="0" w:line="38" w:lineRule="exact"/>
        <w:rPr>
          <w:sz w:val="20"/>
          <w:szCs w:val="20"/>
          <w:color w:val="auto"/>
        </w:rPr>
      </w:pPr>
    </w:p>
    <w:p>
      <w:pPr>
        <w:ind w:right="3119"/>
        <w:spacing w:after="0" w:line="256" w:lineRule="auto"/>
        <w:rPr>
          <w:sz w:val="20"/>
          <w:szCs w:val="20"/>
          <w:color w:val="auto"/>
        </w:rPr>
      </w:pPr>
      <w:r>
        <w:rPr>
          <w:rFonts w:ascii="Courier New" w:cs="Courier New" w:eastAsia="Courier New" w:hAnsi="Courier New"/>
          <w:sz w:val="15"/>
          <w:szCs w:val="15"/>
          <w:color w:val="auto"/>
        </w:rPr>
        <w:t>a corporation duly organized and existing under the State of Delaware (herein called the "Company"), having its principal executive office at 8000 South Federal Way, P.O. Box 6, Boise, Idaho 83707-0006, and Norwest Bank Minnesota, National Association, a national banking association duly organized and existing under the laws of the United States of America, as Trustee (herein called the "Trustee").</w:t>
      </w:r>
    </w:p>
    <w:p>
      <w:pPr>
        <w:spacing w:after="0" w:line="8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RECITALS OF THE COMPANY</w:t>
      </w:r>
    </w:p>
    <w:p>
      <w:pPr>
        <w:spacing w:after="0" w:line="171"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52"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All things necessary to make this Indenture a valid agreement of the Company, in accordance with its terms, have been done.</w:t>
      </w:r>
    </w:p>
    <w:p>
      <w:pPr>
        <w:spacing w:after="0" w:line="1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1" w:lineRule="exact"/>
        <w:rPr>
          <w:sz w:val="20"/>
          <w:szCs w:val="20"/>
          <w:color w:val="auto"/>
        </w:rPr>
      </w:pPr>
    </w:p>
    <w:p>
      <w:pPr>
        <w:ind w:right="3299"/>
        <w:spacing w:after="0" w:line="278"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ONE</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DEFINITIONS AND OTHER PROVISIONS OF GENERAL APPLICATION.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 Definitions.</w:t>
      </w:r>
    </w:p>
    <w:p>
      <w:pPr>
        <w:spacing w:after="0" w:line="17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For all purposes of this Indenture, except as otherwise expressly provided or unless the context otherwise requires:</w:t>
      </w:r>
    </w:p>
    <w:p>
      <w:pPr>
        <w:spacing w:after="0" w:line="12" w:lineRule="exact"/>
        <w:rPr>
          <w:sz w:val="20"/>
          <w:szCs w:val="20"/>
          <w:color w:val="auto"/>
        </w:rPr>
      </w:pPr>
    </w:p>
    <w:p>
      <w:pPr>
        <w:ind w:right="3119" w:firstLine="435"/>
        <w:spacing w:after="0" w:line="353" w:lineRule="auto"/>
        <w:tabs>
          <w:tab w:leader="none" w:pos="79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2" w:lineRule="exact"/>
        <w:rPr>
          <w:rFonts w:ascii="Courier New" w:cs="Courier New" w:eastAsia="Courier New" w:hAnsi="Courier New"/>
          <w:sz w:val="15"/>
          <w:szCs w:val="15"/>
          <w:color w:val="auto"/>
        </w:rPr>
      </w:pPr>
    </w:p>
    <w:p>
      <w:pPr>
        <w:ind w:right="3119" w:firstLine="435"/>
        <w:spacing w:after="0" w:line="297" w:lineRule="auto"/>
        <w:tabs>
          <w:tab w:leader="none" w:pos="79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51" w:lineRule="exact"/>
        <w:rPr>
          <w:rFonts w:ascii="Courier New" w:cs="Courier New" w:eastAsia="Courier New" w:hAnsi="Courier New"/>
          <w:sz w:val="15"/>
          <w:szCs w:val="15"/>
          <w:color w:val="auto"/>
        </w:rPr>
      </w:pPr>
    </w:p>
    <w:p>
      <w:pPr>
        <w:ind w:right="3119" w:firstLine="435"/>
        <w:spacing w:after="0" w:line="263" w:lineRule="auto"/>
        <w:tabs>
          <w:tab w:leader="none" w:pos="79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77" w:lineRule="exact"/>
        <w:rPr>
          <w:rFonts w:ascii="Courier New" w:cs="Courier New" w:eastAsia="Courier New" w:hAnsi="Courier New"/>
          <w:sz w:val="15"/>
          <w:szCs w:val="15"/>
          <w:color w:val="auto"/>
        </w:rPr>
      </w:pPr>
    </w:p>
    <w:p>
      <w:pPr>
        <w:ind w:right="3119" w:firstLine="435"/>
        <w:spacing w:after="0" w:line="297" w:lineRule="auto"/>
        <w:tabs>
          <w:tab w:leader="none" w:pos="79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otherwise requires, any reference to an "Article" or a "Section" refers to an Article or a Section, as the case may be, of this Indenture; and</w:t>
      </w:r>
    </w:p>
    <w:p>
      <w:pPr>
        <w:sectPr>
          <w:pgSz w:w="11900" w:h="16838" w:orient="portrait"/>
          <w:cols w:equalWidth="0" w:num="1">
            <w:col w:w="10219"/>
          </w:cols>
          <w:pgMar w:left="240" w:top="605" w:right="1440" w:bottom="1440" w:gutter="0" w:footer="0" w:header="0"/>
        </w:sectPr>
      </w:pPr>
    </w:p>
    <w:bookmarkStart w:id="36" w:name="page37"/>
    <w:bookmarkEnd w:id="36"/>
    <w:p>
      <w:pPr>
        <w:ind w:right="3119" w:firstLine="435"/>
        <w:spacing w:after="0" w:line="297" w:lineRule="auto"/>
        <w:tabs>
          <w:tab w:leader="none" w:pos="79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pacing w:after="0" w:line="5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"Act," when used with respect to any Holder, has the meaning specified in Section 104.</w:t>
      </w:r>
    </w:p>
    <w:p>
      <w:pPr>
        <w:spacing w:after="0" w:line="12" w:lineRule="exact"/>
        <w:rPr>
          <w:sz w:val="20"/>
          <w:szCs w:val="20"/>
          <w:color w:val="auto"/>
        </w:rPr>
      </w:pPr>
    </w:p>
    <w:p>
      <w:pPr>
        <w:ind w:right="3399" w:firstLine="444"/>
        <w:spacing w:after="0" w:line="257"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80" w:lineRule="exact"/>
        <w:rPr>
          <w:sz w:val="20"/>
          <w:szCs w:val="20"/>
          <w:color w:val="auto"/>
        </w:rPr>
      </w:pPr>
    </w:p>
    <w:p>
      <w:pPr>
        <w:ind w:right="3119" w:firstLine="444"/>
        <w:spacing w:after="0" w:line="246" w:lineRule="auto"/>
        <w:rPr>
          <w:sz w:val="20"/>
          <w:szCs w:val="20"/>
          <w:color w:val="auto"/>
        </w:rPr>
      </w:pPr>
      <w:r>
        <w:rPr>
          <w:rFonts w:ascii="Courier New" w:cs="Courier New" w:eastAsia="Courier New" w:hAnsi="Courier New"/>
          <w:sz w:val="15"/>
          <w:szCs w:val="15"/>
          <w:color w:val="auto"/>
        </w:rPr>
        <w:t>"Attributable Debt" means, in respect of a Sale and Lease-Back Transaction involving a Principal Property, at the time of determination, the lesser of: (a) the fair value of such property (as determined in good faith by the Board of Directors); or (b) the present value of the total net amount of rent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Securities of each series outstanding pursuant to this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97"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"Authenticating Agent" means any Person authorized by the Trustee pursuant to Section 614 to act on behalf of the Trustee to authenticate Securities of one or more series.</w:t>
      </w:r>
    </w:p>
    <w:p>
      <w:pPr>
        <w:spacing w:after="0" w:line="52"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"Board of Directors" means either the board of directors of the Company or any duly authorized committee of that board empowered to act for it with respect to this Indenture.</w:t>
      </w:r>
    </w:p>
    <w:p>
      <w:pPr>
        <w:spacing w:after="0" w:line="5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66"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5" w:right="1440" w:bottom="1440" w:gutter="0" w:footer="0" w:header="0"/>
        </w:sectPr>
      </w:pPr>
    </w:p>
    <w:bookmarkStart w:id="37" w:name="page38"/>
    <w:bookmarkEnd w:id="37"/>
    <w:p>
      <w:pPr>
        <w:ind w:right="3219" w:firstLine="444"/>
        <w:spacing w:after="0" w:line="269" w:lineRule="auto"/>
        <w:rPr>
          <w:sz w:val="20"/>
          <w:szCs w:val="20"/>
          <w:color w:val="auto"/>
        </w:rPr>
      </w:pPr>
      <w:r>
        <w:rPr>
          <w:rFonts w:ascii="Courier New" w:cs="Courier New" w:eastAsia="Courier New" w:hAnsi="Courier New"/>
          <w:sz w:val="15"/>
          <w:szCs w:val="15"/>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72" w:lineRule="exact"/>
        <w:rPr>
          <w:sz w:val="20"/>
          <w:szCs w:val="20"/>
          <w:color w:val="auto"/>
        </w:rPr>
      </w:pPr>
    </w:p>
    <w:p>
      <w:pPr>
        <w:ind w:right="3219" w:firstLine="444"/>
        <w:spacing w:after="0" w:line="248" w:lineRule="auto"/>
        <w:rPr>
          <w:sz w:val="20"/>
          <w:szCs w:val="20"/>
          <w:color w:val="auto"/>
        </w:rPr>
      </w:pPr>
      <w:r>
        <w:rPr>
          <w:rFonts w:ascii="Courier New" w:cs="Courier New" w:eastAsia="Courier New" w:hAnsi="Courier New"/>
          <w:sz w:val="15"/>
          <w:szCs w:val="15"/>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 subject to the provisions of Section 1409,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92" w:lineRule="exact"/>
        <w:rPr>
          <w:sz w:val="20"/>
          <w:szCs w:val="20"/>
          <w:color w:val="auto"/>
        </w:rPr>
      </w:pPr>
    </w:p>
    <w:p>
      <w:pPr>
        <w:ind w:right="3479" w:firstLine="444"/>
        <w:spacing w:after="0" w:line="278" w:lineRule="auto"/>
        <w:rPr>
          <w:sz w:val="20"/>
          <w:szCs w:val="20"/>
          <w:color w:val="auto"/>
        </w:rPr>
      </w:pPr>
      <w:r>
        <w:rPr>
          <w:rFonts w:ascii="Courier New" w:cs="Courier New" w:eastAsia="Courier New" w:hAnsi="Courier New"/>
          <w:sz w:val="15"/>
          <w:szCs w:val="15"/>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66"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"Company Request" or "Company Order" means a written request or order signed in the name of the Company by its Chairman of the Board, its Vice Chairman of the Board, its President or a Vice President, and by its principal financial officer, its Treasurer, an Assistant Treasurer, its Secretary or an Assistant Secretary, and delivered to the Trustee.</w:t>
      </w:r>
    </w:p>
    <w:p>
      <w:pPr>
        <w:spacing w:after="0" w:line="72"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"Consolidated Net Tangible Assets" means, as of the time of determination, total assets (excluding applicable reserves and other property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7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"Corporate Trust Office" means the corporate trust office of the Trustee at Norwest Center, Sixth Street and Marquette, Minneapolis, Minnesota 55479-0069, at which at any particular time its corporate trust business shall be administered.</w:t>
      </w:r>
    </w:p>
    <w:p>
      <w:pPr>
        <w:spacing w:after="0" w:line="66"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"corporation" means a corporation, association, company, joint-stock company or business trust.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"Covenant Defeasance" has the meaning specified in Section 1303.</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5" w:right="1440" w:bottom="1440" w:gutter="0" w:footer="0" w:header="0"/>
        </w:sectPr>
      </w:pPr>
    </w:p>
    <w:bookmarkStart w:id="38" w:name="page39"/>
    <w:bookmarkEnd w:id="38"/>
    <w:p>
      <w:pPr>
        <w:ind w:left="440"/>
        <w:spacing w:after="0"/>
        <w:rPr>
          <w:sz w:val="20"/>
          <w:szCs w:val="20"/>
          <w:color w:val="auto"/>
        </w:rPr>
      </w:pPr>
      <w:r>
        <w:rPr>
          <w:rFonts w:ascii="Courier New" w:cs="Courier New" w:eastAsia="Courier New" w:hAnsi="Courier New"/>
          <w:sz w:val="15"/>
          <w:szCs w:val="15"/>
          <w:color w:val="auto"/>
        </w:rPr>
        <w:t>"Defaulted Interest" has the meaning specified in Section 307.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"Defeasance" has the meaning specified in Section 1302.</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 of Default" has the meaning specified in Section 501.</w:t>
      </w:r>
    </w:p>
    <w:p>
      <w:pPr>
        <w:spacing w:after="0" w:line="171"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"Exchange Act" means the Securities Exchange Act of 1934 and any statute successor thereto, in each case as amended from time to time.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"Expiration Date" has the meaning specified in Section 104.</w:t>
      </w:r>
    </w:p>
    <w:p>
      <w:pPr>
        <w:spacing w:after="0" w:line="171"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36"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"Holder" means a Person in whose name a Security is registered in the Security Register.</w:t>
      </w:r>
    </w:p>
    <w:p>
      <w:pPr>
        <w:spacing w:after="0" w:line="1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4"/>
          <w:szCs w:val="14"/>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200" w:lineRule="exact"/>
        <w:rPr>
          <w:sz w:val="20"/>
          <w:szCs w:val="20"/>
          <w:color w:val="auto"/>
        </w:rPr>
      </w:pPr>
    </w:p>
    <w:p>
      <w:pPr>
        <w:spacing w:after="0" w:line="237"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"interest," when used with respect to an Original Issue Discount Security which by its terms bears interest only after Maturity, means interest payable after Maturity.</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5" w:right="1440" w:bottom="1440" w:gutter="0" w:footer="0" w:header="0"/>
        </w:sectPr>
      </w:pPr>
    </w:p>
    <w:bookmarkStart w:id="39" w:name="page40"/>
    <w:bookmarkEnd w:id="39"/>
    <w:p>
      <w:pPr>
        <w:ind w:right="3219" w:firstLine="444"/>
        <w:spacing w:after="0" w:line="353" w:lineRule="auto"/>
        <w:rPr>
          <w:sz w:val="20"/>
          <w:szCs w:val="20"/>
          <w:color w:val="auto"/>
        </w:rPr>
      </w:pPr>
      <w:r>
        <w:rPr>
          <w:rFonts w:ascii="Courier New" w:cs="Courier New" w:eastAsia="Courier New" w:hAnsi="Courier New"/>
          <w:sz w:val="15"/>
          <w:szCs w:val="15"/>
          <w:color w:val="auto"/>
        </w:rPr>
        <w:t>"Interest Payment Date," when used with respect to any Security, means the Stated Maturity of an installment of interest on such Security.</w:t>
      </w:r>
    </w:p>
    <w:p>
      <w:pPr>
        <w:spacing w:after="0" w:line="1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"Investment Company Act" means the Investment Company Act of 1940 and any statute successor thereto, in each case as amended from time to time.</w:t>
      </w:r>
    </w:p>
    <w:p>
      <w:pPr>
        <w:spacing w:after="0" w:line="1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66"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71"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"Notice of Default" means a written notice of the kind specified in Section 501(4).</w:t>
      </w:r>
    </w:p>
    <w:p>
      <w:pPr>
        <w:spacing w:after="0" w:line="1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"Officers' Certificate" means a certificate signed by the Chairman of the Board, a Vice Chairman of the Board, the President or a Vice President, and by the principal financial officer,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82"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"Opinion of Counsel" means a written opinion of counsel, who may be counsel for, or an employee of, the Company, and who shall be reasonably acceptable to the Trustee.</w:t>
      </w:r>
    </w:p>
    <w:p>
      <w:pPr>
        <w:spacing w:after="0" w:line="52"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5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52" w:lineRule="exact"/>
        <w:rPr>
          <w:sz w:val="20"/>
          <w:szCs w:val="20"/>
          <w:color w:val="auto"/>
        </w:rPr>
      </w:pPr>
    </w:p>
    <w:p>
      <w:pPr>
        <w:ind w:right="3579" w:firstLine="435"/>
        <w:spacing w:after="0" w:line="353" w:lineRule="auto"/>
        <w:tabs>
          <w:tab w:leader="none" w:pos="79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canceled by the Trustee or delivered to the Trustee for cancellation;</w:t>
      </w:r>
    </w:p>
    <w:p>
      <w:pPr>
        <w:spacing w:after="0" w:line="12"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5" w:right="1440" w:bottom="1440" w:gutter="0" w:footer="0" w:header="0"/>
        </w:sectPr>
      </w:pPr>
    </w:p>
    <w:bookmarkStart w:id="40" w:name="page41"/>
    <w:bookmarkEnd w:id="40"/>
    <w:p>
      <w:pPr>
        <w:ind w:left="780" w:hanging="345"/>
        <w:spacing w:after="0"/>
        <w:tabs>
          <w:tab w:leader="none" w:pos="7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as to which Defeasance has been effected pursuant to Section</w:t>
      </w:r>
    </w:p>
    <w:p>
      <w:pPr>
        <w:spacing w:after="0" w:line="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1302; and</w:t>
      </w:r>
    </w:p>
    <w:p>
      <w:pPr>
        <w:spacing w:after="0" w:line="145" w:lineRule="exact"/>
        <w:rPr>
          <w:rFonts w:ascii="Courier New" w:cs="Courier New" w:eastAsia="Courier New" w:hAnsi="Courier New"/>
          <w:sz w:val="14"/>
          <w:szCs w:val="14"/>
          <w:color w:val="auto"/>
        </w:rPr>
      </w:pPr>
    </w:p>
    <w:p>
      <w:pPr>
        <w:ind w:right="3119" w:firstLine="435"/>
        <w:spacing w:after="0" w:line="263" w:lineRule="auto"/>
        <w:tabs>
          <w:tab w:leader="none" w:pos="79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77" w:lineRule="exact"/>
        <w:rPr>
          <w:sz w:val="20"/>
          <w:szCs w:val="20"/>
          <w:color w:val="auto"/>
        </w:rPr>
      </w:pPr>
    </w:p>
    <w:p>
      <w:pPr>
        <w:ind w:right="3119"/>
        <w:spacing w:after="0" w:line="263"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89" w:lineRule="exact"/>
        <w:rPr>
          <w:sz w:val="20"/>
          <w:szCs w:val="20"/>
          <w:color w:val="auto"/>
        </w:rPr>
      </w:pPr>
    </w:p>
    <w:p>
      <w:pPr>
        <w:ind w:right="3659" w:firstLine="444"/>
        <w:spacing w:after="0" w:line="297"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or any premium or interest on any Securities on behalf of the Company.</w:t>
      </w:r>
    </w:p>
    <w:p>
      <w:pPr>
        <w:spacing w:after="0" w:line="52"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5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66"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w:t>
      </w:r>
    </w:p>
    <w:p>
      <w:pPr>
        <w:spacing w:after="0" w:line="3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5" w:right="1440" w:bottom="1440" w:gutter="0" w:footer="0" w:header="0"/>
        </w:sectPr>
      </w:pPr>
    </w:p>
    <w:bookmarkStart w:id="41" w:name="page42"/>
    <w:bookmarkEnd w:id="41"/>
    <w:p>
      <w:pPr>
        <w:jc w:val="both"/>
        <w:ind w:right="3399"/>
        <w:spacing w:after="0" w:line="297" w:lineRule="auto"/>
        <w:rPr>
          <w:sz w:val="20"/>
          <w:szCs w:val="20"/>
          <w:color w:val="auto"/>
        </w:rPr>
      </w:pPr>
      <w:r>
        <w:rPr>
          <w:rFonts w:ascii="Courier New" w:cs="Courier New" w:eastAsia="Courier New" w:hAnsi="Courier New"/>
          <w:sz w:val="15"/>
          <w:szCs w:val="15"/>
          <w:color w:val="auto"/>
        </w:rPr>
        <w:t>authenticated and delivered under Section 306 in exchange for or in lieu of a mutilated, destroyed, lost or stolen Security shall be deemed to evidence the same debt as the mutilated, destroyed, lost or stolen Security.</w:t>
      </w:r>
    </w:p>
    <w:p>
      <w:pPr>
        <w:spacing w:after="0" w:line="52"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he Board of Directors not to be materially important to the total business conducted by the Company and its Subsidiaries taken as a whole; and (d) has a market value on the date as of which the determination is being made in excess of 2.0% of Consolidated Net Tangible Assets of the Company as most recently determined on or prior to such date.</w:t>
      </w:r>
    </w:p>
    <w:p>
      <w:pPr>
        <w:spacing w:after="0" w:line="86" w:lineRule="exact"/>
        <w:rPr>
          <w:sz w:val="20"/>
          <w:szCs w:val="20"/>
          <w:color w:val="auto"/>
        </w:rPr>
      </w:pPr>
    </w:p>
    <w:p>
      <w:pPr>
        <w:ind w:right="3299" w:firstLine="444"/>
        <w:spacing w:after="0" w:line="387" w:lineRule="auto"/>
        <w:rPr>
          <w:sz w:val="20"/>
          <w:szCs w:val="20"/>
          <w:color w:val="auto"/>
        </w:rPr>
      </w:pPr>
      <w:r>
        <w:rPr>
          <w:rFonts w:ascii="Courier New" w:cs="Courier New" w:eastAsia="Courier New" w:hAnsi="Courier New"/>
          <w:sz w:val="14"/>
          <w:szCs w:val="14"/>
          <w:color w:val="auto"/>
        </w:rPr>
        <w:t>"Redemption Date," when used with respect to any Security to be redeemed, means the date fixed for such redemption by or pursuant to this Indenture.</w:t>
      </w:r>
    </w:p>
    <w:p>
      <w:pPr>
        <w:spacing w:after="0" w:line="1" w:lineRule="exact"/>
        <w:rPr>
          <w:sz w:val="20"/>
          <w:szCs w:val="20"/>
          <w:color w:val="auto"/>
        </w:rPr>
      </w:pPr>
    </w:p>
    <w:p>
      <w:pPr>
        <w:ind w:right="3219" w:firstLine="444"/>
        <w:spacing w:after="0" w:line="387" w:lineRule="auto"/>
        <w:rPr>
          <w:sz w:val="20"/>
          <w:szCs w:val="20"/>
          <w:color w:val="auto"/>
        </w:rPr>
      </w:pPr>
      <w:r>
        <w:rPr>
          <w:rFonts w:ascii="Courier New" w:cs="Courier New" w:eastAsia="Courier New" w:hAnsi="Courier New"/>
          <w:sz w:val="14"/>
          <w:szCs w:val="14"/>
          <w:color w:val="auto"/>
        </w:rPr>
        <w:t>"Redemption Price," when used with respect to any Security to be redeemed, means the price at which it is to be redeemed pursuant to this Indenture.</w:t>
      </w:r>
    </w:p>
    <w:p>
      <w:pPr>
        <w:spacing w:after="0" w:line="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"Regular Record Date" for the interest payable on any Interest Payment Date on the Securities of any series means the date specified for that purpose as contemplated by Section 301.</w:t>
      </w:r>
    </w:p>
    <w:p>
      <w:pPr>
        <w:spacing w:after="0" w:line="52"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"Restricted Subsidiary" means any Subsidiary that owns any Principal Property; provided, however, that the term "Restricted Subsidiary" shall not include (a) any Subsidiary which is principally engaged in financing receivables, or which is principally engaged in financing the Company's operations outside the United States of America or (b) any Subsidiary less than 80% of the voting stock of which is owned, directly or indirectly, by the Company or by one or more other Subsidiaries, or by the Company and one or more other Subsidiaries if the Common Stock of such Subsidiary is traded on any national securities exchange or quoted on the Nasdaq national Market or in the over-the-counter market.</w:t>
      </w:r>
    </w:p>
    <w:p>
      <w:pPr>
        <w:spacing w:after="0" w:line="86"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66"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"Securities" has the meaning stated in the first recital of this Indenture and more particularly means any Securities authenticated and delivered under this Indenture.</w:t>
      </w:r>
    </w:p>
    <w:p>
      <w:pPr>
        <w:spacing w:after="0" w:line="52"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"Securities Act" means the Securities Act of 1933 and any statute successor thereto, in each case as amended from time to time.</w:t>
      </w:r>
    </w:p>
    <w:p>
      <w:pPr>
        <w:spacing w:after="0" w:line="1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305.</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5" w:right="1440" w:bottom="1440" w:gutter="0" w:footer="0" w:header="0"/>
        </w:sectPr>
      </w:pPr>
    </w:p>
    <w:bookmarkStart w:id="42" w:name="page43"/>
    <w:bookmarkEnd w:id="42"/>
    <w:p>
      <w:pPr>
        <w:ind w:right="3479" w:firstLine="444"/>
        <w:spacing w:after="0" w:line="353" w:lineRule="auto"/>
        <w:rPr>
          <w:sz w:val="20"/>
          <w:szCs w:val="20"/>
          <w:color w:val="auto"/>
        </w:rPr>
      </w:pPr>
      <w:r>
        <w:rPr>
          <w:rFonts w:ascii="Courier New" w:cs="Courier New" w:eastAsia="Courier New" w:hAnsi="Courier New"/>
          <w:sz w:val="15"/>
          <w:szCs w:val="15"/>
          <w:color w:val="auto"/>
        </w:rPr>
        <w:t>"Special Record Date" for the payment of any Defaulted Interest means a date fixed by the Trustee pursuant to Section 307.</w:t>
      </w:r>
    </w:p>
    <w:p>
      <w:pPr>
        <w:spacing w:after="0" w:line="12"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66"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"Subsidiary" means a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and the accounts of which are consolidated with those of the Company in its most recent consolidated financial statements in accordance with generally accepted accounting principles.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86"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72"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 Government Obligation" has the meaning specified in Section 1304.</w:t>
      </w:r>
    </w:p>
    <w:p>
      <w:pPr>
        <w:spacing w:after="0" w:line="171" w:lineRule="exact"/>
        <w:rPr>
          <w:sz w:val="20"/>
          <w:szCs w:val="20"/>
          <w:color w:val="auto"/>
        </w:rPr>
      </w:pPr>
    </w:p>
    <w:p>
      <w:pPr>
        <w:jc w:val="both"/>
        <w:ind w:right="3479" w:firstLine="444"/>
        <w:spacing w:after="0" w:line="297" w:lineRule="auto"/>
        <w:rPr>
          <w:sz w:val="20"/>
          <w:szCs w:val="20"/>
          <w:color w:val="auto"/>
        </w:rPr>
      </w:pPr>
      <w:r>
        <w:rPr>
          <w:rFonts w:ascii="Courier New" w:cs="Courier New" w:eastAsia="Courier New" w:hAnsi="Courier New"/>
          <w:sz w:val="15"/>
          <w:szCs w:val="15"/>
          <w:color w:val="auto"/>
        </w:rPr>
        <w:t>"Vice President," when used with respect to the Company or the Trustee, means any vice president, whether or not designated by a number or a word or words added before or after the title "vice president."</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102. Compliance Certificates and Opinions.</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80"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shall include,</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5" w:right="1440" w:bottom="1440" w:gutter="0" w:footer="0" w:header="0"/>
        </w:sectPr>
      </w:pPr>
    </w:p>
    <w:bookmarkStart w:id="43" w:name="page44"/>
    <w:bookmarkEnd w:id="43"/>
    <w:p>
      <w:pPr>
        <w:ind w:right="3119" w:firstLine="435"/>
        <w:spacing w:after="0" w:line="387" w:lineRule="auto"/>
        <w:tabs>
          <w:tab w:leader="none" w:pos="799"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ind w:right="3579" w:firstLine="435"/>
        <w:spacing w:after="0" w:line="297" w:lineRule="auto"/>
        <w:tabs>
          <w:tab w:leader="none" w:pos="79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51" w:lineRule="exact"/>
        <w:rPr>
          <w:rFonts w:ascii="Courier New" w:cs="Courier New" w:eastAsia="Courier New" w:hAnsi="Courier New"/>
          <w:sz w:val="15"/>
          <w:szCs w:val="15"/>
          <w:color w:val="auto"/>
        </w:rPr>
      </w:pPr>
    </w:p>
    <w:p>
      <w:pPr>
        <w:ind w:right="3119" w:firstLine="435"/>
        <w:spacing w:after="0" w:line="278" w:lineRule="auto"/>
        <w:tabs>
          <w:tab w:leader="none" w:pos="79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66" w:lineRule="exact"/>
        <w:rPr>
          <w:rFonts w:ascii="Courier New" w:cs="Courier New" w:eastAsia="Courier New" w:hAnsi="Courier New"/>
          <w:sz w:val="15"/>
          <w:szCs w:val="15"/>
          <w:color w:val="auto"/>
        </w:rPr>
      </w:pPr>
    </w:p>
    <w:p>
      <w:pPr>
        <w:ind w:right="3119" w:firstLine="435"/>
        <w:spacing w:after="0" w:line="353" w:lineRule="auto"/>
        <w:tabs>
          <w:tab w:leader="none" w:pos="79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 such individual, such condition or covenant has been complied with.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 Form of Documents Delivered to Trustee.</w:t>
      </w:r>
    </w:p>
    <w:p>
      <w:pPr>
        <w:spacing w:after="0" w:line="17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82"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86"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104. Acts of Holders; Record Dates.</w:t>
      </w:r>
    </w:p>
    <w:p>
      <w:pPr>
        <w:spacing w:after="0" w:line="171" w:lineRule="exact"/>
        <w:rPr>
          <w:sz w:val="20"/>
          <w:szCs w:val="20"/>
          <w:color w:val="auto"/>
        </w:rPr>
      </w:pPr>
    </w:p>
    <w:p>
      <w:pPr>
        <w:ind w:right="3219" w:firstLine="444"/>
        <w:spacing w:after="0" w:line="275" w:lineRule="auto"/>
        <w:rPr>
          <w:sz w:val="20"/>
          <w:szCs w:val="20"/>
          <w:color w:val="auto"/>
        </w:rPr>
      </w:pPr>
      <w:r>
        <w:rPr>
          <w:rFonts w:ascii="Courier New" w:cs="Courier New" w:eastAsia="Courier New" w:hAnsi="Courier New"/>
          <w:sz w:val="14"/>
          <w:szCs w:val="14"/>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 or instruments and records delivered to the Trustee. Such</w:t>
      </w:r>
    </w:p>
    <w:p>
      <w:pPr>
        <w:spacing w:after="0" w:line="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5" w:right="1440" w:bottom="1440" w:gutter="0" w:footer="0" w:header="0"/>
        </w:sectPr>
      </w:pPr>
    </w:p>
    <w:bookmarkStart w:id="44" w:name="page45"/>
    <w:bookmarkEnd w:id="44"/>
    <w:p>
      <w:pPr>
        <w:ind w:right="3219"/>
        <w:spacing w:after="0" w:line="263" w:lineRule="auto"/>
        <w:rPr>
          <w:sz w:val="20"/>
          <w:szCs w:val="20"/>
          <w:color w:val="auto"/>
        </w:rPr>
      </w:pPr>
      <w:r>
        <w:rPr>
          <w:rFonts w:ascii="Courier New" w:cs="Courier New" w:eastAsia="Courier New" w:hAnsi="Courier New"/>
          <w:sz w:val="15"/>
          <w:szCs w:val="15"/>
          <w:color w:val="auto"/>
        </w:rPr>
        <w:t>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77"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deems sufficient.</w:t>
      </w:r>
    </w:p>
    <w:p>
      <w:pPr>
        <w:spacing w:after="0" w:line="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ownership of Securities shall be proved by the Security Register.</w:t>
      </w:r>
    </w:p>
    <w:p>
      <w:pPr>
        <w:spacing w:after="0" w:line="171"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8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4"/>
          <w:szCs w:val="14"/>
          <w:color w:val="auto"/>
        </w:rPr>
        <w:t>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05" w:right="1440" w:bottom="1440" w:gutter="0" w:footer="0" w:header="0"/>
        </w:sectPr>
      </w:pPr>
    </w:p>
    <w:bookmarkStart w:id="45" w:name="page46"/>
    <w:bookmarkEnd w:id="45"/>
    <w:p>
      <w:pPr>
        <w:ind w:right="3119" w:firstLine="444"/>
        <w:spacing w:after="0" w:line="264" w:lineRule="auto"/>
        <w:rPr>
          <w:sz w:val="20"/>
          <w:szCs w:val="20"/>
          <w:color w:val="auto"/>
        </w:rPr>
      </w:pPr>
      <w:r>
        <w:rPr>
          <w:rFonts w:ascii="Courier New" w:cs="Courier New" w:eastAsia="Courier New" w:hAnsi="Courier New"/>
          <w:sz w:val="14"/>
          <w:szCs w:val="14"/>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254"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4"/>
          <w:szCs w:val="14"/>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78"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105. Notices, Etc., to Trustee and Company.</w:t>
      </w:r>
    </w:p>
    <w:p>
      <w:pPr>
        <w:spacing w:after="0" w:line="171" w:lineRule="exact"/>
        <w:rPr>
          <w:sz w:val="20"/>
          <w:szCs w:val="20"/>
          <w:color w:val="auto"/>
        </w:rPr>
      </w:pPr>
    </w:p>
    <w:p>
      <w:pPr>
        <w:jc w:val="both"/>
        <w:ind w:right="3299" w:firstLine="444"/>
        <w:spacing w:after="0" w:line="297" w:lineRule="auto"/>
        <w:rPr>
          <w:sz w:val="20"/>
          <w:szCs w:val="20"/>
          <w:color w:val="auto"/>
        </w:rPr>
      </w:pPr>
      <w:r>
        <w:rPr>
          <w:rFonts w:ascii="Courier New" w:cs="Courier New" w:eastAsia="Courier New" w:hAnsi="Courier New"/>
          <w:sz w:val="15"/>
          <w:szCs w:val="15"/>
          <w:color w:val="auto"/>
        </w:rPr>
        <w:t>Any request, demand, authorization, direction, notice, consent, waiver or Act of Holders or other document provided or permitted by this Indenture to be made upon, given or furnished to, or filed with,</w:t>
      </w:r>
    </w:p>
    <w:p>
      <w:pPr>
        <w:spacing w:after="0" w:line="52" w:lineRule="exact"/>
        <w:rPr>
          <w:sz w:val="20"/>
          <w:szCs w:val="20"/>
          <w:color w:val="auto"/>
        </w:rPr>
      </w:pPr>
    </w:p>
    <w:p>
      <w:pPr>
        <w:jc w:val="both"/>
        <w:ind w:right="3479" w:firstLine="435"/>
        <w:spacing w:after="0" w:line="297" w:lineRule="auto"/>
        <w:tabs>
          <w:tab w:leader="none" w:pos="79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by the Company shall be sufficient for every purpose hereunder if made, given, furnished or filed in writing (or by facsimile transmissions ((612) 667-</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05" w:right="1440" w:bottom="1440" w:gutter="0" w:footer="0" w:header="0"/>
        </w:sectPr>
      </w:pPr>
    </w:p>
    <w:bookmarkStart w:id="46" w:name="page47"/>
    <w:bookmarkEnd w:id="46"/>
    <w:p>
      <w:pPr>
        <w:ind w:right="3299"/>
        <w:spacing w:after="0" w:line="297" w:lineRule="auto"/>
        <w:rPr>
          <w:sz w:val="20"/>
          <w:szCs w:val="20"/>
          <w:color w:val="auto"/>
        </w:rPr>
      </w:pPr>
      <w:r>
        <w:rPr>
          <w:rFonts w:ascii="Courier New" w:cs="Courier New" w:eastAsia="Courier New" w:hAnsi="Courier New"/>
          <w:sz w:val="15"/>
          <w:szCs w:val="15"/>
          <w:color w:val="auto"/>
        </w:rPr>
        <w:t>9825), provided that oral confirmation of receipt shall have been received) to or with the Trustee at its Corporate Trust Office, Attention: Corporate Trust Department, or</w:t>
      </w:r>
    </w:p>
    <w:p>
      <w:pPr>
        <w:spacing w:after="0" w:line="52" w:lineRule="exact"/>
        <w:rPr>
          <w:sz w:val="20"/>
          <w:szCs w:val="20"/>
          <w:color w:val="auto"/>
        </w:rPr>
      </w:pPr>
    </w:p>
    <w:p>
      <w:pPr>
        <w:ind w:right="3219" w:firstLine="435"/>
        <w:spacing w:after="0" w:line="263" w:lineRule="auto"/>
        <w:tabs>
          <w:tab w:leader="none" w:pos="79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7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Notice to Holders; Waiver.</w:t>
      </w:r>
    </w:p>
    <w:p>
      <w:pPr>
        <w:spacing w:after="0" w:line="171"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81" w:lineRule="exact"/>
        <w:rPr>
          <w:sz w:val="20"/>
          <w:szCs w:val="20"/>
          <w:color w:val="auto"/>
        </w:rPr>
      </w:pPr>
    </w:p>
    <w:p>
      <w:pPr>
        <w:jc w:val="both"/>
        <w:ind w:right="3119" w:firstLine="444"/>
        <w:spacing w:after="0" w:line="278" w:lineRule="auto"/>
        <w:rPr>
          <w:sz w:val="20"/>
          <w:szCs w:val="20"/>
          <w:color w:val="auto"/>
        </w:rPr>
      </w:pPr>
      <w:r>
        <w:rPr>
          <w:rFonts w:ascii="Courier New" w:cs="Courier New" w:eastAsia="Courier New" w:hAnsi="Courier New"/>
          <w:sz w:val="15"/>
          <w:szCs w:val="15"/>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107. Conflict with Trust Indenture Act.</w:t>
      </w:r>
    </w:p>
    <w:p>
      <w:pPr>
        <w:spacing w:after="0" w:line="171" w:lineRule="exact"/>
        <w:rPr>
          <w:sz w:val="20"/>
          <w:szCs w:val="20"/>
          <w:color w:val="auto"/>
        </w:rPr>
      </w:pPr>
    </w:p>
    <w:p>
      <w:pPr>
        <w:ind w:right="3219" w:firstLine="444"/>
        <w:spacing w:after="0" w:line="285" w:lineRule="auto"/>
        <w:rPr>
          <w:sz w:val="20"/>
          <w:szCs w:val="20"/>
          <w:color w:val="auto"/>
        </w:rPr>
      </w:pPr>
      <w:r>
        <w:rPr>
          <w:rFonts w:ascii="Courier New" w:cs="Courier New" w:eastAsia="Courier New" w:hAnsi="Courier New"/>
          <w:sz w:val="14"/>
          <w:szCs w:val="14"/>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6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Effect of Headings and Table of Contents.</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The Article and Section headings herein and the Table of Contents are for convenience only and shall not affect the construction hereof.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109. Successors and Assigns.</w:t>
      </w:r>
    </w:p>
    <w:p>
      <w:pPr>
        <w:spacing w:after="0" w:line="171"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All covenants and agreements in this Indenture by the Company shall bind its successors and assigns, whether so expressed or not.</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05"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SECTION 110. Separability Clause.</w:t>
      </w:r>
    </w:p>
    <w:p>
      <w:pPr>
        <w:spacing w:after="0" w:line="171"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3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Benefits of Indenture.</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Governing Law.</w:t>
      </w:r>
    </w:p>
    <w:p>
      <w:pPr>
        <w:spacing w:after="0" w:line="171"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THIS INDENTURE AND THE SECURITIES SHALL BE GOVERNED BY AND CONSTRUED IN ACCORDANCE WITH THE LAW OF THE STATE OF NEW YORK.</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Legal Holidays.</w:t>
      </w:r>
    </w:p>
    <w:p>
      <w:pPr>
        <w:spacing w:after="0" w:line="171" w:lineRule="exact"/>
        <w:rPr>
          <w:sz w:val="20"/>
          <w:szCs w:val="20"/>
          <w:color w:val="auto"/>
        </w:rPr>
      </w:pPr>
    </w:p>
    <w:p>
      <w:pPr>
        <w:ind w:right="3219" w:firstLine="444"/>
        <w:spacing w:after="0" w:line="251" w:lineRule="auto"/>
        <w:rPr>
          <w:sz w:val="20"/>
          <w:szCs w:val="20"/>
          <w:color w:val="auto"/>
        </w:rPr>
      </w:pPr>
      <w:r>
        <w:rPr>
          <w:rFonts w:ascii="Courier New" w:cs="Courier New" w:eastAsia="Courier New" w:hAnsi="Courier New"/>
          <w:sz w:val="15"/>
          <w:szCs w:val="15"/>
          <w:color w:val="auto"/>
        </w:rPr>
        <w:t>In any case where any Interest Payment Date, Redemption Date or Stated Maturity of any Security or the last date on which a Holder has the right to convert a Security at a particular conversion price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8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Indenture and Securities Solely Corporate Obligations.</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8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5" w:right="1440" w:bottom="1440" w:gutter="0" w:footer="0" w:header="0"/>
        </w:sectPr>
      </w:pPr>
    </w:p>
    <w:bookmarkStart w:id="48" w:name="page49"/>
    <w:bookmarkEnd w:id="48"/>
    <w:p>
      <w:pPr>
        <w:ind w:left="3000"/>
        <w:spacing w:after="0"/>
        <w:rPr>
          <w:sz w:val="20"/>
          <w:szCs w:val="20"/>
          <w:color w:val="auto"/>
        </w:rPr>
      </w:pPr>
      <w:r>
        <w:rPr>
          <w:rFonts w:ascii="Courier New" w:cs="Courier New" w:eastAsia="Courier New" w:hAnsi="Courier New"/>
          <w:sz w:val="15"/>
          <w:szCs w:val="15"/>
          <w:color w:val="auto"/>
        </w:rPr>
        <w:t>ARTICLE TWO</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SECURITY FORMS.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 Forms Generally.</w:t>
      </w:r>
    </w:p>
    <w:p>
      <w:pPr>
        <w:spacing w:after="0" w:line="171" w:lineRule="exact"/>
        <w:rPr>
          <w:sz w:val="20"/>
          <w:szCs w:val="20"/>
          <w:color w:val="auto"/>
        </w:rPr>
      </w:pPr>
    </w:p>
    <w:p>
      <w:pPr>
        <w:ind w:right="3119" w:firstLine="444"/>
        <w:spacing w:after="0" w:line="266" w:lineRule="auto"/>
        <w:rPr>
          <w:sz w:val="20"/>
          <w:szCs w:val="20"/>
          <w:color w:val="auto"/>
        </w:rPr>
      </w:pPr>
      <w:r>
        <w:rPr>
          <w:rFonts w:ascii="Courier New" w:cs="Courier New" w:eastAsia="Courier New" w:hAnsi="Courier New"/>
          <w:sz w:val="14"/>
          <w:szCs w:val="14"/>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260"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 Form of Face of Security.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____________________________________________________</w:t>
      </w:r>
    </w:p>
    <w:p>
      <w:pPr>
        <w:sectPr>
          <w:pgSz w:w="11900" w:h="16838" w:orient="portrait"/>
          <w:cols w:equalWidth="0" w:num="1">
            <w:col w:w="10219"/>
          </w:cols>
          <w:pgMar w:left="240" w:top="605"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_________</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71" w:lineRule="exact"/>
        <w:rPr>
          <w:sz w:val="20"/>
          <w:szCs w:val="20"/>
          <w:color w:val="auto"/>
        </w:rPr>
      </w:pPr>
    </w:p>
    <w:p>
      <w:pPr>
        <w:sectPr>
          <w:pgSz w:w="11900" w:h="16838" w:orient="portrait"/>
          <w:cols w:equalWidth="0" w:num="2">
            <w:col w:w="5120" w:space="720"/>
            <w:col w:w="4379"/>
          </w:cols>
          <w:pgMar w:left="240" w:top="605" w:right="1440" w:bottom="1440" w:gutter="0" w:footer="0" w:header="0"/>
          <w:type w:val="continuous"/>
        </w:sectPr>
      </w:pPr>
    </w:p>
    <w:p>
      <w:pPr>
        <w:ind w:right="3399" w:firstLine="444"/>
        <w:spacing w:after="0" w:line="268" w:lineRule="auto"/>
        <w:rPr>
          <w:sz w:val="20"/>
          <w:szCs w:val="20"/>
          <w:color w:val="auto"/>
        </w:rPr>
      </w:pPr>
      <w:r>
        <w:rPr>
          <w:rFonts w:ascii="Courier New" w:cs="Courier New" w:eastAsia="Courier New" w:hAnsi="Courier New"/>
          <w:sz w:val="14"/>
          <w:szCs w:val="14"/>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 or registered assigns, the</w:t>
      </w:r>
    </w:p>
    <w:p>
      <w:pPr>
        <w:spacing w:after="0"/>
        <w:rPr>
          <w:sz w:val="20"/>
          <w:szCs w:val="20"/>
          <w:color w:val="auto"/>
        </w:rPr>
      </w:pPr>
      <w:r>
        <w:rPr>
          <w:rFonts w:ascii="Courier New" w:cs="Courier New" w:eastAsia="Courier New" w:hAnsi="Courier New"/>
          <w:sz w:val="15"/>
          <w:szCs w:val="15"/>
          <w:color w:val="auto"/>
        </w:rPr>
        <w:t>principal sum of _____________ Dollars on ____________________________ [if the</w:t>
      </w:r>
    </w:p>
    <w:p>
      <w:pPr>
        <w:spacing w:after="0" w:line="1"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Security is to bear interest prior to Maturity, insert - , and to pay interest thereon from __________ or from the most recent Interest Payment Date to which</w:t>
      </w:r>
    </w:p>
    <w:p>
      <w:pPr>
        <w:spacing w:after="0"/>
        <w:rPr>
          <w:sz w:val="20"/>
          <w:szCs w:val="20"/>
          <w:color w:val="auto"/>
        </w:rPr>
      </w:pPr>
      <w:r>
        <w:rPr>
          <w:rFonts w:ascii="Courier New" w:cs="Courier New" w:eastAsia="Courier New" w:hAnsi="Courier New"/>
          <w:sz w:val="15"/>
          <w:szCs w:val="15"/>
          <w:color w:val="auto"/>
        </w:rPr>
        <w:t>interest has been paid or duly provided for, semi-annually on ___________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 in each year, commencing _________., at the rate of ___% per annum,</w:t>
      </w:r>
    </w:p>
    <w:p>
      <w:pPr>
        <w:spacing w:after="0" w:line="1" w:lineRule="exact"/>
        <w:rPr>
          <w:sz w:val="20"/>
          <w:szCs w:val="20"/>
          <w:color w:val="auto"/>
        </w:rPr>
      </w:pPr>
    </w:p>
    <w:p>
      <w:pPr>
        <w:jc w:val="both"/>
        <w:ind w:right="3119"/>
        <w:spacing w:after="0" w:line="266" w:lineRule="auto"/>
        <w:rPr>
          <w:sz w:val="20"/>
          <w:szCs w:val="20"/>
          <w:color w:val="auto"/>
        </w:rPr>
      </w:pPr>
      <w:r>
        <w:rPr>
          <w:rFonts w:ascii="Courier New" w:cs="Courier New" w:eastAsia="Courier New" w:hAnsi="Courier New"/>
          <w:sz w:val="15"/>
          <w:szCs w:val="15"/>
          <w:color w:val="auto"/>
        </w:rPr>
        <w:t>until the principal hereof is paid or made available for payment [if applicable, insert --, provided that any principal and premium, and any such installment of interest, which is overdue shall bear interest at the rate of ___% per annum (to the extent that the payment of such interest</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5" w:right="1440" w:bottom="1440" w:gutter="0" w:footer="0" w:header="0"/>
          <w:type w:val="continuous"/>
        </w:sectPr>
      </w:pPr>
    </w:p>
    <w:bookmarkStart w:id="49" w:name="page50"/>
    <w:bookmarkEnd w:id="49"/>
    <w:p>
      <w:pPr>
        <w:ind w:right="3299"/>
        <w:spacing w:after="0" w:line="263" w:lineRule="auto"/>
        <w:rPr>
          <w:sz w:val="20"/>
          <w:szCs w:val="20"/>
          <w:color w:val="auto"/>
        </w:rPr>
      </w:pPr>
      <w:r>
        <w:rPr>
          <w:rFonts w:ascii="Courier New" w:cs="Courier New" w:eastAsia="Courier New" w:hAnsi="Courier New"/>
          <w:sz w:val="14"/>
          <w:szCs w:val="14"/>
          <w:color w:val="auto"/>
        </w:rPr>
        <w:t>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 or ______ (whether or not a Business Day),</w:t>
      </w:r>
    </w:p>
    <w:p>
      <w:pPr>
        <w:spacing w:after="0" w:line="4" w:lineRule="exact"/>
        <w:rPr>
          <w:sz w:val="20"/>
          <w:szCs w:val="20"/>
          <w:color w:val="auto"/>
        </w:rPr>
      </w:pPr>
    </w:p>
    <w:p>
      <w:pPr>
        <w:ind w:right="3119"/>
        <w:spacing w:after="0" w:line="248" w:lineRule="auto"/>
        <w:rPr>
          <w:sz w:val="20"/>
          <w:szCs w:val="20"/>
          <w:color w:val="auto"/>
        </w:rPr>
      </w:pPr>
      <w:r>
        <w:rPr>
          <w:rFonts w:ascii="Courier New" w:cs="Courier New" w:eastAsia="Courier New" w:hAnsi="Courier New"/>
          <w:sz w:val="15"/>
          <w:szCs w:val="15"/>
          <w:color w:val="auto"/>
        </w:rPr>
        <w:t>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9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___%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88"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Payment of the principal of (and premium, if any) and [if applicable, insert --any such] interest on this Security will be made at the office or agency of the Company maintained for that purpose in _______, in such coin or</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5"/>
          <w:szCs w:val="15"/>
          <w:color w:val="auto"/>
        </w:rPr>
        <w:t>currency of the United States of America as at the time of payment is legal tender for payment of public and private debts [if applicable, insert -- ; provided, however, that at the option of the Company payment of interest may be made by check mailed to the address of the Person entitled thereto as such address shall appear in the Security Register].</w:t>
      </w:r>
    </w:p>
    <w:p>
      <w:pPr>
        <w:spacing w:after="0" w:line="81" w:lineRule="exact"/>
        <w:rPr>
          <w:sz w:val="20"/>
          <w:szCs w:val="20"/>
          <w:color w:val="auto"/>
        </w:rPr>
      </w:pPr>
    </w:p>
    <w:p>
      <w:pPr>
        <w:jc w:val="both"/>
        <w:ind w:right="3479" w:firstLine="444"/>
        <w:spacing w:after="0" w:line="297"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52"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5" w:right="1440" w:bottom="1440" w:gutter="0" w:footer="0" w:header="0"/>
        </w:sectPr>
      </w:pPr>
    </w:p>
    <w:bookmarkStart w:id="50" w:name="page51"/>
    <w:bookmarkEnd w:id="50"/>
    <w:p>
      <w:pPr>
        <w:ind w:left="9" w:right="3659" w:firstLine="444"/>
        <w:spacing w:after="0" w:line="35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Dated:</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By:________________________________________</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Attest: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________________________________</w:t>
      </w:r>
    </w:p>
    <w:p>
      <w:pPr>
        <w:spacing w:after="0" w:line="342"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Form of Reverse of Security.</w:t>
      </w:r>
    </w:p>
    <w:p>
      <w:pPr>
        <w:spacing w:after="0" w:line="171" w:lineRule="exact"/>
        <w:rPr>
          <w:sz w:val="20"/>
          <w:szCs w:val="20"/>
          <w:color w:val="auto"/>
        </w:rPr>
      </w:pPr>
    </w:p>
    <w:p>
      <w:pPr>
        <w:ind w:left="9" w:right="3119" w:firstLine="444"/>
        <w:spacing w:after="0" w:line="253"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(herein called the "Securities"), issued and to be issued in one or more series under an Indenture, dated as of __________ (herein called the</w:t>
      </w:r>
    </w:p>
    <w:p>
      <w:pPr>
        <w:spacing w:after="0" w:line="1" w:lineRule="exact"/>
        <w:rPr>
          <w:sz w:val="20"/>
          <w:szCs w:val="20"/>
          <w:color w:val="auto"/>
        </w:rPr>
      </w:pPr>
    </w:p>
    <w:p>
      <w:pPr>
        <w:ind w:left="9" w:right="3119"/>
        <w:spacing w:after="0" w:line="249" w:lineRule="auto"/>
        <w:rPr>
          <w:sz w:val="20"/>
          <w:szCs w:val="20"/>
          <w:color w:val="auto"/>
        </w:rPr>
      </w:pPr>
      <w:r>
        <w:rPr>
          <w:rFonts w:ascii="Courier New" w:cs="Courier New" w:eastAsia="Courier New" w:hAnsi="Courier New"/>
          <w:sz w:val="15"/>
          <w:szCs w:val="15"/>
          <w:color w:val="auto"/>
        </w:rPr>
        <w:t>"Indenture,"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[if applicable, insert -- , limited in aggregate principal amount to $________].</w:t>
      </w:r>
    </w:p>
    <w:p>
      <w:pPr>
        <w:spacing w:after="0" w:line="88"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[If applicable, insert -- The Securities of this series are subject to</w:t>
      </w:r>
    </w:p>
    <w:p>
      <w:pPr>
        <w:spacing w:after="0" w:line="27"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4"/>
          <w:szCs w:val="14"/>
          <w:color w:val="auto"/>
        </w:rPr>
        <w:t>redemption upon not less than 30 days' notice by mail, [if applicable, insert --</w:t>
      </w:r>
    </w:p>
    <w:p>
      <w:pPr>
        <w:spacing w:after="0" w:line="12" w:lineRule="exact"/>
        <w:rPr>
          <w:sz w:val="20"/>
          <w:szCs w:val="20"/>
          <w:color w:val="auto"/>
        </w:rPr>
      </w:pPr>
    </w:p>
    <w:p>
      <w:pPr>
        <w:ind w:left="9" w:right="3119" w:hanging="9"/>
        <w:spacing w:after="0" w:line="251" w:lineRule="auto"/>
        <w:tabs>
          <w:tab w:leader="none" w:pos="36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__________ in any year commencing with the year ________ and ending with the year ________ through operation of the sinking fund for this series at a Redemption Price equal to 100% of the principal amount, and (2)] at any time [if applicable, insert -- on or after __________, 19__], as a whole or in part, at the election of the Company, at the following Redemption Prices (expressed as percentages of the principal amount): If redeemed [if applicable, insert -- on or before __________, ___%, and if redeemed] during the 12-month period beginning ____________ of the years indicated,</w:t>
      </w:r>
    </w:p>
    <w:p>
      <w:pPr>
        <w:sectPr>
          <w:pgSz w:w="11900" w:h="16838" w:orient="portrait"/>
          <w:cols w:equalWidth="0" w:num="1">
            <w:col w:w="10228"/>
          </w:cols>
          <w:pgMar w:left="231" w:top="605"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left="9"/>
        <w:spacing w:after="0"/>
        <w:rPr>
          <w:sz w:val="20"/>
          <w:szCs w:val="20"/>
          <w:color w:val="auto"/>
        </w:rPr>
      </w:pPr>
      <w:r>
        <w:rPr>
          <w:rFonts w:ascii="Courier New" w:cs="Courier New" w:eastAsia="Courier New" w:hAnsi="Courier New"/>
          <w:sz w:val="15"/>
          <w:szCs w:val="15"/>
          <w:color w:val="auto"/>
        </w:rPr>
        <w:t>Year</w:t>
      </w:r>
    </w:p>
    <w:p>
      <w:pPr>
        <w:spacing w:after="0" w:line="27" w:lineRule="exact"/>
        <w:rPr>
          <w:sz w:val="20"/>
          <w:szCs w:val="20"/>
          <w:color w:val="auto"/>
        </w:rPr>
      </w:pPr>
    </w:p>
    <w:p>
      <w:pPr>
        <w:jc w:val="cente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firstLine="89"/>
        <w:spacing w:after="0" w:line="353" w:lineRule="auto"/>
        <w:rPr>
          <w:sz w:val="20"/>
          <w:szCs w:val="20"/>
          <w:color w:val="auto"/>
        </w:rPr>
      </w:pPr>
      <w:r>
        <w:rPr>
          <w:rFonts w:ascii="Courier New" w:cs="Courier New" w:eastAsia="Courier New" w:hAnsi="Courier New"/>
          <w:sz w:val="15"/>
          <w:szCs w:val="15"/>
          <w:color w:val="auto"/>
        </w:rPr>
        <w:t>Redemption Price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Redemption Price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sectPr>
          <w:pgSz w:w="11900" w:h="16838" w:orient="portrait"/>
          <w:cols w:equalWidth="0" w:num="4">
            <w:col w:w="1249" w:space="260"/>
            <w:col w:w="1860" w:space="180"/>
            <w:col w:w="980" w:space="360"/>
            <w:col w:w="5339"/>
          </w:cols>
          <w:pgMar w:left="231" w:top="605" w:right="1440" w:bottom="1440" w:gutter="0" w:footer="0" w:header="0"/>
          <w:type w:val="continuous"/>
        </w:sectPr>
      </w:pPr>
    </w:p>
    <w:p>
      <w:pPr>
        <w:spacing w:after="0" w:line="153"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28"/>
          </w:cols>
          <w:pgMar w:left="231" w:top="605" w:right="1440" w:bottom="1440" w:gutter="0" w:footer="0" w:header="0"/>
          <w:type w:val="continuous"/>
        </w:sectPr>
      </w:pPr>
    </w:p>
    <w:bookmarkStart w:id="51" w:name="page52"/>
    <w:bookmarkEnd w:id="51"/>
    <w:p>
      <w:pPr>
        <w:ind w:right="3119"/>
        <w:spacing w:after="0" w:line="257" w:lineRule="auto"/>
        <w:rPr>
          <w:sz w:val="20"/>
          <w:szCs w:val="20"/>
          <w:color w:val="auto"/>
        </w:rPr>
      </w:pPr>
      <w:r>
        <w:rPr>
          <w:rFonts w:ascii="Courier New" w:cs="Courier New" w:eastAsia="Courier New" w:hAnsi="Courier New"/>
          <w:sz w:val="15"/>
          <w:szCs w:val="15"/>
          <w:color w:val="auto"/>
        </w:rPr>
        <w:t>and thereafter at a Redemption Price equal to ___% of the principal amount, together in the case 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[If applicable, insert</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The Securities of this series are subject to</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redemption upon not less than 30 days' notice by mail, (1) on __________ in any</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year commencing with the year _____ and ending with the year _____ through</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operation of the sinking fund for this series at the Redemption Prices for</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redemption through operation of the sinking fund (expressed as percentages of</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the principal amount) set forth in the table below, and (2) at any time [if</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applicable, insert -- on or</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after __________], as a whole or in part, at the</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election of the Company, at</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Redemption Prices for redemption otherwise than</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through operation of the sinking fund (expressed as percentages of the principal</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amount) set forth in the table below: If redeemed during the 12-month period</w:t>
            </w:r>
          </w:p>
        </w:tc>
        <w:tc>
          <w:tcPr>
            <w:tcW w:w="0" w:type="dxa"/>
            <w:vAlign w:val="bottom"/>
          </w:tcPr>
          <w:p>
            <w:pPr>
              <w:spacing w:after="0"/>
              <w:rPr>
                <w:sz w:val="1"/>
                <w:szCs w:val="1"/>
                <w:color w:val="auto"/>
              </w:rPr>
            </w:pPr>
          </w:p>
        </w:tc>
      </w:tr>
      <w:tr>
        <w:trPr>
          <w:trHeight w:val="249"/>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beginning __________ of the</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years indicated,</w:t>
            </w: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02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Redemption</w:t>
            </w:r>
          </w:p>
        </w:tc>
        <w:tc>
          <w:tcPr>
            <w:tcW w:w="3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Price For Redemption Through</w:t>
            </w:r>
          </w:p>
        </w:tc>
        <w:tc>
          <w:tcPr>
            <w:tcW w:w="462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Redemption Price For</w:t>
            </w:r>
          </w:p>
        </w:tc>
        <w:tc>
          <w:tcPr>
            <w:tcW w:w="0" w:type="dxa"/>
            <w:vAlign w:val="bottom"/>
          </w:tcPr>
          <w:p>
            <w:pPr>
              <w:spacing w:after="0"/>
              <w:rPr>
                <w:sz w:val="1"/>
                <w:szCs w:val="1"/>
                <w:color w:val="auto"/>
              </w:rPr>
            </w:pPr>
          </w:p>
        </w:tc>
      </w:tr>
      <w:tr>
        <w:trPr>
          <w:trHeight w:val="171"/>
        </w:trPr>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Year</w:t>
            </w:r>
          </w:p>
        </w:tc>
        <w:tc>
          <w:tcPr>
            <w:tcW w:w="142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46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Redemption Otherwise Than Through Operation</w:t>
            </w:r>
          </w:p>
        </w:tc>
        <w:tc>
          <w:tcPr>
            <w:tcW w:w="0" w:type="dxa"/>
            <w:vAlign w:val="bottom"/>
          </w:tcPr>
          <w:p>
            <w:pPr>
              <w:spacing w:after="0"/>
              <w:rPr>
                <w:sz w:val="1"/>
                <w:szCs w:val="1"/>
                <w:color w:val="auto"/>
              </w:rPr>
            </w:pPr>
          </w:p>
        </w:tc>
      </w:tr>
      <w:tr>
        <w:trPr>
          <w:trHeight w:val="171"/>
        </w:trPr>
        <w:tc>
          <w:tcPr>
            <w:tcW w:w="1020" w:type="dxa"/>
            <w:vAlign w:val="bottom"/>
            <w:vMerge w:val="continue"/>
          </w:tcPr>
          <w:p>
            <w:pPr>
              <w:spacing w:after="0"/>
              <w:rPr>
                <w:sz w:val="14"/>
                <w:szCs w:val="14"/>
                <w:color w:val="auto"/>
              </w:rPr>
            </w:pPr>
          </w:p>
        </w:tc>
        <w:tc>
          <w:tcPr>
            <w:tcW w:w="456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Operation of the Sinking Fund</w:t>
            </w:r>
          </w:p>
        </w:tc>
        <w:tc>
          <w:tcPr>
            <w:tcW w:w="462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of the Sinking Fund</w:t>
            </w:r>
          </w:p>
        </w:tc>
        <w:tc>
          <w:tcPr>
            <w:tcW w:w="0" w:type="dxa"/>
            <w:vAlign w:val="bottom"/>
          </w:tcPr>
          <w:p>
            <w:pPr>
              <w:spacing w:after="0"/>
              <w:rPr>
                <w:sz w:val="1"/>
                <w:szCs w:val="1"/>
                <w:color w:val="auto"/>
              </w:rPr>
            </w:pPr>
          </w:p>
        </w:tc>
      </w:tr>
      <w:tr>
        <w:trPr>
          <w:trHeight w:val="249"/>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604"/>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and thereafter at a Redemption Price equal to ____% of the principal amount,</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together in the case of any</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such redemption (whether through operation of the</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sinking fund or otherwise) with accrued interest to the Redemption Date, but</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interest installments whose</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Stated Maturity is on or prior to such Redemption</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Date will be payable to the</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Holders of such Securities, or one or more</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Predecessor Securities, of record at the close of business on the relevant</w:t>
            </w:r>
          </w:p>
        </w:tc>
        <w:tc>
          <w:tcPr>
            <w:tcW w:w="0" w:type="dxa"/>
            <w:vAlign w:val="bottom"/>
          </w:tcPr>
          <w:p>
            <w:pPr>
              <w:spacing w:after="0"/>
              <w:rPr>
                <w:sz w:val="1"/>
                <w:szCs w:val="1"/>
                <w:color w:val="auto"/>
              </w:rPr>
            </w:pPr>
          </w:p>
        </w:tc>
      </w:tr>
      <w:tr>
        <w:trPr>
          <w:trHeight w:val="249"/>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Record Dates referred to on</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face hereof, all as provided in the Indenture.]</w:t>
            </w:r>
          </w:p>
        </w:tc>
        <w:tc>
          <w:tcPr>
            <w:tcW w:w="0" w:type="dxa"/>
            <w:vAlign w:val="bottom"/>
          </w:tcPr>
          <w:p>
            <w:pPr>
              <w:spacing w:after="0"/>
              <w:rPr>
                <w:sz w:val="1"/>
                <w:szCs w:val="1"/>
                <w:color w:val="auto"/>
              </w:rPr>
            </w:pPr>
          </w:p>
        </w:tc>
      </w:tr>
      <w:tr>
        <w:trPr>
          <w:trHeight w:val="263"/>
        </w:trPr>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[If applicable, insert</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Notwithstanding the foregoing, the Company may</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not, prior to __________, redeem any Securities of this series as contemplated</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by [if applicable, insert -</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Clause (2) of] the preceding paragraph as a part of,</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or in anticipation of, any refunding operation by the application, directly or</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indirectly, of moneys borrowed having an interest cost to the Company</w:t>
            </w:r>
          </w:p>
        </w:tc>
        <w:tc>
          <w:tcPr>
            <w:tcW w:w="0" w:type="dxa"/>
            <w:vAlign w:val="bottom"/>
          </w:tcPr>
          <w:p>
            <w:pPr>
              <w:spacing w:after="0"/>
              <w:rPr>
                <w:sz w:val="1"/>
                <w:szCs w:val="1"/>
                <w:color w:val="auto"/>
              </w:rPr>
            </w:pPr>
          </w:p>
        </w:tc>
      </w:tr>
      <w:tr>
        <w:trPr>
          <w:trHeight w:val="171"/>
        </w:trPr>
        <w:tc>
          <w:tcPr>
            <w:tcW w:w="10200" w:type="dxa"/>
            <w:vAlign w:val="bottom"/>
            <w:gridSpan w:val="4"/>
          </w:tcPr>
          <w:p>
            <w:pPr>
              <w:spacing w:after="0"/>
              <w:rPr>
                <w:sz w:val="20"/>
                <w:szCs w:val="20"/>
                <w:color w:val="auto"/>
              </w:rPr>
            </w:pPr>
            <w:r>
              <w:rPr>
                <w:rFonts w:ascii="Courier New" w:cs="Courier New" w:eastAsia="Courier New" w:hAnsi="Courier New"/>
                <w:sz w:val="15"/>
                <w:szCs w:val="15"/>
                <w:color w:val="auto"/>
              </w:rPr>
              <w:t>(calculated in accordance with generally accepted financial practice) of less</w:t>
            </w:r>
          </w:p>
        </w:tc>
        <w:tc>
          <w:tcPr>
            <w:tcW w:w="0" w:type="dxa"/>
            <w:vAlign w:val="bottom"/>
          </w:tcPr>
          <w:p>
            <w:pPr>
              <w:spacing w:after="0"/>
              <w:rPr>
                <w:sz w:val="1"/>
                <w:szCs w:val="1"/>
                <w:color w:val="auto"/>
              </w:rPr>
            </w:pPr>
          </w:p>
        </w:tc>
      </w:tr>
      <w:tr>
        <w:trPr>
          <w:trHeight w:val="249"/>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rPr>
              <w:t>than ___% per annum.]</w:t>
            </w:r>
          </w:p>
        </w:tc>
        <w:tc>
          <w:tcPr>
            <w:tcW w:w="314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[If applicable, insert</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The sinking fund for this series provides for the</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redemption on __________ in</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each year beginning with the year ______ and ending</w:t>
            </w:r>
          </w:p>
        </w:tc>
        <w:tc>
          <w:tcPr>
            <w:tcW w:w="0" w:type="dxa"/>
            <w:vAlign w:val="bottom"/>
          </w:tcPr>
          <w:p>
            <w:pPr>
              <w:spacing w:after="0"/>
              <w:rPr>
                <w:sz w:val="1"/>
                <w:szCs w:val="1"/>
                <w:color w:val="auto"/>
              </w:rPr>
            </w:pPr>
          </w:p>
        </w:tc>
      </w:tr>
      <w:tr>
        <w:trPr>
          <w:trHeight w:val="197"/>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with the year ______ of [if</w:t>
            </w:r>
          </w:p>
        </w:tc>
        <w:tc>
          <w:tcPr>
            <w:tcW w:w="7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applicable, insert -- not less than $_______</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("mandatory sinking fund") and not more than] $_______ aggregate principal</w:t>
      </w:r>
    </w:p>
    <w:p>
      <w:pPr>
        <w:spacing w:after="0" w:line="1" w:lineRule="exact"/>
        <w:rPr>
          <w:sz w:val="20"/>
          <w:szCs w:val="20"/>
          <w:color w:val="auto"/>
        </w:rPr>
      </w:pPr>
    </w:p>
    <w:p>
      <w:pPr>
        <w:ind w:right="3659"/>
        <w:spacing w:after="0" w:line="278" w:lineRule="auto"/>
        <w:rPr>
          <w:sz w:val="20"/>
          <w:szCs w:val="20"/>
          <w:color w:val="auto"/>
        </w:rPr>
      </w:pPr>
      <w:r>
        <w:rPr>
          <w:rFonts w:ascii="Courier New" w:cs="Courier New" w:eastAsia="Courier New" w:hAnsi="Courier New"/>
          <w:sz w:val="15"/>
          <w:szCs w:val="15"/>
          <w:color w:val="auto"/>
        </w:rPr>
        <w:t>amount of Securities of this series. Securities of this series acquired or redeemed by the Company otherwise than through [if applicable, insert -- mandatory] sinking fund</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5" w:right="1440" w:bottom="1440" w:gutter="0" w:footer="0" w:header="0"/>
        </w:sectPr>
      </w:pPr>
    </w:p>
    <w:bookmarkStart w:id="52" w:name="page53"/>
    <w:bookmarkEnd w:id="52"/>
    <w:p>
      <w:pPr>
        <w:jc w:val="both"/>
        <w:ind w:right="3119"/>
        <w:spacing w:after="0" w:line="297" w:lineRule="auto"/>
        <w:rPr>
          <w:sz w:val="20"/>
          <w:szCs w:val="20"/>
          <w:color w:val="auto"/>
        </w:rPr>
      </w:pPr>
      <w:r>
        <w:rPr>
          <w:rFonts w:ascii="Courier New" w:cs="Courier New" w:eastAsia="Courier New" w:hAnsi="Courier New"/>
          <w:sz w:val="15"/>
          <w:szCs w:val="15"/>
          <w:color w:val="auto"/>
        </w:rPr>
        <w:t>payments may be credited against subsequent [if applicable, insert -- mandatory] sinking fund payments otherwise required to be made [if applicable, insert -- , in the inverse order in which they become due].]</w:t>
      </w:r>
    </w:p>
    <w:p>
      <w:pPr>
        <w:spacing w:after="0" w:line="52"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52"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52" w:lineRule="exact"/>
        <w:rPr>
          <w:sz w:val="20"/>
          <w:szCs w:val="20"/>
          <w:color w:val="auto"/>
        </w:rPr>
      </w:pPr>
    </w:p>
    <w:p>
      <w:pPr>
        <w:ind w:right="3119" w:firstLine="444"/>
        <w:spacing w:after="0" w:line="243" w:lineRule="auto"/>
        <w:rPr>
          <w:sz w:val="20"/>
          <w:szCs w:val="20"/>
          <w:color w:val="auto"/>
        </w:rPr>
      </w:pPr>
      <w:r>
        <w:rPr>
          <w:rFonts w:ascii="Courier New" w:cs="Courier New" w:eastAsia="Courier New" w:hAnsi="Courier New"/>
          <w:sz w:val="15"/>
          <w:szCs w:val="15"/>
          <w:color w:val="auto"/>
        </w:rPr>
        <w:t>[If the Security is convertible into Common Stock of the Company, insert -- Subject to the provisions of the Indenture, the Holder of this Security is entitled, at its option, at any time on or before [insert date] (except that, in case this Security or any portion hereof shall be called for redemption, such right shall terminate with respect to this Security or portion hereof, as the case may be, so called for redemption at the close of business on the first Business Day next preceding the date fixed for redemption as provided in the Indenture unless the Company defaults in making the payment due upon redemption), to convert the principal amount of this Security (or any portion hereof which is $1,000 or an integral multiple thereof), into fully paid and non-assessable shares (calculated as to each conversion to the nearest 1/100th of a share) of the Common Stock of the Company, as said shares shall be constituted at the date of conversion, at the conversion price of $______</w:t>
      </w:r>
    </w:p>
    <w:p>
      <w:pPr>
        <w:spacing w:after="0" w:line="8"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principal amount of Securities for each share of Common Stock, or at the adjusted conversion price in effect at the date of conversion determined as provided in the Indenture, upon surrender of this Security, together with the conversion notice hereon duly executed, to the Company at the designated office or agency of the Company in __________, accompanied (if so required by the</w:t>
      </w:r>
    </w:p>
    <w:p>
      <w:pPr>
        <w:spacing w:after="0" w:line="1" w:lineRule="exact"/>
        <w:rPr>
          <w:sz w:val="20"/>
          <w:szCs w:val="20"/>
          <w:color w:val="auto"/>
        </w:rPr>
      </w:pPr>
    </w:p>
    <w:p>
      <w:pPr>
        <w:ind w:right="3119"/>
        <w:spacing w:after="0" w:line="263" w:lineRule="auto"/>
        <w:rPr>
          <w:sz w:val="20"/>
          <w:szCs w:val="20"/>
          <w:color w:val="auto"/>
        </w:rPr>
      </w:pPr>
      <w:r>
        <w:rPr>
          <w:rFonts w:ascii="Courier New" w:cs="Courier New" w:eastAsia="Courier New" w:hAnsi="Courier New"/>
          <w:sz w:val="14"/>
          <w:szCs w:val="14"/>
          <w:color w:val="auto"/>
        </w:rPr>
        <w:t>Company) by instruments of transfer, in form satisfactory to the Company and to the Trustee, duly executed by the Holder or by its duly authorized attorney in writing. Such surrender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 issued on conversion. The Company is not required to</w:t>
      </w:r>
    </w:p>
    <w:p>
      <w:pPr>
        <w:spacing w:after="0" w:line="25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05" w:right="1440" w:bottom="1440" w:gutter="0" w:footer="0" w:header="0"/>
        </w:sectPr>
      </w:pPr>
    </w:p>
    <w:bookmarkStart w:id="53" w:name="page54"/>
    <w:bookmarkEnd w:id="53"/>
    <w:p>
      <w:pPr>
        <w:ind w:right="3119"/>
        <w:spacing w:after="0" w:line="247" w:lineRule="auto"/>
        <w:rPr>
          <w:sz w:val="20"/>
          <w:szCs w:val="20"/>
          <w:color w:val="auto"/>
        </w:rPr>
      </w:pPr>
      <w:r>
        <w:rPr>
          <w:rFonts w:ascii="Courier New" w:cs="Courier New" w:eastAsia="Courier New" w:hAnsi="Courier New"/>
          <w:sz w:val="15"/>
          <w:szCs w:val="15"/>
          <w:color w:val="auto"/>
        </w:rPr>
        <w:t>issue fractional shares upon any such conversion, but shall make adjustment therefor in cash on the basis of the current market value of such fractional interest as provided in the Indenture. The conversion price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95"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[If the Security is convertible into other securities of the Company, specify the conversion features.]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[If</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Security is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not an Original Issue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Discount Security, insert -- If</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an Event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Default with</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respect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to Securities</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of this series shall occur and be</w:t>
            </w: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continuing,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the principal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of the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Securities of</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this series may be declared due</w:t>
            </w:r>
          </w:p>
        </w:tc>
      </w:tr>
      <w:tr>
        <w:trPr>
          <w:trHeight w:val="249"/>
        </w:trPr>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and payable</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in the manner</w:t>
            </w:r>
          </w:p>
        </w:tc>
        <w:tc>
          <w:tcPr>
            <w:tcW w:w="49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and with the effect provided in the Indenture.]</w:t>
            </w:r>
          </w:p>
        </w:tc>
      </w:tr>
    </w:tbl>
    <w:p>
      <w:pPr>
        <w:spacing w:after="0" w:line="92" w:lineRule="exact"/>
        <w:rPr>
          <w:sz w:val="20"/>
          <w:szCs w:val="20"/>
          <w:color w:val="auto"/>
        </w:rPr>
      </w:pPr>
    </w:p>
    <w:p>
      <w:pPr>
        <w:ind w:right="3219" w:firstLine="444"/>
        <w:spacing w:after="0" w:line="252" w:lineRule="auto"/>
        <w:rPr>
          <w:sz w:val="20"/>
          <w:szCs w:val="20"/>
          <w:color w:val="auto"/>
        </w:rPr>
      </w:pPr>
      <w:r>
        <w:rPr>
          <w:rFonts w:ascii="Courier New" w:cs="Courier New" w:eastAsia="Courier New" w:hAnsi="Courier New"/>
          <w:sz w:val="15"/>
          <w:szCs w:val="15"/>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85"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5" w:right="1440" w:bottom="1440" w:gutter="0" w:footer="0" w:header="0"/>
        </w:sectPr>
      </w:pPr>
    </w:p>
    <w:bookmarkStart w:id="54" w:name="page55"/>
    <w:bookmarkEnd w:id="54"/>
    <w:p>
      <w:pPr>
        <w:ind w:right="3119" w:firstLine="444"/>
        <w:spacing w:after="0" w:line="267"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78"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72"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73"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$______ and any integral multiple thereof. As</w:t>
      </w:r>
    </w:p>
    <w:p>
      <w:pPr>
        <w:spacing w:after="0" w:line="1" w:lineRule="exact"/>
        <w:rPr>
          <w:sz w:val="20"/>
          <w:szCs w:val="20"/>
          <w:color w:val="auto"/>
        </w:rPr>
      </w:pPr>
    </w:p>
    <w:p>
      <w:pPr>
        <w:ind w:right="3119"/>
        <w:spacing w:after="0" w:line="266" w:lineRule="auto"/>
        <w:rPr>
          <w:sz w:val="20"/>
          <w:szCs w:val="20"/>
          <w:color w:val="auto"/>
        </w:rPr>
      </w:pPr>
      <w:r>
        <w:rPr>
          <w:rFonts w:ascii="Courier New" w:cs="Courier New" w:eastAsia="Courier New" w:hAnsi="Courier New"/>
          <w:sz w:val="15"/>
          <w:szCs w:val="15"/>
          <w:color w:val="auto"/>
        </w:rPr>
        <w:t>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74"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No service charge shall be made for any such registration of transfer or exchange, but the Company may require payment of a sum sufficient to cover any tax or other governmental charge payable in connection therewith.</w:t>
      </w:r>
    </w:p>
    <w:p>
      <w:pPr>
        <w:spacing w:after="0" w:line="52"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59"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5" w:right="1440" w:bottom="1440" w:gutter="0" w:footer="0" w:header="0"/>
        </w:sectPr>
      </w:pPr>
    </w:p>
    <w:bookmarkStart w:id="55" w:name="page56"/>
    <w:bookmarkEnd w:id="55"/>
    <w:p>
      <w:pPr>
        <w:spacing w:after="0"/>
        <w:tabs>
          <w:tab w:leader="none" w:pos="122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Form of Legend for Global Securities.</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Unless otherwise specified as contemplated by Section 301 for the Securities evidenced thereby, every Global Security authenticated and delivered hereunder shall bear a legend in substantially the following form:</w:t>
      </w:r>
    </w:p>
    <w:p>
      <w:pPr>
        <w:spacing w:after="0" w:line="52" w:lineRule="exact"/>
        <w:rPr>
          <w:sz w:val="20"/>
          <w:szCs w:val="20"/>
          <w:color w:val="auto"/>
        </w:rPr>
      </w:pPr>
    </w:p>
    <w:p>
      <w:pPr>
        <w:ind w:right="3119"/>
        <w:spacing w:after="0" w:line="285"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6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4"/>
          <w:szCs w:val="14"/>
          <w:color w:val="auto"/>
        </w:rPr>
        <w:t>Form of Trustee's Certificate of Authentication.</w:t>
      </w:r>
    </w:p>
    <w:p>
      <w:pPr>
        <w:spacing w:after="0" w:line="17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The Trustee's certificates of authentication shall be in substantially the following form:</w:t>
      </w:r>
    </w:p>
    <w:p>
      <w:pPr>
        <w:spacing w:after="0" w:line="1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This is one of the Securities of the series designated herein referred to in the within-mentioned Indenture.</w:t>
      </w:r>
    </w:p>
    <w:p>
      <w:pPr>
        <w:spacing w:after="0" w:line="1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As Trustee</w:t>
      </w:r>
    </w:p>
    <w:p>
      <w:pPr>
        <w:spacing w:after="0" w:line="34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By:_______________________________________________</w:t>
      </w:r>
    </w:p>
    <w:p>
      <w:pPr>
        <w:spacing w:after="0" w:line="2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Authorized Officer</w:t>
      </w:r>
    </w:p>
    <w:p>
      <w:pPr>
        <w:spacing w:after="0" w:line="14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4"/>
          <w:szCs w:val="14"/>
          <w:color w:val="auto"/>
        </w:rPr>
        <w:t>Form of Conversion Notice.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Micron Technology, Inc.:</w:t>
      </w:r>
    </w:p>
    <w:p>
      <w:pPr>
        <w:spacing w:after="0" w:line="171"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w:t>
      </w:r>
    </w:p>
    <w:p>
      <w:pPr>
        <w:spacing w:after="0" w:line="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05" w:right="1440" w:bottom="1440" w:gutter="0" w:footer="0" w:header="0"/>
        </w:sectPr>
      </w:pPr>
    </w:p>
    <w:bookmarkStart w:id="56" w:name="page57"/>
    <w:bookmarkEnd w:id="56"/>
    <w:p>
      <w:pPr>
        <w:ind w:right="3119"/>
        <w:spacing w:after="0" w:line="259" w:lineRule="auto"/>
        <w:rPr>
          <w:sz w:val="20"/>
          <w:szCs w:val="20"/>
          <w:color w:val="auto"/>
        </w:rPr>
      </w:pPr>
      <w:r>
        <w:rPr>
          <w:rFonts w:ascii="Courier New" w:cs="Courier New" w:eastAsia="Courier New" w:hAnsi="Courier New"/>
          <w:sz w:val="15"/>
          <w:szCs w:val="15"/>
          <w:color w:val="auto"/>
        </w:rPr>
        <w:t>Redemption Date within such period),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25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Principal Amount to be Converted</w:t>
      </w:r>
    </w:p>
    <w:p>
      <w:pPr>
        <w:spacing w:after="0" w:line="27" w:lineRule="exact"/>
        <w:rPr>
          <w:sz w:val="20"/>
          <w:szCs w:val="20"/>
          <w:color w:val="auto"/>
        </w:rPr>
      </w:pPr>
    </w:p>
    <w:p>
      <w:pPr>
        <w:jc w:val="center"/>
        <w:ind w:right="5339"/>
        <w:spacing w:after="0"/>
        <w:rPr>
          <w:sz w:val="20"/>
          <w:szCs w:val="20"/>
          <w:color w:val="auto"/>
        </w:rPr>
      </w:pPr>
      <w:r>
        <w:rPr>
          <w:rFonts w:ascii="Courier New" w:cs="Courier New" w:eastAsia="Courier New" w:hAnsi="Courier New"/>
          <w:sz w:val="15"/>
          <w:szCs w:val="15"/>
          <w:color w:val="auto"/>
        </w:rPr>
        <w:t>(in an integral multiple of $1,000, if less than all)</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U.S. $_________</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Dated:____________________________</w:t>
      </w:r>
    </w:p>
    <w:p>
      <w:pPr>
        <w:spacing w:after="0" w:line="342"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183"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Signature(s) must be guaranteed</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by a qualified guarantor</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institution if shares of Common</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Stock are to be delivered, or</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Securities to be issued, other</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than to and in the name of the</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registered owner.</w:t>
      </w:r>
    </w:p>
    <w:p>
      <w:pPr>
        <w:spacing w:after="0" w:line="200" w:lineRule="exact"/>
        <w:rPr>
          <w:sz w:val="20"/>
          <w:szCs w:val="20"/>
          <w:color w:val="auto"/>
        </w:rPr>
      </w:pPr>
    </w:p>
    <w:p>
      <w:pPr>
        <w:spacing w:after="0" w:line="28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2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Signature Guaranty</w:t>
      </w:r>
    </w:p>
    <w:p>
      <w:pPr>
        <w:spacing w:after="0" w:line="145"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Fill in for registration of shares of Common Stock and Security if to be issued otherwise than to the registered Holder.</w:t>
      </w:r>
    </w:p>
    <w:p>
      <w:pPr>
        <w:sectPr>
          <w:pgSz w:w="11900" w:h="16838" w:orient="portrait"/>
          <w:cols w:equalWidth="0" w:num="1">
            <w:col w:w="10219"/>
          </w:cols>
          <w:pgMar w:left="240" w:top="605" w:right="1440" w:bottom="1440" w:gutter="0" w:footer="0" w:header="0"/>
        </w:sectPr>
      </w:pPr>
    </w:p>
    <w:p>
      <w:pPr>
        <w:spacing w:after="0" w:line="183" w:lineRule="exact"/>
        <w:rPr>
          <w:sz w:val="20"/>
          <w:szCs w:val="20"/>
          <w:color w:val="auto"/>
        </w:rPr>
      </w:pPr>
    </w:p>
    <w:p>
      <w:pPr>
        <w:spacing w:after="0" w:line="395" w:lineRule="auto"/>
        <w:rPr>
          <w:sz w:val="20"/>
          <w:szCs w:val="20"/>
          <w:color w:val="auto"/>
        </w:rPr>
      </w:pPr>
      <w:r>
        <w:rPr>
          <w:rFonts w:ascii="Courier New" w:cs="Courier New" w:eastAsia="Courier New" w:hAnsi="Courier New"/>
          <w:sz w:val="14"/>
          <w:szCs w:val="14"/>
          <w:color w:val="auto"/>
        </w:rPr>
        <w:t>_______________________________ (Name)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or Other Taxpayer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0"/>
          <w:szCs w:val="20"/>
          <w:color w:val="auto"/>
        </w:rPr>
      </w:pPr>
    </w:p>
    <w:p>
      <w:pPr>
        <w:sectPr>
          <w:pgSz w:w="11900" w:h="16838" w:orient="portrait"/>
          <w:cols w:equalWidth="0" w:num="2">
            <w:col w:w="2740" w:space="720"/>
            <w:col w:w="6759"/>
          </w:cols>
          <w:pgMar w:left="240" w:top="605" w:right="1440"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print Name and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zip code number)</w:t>
      </w:r>
    </w:p>
    <w:p>
      <w:pPr>
        <w:sectPr>
          <w:pgSz w:w="11900" w:h="16838" w:orient="portrait"/>
          <w:cols w:equalWidth="0" w:num="1">
            <w:col w:w="10219"/>
          </w:cols>
          <w:pgMar w:left="240" w:top="605" w:right="1440" w:bottom="1440" w:gutter="0" w:footer="0" w:header="0"/>
          <w:type w:val="continuous"/>
        </w:sectPr>
      </w:pPr>
    </w:p>
    <w:p>
      <w:pPr>
        <w:spacing w:after="0" w:line="145" w:lineRule="exact"/>
        <w:rPr>
          <w:sz w:val="20"/>
          <w:szCs w:val="20"/>
          <w:color w:val="auto"/>
        </w:rPr>
      </w:pPr>
    </w:p>
    <w:p>
      <w:pPr>
        <w:ind w:right="3299"/>
        <w:spacing w:after="0" w:line="353" w:lineRule="auto"/>
        <w:rPr>
          <w:sz w:val="20"/>
          <w:szCs w:val="20"/>
          <w:color w:val="auto"/>
        </w:rPr>
      </w:pPr>
      <w:r>
        <w:rPr>
          <w:rFonts w:ascii="Courier New" w:cs="Courier New" w:eastAsia="Courier New" w:hAnsi="Courier New"/>
          <w:sz w:val="15"/>
          <w:szCs w:val="15"/>
          <w:color w:val="auto"/>
        </w:rPr>
        <w:t>[The above conversion notice is to be modified, as appropriate, for conversion into other securities or property of the Company.]</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05" w:right="1440" w:bottom="1440" w:gutter="0" w:footer="0" w:header="0"/>
          <w:type w:val="continuous"/>
        </w:sectPr>
      </w:pPr>
    </w:p>
    <w:bookmarkStart w:id="57" w:name="page58"/>
    <w:bookmarkEnd w:id="57"/>
    <w:p>
      <w:pPr>
        <w:ind w:left="2920"/>
        <w:spacing w:after="0"/>
        <w:rPr>
          <w:sz w:val="20"/>
          <w:szCs w:val="20"/>
          <w:color w:val="auto"/>
        </w:rPr>
      </w:pPr>
      <w:r>
        <w:rPr>
          <w:rFonts w:ascii="Courier New" w:cs="Courier New" w:eastAsia="Courier New" w:hAnsi="Courier New"/>
          <w:sz w:val="15"/>
          <w:szCs w:val="15"/>
          <w:color w:val="auto"/>
        </w:rPr>
        <w:t>ARTICLE THREE</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SECURITIES.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Amount Unlimited; Issuable in Series.</w:t>
      </w:r>
    </w:p>
    <w:p>
      <w:pPr>
        <w:spacing w:after="0" w:line="171"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The aggregate principal amount of Securities which may be authenticated and delivered under this Indenture is unlimited.</w:t>
      </w:r>
    </w:p>
    <w:p>
      <w:pPr>
        <w:spacing w:after="0" w:line="1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72" w:lineRule="exact"/>
        <w:rPr>
          <w:sz w:val="20"/>
          <w:szCs w:val="20"/>
          <w:color w:val="auto"/>
        </w:rPr>
      </w:pPr>
    </w:p>
    <w:p>
      <w:pPr>
        <w:ind w:right="3219" w:firstLine="435"/>
        <w:spacing w:after="0" w:line="353" w:lineRule="auto"/>
        <w:tabs>
          <w:tab w:leader="none" w:pos="79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shall distinguish the Securities of the series from Securities of any other series);</w:t>
      </w:r>
    </w:p>
    <w:p>
      <w:pPr>
        <w:spacing w:after="0" w:line="12"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81" w:lineRule="exact"/>
        <w:rPr>
          <w:rFonts w:ascii="Courier New" w:cs="Courier New" w:eastAsia="Courier New" w:hAnsi="Courier New"/>
          <w:sz w:val="15"/>
          <w:szCs w:val="15"/>
          <w:color w:val="auto"/>
        </w:rPr>
      </w:pPr>
    </w:p>
    <w:p>
      <w:pPr>
        <w:jc w:val="both"/>
        <w:ind w:right="3399" w:firstLine="435"/>
        <w:spacing w:after="0" w:line="278" w:lineRule="auto"/>
        <w:tabs>
          <w:tab w:leader="none" w:pos="79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66" w:lineRule="exact"/>
        <w:rPr>
          <w:rFonts w:ascii="Courier New" w:cs="Courier New" w:eastAsia="Courier New" w:hAnsi="Courier New"/>
          <w:sz w:val="15"/>
          <w:szCs w:val="15"/>
          <w:color w:val="auto"/>
        </w:rPr>
      </w:pPr>
    </w:p>
    <w:p>
      <w:pPr>
        <w:ind w:right="3659" w:firstLine="435"/>
        <w:spacing w:after="0" w:line="353" w:lineRule="auto"/>
        <w:tabs>
          <w:tab w:leader="none" w:pos="79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principal of any Securities of the series is payable;</w:t>
      </w:r>
    </w:p>
    <w:p>
      <w:pPr>
        <w:spacing w:after="0" w:line="12" w:lineRule="exact"/>
        <w:rPr>
          <w:rFonts w:ascii="Courier New" w:cs="Courier New" w:eastAsia="Courier New" w:hAnsi="Courier New"/>
          <w:sz w:val="15"/>
          <w:szCs w:val="15"/>
          <w:color w:val="auto"/>
        </w:rPr>
      </w:pPr>
    </w:p>
    <w:p>
      <w:pPr>
        <w:ind w:right="3219" w:firstLine="435"/>
        <w:spacing w:after="0" w:line="303" w:lineRule="auto"/>
        <w:tabs>
          <w:tab w:leader="none" w:pos="799"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52" w:lineRule="exact"/>
        <w:rPr>
          <w:rFonts w:ascii="Courier New" w:cs="Courier New" w:eastAsia="Courier New" w:hAnsi="Courier New"/>
          <w:sz w:val="14"/>
          <w:szCs w:val="14"/>
          <w:color w:val="auto"/>
        </w:rPr>
      </w:pPr>
    </w:p>
    <w:p>
      <w:pPr>
        <w:ind w:right="3119" w:firstLine="435"/>
        <w:spacing w:after="0" w:line="353" w:lineRule="auto"/>
        <w:tabs>
          <w:tab w:leader="none" w:pos="79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the principal of and any premium and interest on any Securities of the series shall be payable;</w:t>
      </w:r>
    </w:p>
    <w:p>
      <w:pPr>
        <w:spacing w:after="0" w:line="12" w:lineRule="exact"/>
        <w:rPr>
          <w:rFonts w:ascii="Courier New" w:cs="Courier New" w:eastAsia="Courier New" w:hAnsi="Courier New"/>
          <w:sz w:val="15"/>
          <w:szCs w:val="15"/>
          <w:color w:val="auto"/>
        </w:rPr>
      </w:pPr>
    </w:p>
    <w:p>
      <w:pPr>
        <w:ind w:right="3119" w:firstLine="435"/>
        <w:spacing w:after="0" w:line="269" w:lineRule="auto"/>
        <w:tabs>
          <w:tab w:leader="none" w:pos="79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71" w:lineRule="exact"/>
        <w:rPr>
          <w:rFonts w:ascii="Courier New" w:cs="Courier New" w:eastAsia="Courier New" w:hAnsi="Courier New"/>
          <w:sz w:val="15"/>
          <w:szCs w:val="15"/>
          <w:color w:val="auto"/>
        </w:rPr>
      </w:pPr>
    </w:p>
    <w:p>
      <w:pPr>
        <w:ind w:right="3119" w:firstLine="435"/>
        <w:spacing w:after="0" w:line="278" w:lineRule="auto"/>
        <w:tabs>
          <w:tab w:leader="none" w:pos="79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05" w:right="1440" w:bottom="1440" w:gutter="0" w:footer="0" w:header="0"/>
        </w:sectPr>
      </w:pPr>
    </w:p>
    <w:bookmarkStart w:id="58" w:name="page59"/>
    <w:bookmarkEnd w:id="58"/>
    <w:p>
      <w:pPr>
        <w:ind w:right="3119"/>
        <w:spacing w:after="0" w:line="353" w:lineRule="auto"/>
        <w:rPr>
          <w:sz w:val="20"/>
          <w:szCs w:val="20"/>
          <w:color w:val="auto"/>
        </w:rPr>
      </w:pPr>
      <w:r>
        <w:rPr>
          <w:rFonts w:ascii="Courier New" w:cs="Courier New" w:eastAsia="Courier New" w:hAnsi="Courier New"/>
          <w:sz w:val="15"/>
          <w:szCs w:val="15"/>
          <w:color w:val="auto"/>
        </w:rPr>
        <w:t>upon which any Securities of the series shall be redeemed or purchased, in whole or in part, pursuant to such obligation;</w:t>
      </w:r>
    </w:p>
    <w:p>
      <w:pPr>
        <w:spacing w:after="0" w:line="12" w:lineRule="exact"/>
        <w:rPr>
          <w:sz w:val="20"/>
          <w:szCs w:val="20"/>
          <w:color w:val="auto"/>
        </w:rPr>
      </w:pPr>
    </w:p>
    <w:p>
      <w:pPr>
        <w:ind w:right="3759" w:firstLine="435"/>
        <w:spacing w:after="0" w:line="297" w:lineRule="auto"/>
        <w:tabs>
          <w:tab w:leader="none" w:pos="79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denominations of $1,000 and any integral multiple thereof, the denominations in which any Securities of the series shall be issuable;</w:t>
      </w:r>
    </w:p>
    <w:p>
      <w:pPr>
        <w:spacing w:after="0" w:line="51" w:lineRule="exact"/>
        <w:rPr>
          <w:rFonts w:ascii="Courier New" w:cs="Courier New" w:eastAsia="Courier New" w:hAnsi="Courier New"/>
          <w:sz w:val="15"/>
          <w:szCs w:val="15"/>
          <w:color w:val="auto"/>
        </w:rPr>
      </w:pPr>
    </w:p>
    <w:p>
      <w:pPr>
        <w:ind w:right="3479" w:firstLine="435"/>
        <w:spacing w:after="0" w:line="326" w:lineRule="auto"/>
        <w:tabs>
          <w:tab w:leader="none" w:pos="88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principal of or any premium or interest on any Securities of the series may be determined with reference to an index or pursuant to a formula, the manner in which such amounts shall be determined;</w:t>
      </w:r>
    </w:p>
    <w:p>
      <w:pPr>
        <w:spacing w:after="0" w:line="36" w:lineRule="exact"/>
        <w:rPr>
          <w:rFonts w:ascii="Courier New" w:cs="Courier New" w:eastAsia="Courier New" w:hAnsi="Courier New"/>
          <w:sz w:val="14"/>
          <w:szCs w:val="14"/>
          <w:color w:val="auto"/>
        </w:rPr>
      </w:pPr>
    </w:p>
    <w:p>
      <w:pPr>
        <w:ind w:right="3119" w:firstLine="435"/>
        <w:spacing w:after="0" w:line="255" w:lineRule="auto"/>
        <w:tabs>
          <w:tab w:leader="none" w:pos="88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81" w:lineRule="exact"/>
        <w:rPr>
          <w:rFonts w:ascii="Courier New" w:cs="Courier New" w:eastAsia="Courier New" w:hAnsi="Courier New"/>
          <w:sz w:val="15"/>
          <w:szCs w:val="15"/>
          <w:color w:val="auto"/>
        </w:rPr>
      </w:pPr>
    </w:p>
    <w:p>
      <w:pPr>
        <w:ind w:right="3119" w:firstLine="435"/>
        <w:spacing w:after="0" w:line="251" w:lineRule="auto"/>
        <w:tabs>
          <w:tab w:leader="none" w:pos="88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86" w:lineRule="exact"/>
        <w:rPr>
          <w:rFonts w:ascii="Courier New" w:cs="Courier New" w:eastAsia="Courier New" w:hAnsi="Courier New"/>
          <w:sz w:val="15"/>
          <w:szCs w:val="15"/>
          <w:color w:val="auto"/>
        </w:rPr>
      </w:pPr>
    </w:p>
    <w:p>
      <w:pPr>
        <w:ind w:right="3219" w:firstLine="435"/>
        <w:spacing w:after="0" w:line="326" w:lineRule="auto"/>
        <w:tabs>
          <w:tab w:leader="none" w:pos="88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36" w:lineRule="exact"/>
        <w:rPr>
          <w:rFonts w:ascii="Courier New" w:cs="Courier New" w:eastAsia="Courier New" w:hAnsi="Courier New"/>
          <w:sz w:val="14"/>
          <w:szCs w:val="14"/>
          <w:color w:val="auto"/>
        </w:rPr>
      </w:pPr>
    </w:p>
    <w:p>
      <w:pPr>
        <w:ind w:right="3119" w:firstLine="435"/>
        <w:spacing w:after="0" w:line="255" w:lineRule="auto"/>
        <w:tabs>
          <w:tab w:leader="none" w:pos="88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81" w:lineRule="exact"/>
        <w:rPr>
          <w:rFonts w:ascii="Courier New" w:cs="Courier New" w:eastAsia="Courier New" w:hAnsi="Courier New"/>
          <w:sz w:val="15"/>
          <w:szCs w:val="15"/>
          <w:color w:val="auto"/>
        </w:rPr>
      </w:pPr>
    </w:p>
    <w:p>
      <w:pPr>
        <w:ind w:right="3119" w:firstLine="435"/>
        <w:spacing w:after="0" w:line="303" w:lineRule="auto"/>
        <w:tabs>
          <w:tab w:leader="none" w:pos="88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the Securities of the series, in whole or any specified part, shall be defeasible pursuant to Section 1302 or Section 1303 or both such Sections and, if other than by a Board Resolution, the manner in which any election by the Company to defease such Securities shall be evidenced;</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05" w:right="1440" w:bottom="1440" w:gutter="0" w:footer="0" w:header="0"/>
        </w:sectPr>
      </w:pPr>
    </w:p>
    <w:bookmarkStart w:id="59" w:name="page60"/>
    <w:bookmarkEnd w:id="59"/>
    <w:p>
      <w:pPr>
        <w:ind w:right="3479" w:firstLine="435"/>
        <w:spacing w:after="0" w:line="297" w:lineRule="auto"/>
        <w:tabs>
          <w:tab w:leader="none" w:pos="88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terms of any right to convert Securities of the series into shares of Common Stock of the Company or other securities or property;</w:t>
      </w:r>
    </w:p>
    <w:p>
      <w:pPr>
        <w:spacing w:after="0" w:line="51" w:lineRule="exact"/>
        <w:rPr>
          <w:rFonts w:ascii="Courier New" w:cs="Courier New" w:eastAsia="Courier New" w:hAnsi="Courier New"/>
          <w:sz w:val="15"/>
          <w:szCs w:val="15"/>
          <w:color w:val="auto"/>
        </w:rPr>
      </w:pPr>
    </w:p>
    <w:p>
      <w:pPr>
        <w:ind w:right="3119" w:firstLine="435"/>
        <w:spacing w:after="0" w:line="253" w:lineRule="auto"/>
        <w:tabs>
          <w:tab w:leader="none" w:pos="88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86" w:lineRule="exact"/>
        <w:rPr>
          <w:rFonts w:ascii="Courier New" w:cs="Courier New" w:eastAsia="Courier New" w:hAnsi="Courier New"/>
          <w:sz w:val="15"/>
          <w:szCs w:val="15"/>
          <w:color w:val="auto"/>
        </w:rPr>
      </w:pPr>
    </w:p>
    <w:p>
      <w:pPr>
        <w:ind w:right="3119" w:firstLine="435"/>
        <w:spacing w:after="0" w:line="278" w:lineRule="auto"/>
        <w:tabs>
          <w:tab w:leader="none" w:pos="88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66" w:lineRule="exact"/>
        <w:rPr>
          <w:rFonts w:ascii="Courier New" w:cs="Courier New" w:eastAsia="Courier New" w:hAnsi="Courier New"/>
          <w:sz w:val="15"/>
          <w:szCs w:val="15"/>
          <w:color w:val="auto"/>
        </w:rPr>
      </w:pPr>
    </w:p>
    <w:p>
      <w:pPr>
        <w:ind w:right="3399" w:firstLine="435"/>
        <w:spacing w:after="0" w:line="353" w:lineRule="auto"/>
        <w:tabs>
          <w:tab w:leader="none" w:pos="88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to or change in the covenants set forth in Article Ten which applies to Securities of the series; and</w:t>
      </w:r>
    </w:p>
    <w:p>
      <w:pPr>
        <w:spacing w:after="0" w:line="12" w:lineRule="exact"/>
        <w:rPr>
          <w:rFonts w:ascii="Courier New" w:cs="Courier New" w:eastAsia="Courier New" w:hAnsi="Courier New"/>
          <w:sz w:val="15"/>
          <w:szCs w:val="15"/>
          <w:color w:val="auto"/>
        </w:rPr>
      </w:pPr>
    </w:p>
    <w:p>
      <w:pPr>
        <w:jc w:val="both"/>
        <w:ind w:right="3299" w:firstLine="435"/>
        <w:spacing w:after="0" w:line="387" w:lineRule="auto"/>
        <w:tabs>
          <w:tab w:leader="none" w:pos="887"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 except as permitted by Section 901(5)).</w:t>
      </w:r>
    </w:p>
    <w:p>
      <w:pPr>
        <w:spacing w:after="0" w:line="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7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Denominations.</w:t>
      </w:r>
    </w:p>
    <w:p>
      <w:pPr>
        <w:spacing w:after="0" w:line="171"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5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w:t>
      </w:r>
    </w:p>
    <w:p>
      <w:pPr>
        <w:spacing w:after="0" w:line="34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Securities shall be executed on behalf of the Company by its Chairman of the Board, its Vice Chairman of the Board, its principal financial officer, its President or one of its Vice Presidents, attested by its Secretary or one of its Assistant Secretaries. The signature of any of these officers on the Securities may be manual or facsimile.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05" w:right="1440" w:bottom="1440" w:gutter="0" w:footer="0" w:header="0"/>
        </w:sectPr>
      </w:pPr>
    </w:p>
    <w:bookmarkStart w:id="60" w:name="page61"/>
    <w:bookmarkEnd w:id="60"/>
    <w:p>
      <w:pPr>
        <w:ind w:right="3299" w:firstLine="444"/>
        <w:spacing w:after="0" w:line="269" w:lineRule="auto"/>
        <w:rPr>
          <w:sz w:val="20"/>
          <w:szCs w:val="20"/>
          <w:color w:val="auto"/>
        </w:rPr>
      </w:pPr>
      <w:r>
        <w:rPr>
          <w:rFonts w:ascii="Courier New" w:cs="Courier New" w:eastAsia="Courier New" w:hAnsi="Courier New"/>
          <w:sz w:val="15"/>
          <w:szCs w:val="15"/>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72"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85" w:lineRule="exact"/>
        <w:rPr>
          <w:sz w:val="20"/>
          <w:szCs w:val="20"/>
          <w:color w:val="auto"/>
        </w:rPr>
      </w:pPr>
    </w:p>
    <w:p>
      <w:pPr>
        <w:ind w:right="3219" w:firstLine="435"/>
        <w:spacing w:after="0" w:line="297" w:lineRule="auto"/>
        <w:tabs>
          <w:tab w:leader="none" w:pos="8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form of such Securities has been established by or pursuant to Board Resolution as permitted by Section 201, that such form has been established in conformity with the provisions of this Indenture;</w:t>
      </w:r>
    </w:p>
    <w:p>
      <w:pPr>
        <w:spacing w:after="0" w:line="51" w:lineRule="exact"/>
        <w:rPr>
          <w:rFonts w:ascii="Courier New" w:cs="Courier New" w:eastAsia="Courier New" w:hAnsi="Courier New"/>
          <w:sz w:val="15"/>
          <w:szCs w:val="15"/>
          <w:color w:val="auto"/>
        </w:rPr>
      </w:pPr>
    </w:p>
    <w:p>
      <w:pPr>
        <w:ind w:right="3299" w:firstLine="435"/>
        <w:spacing w:after="0" w:line="326" w:lineRule="auto"/>
        <w:tabs>
          <w:tab w:leader="none" w:pos="887"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terms of such Securities have been established by or pursuant to Board Resolution as permitted by Section 301, that such terms have been established in conformity with the provisions of this Indenture; and</w:t>
      </w:r>
    </w:p>
    <w:p>
      <w:pPr>
        <w:spacing w:after="0" w:line="36" w:lineRule="exact"/>
        <w:rPr>
          <w:rFonts w:ascii="Courier New" w:cs="Courier New" w:eastAsia="Courier New" w:hAnsi="Courier New"/>
          <w:sz w:val="14"/>
          <w:szCs w:val="14"/>
          <w:color w:val="auto"/>
        </w:rPr>
      </w:pPr>
    </w:p>
    <w:p>
      <w:pPr>
        <w:ind w:right="3119" w:firstLine="435"/>
        <w:spacing w:after="0" w:line="259" w:lineRule="auto"/>
        <w:tabs>
          <w:tab w:leader="none" w:pos="8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82"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72"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Security shall be dated the date of its authentication.</w:t>
      </w:r>
    </w:p>
    <w:p>
      <w:pPr>
        <w:spacing w:after="0" w:line="171" w:lineRule="exact"/>
        <w:rPr>
          <w:sz w:val="20"/>
          <w:szCs w:val="20"/>
          <w:color w:val="auto"/>
        </w:rPr>
      </w:pPr>
    </w:p>
    <w:p>
      <w:pPr>
        <w:ind w:right="3479" w:firstLine="444"/>
        <w:spacing w:after="0" w:line="297" w:lineRule="auto"/>
        <w:rPr>
          <w:sz w:val="20"/>
          <w:szCs w:val="20"/>
          <w:color w:val="auto"/>
        </w:rPr>
      </w:pPr>
      <w:r>
        <w:rPr>
          <w:rFonts w:ascii="Courier New" w:cs="Courier New" w:eastAsia="Courier New" w:hAnsi="Courier New"/>
          <w:sz w:val="15"/>
          <w:szCs w:val="15"/>
          <w:color w:val="auto"/>
        </w:rPr>
        <w:t>No Security shall be entitled to any benefit under this Indenture or be valid or obligatory for any purpose unless there appears on such Security a certificate of authentication substantially in the</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05" w:right="1440" w:bottom="1440" w:gutter="0" w:footer="0" w:header="0"/>
        </w:sectPr>
      </w:pPr>
    </w:p>
    <w:bookmarkStart w:id="61" w:name="page62"/>
    <w:bookmarkEnd w:id="61"/>
    <w:p>
      <w:pPr>
        <w:ind w:right="3219"/>
        <w:spacing w:after="0" w:line="255" w:lineRule="auto"/>
        <w:rPr>
          <w:sz w:val="20"/>
          <w:szCs w:val="20"/>
          <w:color w:val="auto"/>
        </w:rPr>
      </w:pPr>
      <w:r>
        <w:rPr>
          <w:rFonts w:ascii="Courier New" w:cs="Courier New" w:eastAsia="Courier New" w:hAnsi="Courier New"/>
          <w:sz w:val="15"/>
          <w:szCs w:val="15"/>
          <w:color w:val="auto"/>
        </w:rPr>
        <w:t>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8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Temporary Securities.</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80"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7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4"/>
          <w:szCs w:val="14"/>
          <w:color w:val="auto"/>
        </w:rPr>
        <w:t>Registration; Registration of Transfer and Exchange.</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80"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77"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At the option of the Holder, Securities of any series may be exchanged for other Securities of the same series, of any authorized denominations and of like tenor and aggregate principal amount,</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05" w:right="1440" w:bottom="1440" w:gutter="0" w:footer="0" w:header="0"/>
        </w:sectPr>
      </w:pPr>
    </w:p>
    <w:bookmarkStart w:id="62" w:name="page63"/>
    <w:bookmarkEnd w:id="62"/>
    <w:p>
      <w:pPr>
        <w:ind w:right="3399"/>
        <w:spacing w:after="0" w:line="278" w:lineRule="auto"/>
        <w:rPr>
          <w:sz w:val="20"/>
          <w:szCs w:val="20"/>
          <w:color w:val="auto"/>
        </w:rPr>
      </w:pPr>
      <w:r>
        <w:rPr>
          <w:rFonts w:ascii="Courier New" w:cs="Courier New" w:eastAsia="Courier New" w:hAnsi="Courier New"/>
          <w:sz w:val="15"/>
          <w:szCs w:val="15"/>
          <w:color w:val="auto"/>
        </w:rPr>
        <w:t>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66"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66"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72"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59"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provisions of Clauses (1), (2), (3) and (4) below shall apply only to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45" w:lineRule="exact"/>
        <w:rPr>
          <w:sz w:val="20"/>
          <w:szCs w:val="20"/>
          <w:color w:val="auto"/>
        </w:rPr>
      </w:pPr>
    </w:p>
    <w:p>
      <w:pPr>
        <w:ind w:right="3219" w:firstLine="435"/>
        <w:spacing w:after="0" w:line="269" w:lineRule="auto"/>
        <w:tabs>
          <w:tab w:leader="none" w:pos="8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71" w:lineRule="exact"/>
        <w:rPr>
          <w:rFonts w:ascii="Courier New" w:cs="Courier New" w:eastAsia="Courier New" w:hAnsi="Courier New"/>
          <w:sz w:val="15"/>
          <w:szCs w:val="15"/>
          <w:color w:val="auto"/>
        </w:rPr>
      </w:pPr>
    </w:p>
    <w:p>
      <w:pPr>
        <w:ind w:right="3119" w:firstLine="435"/>
        <w:spacing w:after="0" w:line="252" w:lineRule="auto"/>
        <w:tabs>
          <w:tab w:leader="none" w:pos="8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85" w:lineRule="exact"/>
        <w:rPr>
          <w:rFonts w:ascii="Courier New" w:cs="Courier New" w:eastAsia="Courier New" w:hAnsi="Courier New"/>
          <w:sz w:val="15"/>
          <w:szCs w:val="15"/>
          <w:color w:val="auto"/>
        </w:rPr>
      </w:pPr>
    </w:p>
    <w:p>
      <w:pPr>
        <w:ind w:right="3299" w:firstLine="435"/>
        <w:spacing w:after="0" w:line="297" w:lineRule="auto"/>
        <w:tabs>
          <w:tab w:leader="none" w:pos="887"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Clause (2) above, any exchange of a Global Security for other Securities may be made in whole or in part, and all Securities issued in exchange for a Global Security or any</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05" w:right="1440" w:bottom="1440" w:gutter="0" w:footer="0" w:header="0"/>
        </w:sectPr>
      </w:pPr>
    </w:p>
    <w:bookmarkStart w:id="63" w:name="page64"/>
    <w:bookmarkEnd w:id="63"/>
    <w:p>
      <w:pPr>
        <w:ind w:right="3479"/>
        <w:spacing w:after="0" w:line="353" w:lineRule="auto"/>
        <w:rPr>
          <w:sz w:val="20"/>
          <w:szCs w:val="20"/>
          <w:color w:val="auto"/>
        </w:rPr>
      </w:pPr>
      <w:r>
        <w:rPr>
          <w:rFonts w:ascii="Courier New" w:cs="Courier New" w:eastAsia="Courier New" w:hAnsi="Courier New"/>
          <w:sz w:val="15"/>
          <w:szCs w:val="15"/>
          <w:color w:val="auto"/>
        </w:rPr>
        <w:t>portion thereof shall be registered in such names as the Depositary for such Global Security shall direct.</w:t>
      </w:r>
    </w:p>
    <w:p>
      <w:pPr>
        <w:spacing w:after="0" w:line="12" w:lineRule="exact"/>
        <w:rPr>
          <w:sz w:val="20"/>
          <w:szCs w:val="20"/>
          <w:color w:val="auto"/>
        </w:rPr>
      </w:pPr>
    </w:p>
    <w:p>
      <w:pPr>
        <w:ind w:right="3219" w:firstLine="435"/>
        <w:spacing w:after="0" w:line="285" w:lineRule="auto"/>
        <w:tabs>
          <w:tab w:leader="none" w:pos="887"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6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4"/>
          <w:szCs w:val="14"/>
          <w:color w:val="auto"/>
        </w:rPr>
        <w:t>Mutilated, Destroyed, Lost and Stolen Securities.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66"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8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In case any such mutilated, destroyed, lost or stolen Security has become or is about to become due and payable, the Company in its discretion may, instead of issuing a new Security, pay such Security.</w:t>
      </w:r>
    </w:p>
    <w:p>
      <w:pPr>
        <w:spacing w:after="0" w:line="5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6"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65"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05" w:right="1440" w:bottom="1440" w:gutter="0" w:footer="0" w:header="0"/>
        </w:sectPr>
      </w:pPr>
    </w:p>
    <w:bookmarkStart w:id="64" w:name="page65"/>
    <w:bookmarkEnd w:id="64"/>
    <w:p>
      <w:pPr>
        <w:spacing w:after="0"/>
        <w:tabs>
          <w:tab w:leader="none" w:pos="122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77"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77" w:lineRule="exact"/>
        <w:rPr>
          <w:sz w:val="20"/>
          <w:szCs w:val="20"/>
          <w:color w:val="auto"/>
        </w:rPr>
      </w:pPr>
    </w:p>
    <w:p>
      <w:pPr>
        <w:ind w:right="3119" w:firstLine="435"/>
        <w:spacing w:after="0" w:line="263" w:lineRule="auto"/>
        <w:tabs>
          <w:tab w:leader="none" w:pos="88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263" w:lineRule="exact"/>
        <w:rPr>
          <w:rFonts w:ascii="Courier New" w:cs="Courier New" w:eastAsia="Courier New" w:hAnsi="Courier New"/>
          <w:sz w:val="14"/>
          <w:szCs w:val="14"/>
          <w:color w:val="auto"/>
        </w:rPr>
      </w:pPr>
    </w:p>
    <w:p>
      <w:pPr>
        <w:ind w:right="3119" w:firstLine="435"/>
        <w:spacing w:after="0" w:line="285" w:lineRule="auto"/>
        <w:tabs>
          <w:tab w:leader="none" w:pos="88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64" w:lineRule="exact"/>
        <w:rPr>
          <w:rFonts w:ascii="Courier New" w:cs="Courier New" w:eastAsia="Courier New" w:hAnsi="Courier New"/>
          <w:sz w:val="14"/>
          <w:szCs w:val="14"/>
          <w:color w:val="auto"/>
        </w:rPr>
      </w:pPr>
    </w:p>
    <w:p>
      <w:pPr>
        <w:ind w:right="3119" w:firstLine="878"/>
        <w:spacing w:after="0" w:line="297" w:lineRule="auto"/>
        <w:tabs>
          <w:tab w:leader="none" w:pos="1242"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foregoing provisions of this Section, each Security delivered under this Indenture upon registration of transfer of or in exchange for or in lieu of any other Security shall</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05" w:right="1440" w:bottom="1440" w:gutter="0" w:footer="0" w:header="0"/>
        </w:sectPr>
      </w:pPr>
    </w:p>
    <w:bookmarkStart w:id="65" w:name="page66"/>
    <w:bookmarkEnd w:id="65"/>
    <w:p>
      <w:pPr>
        <w:ind w:left="6120"/>
        <w:spacing w:after="0"/>
        <w:rPr>
          <w:sz w:val="20"/>
          <w:szCs w:val="20"/>
          <w:color w:val="auto"/>
        </w:rPr>
      </w:pPr>
      <w:r>
        <w:rPr>
          <w:rFonts w:ascii="Courier New" w:cs="Courier New" w:eastAsia="Courier New" w:hAnsi="Courier New"/>
          <w:sz w:val="14"/>
          <w:szCs w:val="14"/>
          <w:color w:val="auto"/>
        </w:rPr>
        <w:t>EXHIBIT 4.1</w:t>
      </w:r>
    </w:p>
    <w:p>
      <w:pPr>
        <w:spacing w:after="0" w:line="183"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carry the rights to interest accrued and unpaid, and to accrue, which were carried by such other Security.</w:t>
      </w:r>
    </w:p>
    <w:p>
      <w:pPr>
        <w:spacing w:after="0" w:line="12" w:lineRule="exact"/>
        <w:rPr>
          <w:sz w:val="20"/>
          <w:szCs w:val="20"/>
          <w:color w:val="auto"/>
        </w:rPr>
      </w:pPr>
    </w:p>
    <w:p>
      <w:pPr>
        <w:ind w:right="3119" w:firstLine="435"/>
        <w:spacing w:after="0" w:line="268" w:lineRule="auto"/>
        <w:tabs>
          <w:tab w:leader="none" w:pos="887"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1402,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1402, in the case of any Security (or any part thereof) which is converted, interest whose Stated Maturity is after the date of conversion of such Security (or such part thereof) shall not be payable.</w:t>
      </w:r>
    </w:p>
    <w:p>
      <w:pPr>
        <w:spacing w:after="0" w:line="8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4"/>
          <w:szCs w:val="14"/>
          <w:color w:val="auto"/>
        </w:rPr>
        <w:t>Persons Deemed Owners.</w:t>
      </w:r>
    </w:p>
    <w:p>
      <w:pPr>
        <w:spacing w:after="0" w:line="171" w:lineRule="exact"/>
        <w:rPr>
          <w:sz w:val="20"/>
          <w:szCs w:val="20"/>
          <w:color w:val="auto"/>
        </w:rPr>
      </w:pPr>
    </w:p>
    <w:p>
      <w:pPr>
        <w:ind w:right="3299" w:firstLine="444"/>
        <w:spacing w:after="0" w:line="257" w:lineRule="auto"/>
        <w:rPr>
          <w:sz w:val="20"/>
          <w:szCs w:val="20"/>
          <w:color w:val="auto"/>
        </w:rPr>
      </w:pPr>
      <w:r>
        <w:rPr>
          <w:rFonts w:ascii="Courier New" w:cs="Courier New" w:eastAsia="Courier New" w:hAnsi="Courier New"/>
          <w:sz w:val="15"/>
          <w:szCs w:val="15"/>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8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4"/>
          <w:szCs w:val="14"/>
          <w:color w:val="auto"/>
        </w:rPr>
        <w:t>Cancellation.</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applicable securities law.</w:t>
      </w:r>
    </w:p>
    <w:p>
      <w:pPr>
        <w:spacing w:after="0" w:line="7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Computation of Interest.</w:t>
      </w:r>
    </w:p>
    <w:p>
      <w:pPr>
        <w:spacing w:after="0" w:line="17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Except as otherwise specified as contemplated by Section 301 for Securities of any series, interest on the Securities of each series shall be computed on the basis of a 360-day year of twelve 30-day months.</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05" w:right="1440" w:bottom="1440" w:gutter="0" w:footer="0" w:header="0"/>
        </w:sectPr>
      </w:pPr>
    </w:p>
    <w:bookmarkStart w:id="66" w:name="page67"/>
    <w:bookmarkEnd w:id="66"/>
    <w:p>
      <w:pPr>
        <w:ind w:left="2920"/>
        <w:spacing w:after="0"/>
        <w:rPr>
          <w:sz w:val="20"/>
          <w:szCs w:val="20"/>
          <w:color w:val="auto"/>
        </w:rPr>
      </w:pPr>
      <w:r>
        <w:rPr>
          <w:rFonts w:ascii="Courier New" w:cs="Courier New" w:eastAsia="Courier New" w:hAnsi="Courier New"/>
          <w:sz w:val="15"/>
          <w:szCs w:val="15"/>
          <w:color w:val="auto"/>
        </w:rPr>
        <w:t>ARTICLE FOUR</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SATISFACTION AND DISCHARGE.</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Satisfaction and Discharge of Indenture.</w:t>
      </w:r>
    </w:p>
    <w:p>
      <w:pPr>
        <w:spacing w:after="0" w:line="171" w:lineRule="exact"/>
        <w:rPr>
          <w:sz w:val="20"/>
          <w:szCs w:val="20"/>
          <w:color w:val="auto"/>
        </w:rPr>
      </w:pPr>
    </w:p>
    <w:p>
      <w:pPr>
        <w:jc w:val="both"/>
        <w:ind w:right="3399" w:firstLine="444"/>
        <w:spacing w:after="0" w:line="269" w:lineRule="auto"/>
        <w:rPr>
          <w:sz w:val="20"/>
          <w:szCs w:val="20"/>
          <w:color w:val="auto"/>
        </w:rPr>
      </w:pPr>
      <w:r>
        <w:rPr>
          <w:rFonts w:ascii="Courier New" w:cs="Courier New" w:eastAsia="Courier New" w:hAnsi="Courier New"/>
          <w:sz w:val="15"/>
          <w:szCs w:val="15"/>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72" w:lineRule="exact"/>
        <w:rPr>
          <w:sz w:val="20"/>
          <w:szCs w:val="20"/>
          <w:color w:val="auto"/>
        </w:rPr>
      </w:pPr>
    </w:p>
    <w:p>
      <w:pPr>
        <w:ind w:left="880" w:hanging="445"/>
        <w:spacing w:after="0"/>
        <w:tabs>
          <w:tab w:leader="none" w:pos="8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1" w:lineRule="exact"/>
        <w:rPr>
          <w:rFonts w:ascii="Courier New" w:cs="Courier New" w:eastAsia="Courier New" w:hAnsi="Courier New"/>
          <w:sz w:val="15"/>
          <w:szCs w:val="15"/>
          <w:color w:val="auto"/>
        </w:rPr>
      </w:pPr>
    </w:p>
    <w:p>
      <w:pPr>
        <w:ind w:right="3219" w:firstLine="878"/>
        <w:spacing w:after="0" w:line="259" w:lineRule="auto"/>
        <w:tabs>
          <w:tab w:leader="none" w:pos="1331"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8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Securities not theretofore delivered to the Trustee for</w:t>
      </w:r>
    </w:p>
    <w:p>
      <w:pPr>
        <w:spacing w:after="0" w:line="2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w:t>
      </w:r>
    </w:p>
    <w:p>
      <w:pPr>
        <w:spacing w:after="0" w:line="145" w:lineRule="exact"/>
        <w:rPr>
          <w:rFonts w:ascii="Courier New" w:cs="Courier New" w:eastAsia="Courier New" w:hAnsi="Courier New"/>
          <w:sz w:val="15"/>
          <w:szCs w:val="15"/>
          <w:color w:val="auto"/>
        </w:rPr>
      </w:pPr>
    </w:p>
    <w:p>
      <w:pPr>
        <w:ind w:left="1860" w:hanging="538"/>
        <w:spacing w:after="0"/>
        <w:tabs>
          <w:tab w:leader="none" w:pos="1860"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71" w:lineRule="exact"/>
        <w:rPr>
          <w:rFonts w:ascii="Courier New" w:cs="Courier New" w:eastAsia="Courier New" w:hAnsi="Courier New"/>
          <w:sz w:val="15"/>
          <w:szCs w:val="15"/>
          <w:color w:val="auto"/>
        </w:rPr>
      </w:pPr>
    </w:p>
    <w:p>
      <w:pPr>
        <w:ind w:left="1860" w:hanging="538"/>
        <w:spacing w:after="0"/>
        <w:tabs>
          <w:tab w:leader="none" w:pos="1860" w:val="left"/>
        </w:tabs>
        <w:numPr>
          <w:ilvl w:val="2"/>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become due and payable at their Stated Maturity within</w:t>
      </w:r>
    </w:p>
    <w:p>
      <w:pPr>
        <w:spacing w:after="0" w:line="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one year, or</w:t>
      </w:r>
    </w:p>
    <w:p>
      <w:pPr>
        <w:spacing w:after="0" w:line="145" w:lineRule="exact"/>
        <w:rPr>
          <w:rFonts w:ascii="Courier New" w:cs="Courier New" w:eastAsia="Courier New" w:hAnsi="Courier New"/>
          <w:sz w:val="14"/>
          <w:szCs w:val="14"/>
          <w:color w:val="auto"/>
        </w:rPr>
      </w:pPr>
    </w:p>
    <w:p>
      <w:pPr>
        <w:ind w:right="3119" w:firstLine="1322"/>
        <w:spacing w:after="0" w:line="326" w:lineRule="auto"/>
        <w:tabs>
          <w:tab w:leader="none" w:pos="1864" w:val="left"/>
        </w:tabs>
        <w:numPr>
          <w:ilvl w:val="2"/>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to be called for redemption within one year under arrangements satisfactory to the Trustee for the giving of notice of redemption by the Trustee in the name, and at the expense, of the Company, and the Company,</w:t>
      </w:r>
    </w:p>
    <w:p>
      <w:pPr>
        <w:spacing w:after="0" w:line="3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5"/>
          <w:szCs w:val="15"/>
          <w:color w:val="auto"/>
        </w:rPr>
        <w:t>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82" w:lineRule="exact"/>
        <w:rPr>
          <w:sz w:val="20"/>
          <w:szCs w:val="20"/>
          <w:color w:val="auto"/>
        </w:rPr>
      </w:pPr>
    </w:p>
    <w:p>
      <w:pPr>
        <w:ind w:right="3659" w:firstLine="435"/>
        <w:spacing w:after="0" w:line="353" w:lineRule="auto"/>
        <w:tabs>
          <w:tab w:leader="none" w:pos="8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2"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66"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607, the obligations of the Trustee to any Authenticating</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05" w:right="1440" w:bottom="1440" w:gutter="0" w:footer="0" w:header="0"/>
        </w:sectPr>
      </w:pPr>
    </w:p>
    <w:bookmarkStart w:id="67" w:name="page68"/>
    <w:bookmarkEnd w:id="67"/>
    <w:p>
      <w:pPr>
        <w:ind w:right="3119"/>
        <w:spacing w:after="0" w:line="326" w:lineRule="auto"/>
        <w:rPr>
          <w:sz w:val="20"/>
          <w:szCs w:val="20"/>
          <w:color w:val="auto"/>
        </w:rPr>
      </w:pPr>
      <w:r>
        <w:rPr>
          <w:rFonts w:ascii="Courier New" w:cs="Courier New" w:eastAsia="Courier New" w:hAnsi="Courier New"/>
          <w:sz w:val="14"/>
          <w:szCs w:val="14"/>
          <w:color w:val="auto"/>
        </w:rPr>
        <w:t>Agent under Section 614 and, if money shall have been deposited with the Trustee pursuant to subclause (B) of Clause (1) of this Section, the obligations of the Trustee under Section 402 and the last paragraph of Section 1003 shall survive.</w:t>
      </w:r>
    </w:p>
    <w:p>
      <w:pPr>
        <w:spacing w:after="0" w:line="3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Application of Trust Money.</w:t>
      </w:r>
    </w:p>
    <w:p>
      <w:pPr>
        <w:spacing w:after="0" w:line="171"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6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FIVE</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REMEDIES.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Events of Default.</w:t>
      </w:r>
    </w:p>
    <w:p>
      <w:pPr>
        <w:spacing w:after="0" w:line="171"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59" w:lineRule="exact"/>
        <w:rPr>
          <w:sz w:val="20"/>
          <w:szCs w:val="20"/>
          <w:color w:val="auto"/>
        </w:rPr>
      </w:pPr>
    </w:p>
    <w:p>
      <w:pPr>
        <w:ind w:right="3399" w:firstLine="435"/>
        <w:spacing w:after="0" w:line="297" w:lineRule="auto"/>
        <w:tabs>
          <w:tab w:leader="none" w:pos="8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Security of that series when it becomes due and payable, and continuance of such default for a period of 30 days; or</w:t>
      </w:r>
    </w:p>
    <w:p>
      <w:pPr>
        <w:spacing w:after="0" w:line="51" w:lineRule="exact"/>
        <w:rPr>
          <w:rFonts w:ascii="Courier New" w:cs="Courier New" w:eastAsia="Courier New" w:hAnsi="Courier New"/>
          <w:sz w:val="15"/>
          <w:szCs w:val="15"/>
          <w:color w:val="auto"/>
        </w:rPr>
      </w:pPr>
    </w:p>
    <w:p>
      <w:pPr>
        <w:ind w:right="3659" w:firstLine="435"/>
        <w:spacing w:after="0" w:line="353" w:lineRule="auto"/>
        <w:tabs>
          <w:tab w:leader="none" w:pos="8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any premium on any Security of that series at its Maturity; or</w:t>
      </w:r>
    </w:p>
    <w:p>
      <w:pPr>
        <w:spacing w:after="0" w:line="12" w:lineRule="exact"/>
        <w:rPr>
          <w:rFonts w:ascii="Courier New" w:cs="Courier New" w:eastAsia="Courier New" w:hAnsi="Courier New"/>
          <w:sz w:val="15"/>
          <w:szCs w:val="15"/>
          <w:color w:val="auto"/>
        </w:rPr>
      </w:pPr>
    </w:p>
    <w:p>
      <w:pPr>
        <w:ind w:right="3119" w:firstLine="435"/>
        <w:spacing w:after="0" w:line="353" w:lineRule="auto"/>
        <w:tabs>
          <w:tab w:leader="none" w:pos="8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Security of that series; or</w:t>
      </w:r>
    </w:p>
    <w:p>
      <w:pPr>
        <w:spacing w:after="0" w:line="12" w:lineRule="exact"/>
        <w:rPr>
          <w:rFonts w:ascii="Courier New" w:cs="Courier New" w:eastAsia="Courier New" w:hAnsi="Courier New"/>
          <w:sz w:val="15"/>
          <w:szCs w:val="15"/>
          <w:color w:val="auto"/>
        </w:rPr>
      </w:pPr>
    </w:p>
    <w:p>
      <w:pPr>
        <w:ind w:right="3119" w:firstLine="435"/>
        <w:spacing w:after="0" w:line="252" w:lineRule="auto"/>
        <w:tabs>
          <w:tab w:leader="none" w:pos="8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5" w:lineRule="exact"/>
        <w:rPr>
          <w:rFonts w:ascii="Courier New" w:cs="Courier New" w:eastAsia="Courier New" w:hAnsi="Courier New"/>
          <w:sz w:val="15"/>
          <w:szCs w:val="15"/>
          <w:color w:val="auto"/>
        </w:rPr>
      </w:pPr>
    </w:p>
    <w:p>
      <w:pPr>
        <w:ind w:right="3299" w:firstLine="435"/>
        <w:spacing w:after="0" w:line="297" w:lineRule="auto"/>
        <w:tabs>
          <w:tab w:leader="none" w:pos="887"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05" w:right="1440" w:bottom="1440" w:gutter="0" w:footer="0" w:header="0"/>
        </w:sectPr>
      </w:pPr>
    </w:p>
    <w:bookmarkStart w:id="68" w:name="page69"/>
    <w:bookmarkEnd w:id="68"/>
    <w:p>
      <w:pPr>
        <w:ind w:right="3119"/>
        <w:spacing w:after="0" w:line="275" w:lineRule="auto"/>
        <w:rPr>
          <w:sz w:val="20"/>
          <w:szCs w:val="20"/>
          <w:color w:val="auto"/>
        </w:rPr>
      </w:pPr>
      <w:r>
        <w:rPr>
          <w:rFonts w:ascii="Courier New" w:cs="Courier New" w:eastAsia="Courier New" w:hAnsi="Courier New"/>
          <w:sz w:val="14"/>
          <w:szCs w:val="14"/>
          <w:color w:val="auto"/>
        </w:rPr>
        <w:t>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71" w:lineRule="exact"/>
        <w:rPr>
          <w:sz w:val="20"/>
          <w:szCs w:val="20"/>
          <w:color w:val="auto"/>
        </w:rPr>
      </w:pPr>
    </w:p>
    <w:p>
      <w:pPr>
        <w:ind w:right="3119" w:firstLine="435"/>
        <w:spacing w:after="0" w:line="248" w:lineRule="auto"/>
        <w:tabs>
          <w:tab w:leader="none" w:pos="887"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9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Securities of that</w:t>
      </w:r>
    </w:p>
    <w:p>
      <w:pPr>
        <w:spacing w:after="0" w:line="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series.</w:t>
      </w:r>
    </w:p>
    <w:p>
      <w:pPr>
        <w:spacing w:after="0" w:line="14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Acceleration of Maturity; Rescission and Annulment.</w:t>
      </w:r>
    </w:p>
    <w:p>
      <w:pPr>
        <w:spacing w:after="0" w:line="171" w:lineRule="exact"/>
        <w:rPr>
          <w:sz w:val="20"/>
          <w:szCs w:val="20"/>
          <w:color w:val="auto"/>
        </w:rPr>
      </w:pPr>
    </w:p>
    <w:p>
      <w:pPr>
        <w:ind w:right="3119" w:firstLine="444"/>
        <w:spacing w:after="0" w:line="266" w:lineRule="auto"/>
        <w:rPr>
          <w:sz w:val="20"/>
          <w:szCs w:val="20"/>
          <w:color w:val="auto"/>
        </w:rPr>
      </w:pPr>
      <w:r>
        <w:rPr>
          <w:rFonts w:ascii="Courier New" w:cs="Courier New" w:eastAsia="Courier New" w:hAnsi="Courier New"/>
          <w:sz w:val="14"/>
          <w:szCs w:val="14"/>
          <w:color w:val="auto"/>
        </w:rPr>
        <w:t>If an Event of Default (other than an Event of Default specified in Section 501(5) or 501(6))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84"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05" w:right="1440" w:bottom="1440" w:gutter="0" w:footer="0" w:header="0"/>
        </w:sectPr>
      </w:pPr>
    </w:p>
    <w:bookmarkStart w:id="69" w:name="page70"/>
    <w:bookmarkEnd w:id="69"/>
    <w:p>
      <w:pPr>
        <w:ind w:right="3219"/>
        <w:spacing w:after="0" w:line="387" w:lineRule="auto"/>
        <w:rPr>
          <w:sz w:val="20"/>
          <w:szCs w:val="20"/>
          <w:color w:val="auto"/>
        </w:rPr>
      </w:pPr>
      <w:r>
        <w:rPr>
          <w:rFonts w:ascii="Courier New" w:cs="Courier New" w:eastAsia="Courier New" w:hAnsi="Courier New"/>
          <w:sz w:val="14"/>
          <w:szCs w:val="14"/>
          <w:color w:val="auto"/>
        </w:rPr>
        <w:t>the Outstanding Securities of that series, by written notice to the Company and the Trustee, may rescind and annul such declaration and its consequences if</w:t>
      </w:r>
    </w:p>
    <w:p>
      <w:pPr>
        <w:spacing w:after="0" w:line="1"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the Company has paid or deposited with the Trustee a sum sufficient to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w:t>
      </w:r>
    </w:p>
    <w:p>
      <w:pPr>
        <w:spacing w:after="0" w:line="145" w:lineRule="exact"/>
        <w:rPr>
          <w:sz w:val="20"/>
          <w:szCs w:val="20"/>
          <w:color w:val="auto"/>
        </w:rPr>
      </w:pPr>
    </w:p>
    <w:p>
      <w:pPr>
        <w:ind w:left="1320" w:hanging="442"/>
        <w:spacing w:after="0"/>
        <w:tabs>
          <w:tab w:leader="none" w:pos="132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Securities of that series,</w:t>
      </w:r>
    </w:p>
    <w:p>
      <w:pPr>
        <w:spacing w:after="0" w:line="171" w:lineRule="exact"/>
        <w:rPr>
          <w:rFonts w:ascii="Courier New" w:cs="Courier New" w:eastAsia="Courier New" w:hAnsi="Courier New"/>
          <w:sz w:val="15"/>
          <w:szCs w:val="15"/>
          <w:color w:val="auto"/>
        </w:rPr>
      </w:pPr>
    </w:p>
    <w:p>
      <w:pPr>
        <w:ind w:right="3119" w:firstLine="878"/>
        <w:spacing w:after="0" w:line="278" w:lineRule="auto"/>
        <w:tabs>
          <w:tab w:leader="none" w:pos="1331"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66" w:lineRule="exact"/>
        <w:rPr>
          <w:rFonts w:ascii="Courier New" w:cs="Courier New" w:eastAsia="Courier New" w:hAnsi="Courier New"/>
          <w:sz w:val="15"/>
          <w:szCs w:val="15"/>
          <w:color w:val="auto"/>
        </w:rPr>
      </w:pPr>
    </w:p>
    <w:p>
      <w:pPr>
        <w:ind w:right="3299" w:firstLine="878"/>
        <w:spacing w:after="0" w:line="297" w:lineRule="auto"/>
        <w:tabs>
          <w:tab w:leader="none" w:pos="1331"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or rates prescribed therefor in such Securities, and</w:t>
      </w:r>
    </w:p>
    <w:p>
      <w:pPr>
        <w:spacing w:after="0" w:line="51" w:lineRule="exact"/>
        <w:rPr>
          <w:rFonts w:ascii="Courier New" w:cs="Courier New" w:eastAsia="Courier New" w:hAnsi="Courier New"/>
          <w:sz w:val="15"/>
          <w:szCs w:val="15"/>
          <w:color w:val="auto"/>
        </w:rPr>
      </w:pPr>
    </w:p>
    <w:p>
      <w:pPr>
        <w:ind w:right="3399" w:firstLine="878"/>
        <w:spacing w:after="0" w:line="297" w:lineRule="auto"/>
        <w:tabs>
          <w:tab w:leader="none" w:pos="1331"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 and</w:t>
      </w:r>
    </w:p>
    <w:p>
      <w:pPr>
        <w:spacing w:after="0" w:line="51" w:lineRule="exact"/>
        <w:rPr>
          <w:rFonts w:ascii="Courier New" w:cs="Courier New" w:eastAsia="Courier New" w:hAnsi="Courier New"/>
          <w:sz w:val="15"/>
          <w:szCs w:val="15"/>
          <w:color w:val="auto"/>
        </w:rPr>
      </w:pPr>
    </w:p>
    <w:p>
      <w:pPr>
        <w:ind w:right="3119" w:firstLine="435"/>
        <w:spacing w:after="0" w:line="278" w:lineRule="auto"/>
        <w:tabs>
          <w:tab w:leader="none" w:pos="887"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66"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 by Trustee.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covenants that if</w:t>
      </w:r>
    </w:p>
    <w:p>
      <w:pPr>
        <w:spacing w:after="0" w:line="171" w:lineRule="exact"/>
        <w:rPr>
          <w:sz w:val="20"/>
          <w:szCs w:val="20"/>
          <w:color w:val="auto"/>
        </w:rPr>
      </w:pPr>
    </w:p>
    <w:p>
      <w:pPr>
        <w:ind w:right="3119" w:firstLine="435"/>
        <w:spacing w:after="0" w:line="297" w:lineRule="auto"/>
        <w:tabs>
          <w:tab w:leader="none" w:pos="887"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interest on any Security when such interest becomes due and payable and such default continues for a period of 30 days, or</w:t>
      </w:r>
    </w:p>
    <w:p>
      <w:pPr>
        <w:spacing w:after="0" w:line="51" w:lineRule="exact"/>
        <w:rPr>
          <w:rFonts w:ascii="Courier New" w:cs="Courier New" w:eastAsia="Courier New" w:hAnsi="Courier New"/>
          <w:sz w:val="15"/>
          <w:szCs w:val="15"/>
          <w:color w:val="auto"/>
        </w:rPr>
      </w:pPr>
    </w:p>
    <w:p>
      <w:pPr>
        <w:ind w:right="3219" w:firstLine="435"/>
        <w:spacing w:after="0" w:line="273" w:lineRule="auto"/>
        <w:tabs>
          <w:tab w:leader="none" w:pos="887"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73"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w:t>
      </w:r>
    </w:p>
    <w:p>
      <w:pPr>
        <w:spacing w:after="0" w:line="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05" w:right="1440" w:bottom="1440" w:gutter="0" w:footer="0" w:header="0"/>
        </w:sectPr>
      </w:pPr>
    </w:p>
    <w:bookmarkStart w:id="70" w:name="page71"/>
    <w:bookmarkEnd w:id="70"/>
    <w:p>
      <w:pPr>
        <w:ind w:right="3299"/>
        <w:spacing w:after="0" w:line="353" w:lineRule="auto"/>
        <w:rPr>
          <w:sz w:val="20"/>
          <w:szCs w:val="20"/>
          <w:color w:val="auto"/>
        </w:rPr>
      </w:pPr>
      <w:r>
        <w:rPr>
          <w:rFonts w:ascii="Courier New" w:cs="Courier New" w:eastAsia="Courier New" w:hAnsi="Courier New"/>
          <w:sz w:val="15"/>
          <w:szCs w:val="15"/>
          <w:color w:val="auto"/>
        </w:rPr>
        <w:t>covenant or agreement in this Indenture or in aid of the exercise of any power granted herein, or to enforce any other proper remedy.</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Trustee May File Proofs of Claim.</w:t>
      </w:r>
    </w:p>
    <w:p>
      <w:pPr>
        <w:spacing w:after="0" w:line="171"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8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8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 Securities.</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8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4"/>
          <w:szCs w:val="14"/>
          <w:color w:val="auto"/>
        </w:rPr>
        <w:t>Application of Money Collected.</w:t>
      </w:r>
    </w:p>
    <w:p>
      <w:pPr>
        <w:spacing w:after="0" w:line="171"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5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FIRST: To the payment of all amounts due the Trustee under Section 607; and</w:t>
      </w:r>
    </w:p>
    <w:p>
      <w:pPr>
        <w:spacing w:after="0" w:line="183"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SECOND: To the payment of the amounts then due and unpaid for principal of and any premium, if any, and interest on the Securities in respect of which or for the benefit of which such</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05" w:right="1440" w:bottom="1440" w:gutter="0" w:footer="0" w:header="0"/>
        </w:sectPr>
      </w:pPr>
    </w:p>
    <w:bookmarkStart w:id="71" w:name="page72"/>
    <w:bookmarkEnd w:id="71"/>
    <w:p>
      <w:pPr>
        <w:ind w:right="3299"/>
        <w:spacing w:after="0" w:line="297" w:lineRule="auto"/>
        <w:rPr>
          <w:sz w:val="20"/>
          <w:szCs w:val="20"/>
          <w:color w:val="auto"/>
        </w:rPr>
      </w:pPr>
      <w:r>
        <w:rPr>
          <w:rFonts w:ascii="Courier New" w:cs="Courier New" w:eastAsia="Courier New" w:hAnsi="Courier New"/>
          <w:sz w:val="15"/>
          <w:szCs w:val="15"/>
          <w:color w:val="auto"/>
        </w:rPr>
        <w:t>money has been collected, ratably, without preference or priority of any kind, according to the amounts due and payable on such Securities for principal and any premium, if any, and interest, respectively.</w:t>
      </w:r>
    </w:p>
    <w:p>
      <w:pPr>
        <w:spacing w:after="0" w:line="5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4"/>
          <w:szCs w:val="14"/>
          <w:color w:val="auto"/>
        </w:rPr>
        <w:t>Limitation on Suits.</w:t>
      </w:r>
    </w:p>
    <w:p>
      <w:pPr>
        <w:spacing w:after="0" w:line="17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6" w:lineRule="exact"/>
        <w:rPr>
          <w:sz w:val="20"/>
          <w:szCs w:val="20"/>
          <w:color w:val="auto"/>
        </w:rPr>
      </w:pPr>
    </w:p>
    <w:p>
      <w:pPr>
        <w:ind w:right="3399" w:firstLine="435"/>
        <w:spacing w:after="0" w:line="387" w:lineRule="auto"/>
        <w:tabs>
          <w:tab w:leader="none" w:pos="88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the Securities of that series;</w:t>
      </w:r>
    </w:p>
    <w:p>
      <w:pPr>
        <w:ind w:right="3219" w:firstLine="435"/>
        <w:spacing w:after="0" w:line="278" w:lineRule="auto"/>
        <w:tabs>
          <w:tab w:leader="none" w:pos="88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6" w:lineRule="exact"/>
        <w:rPr>
          <w:rFonts w:ascii="Courier New" w:cs="Courier New" w:eastAsia="Courier New" w:hAnsi="Courier New"/>
          <w:sz w:val="15"/>
          <w:szCs w:val="15"/>
          <w:color w:val="auto"/>
        </w:rPr>
      </w:pPr>
    </w:p>
    <w:p>
      <w:pPr>
        <w:jc w:val="both"/>
        <w:ind w:right="3919" w:firstLine="435"/>
        <w:spacing w:after="0" w:line="297" w:lineRule="auto"/>
        <w:tabs>
          <w:tab w:leader="none" w:pos="88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51" w:lineRule="exact"/>
        <w:rPr>
          <w:rFonts w:ascii="Courier New" w:cs="Courier New" w:eastAsia="Courier New" w:hAnsi="Courier New"/>
          <w:sz w:val="15"/>
          <w:szCs w:val="15"/>
          <w:color w:val="auto"/>
        </w:rPr>
      </w:pPr>
    </w:p>
    <w:p>
      <w:pPr>
        <w:ind w:right="3219" w:firstLine="435"/>
        <w:spacing w:after="0" w:line="353" w:lineRule="auto"/>
        <w:tabs>
          <w:tab w:leader="none" w:pos="887"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2" w:lineRule="exact"/>
        <w:rPr>
          <w:rFonts w:ascii="Courier New" w:cs="Courier New" w:eastAsia="Courier New" w:hAnsi="Courier New"/>
          <w:sz w:val="15"/>
          <w:szCs w:val="15"/>
          <w:color w:val="auto"/>
        </w:rPr>
      </w:pPr>
    </w:p>
    <w:p>
      <w:pPr>
        <w:ind w:right="3219" w:firstLine="435"/>
        <w:spacing w:after="0" w:line="275" w:lineRule="auto"/>
        <w:tabs>
          <w:tab w:leader="none" w:pos="88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71" w:lineRule="exact"/>
        <w:rPr>
          <w:sz w:val="20"/>
          <w:szCs w:val="20"/>
          <w:color w:val="auto"/>
        </w:rPr>
      </w:pPr>
    </w:p>
    <w:p>
      <w:pPr>
        <w:ind w:right="3659"/>
        <w:spacing w:after="0" w:line="353" w:lineRule="auto"/>
        <w:rPr>
          <w:sz w:val="20"/>
          <w:szCs w:val="20"/>
          <w:color w:val="auto"/>
        </w:rPr>
      </w:pPr>
      <w:r>
        <w:rPr>
          <w:rFonts w:ascii="Courier New" w:cs="Courier New" w:eastAsia="Courier New" w:hAnsi="Courier New"/>
          <w:sz w:val="15"/>
          <w:szCs w:val="15"/>
          <w:color w:val="auto"/>
        </w:rPr>
        <w:t>SECTION 508. Unconditional Right of Holders to Receive Principal, Premium and Interest and to Convert.</w:t>
      </w:r>
    </w:p>
    <w:p>
      <w:pPr>
        <w:spacing w:after="0" w:line="12"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to convert such Securities in accordance with Article Fourteen and to institute suit for the enforcement of any such payment, and such rights shall not be impaired without the consent of such Holder.</w:t>
      </w:r>
    </w:p>
    <w:p>
      <w:pPr>
        <w:spacing w:after="0" w:line="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05" w:right="1440" w:bottom="1440" w:gutter="0" w:footer="0" w:header="0"/>
        </w:sectPr>
      </w:pPr>
    </w:p>
    <w:bookmarkStart w:id="72" w:name="page73"/>
    <w:bookmarkEnd w:id="72"/>
    <w:p>
      <w:pPr>
        <w:spacing w:after="0"/>
        <w:tabs>
          <w:tab w:leader="none" w:pos="1300" w:val="left"/>
        </w:tabs>
        <w:rPr>
          <w:sz w:val="20"/>
          <w:szCs w:val="20"/>
          <w:color w:val="auto"/>
        </w:rPr>
      </w:pPr>
      <w:r>
        <w:rPr>
          <w:rFonts w:ascii="Courier New" w:cs="Courier New" w:eastAsia="Courier New" w:hAnsi="Courier New"/>
          <w:sz w:val="15"/>
          <w:szCs w:val="15"/>
          <w:color w:val="auto"/>
        </w:rPr>
        <w:t>SECTION 509.</w:t>
      </w:r>
      <w:r>
        <w:rPr>
          <w:sz w:val="20"/>
          <w:szCs w:val="20"/>
          <w:color w:val="auto"/>
        </w:rPr>
        <w:tab/>
      </w:r>
      <w:r>
        <w:rPr>
          <w:rFonts w:ascii="Courier New" w:cs="Courier New" w:eastAsia="Courier New" w:hAnsi="Courier New"/>
          <w:sz w:val="14"/>
          <w:szCs w:val="14"/>
          <w:color w:val="auto"/>
        </w:rPr>
        <w:t>Restoration of Rights and Remedies.</w:t>
      </w:r>
    </w:p>
    <w:p>
      <w:pPr>
        <w:spacing w:after="0" w:line="17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8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4"/>
          <w:szCs w:val="14"/>
          <w:color w:val="auto"/>
        </w:rPr>
        <w:t>Rights and Remedies Cumulative.</w:t>
      </w:r>
    </w:p>
    <w:p>
      <w:pPr>
        <w:spacing w:after="0" w:line="171"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4"/>
          <w:szCs w:val="14"/>
          <w:color w:val="auto"/>
        </w:rPr>
        <w:t>Delay or Omission Not Waiver.</w:t>
      </w:r>
    </w:p>
    <w:p>
      <w:pPr>
        <w:spacing w:after="0" w:line="171"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4"/>
          <w:szCs w:val="14"/>
          <w:color w:val="auto"/>
        </w:rPr>
        <w:t>Control by Holders.</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2" w:lineRule="exact"/>
        <w:rPr>
          <w:sz w:val="20"/>
          <w:szCs w:val="20"/>
          <w:color w:val="auto"/>
        </w:rPr>
      </w:pPr>
    </w:p>
    <w:p>
      <w:pPr>
        <w:ind w:right="3219" w:firstLine="435"/>
        <w:spacing w:after="0" w:line="278" w:lineRule="auto"/>
        <w:tabs>
          <w:tab w:leader="none" w:pos="8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66" w:lineRule="exact"/>
        <w:rPr>
          <w:rFonts w:ascii="Courier New" w:cs="Courier New" w:eastAsia="Courier New" w:hAnsi="Courier New"/>
          <w:sz w:val="15"/>
          <w:szCs w:val="15"/>
          <w:color w:val="auto"/>
        </w:rPr>
      </w:pPr>
    </w:p>
    <w:p>
      <w:pPr>
        <w:ind w:right="3479" w:firstLine="435"/>
        <w:spacing w:after="0" w:line="353" w:lineRule="auto"/>
        <w:tabs>
          <w:tab w:leader="none" w:pos="88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 or this Indenture.</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05"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SECTION 513. Waiver of Past Defaults.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66" w:lineRule="exact"/>
        <w:rPr>
          <w:sz w:val="20"/>
          <w:szCs w:val="20"/>
          <w:color w:val="auto"/>
        </w:rPr>
      </w:pPr>
    </w:p>
    <w:p>
      <w:pPr>
        <w:ind w:right="3299" w:firstLine="435"/>
        <w:spacing w:after="0" w:line="353" w:lineRule="auto"/>
        <w:tabs>
          <w:tab w:leader="none" w:pos="88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or any premium or interest on any Security of such series, or</w:t>
      </w:r>
    </w:p>
    <w:p>
      <w:pPr>
        <w:spacing w:after="0" w:line="12" w:lineRule="exact"/>
        <w:rPr>
          <w:rFonts w:ascii="Courier New" w:cs="Courier New" w:eastAsia="Courier New" w:hAnsi="Courier New"/>
          <w:sz w:val="15"/>
          <w:szCs w:val="15"/>
          <w:color w:val="auto"/>
        </w:rPr>
      </w:pPr>
    </w:p>
    <w:p>
      <w:pPr>
        <w:ind w:right="3219" w:firstLine="435"/>
        <w:spacing w:after="0" w:line="297" w:lineRule="auto"/>
        <w:tabs>
          <w:tab w:leader="none" w:pos="887"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Nine cannot be modified or amended without the consent of the Holder of each Outstanding Security of such series affected.</w:t>
      </w:r>
    </w:p>
    <w:p>
      <w:pPr>
        <w:spacing w:after="0" w:line="5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4"/>
          <w:szCs w:val="14"/>
          <w:color w:val="auto"/>
        </w:rPr>
        <w:t>Undertaking for Costs.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Fourteen.</w:t>
      </w:r>
    </w:p>
    <w:p>
      <w:pPr>
        <w:spacing w:after="0" w:line="8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515.</w:t>
      </w:r>
      <w:r>
        <w:rPr>
          <w:sz w:val="20"/>
          <w:szCs w:val="20"/>
          <w:color w:val="auto"/>
        </w:rPr>
        <w:tab/>
      </w:r>
      <w:r>
        <w:rPr>
          <w:rFonts w:ascii="Courier New" w:cs="Courier New" w:eastAsia="Courier New" w:hAnsi="Courier New"/>
          <w:sz w:val="14"/>
          <w:szCs w:val="14"/>
          <w:color w:val="auto"/>
        </w:rPr>
        <w:t>Waiver of Usury, Stay or Extension Laws.</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05" w:right="1440" w:bottom="1440" w:gutter="0" w:footer="0" w:header="0"/>
        </w:sectPr>
      </w:pPr>
    </w:p>
    <w:bookmarkStart w:id="74" w:name="page75"/>
    <w:bookmarkEnd w:id="74"/>
    <w:p>
      <w:pPr>
        <w:ind w:left="3000"/>
        <w:spacing w:after="0"/>
        <w:rPr>
          <w:sz w:val="20"/>
          <w:szCs w:val="20"/>
          <w:color w:val="auto"/>
        </w:rPr>
      </w:pPr>
      <w:r>
        <w:rPr>
          <w:rFonts w:ascii="Courier New" w:cs="Courier New" w:eastAsia="Courier New" w:hAnsi="Courier New"/>
          <w:sz w:val="15"/>
          <w:szCs w:val="15"/>
          <w:color w:val="auto"/>
        </w:rPr>
        <w:t>ARTICLE SIX</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TRUSTEE.</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Certain Duties and Responsibilities.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8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4"/>
          <w:szCs w:val="14"/>
          <w:color w:val="auto"/>
        </w:rPr>
        <w:t>Notice of Defaults.</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8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Certain Rights of Trustee.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Subject to the provisions of Section 601:</w:t>
      </w:r>
    </w:p>
    <w:p>
      <w:pPr>
        <w:spacing w:after="0" w:line="171" w:lineRule="exact"/>
        <w:rPr>
          <w:sz w:val="20"/>
          <w:szCs w:val="20"/>
          <w:color w:val="auto"/>
        </w:rPr>
      </w:pPr>
    </w:p>
    <w:p>
      <w:pPr>
        <w:jc w:val="both"/>
        <w:ind w:right="3119" w:firstLine="435"/>
        <w:spacing w:after="0" w:line="269" w:lineRule="auto"/>
        <w:tabs>
          <w:tab w:leader="none" w:pos="8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1" w:lineRule="exact"/>
        <w:rPr>
          <w:rFonts w:ascii="Courier New" w:cs="Courier New" w:eastAsia="Courier New" w:hAnsi="Courier New"/>
          <w:sz w:val="15"/>
          <w:szCs w:val="15"/>
          <w:color w:val="auto"/>
        </w:rPr>
      </w:pPr>
    </w:p>
    <w:p>
      <w:pPr>
        <w:ind w:right="3119" w:firstLine="435"/>
        <w:spacing w:after="0" w:line="326" w:lineRule="auto"/>
        <w:tabs>
          <w:tab w:leader="none" w:pos="88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36" w:lineRule="exact"/>
        <w:rPr>
          <w:rFonts w:ascii="Courier New" w:cs="Courier New" w:eastAsia="Courier New" w:hAnsi="Courier New"/>
          <w:sz w:val="14"/>
          <w:szCs w:val="14"/>
          <w:color w:val="auto"/>
        </w:rPr>
      </w:pPr>
    </w:p>
    <w:p>
      <w:pPr>
        <w:ind w:right="3119" w:firstLine="435"/>
        <w:spacing w:after="0" w:line="269" w:lineRule="auto"/>
        <w:tabs>
          <w:tab w:leader="none" w:pos="88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05" w:right="1440" w:bottom="1440" w:gutter="0" w:footer="0" w:header="0"/>
        </w:sectPr>
      </w:pPr>
    </w:p>
    <w:bookmarkStart w:id="75" w:name="page76"/>
    <w:bookmarkEnd w:id="75"/>
    <w:p>
      <w:pPr>
        <w:ind w:right="3299" w:firstLine="435"/>
        <w:spacing w:after="0" w:line="278" w:lineRule="auto"/>
        <w:tabs>
          <w:tab w:leader="none" w:pos="88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66"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77" w:lineRule="exact"/>
        <w:rPr>
          <w:rFonts w:ascii="Courier New" w:cs="Courier New" w:eastAsia="Courier New" w:hAnsi="Courier New"/>
          <w:sz w:val="15"/>
          <w:szCs w:val="15"/>
          <w:color w:val="auto"/>
        </w:rPr>
      </w:pPr>
    </w:p>
    <w:p>
      <w:pPr>
        <w:ind w:right="3219" w:firstLine="435"/>
        <w:spacing w:after="0" w:line="255" w:lineRule="auto"/>
        <w:tabs>
          <w:tab w:leader="none" w:pos="88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81" w:lineRule="exact"/>
        <w:rPr>
          <w:rFonts w:ascii="Courier New" w:cs="Courier New" w:eastAsia="Courier New" w:hAnsi="Courier New"/>
          <w:sz w:val="15"/>
          <w:szCs w:val="15"/>
          <w:color w:val="auto"/>
        </w:rPr>
      </w:pPr>
    </w:p>
    <w:p>
      <w:pPr>
        <w:ind w:right="3399" w:firstLine="435"/>
        <w:spacing w:after="0" w:line="269" w:lineRule="auto"/>
        <w:tabs>
          <w:tab w:leader="none" w:pos="887"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Not Responsible for Recitals or Issuance of Securities.</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8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May Hold Securities and Act as Trustee Under Other Indentures.</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77"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05" w:right="1440" w:bottom="1440" w:gutter="0" w:footer="0" w:header="0"/>
        </w:sectPr>
      </w:pPr>
    </w:p>
    <w:bookmarkStart w:id="76" w:name="page77"/>
    <w:bookmarkEnd w:id="76"/>
    <w:p>
      <w:pPr>
        <w:spacing w:after="0"/>
        <w:tabs>
          <w:tab w:leader="none" w:pos="122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Money Held in Trust.</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Compensation and Reimbursement.</w:t>
      </w:r>
    </w:p>
    <w:p>
      <w:pPr>
        <w:spacing w:after="0" w:line="17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The Company shall pay to the Trustee and Agents from time to time reasonable compensation for all services rendered by it hereunder (which compensation shall not be limited by any provision of law in regard to the compensation of a trustee of an express trust) The Company shall reimburse the Trustee and the Agents upon request for all reasonable disbursements, expenses and advances incurred or made it in connection with its duties under this Indenture, including the reasonable compensation, disbursements and expenses of the Trustee's agents and counsel.</w:t>
      </w:r>
    </w:p>
    <w:p>
      <w:pPr>
        <w:spacing w:after="0" w:line="80"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The Company shall indemnify each of the Trustee and any predecessor Trustee for, and hold each of them harmless against, any and all loss, damage, claim, liability or expense, including without limitation taxes (other than taxes based on the income of the Trustee or such Agent) and reasonable attorneys' fees and expenses incurred by each of them in connection with the exercise or performance of any of its powers or duties hereunder (including, without limitation, settlement costs). The Trustee or Agent shall notify the Company in writing promptly of any claim asserted against the Trustee or Agent for which it may seek indemnity. However, the failure by the Trustee or Agent to so notify the Company shall not relieve the Company of its obligations hereunder except to the extent the Company is prejudiced thereby.</w:t>
      </w:r>
    </w:p>
    <w:p>
      <w:pPr>
        <w:spacing w:after="0" w:line="85"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Notwithstanding the foregoing, the Company need not reimburse the Trustee for any expense or indemnify it against any loss or liability incurred by the Trustee through its negligence or bad faith. To secure the payment obligations of the Company in this Section 607, the Trustee shall have a lien prior to the Notes on all money or property held or collected by the Trustee except such money or property held in trust to pay principal of an said interest on particular Notes. The obligations of the Company under this Section 607 to compensate and indemnify the Trustee, Agents and each predecessor Trustee and to pay or reimburse the Trustee, Agents and each predecessor Trustee for expenses, disbursements and advances shall survive the resignation or removal of the Trustee and the satisfaction, discharge or other termination of this Indenture, including any termination or rejection hereof under any bankruptcy law.</w:t>
      </w:r>
    </w:p>
    <w:p>
      <w:pPr>
        <w:spacing w:after="0" w:line="78"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When the Trustee incurs expenses or renders services after an Event of Default specified in Section 501(5) and (6) hereof occurs, the expenses and the compensation for the services are intended to constitute expenses of administration under any bankruptcy law.</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Conflicting Interests.</w:t>
      </w:r>
    </w:p>
    <w:p>
      <w:pPr>
        <w:spacing w:after="0" w:line="17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8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Corporate Trustee Required; Eligibility.</w:t>
      </w:r>
    </w:p>
    <w:p>
      <w:pPr>
        <w:spacing w:after="0" w:line="171"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w:t>
      </w:r>
    </w:p>
    <w:p>
      <w:pPr>
        <w:spacing w:after="0" w:line="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05" w:right="1440" w:bottom="1440" w:gutter="0" w:footer="0" w:header="0"/>
        </w:sectPr>
      </w:pPr>
    </w:p>
    <w:bookmarkStart w:id="77" w:name="page78"/>
    <w:bookmarkEnd w:id="77"/>
    <w:p>
      <w:pPr>
        <w:ind w:right="3299"/>
        <w:spacing w:after="0" w:line="353" w:lineRule="auto"/>
        <w:rPr>
          <w:sz w:val="20"/>
          <w:szCs w:val="20"/>
          <w:color w:val="auto"/>
        </w:rPr>
      </w:pPr>
      <w:r>
        <w:rPr>
          <w:rFonts w:ascii="Courier New" w:cs="Courier New" w:eastAsia="Courier New" w:hAnsi="Courier New"/>
          <w:sz w:val="15"/>
          <w:szCs w:val="15"/>
          <w:color w:val="auto"/>
        </w:rPr>
        <w:t>provisions of this Section, it shall resign immediately in the manner and with the effect hereinafter specified in this Article.</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Resignation and Removal; Appointment of Successor.</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82"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at any time:</w:t>
      </w:r>
    </w:p>
    <w:p>
      <w:pPr>
        <w:spacing w:after="0" w:line="171" w:lineRule="exact"/>
        <w:rPr>
          <w:sz w:val="20"/>
          <w:szCs w:val="20"/>
          <w:color w:val="auto"/>
        </w:rPr>
      </w:pPr>
    </w:p>
    <w:p>
      <w:pPr>
        <w:ind w:right="3119" w:firstLine="435"/>
        <w:spacing w:after="0" w:line="297" w:lineRule="auto"/>
        <w:tabs>
          <w:tab w:leader="none" w:pos="88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Section 608 after written request therefor by the Company or by any Holder who has been a bona fide Holder of a Security for at least six months, or</w:t>
      </w:r>
    </w:p>
    <w:p>
      <w:pPr>
        <w:spacing w:after="0" w:line="51" w:lineRule="exact"/>
        <w:rPr>
          <w:rFonts w:ascii="Courier New" w:cs="Courier New" w:eastAsia="Courier New" w:hAnsi="Courier New"/>
          <w:sz w:val="15"/>
          <w:szCs w:val="15"/>
          <w:color w:val="auto"/>
        </w:rPr>
      </w:pPr>
    </w:p>
    <w:p>
      <w:pPr>
        <w:ind w:right="3479" w:firstLine="435"/>
        <w:spacing w:after="0" w:line="297" w:lineRule="auto"/>
        <w:tabs>
          <w:tab w:leader="none" w:pos="88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609 and shall fail to resign after written request therefor by the Company or by any such Holder, or</w:t>
      </w:r>
    </w:p>
    <w:p>
      <w:pPr>
        <w:spacing w:after="0" w:line="51" w:lineRule="exact"/>
        <w:rPr>
          <w:rFonts w:ascii="Courier New" w:cs="Courier New" w:eastAsia="Courier New" w:hAnsi="Courier New"/>
          <w:sz w:val="15"/>
          <w:szCs w:val="15"/>
          <w:color w:val="auto"/>
        </w:rPr>
      </w:pPr>
    </w:p>
    <w:p>
      <w:pPr>
        <w:ind w:right="3299" w:firstLine="435"/>
        <w:spacing w:after="0" w:line="269" w:lineRule="auto"/>
        <w:tabs>
          <w:tab w:leader="none" w:pos="88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2" w:lineRule="exact"/>
        <w:rPr>
          <w:sz w:val="20"/>
          <w:szCs w:val="20"/>
          <w:color w:val="auto"/>
        </w:rPr>
      </w:pPr>
    </w:p>
    <w:p>
      <w:pPr>
        <w:ind w:right="3219"/>
        <w:spacing w:after="0" w:line="263" w:lineRule="auto"/>
        <w:rPr>
          <w:sz w:val="20"/>
          <w:szCs w:val="20"/>
          <w:color w:val="auto"/>
        </w:rPr>
      </w:pPr>
      <w:r>
        <w:rPr>
          <w:rFonts w:ascii="Courier New" w:cs="Courier New" w:eastAsia="Courier New" w:hAnsi="Courier New"/>
          <w:sz w:val="15"/>
          <w:szCs w:val="15"/>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Trustee shall resign, be removed or become incapable of acting, 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if a vacancy shall occur in the office of Trustee for</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any cause, with respect to</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the Securities of one or more series, the Company, by</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a Board Resolution,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shall</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promptly appoint a successor Trustee or Trustees with</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respect to the Securities</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of that or those series (it being understood that any</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such successor Trustee may</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be appointed with respect to the Securities of one or</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more or all of such</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series</w:t>
            </w:r>
          </w:p>
        </w:tc>
      </w:tr>
      <w:tr>
        <w:trPr>
          <w:trHeight w:val="171"/>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and that at any time there shall be only one Trustee with respect to the</w:t>
            </w:r>
          </w:p>
        </w:tc>
        <w:tc>
          <w:tcPr>
            <w:tcW w:w="580" w:type="dxa"/>
            <w:vAlign w:val="bottom"/>
          </w:tcPr>
          <w:p>
            <w:pPr>
              <w:spacing w:after="0"/>
              <w:rPr>
                <w:sz w:val="14"/>
                <w:szCs w:val="14"/>
                <w:color w:val="auto"/>
              </w:rPr>
            </w:pPr>
          </w:p>
        </w:tc>
      </w:tr>
      <w:tr>
        <w:trPr>
          <w:trHeight w:val="197"/>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Securities of any particular series) and shall comply</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with the applicable</w:t>
            </w:r>
          </w:p>
        </w:tc>
        <w:tc>
          <w:tcPr>
            <w:tcW w:w="580" w:type="dxa"/>
            <w:vAlign w:val="bottom"/>
          </w:tcPr>
          <w:p>
            <w:pPr>
              <w:spacing w:after="0"/>
              <w:rPr>
                <w:sz w:val="17"/>
                <w:szCs w:val="17"/>
                <w:color w:val="auto"/>
              </w:rPr>
            </w:pPr>
          </w:p>
        </w:tc>
      </w:tr>
    </w:tbl>
    <w:p>
      <w:pPr>
        <w:ind w:left="3360" w:right="3839" w:hanging="3371"/>
        <w:spacing w:after="0" w:line="557" w:lineRule="auto"/>
        <w:rPr>
          <w:sz w:val="20"/>
          <w:szCs w:val="20"/>
          <w:color w:val="auto"/>
        </w:rPr>
      </w:pPr>
      <w:r>
        <w:rPr>
          <w:rFonts w:ascii="Courier New" w:cs="Courier New" w:eastAsia="Courier New" w:hAnsi="Courier New"/>
          <w:sz w:val="15"/>
          <w:szCs w:val="15"/>
          <w:color w:val="auto"/>
        </w:rPr>
        <w:t>requirements of Section 611. If, within one year after such resignation, -43-</w:t>
      </w:r>
    </w:p>
    <w:p>
      <w:pPr>
        <w:sectPr>
          <w:pgSz w:w="11900" w:h="16838" w:orient="portrait"/>
          <w:cols w:equalWidth="0" w:num="1">
            <w:col w:w="10219"/>
          </w:cols>
          <w:pgMar w:left="240" w:top="605" w:right="1440" w:bottom="1440" w:gutter="0" w:footer="0" w:header="0"/>
        </w:sectPr>
      </w:pPr>
    </w:p>
    <w:bookmarkStart w:id="78" w:name="page79"/>
    <w:bookmarkEnd w:id="78"/>
    <w:p>
      <w:pPr>
        <w:ind w:right="3119"/>
        <w:spacing w:after="0" w:line="249" w:lineRule="auto"/>
        <w:rPr>
          <w:sz w:val="20"/>
          <w:szCs w:val="20"/>
          <w:color w:val="auto"/>
        </w:rPr>
      </w:pPr>
      <w:r>
        <w:rPr>
          <w:rFonts w:ascii="Courier New" w:cs="Courier New" w:eastAsia="Courier New" w:hAnsi="Courier New"/>
          <w:sz w:val="15"/>
          <w:szCs w:val="15"/>
          <w:color w:val="auto"/>
        </w:rPr>
        <w:t>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86"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7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Acceptance of Appointment by Successor.</w:t>
      </w:r>
    </w:p>
    <w:p>
      <w:pPr>
        <w:spacing w:after="0" w:line="171"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6" w:lineRule="exact"/>
        <w:rPr>
          <w:sz w:val="20"/>
          <w:szCs w:val="20"/>
          <w:color w:val="auto"/>
        </w:rPr>
      </w:pPr>
    </w:p>
    <w:p>
      <w:pPr>
        <w:ind w:right="3119" w:firstLine="444"/>
        <w:spacing w:after="0" w:line="267" w:lineRule="auto"/>
        <w:rPr>
          <w:sz w:val="20"/>
          <w:szCs w:val="20"/>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w:t>
      </w:r>
    </w:p>
    <w:p>
      <w:pPr>
        <w:spacing w:after="0" w:line="25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05" w:right="1440" w:bottom="1440" w:gutter="0" w:footer="0" w:header="0"/>
        </w:sectPr>
      </w:pPr>
    </w:p>
    <w:bookmarkStart w:id="79" w:name="page80"/>
    <w:bookmarkEnd w:id="79"/>
    <w:p>
      <w:pPr>
        <w:ind w:right="3119"/>
        <w:spacing w:after="0" w:line="249" w:lineRule="auto"/>
        <w:rPr>
          <w:sz w:val="20"/>
          <w:szCs w:val="20"/>
          <w:color w:val="auto"/>
        </w:rPr>
      </w:pPr>
      <w:r>
        <w:rPr>
          <w:rFonts w:ascii="Courier New" w:cs="Courier New" w:eastAsia="Courier New" w:hAnsi="Courier New"/>
          <w:sz w:val="15"/>
          <w:szCs w:val="15"/>
          <w:color w:val="auto"/>
        </w:rPr>
        <w:t>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86"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66" w:lineRule="exact"/>
        <w:rPr>
          <w:sz w:val="20"/>
          <w:szCs w:val="20"/>
          <w:color w:val="auto"/>
        </w:rPr>
      </w:pPr>
    </w:p>
    <w:p>
      <w:pPr>
        <w:jc w:val="both"/>
        <w:ind w:right="3479" w:firstLine="444"/>
        <w:spacing w:after="0" w:line="297" w:lineRule="auto"/>
        <w:rPr>
          <w:sz w:val="20"/>
          <w:szCs w:val="20"/>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this Article.</w:t>
      </w:r>
    </w:p>
    <w:p>
      <w:pPr>
        <w:spacing w:after="0" w:line="5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Merger, Conversion, Consolidation or Succession to Business.</w:t>
      </w:r>
    </w:p>
    <w:p>
      <w:pPr>
        <w:spacing w:after="0" w:line="171"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7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4"/>
          <w:szCs w:val="14"/>
          <w:color w:val="auto"/>
        </w:rPr>
        <w:t>Preferential Collection of Claims Against Company.</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Appointment of Authenticating Agent.</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05" w:right="1440" w:bottom="1440" w:gutter="0" w:footer="0" w:header="0"/>
        </w:sectPr>
      </w:pPr>
    </w:p>
    <w:bookmarkStart w:id="80" w:name="page81"/>
    <w:bookmarkEnd w:id="80"/>
    <w:p>
      <w:pPr>
        <w:ind w:right="3119"/>
        <w:spacing w:after="0" w:line="265" w:lineRule="auto"/>
        <w:rPr>
          <w:sz w:val="20"/>
          <w:szCs w:val="20"/>
          <w:color w:val="auto"/>
        </w:rPr>
      </w:pPr>
      <w:r>
        <w:rPr>
          <w:rFonts w:ascii="Courier New" w:cs="Courier New" w:eastAsia="Courier New" w:hAnsi="Courier New"/>
          <w:sz w:val="14"/>
          <w:szCs w:val="14"/>
          <w:color w:val="auto"/>
        </w:rPr>
        <w:t>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257"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80"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86"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05" w:right="1440" w:bottom="1440" w:gutter="0" w:footer="0" w:header="0"/>
        </w:sectPr>
      </w:pPr>
    </w:p>
    <w:bookmarkStart w:id="81" w:name="page82"/>
    <w:bookmarkEnd w:id="81"/>
    <w:p>
      <w:pPr>
        <w:ind w:right="3399" w:firstLine="444"/>
        <w:spacing w:after="0" w:line="278" w:lineRule="auto"/>
        <w:rPr>
          <w:sz w:val="20"/>
          <w:szCs w:val="20"/>
          <w:color w:val="auto"/>
        </w:rPr>
      </w:pPr>
      <w:r>
        <w:rPr>
          <w:rFonts w:ascii="Courier New" w:cs="Courier New" w:eastAsia="Courier New" w:hAnsi="Courier New"/>
          <w:sz w:val="15"/>
          <w:szCs w:val="15"/>
          <w:color w:val="auto"/>
        </w:rPr>
        <w:t>If an appointment with respect to one or more series is made pursuant to this Section 612, the Securities of such series may have endorsed thereon, in addition to the Trustee's certificate of authentication, an alternative certificate of authentication in the following form:</w:t>
      </w:r>
    </w:p>
    <w:p>
      <w:pPr>
        <w:spacing w:after="0" w:line="66"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1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2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As Trustee</w:t>
      </w:r>
    </w:p>
    <w:p>
      <w:pPr>
        <w:spacing w:after="0" w:line="31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By:_____________________________________________,</w:t>
      </w:r>
    </w:p>
    <w:p>
      <w:pPr>
        <w:spacing w:after="0" w:line="2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As Authenticating Agent</w:t>
      </w:r>
    </w:p>
    <w:p>
      <w:pPr>
        <w:spacing w:after="0" w:line="14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By:_____________________________________________</w:t>
      </w:r>
    </w:p>
    <w:p>
      <w:pPr>
        <w:spacing w:after="0" w:line="27"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Authorized Officer</w:t>
      </w:r>
    </w:p>
    <w:p>
      <w:pPr>
        <w:spacing w:after="0" w:line="31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SEVEN</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2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Company to Furnish Trustee Names and Addresses of Holders.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will furnish or cause to be furnished to the Trustee</w:t>
      </w:r>
    </w:p>
    <w:p>
      <w:pPr>
        <w:spacing w:after="0" w:line="171" w:lineRule="exact"/>
        <w:rPr>
          <w:sz w:val="20"/>
          <w:szCs w:val="20"/>
          <w:color w:val="auto"/>
        </w:rPr>
      </w:pPr>
    </w:p>
    <w:p>
      <w:pPr>
        <w:ind w:right="3119" w:firstLine="435"/>
        <w:spacing w:after="0" w:line="278" w:lineRule="auto"/>
        <w:tabs>
          <w:tab w:leader="none" w:pos="88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 annually, not later than 15 days after the Regular Record Date, a list, in such form as the Trustee may reasonably require, of the names and addresses of the Holders of Securities of each series as of such Regular Record Date, as the case may be, and</w:t>
      </w:r>
    </w:p>
    <w:p>
      <w:pPr>
        <w:spacing w:after="0" w:line="66"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66" w:lineRule="exact"/>
        <w:rPr>
          <w:sz w:val="20"/>
          <w:szCs w:val="20"/>
          <w:color w:val="auto"/>
        </w:rPr>
      </w:pPr>
    </w:p>
    <w:p>
      <w:pPr>
        <w:ind w:right="3399"/>
        <w:spacing w:after="0" w:line="353" w:lineRule="auto"/>
        <w:rPr>
          <w:sz w:val="20"/>
          <w:szCs w:val="20"/>
          <w:color w:val="auto"/>
        </w:rPr>
      </w:pPr>
      <w:r>
        <w:rPr>
          <w:rFonts w:ascii="Courier New" w:cs="Courier New" w:eastAsia="Courier New" w:hAnsi="Courier New"/>
          <w:sz w:val="15"/>
          <w:szCs w:val="15"/>
          <w:color w:val="auto"/>
        </w:rPr>
        <w:t>provided that no such list need be furnished by the Company to the Trustee so long as the Trustee is acting as Security Registrar.</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4"/>
          <w:szCs w:val="14"/>
          <w:color w:val="auto"/>
        </w:rPr>
        <w:t>Preservation of Information; Communications to Holders.</w:t>
      </w:r>
    </w:p>
    <w:p>
      <w:pPr>
        <w:spacing w:after="0" w:line="171" w:lineRule="exact"/>
        <w:rPr>
          <w:sz w:val="20"/>
          <w:szCs w:val="20"/>
          <w:color w:val="auto"/>
        </w:rPr>
      </w:pPr>
    </w:p>
    <w:p>
      <w:pPr>
        <w:ind w:right="3479" w:firstLine="444"/>
        <w:spacing w:after="0" w:line="263" w:lineRule="auto"/>
        <w:rPr>
          <w:sz w:val="20"/>
          <w:szCs w:val="20"/>
          <w:color w:val="auto"/>
        </w:rPr>
      </w:pPr>
      <w:r>
        <w:rPr>
          <w:rFonts w:ascii="Courier New" w:cs="Courier New" w:eastAsia="Courier New" w:hAnsi="Courier New"/>
          <w:sz w:val="15"/>
          <w:szCs w:val="15"/>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05" w:right="1440" w:bottom="1440" w:gutter="0" w:footer="0" w:header="0"/>
        </w:sectPr>
      </w:pPr>
    </w:p>
    <w:bookmarkStart w:id="82" w:name="page83"/>
    <w:bookmarkEnd w:id="82"/>
    <w:p>
      <w:pPr>
        <w:ind w:right="3119" w:firstLine="444"/>
        <w:spacing w:after="0" w:line="278" w:lineRule="auto"/>
        <w:rPr>
          <w:sz w:val="20"/>
          <w:szCs w:val="20"/>
          <w:color w:val="auto"/>
        </w:rPr>
      </w:pPr>
      <w:r>
        <w:rPr>
          <w:rFonts w:ascii="Courier New" w:cs="Courier New" w:eastAsia="Courier New" w:hAnsi="Courier New"/>
          <w:sz w:val="15"/>
          <w:szCs w:val="15"/>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66"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4"/>
          <w:szCs w:val="14"/>
          <w:color w:val="auto"/>
        </w:rPr>
        <w:t>Reports by Trustee.</w:t>
      </w:r>
    </w:p>
    <w:p>
      <w:pPr>
        <w:spacing w:after="0" w:line="171" w:lineRule="exact"/>
        <w:rPr>
          <w:sz w:val="20"/>
          <w:szCs w:val="20"/>
          <w:color w:val="auto"/>
        </w:rPr>
      </w:pPr>
    </w:p>
    <w:p>
      <w:pPr>
        <w:ind w:right="3299" w:firstLine="444"/>
        <w:spacing w:after="0" w:line="326" w:lineRule="auto"/>
        <w:rPr>
          <w:sz w:val="20"/>
          <w:szCs w:val="20"/>
          <w:color w:val="auto"/>
        </w:rPr>
      </w:pPr>
      <w:r>
        <w:rPr>
          <w:rFonts w:ascii="Courier New" w:cs="Courier New" w:eastAsia="Courier New" w:hAnsi="Courier New"/>
          <w:sz w:val="14"/>
          <w:szCs w:val="14"/>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36"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66" w:lineRule="exact"/>
        <w:rPr>
          <w:sz w:val="20"/>
          <w:szCs w:val="20"/>
          <w:color w:val="auto"/>
        </w:rPr>
      </w:pPr>
    </w:p>
    <w:p>
      <w:pPr>
        <w:ind w:right="3399" w:firstLine="444"/>
        <w:spacing w:after="0" w:line="303" w:lineRule="auto"/>
        <w:rPr>
          <w:sz w:val="20"/>
          <w:szCs w:val="20"/>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5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4"/>
          <w:szCs w:val="14"/>
          <w:color w:val="auto"/>
        </w:rPr>
        <w:t>Reports by Company.</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EIGHT</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CONSOLIDATION, MERGER, CONVEYANCE, TRANSFER OR LEASE</w:t>
      </w:r>
    </w:p>
    <w:p>
      <w:pPr>
        <w:spacing w:after="0" w:line="2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Company May Consolidate, Etc., Only on Certain Terms.</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Company shall not consolidate with or merge into any other Person (in a transaction in which the Company is not the surviving corporation) or convey, transfer or lease its properties and assets substantially as an entirety to any Person, unless:</w:t>
      </w:r>
    </w:p>
    <w:p>
      <w:pPr>
        <w:spacing w:after="0" w:line="66" w:lineRule="exact"/>
        <w:rPr>
          <w:sz w:val="20"/>
          <w:szCs w:val="20"/>
          <w:color w:val="auto"/>
        </w:rPr>
      </w:pPr>
    </w:p>
    <w:p>
      <w:pPr>
        <w:ind w:right="3219" w:firstLine="435"/>
        <w:spacing w:after="0" w:line="297" w:lineRule="auto"/>
        <w:tabs>
          <w:tab w:leader="none" w:pos="887"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consolidate with or merge into another Person (in a transaction in which the Company is not the surviving corporation) or convey, transfer or lease its</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05" w:right="1440" w:bottom="1440" w:gutter="0" w:footer="0" w:header="0"/>
        </w:sectPr>
      </w:pPr>
    </w:p>
    <w:bookmarkStart w:id="83" w:name="page84"/>
    <w:bookmarkEnd w:id="83"/>
    <w:p>
      <w:pPr>
        <w:ind w:right="3119"/>
        <w:spacing w:after="0" w:line="248" w:lineRule="auto"/>
        <w:rPr>
          <w:sz w:val="20"/>
          <w:szCs w:val="20"/>
          <w:color w:val="auto"/>
        </w:rPr>
      </w:pPr>
      <w:r>
        <w:rPr>
          <w:rFonts w:ascii="Courier New" w:cs="Courier New" w:eastAsia="Courier New" w:hAnsi="Courier New"/>
          <w:sz w:val="15"/>
          <w:szCs w:val="15"/>
          <w:color w:val="auto"/>
        </w:rPr>
        <w:t>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Fourteen, if applicable, or as otherwise specified pursuant to Section 301,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87" w:lineRule="exact"/>
        <w:rPr>
          <w:sz w:val="20"/>
          <w:szCs w:val="20"/>
          <w:color w:val="auto"/>
        </w:rPr>
      </w:pPr>
    </w:p>
    <w:p>
      <w:pPr>
        <w:ind w:right="3219" w:firstLine="435"/>
        <w:spacing w:after="0" w:line="263" w:lineRule="auto"/>
        <w:tabs>
          <w:tab w:leader="none" w:pos="88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77"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7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Successor Substituted.</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05" w:right="1440" w:bottom="1440" w:gutter="0" w:footer="0" w:header="0"/>
        </w:sectPr>
      </w:pPr>
    </w:p>
    <w:bookmarkStart w:id="84" w:name="page85"/>
    <w:bookmarkEnd w:id="84"/>
    <w:p>
      <w:pPr>
        <w:jc w:val="center"/>
        <w:ind w:right="3299"/>
        <w:spacing w:after="0"/>
        <w:rPr>
          <w:sz w:val="20"/>
          <w:szCs w:val="20"/>
          <w:color w:val="auto"/>
        </w:rPr>
      </w:pPr>
      <w:r>
        <w:rPr>
          <w:rFonts w:ascii="Courier New" w:cs="Courier New" w:eastAsia="Courier New" w:hAnsi="Courier New"/>
          <w:sz w:val="15"/>
          <w:szCs w:val="15"/>
          <w:color w:val="auto"/>
        </w:rPr>
        <w:t>ARTICLE NINE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SUPPLEMENTAL INDENTURES.</w:t>
      </w:r>
    </w:p>
    <w:p>
      <w:pPr>
        <w:spacing w:after="0" w:line="34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Supplemental Indentures Without Consent of Holders.</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66" w:lineRule="exact"/>
        <w:rPr>
          <w:sz w:val="20"/>
          <w:szCs w:val="20"/>
          <w:color w:val="auto"/>
        </w:rPr>
      </w:pPr>
    </w:p>
    <w:p>
      <w:pPr>
        <w:ind w:right="3759" w:firstLine="435"/>
        <w:spacing w:after="0" w:line="297" w:lineRule="auto"/>
        <w:tabs>
          <w:tab w:leader="none" w:pos="8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or successive successions, and the assumption by any such successor of the covenants of the Company herein and in the Securities; or</w:t>
      </w:r>
    </w:p>
    <w:p>
      <w:pPr>
        <w:spacing w:after="0" w:line="51" w:lineRule="exact"/>
        <w:rPr>
          <w:rFonts w:ascii="Courier New" w:cs="Courier New" w:eastAsia="Courier New" w:hAnsi="Courier New"/>
          <w:sz w:val="15"/>
          <w:szCs w:val="15"/>
          <w:color w:val="auto"/>
        </w:rPr>
      </w:pPr>
    </w:p>
    <w:p>
      <w:pPr>
        <w:ind w:right="3219" w:firstLine="435"/>
        <w:spacing w:after="0" w:line="269" w:lineRule="auto"/>
        <w:tabs>
          <w:tab w:leader="none" w:pos="8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1" w:lineRule="exact"/>
        <w:rPr>
          <w:rFonts w:ascii="Courier New" w:cs="Courier New" w:eastAsia="Courier New" w:hAnsi="Courier New"/>
          <w:sz w:val="15"/>
          <w:szCs w:val="15"/>
          <w:color w:val="auto"/>
        </w:rPr>
      </w:pPr>
    </w:p>
    <w:p>
      <w:pPr>
        <w:ind w:right="3119" w:firstLine="435"/>
        <w:spacing w:after="0" w:line="269" w:lineRule="auto"/>
        <w:tabs>
          <w:tab w:leader="none" w:pos="8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71" w:lineRule="exact"/>
        <w:rPr>
          <w:rFonts w:ascii="Courier New" w:cs="Courier New" w:eastAsia="Courier New" w:hAnsi="Courier New"/>
          <w:sz w:val="15"/>
          <w:szCs w:val="15"/>
          <w:color w:val="auto"/>
        </w:rPr>
      </w:pPr>
    </w:p>
    <w:p>
      <w:pPr>
        <w:ind w:right="3219" w:firstLine="435"/>
        <w:spacing w:after="0" w:line="269" w:lineRule="auto"/>
        <w:tabs>
          <w:tab w:leader="none" w:pos="8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71" w:lineRule="exact"/>
        <w:rPr>
          <w:rFonts w:ascii="Courier New" w:cs="Courier New" w:eastAsia="Courier New" w:hAnsi="Courier New"/>
          <w:sz w:val="15"/>
          <w:szCs w:val="15"/>
          <w:color w:val="auto"/>
        </w:rPr>
      </w:pPr>
    </w:p>
    <w:p>
      <w:pPr>
        <w:ind w:right="3119" w:firstLine="435"/>
        <w:spacing w:after="0" w:line="259" w:lineRule="auto"/>
        <w:tabs>
          <w:tab w:leader="none" w:pos="8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8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or</w:t>
      </w:r>
    </w:p>
    <w:p>
      <w:pPr>
        <w:spacing w:after="0" w:line="171" w:lineRule="exact"/>
        <w:rPr>
          <w:rFonts w:ascii="Courier New" w:cs="Courier New" w:eastAsia="Courier New" w:hAnsi="Courier New"/>
          <w:sz w:val="15"/>
          <w:szCs w:val="15"/>
          <w:color w:val="auto"/>
        </w:rPr>
      </w:pPr>
    </w:p>
    <w:p>
      <w:pPr>
        <w:ind w:right="3919" w:firstLine="435"/>
        <w:spacing w:after="0" w:line="353" w:lineRule="auto"/>
        <w:tabs>
          <w:tab w:leader="none" w:pos="887"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as permitted by Sections 201 and 301; or</w:t>
      </w:r>
    </w:p>
    <w:p>
      <w:pPr>
        <w:spacing w:after="0" w:line="12" w:lineRule="exact"/>
        <w:rPr>
          <w:rFonts w:ascii="Courier New" w:cs="Courier New" w:eastAsia="Courier New" w:hAnsi="Courier New"/>
          <w:sz w:val="15"/>
          <w:szCs w:val="15"/>
          <w:color w:val="auto"/>
        </w:rPr>
      </w:pPr>
    </w:p>
    <w:p>
      <w:pPr>
        <w:ind w:right="3119" w:firstLine="435"/>
        <w:spacing w:after="0" w:line="292" w:lineRule="auto"/>
        <w:tabs>
          <w:tab w:leader="none" w:pos="887"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05" w:right="1440" w:bottom="1440" w:gutter="0" w:footer="0" w:header="0"/>
        </w:sectPr>
      </w:pPr>
    </w:p>
    <w:bookmarkStart w:id="85" w:name="page86"/>
    <w:bookmarkEnd w:id="85"/>
    <w:p>
      <w:pPr>
        <w:ind w:right="3299" w:firstLine="435"/>
        <w:spacing w:after="0" w:line="278" w:lineRule="auto"/>
        <w:tabs>
          <w:tab w:leader="none" w:pos="8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provision with respect to the conversion rights of Holders pursuant to the requirements of Article Fourteen, including providing for the conversion of the securities into any security (other than the Common Stock of the Company) or property of the Company; or</w:t>
      </w:r>
    </w:p>
    <w:p>
      <w:pPr>
        <w:spacing w:after="0" w:line="66"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(10) shall not adversely affect the interests of the Holders of Securities of any series in any material respect; or</w:t>
      </w:r>
    </w:p>
    <w:p>
      <w:pPr>
        <w:spacing w:after="0" w:line="77"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supplement any of the provisions of the Indenture to such extent as shall be necessary to permit or facilitate the defeasance and discharge of any series of Securities pursuant to Articles Four and Thirteen, provided that any such action shall not adversely affect the interests of the Holders of Securities of such series or any other series of Securities in any material respect.</w:t>
      </w:r>
    </w:p>
    <w:p>
      <w:pPr>
        <w:spacing w:after="0" w:line="7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4"/>
          <w:szCs w:val="14"/>
          <w:color w:val="auto"/>
        </w:rPr>
        <w:t>Supplemental Indentures With Consent of Holders.</w:t>
      </w:r>
    </w:p>
    <w:p>
      <w:pPr>
        <w:spacing w:after="0" w:line="171" w:lineRule="exact"/>
        <w:rPr>
          <w:sz w:val="20"/>
          <w:szCs w:val="20"/>
          <w:color w:val="auto"/>
        </w:rPr>
      </w:pPr>
    </w:p>
    <w:p>
      <w:pPr>
        <w:ind w:right="3219" w:firstLine="444"/>
        <w:spacing w:after="0" w:line="253" w:lineRule="auto"/>
        <w:rPr>
          <w:sz w:val="20"/>
          <w:szCs w:val="20"/>
          <w:color w:val="auto"/>
        </w:rPr>
      </w:pPr>
      <w:r>
        <w:rPr>
          <w:rFonts w:ascii="Courier New" w:cs="Courier New" w:eastAsia="Courier New" w:hAnsi="Courier New"/>
          <w:sz w:val="15"/>
          <w:szCs w:val="15"/>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86" w:lineRule="exact"/>
        <w:rPr>
          <w:sz w:val="20"/>
          <w:szCs w:val="20"/>
          <w:color w:val="auto"/>
        </w:rPr>
      </w:pPr>
    </w:p>
    <w:p>
      <w:pPr>
        <w:ind w:right="3219" w:firstLine="435"/>
        <w:spacing w:after="0" w:line="252" w:lineRule="auto"/>
        <w:tabs>
          <w:tab w:leader="none" w:pos="8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85" w:lineRule="exact"/>
        <w:rPr>
          <w:rFonts w:ascii="Courier New" w:cs="Courier New" w:eastAsia="Courier New" w:hAnsi="Courier New"/>
          <w:sz w:val="15"/>
          <w:szCs w:val="15"/>
          <w:color w:val="auto"/>
        </w:rPr>
      </w:pPr>
    </w:p>
    <w:p>
      <w:pPr>
        <w:ind w:right="3219" w:firstLine="435"/>
        <w:spacing w:after="0" w:line="292" w:lineRule="auto"/>
        <w:tabs>
          <w:tab w:leader="none" w:pos="88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59" w:lineRule="exact"/>
        <w:rPr>
          <w:rFonts w:ascii="Courier New" w:cs="Courier New" w:eastAsia="Courier New" w:hAnsi="Courier New"/>
          <w:sz w:val="14"/>
          <w:szCs w:val="14"/>
          <w:color w:val="auto"/>
        </w:rPr>
      </w:pPr>
    </w:p>
    <w:p>
      <w:pPr>
        <w:ind w:right="3119" w:firstLine="435"/>
        <w:spacing w:after="0" w:line="259" w:lineRule="auto"/>
        <w:tabs>
          <w:tab w:leader="none" w:pos="8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Section 513 or Section 1010,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05" w:right="1440" w:bottom="1440" w:gutter="0" w:footer="0" w:header="0"/>
        </w:sectPr>
      </w:pPr>
    </w:p>
    <w:bookmarkStart w:id="86" w:name="page87"/>
    <w:bookmarkEnd w:id="86"/>
    <w:p>
      <w:pPr>
        <w:ind w:right="4099"/>
        <w:spacing w:after="0" w:line="353" w:lineRule="auto"/>
        <w:rPr>
          <w:sz w:val="20"/>
          <w:szCs w:val="20"/>
          <w:color w:val="auto"/>
        </w:rPr>
      </w:pPr>
      <w:r>
        <w:rPr>
          <w:rFonts w:ascii="Courier New" w:cs="Courier New" w:eastAsia="Courier New" w:hAnsi="Courier New"/>
          <w:sz w:val="15"/>
          <w:szCs w:val="15"/>
          <w:color w:val="auto"/>
        </w:rPr>
        <w:t>Section 1010, or the deletion of this proviso, in accordance with the requirements of Sections 611 and 901(8), or</w:t>
      </w:r>
    </w:p>
    <w:p>
      <w:pPr>
        <w:spacing w:after="0" w:line="12" w:lineRule="exact"/>
        <w:rPr>
          <w:sz w:val="20"/>
          <w:szCs w:val="20"/>
          <w:color w:val="auto"/>
        </w:rPr>
      </w:pPr>
    </w:p>
    <w:p>
      <w:pPr>
        <w:ind w:right="3219" w:firstLine="435"/>
        <w:spacing w:after="0" w:line="278" w:lineRule="auto"/>
        <w:tabs>
          <w:tab w:leader="none" w:pos="8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make any change that adversely affects the right to convert any security as provided in Article Fourteen or pursuant to Section 301 (except as permitted by Section 901(9)) or decrease the conversion rate or increase the conversion price of any such security.</w:t>
      </w:r>
    </w:p>
    <w:p>
      <w:pPr>
        <w:spacing w:after="0" w:line="66"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77"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It shall not be necessary for any Act of Holders under this Section to approve the particular form of any proposed supplemental indenture, but it shall be sufficient if such Act shall approve the substance thereof.</w:t>
      </w:r>
    </w:p>
    <w:p>
      <w:pPr>
        <w:spacing w:after="0" w:line="5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4"/>
          <w:szCs w:val="14"/>
          <w:color w:val="auto"/>
        </w:rPr>
        <w:t>Execution of Supplemental Indentures.</w:t>
      </w:r>
    </w:p>
    <w:p>
      <w:pPr>
        <w:spacing w:after="0" w:line="171"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In executing, or accepting the additional trusts created by, any supplemental indenture permitted by this Article or the modifications thereby of the trusts created by this Indenture, the Trustee shall be entitled to receive, and (subject to Sections 601 and 603)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4"/>
          <w:szCs w:val="14"/>
          <w:color w:val="auto"/>
        </w:rPr>
        <w:t>Effect of Supplemental Indentures.</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7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4"/>
          <w:szCs w:val="14"/>
          <w:color w:val="auto"/>
        </w:rPr>
        <w:t>Conformity with Trust Indenture Act.</w:t>
      </w:r>
    </w:p>
    <w:p>
      <w:pPr>
        <w:spacing w:after="0" w:line="171"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Every supplemental indenture executed pursuant to this Article shall conform to the requirements of the Trust Indenture Act.</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Reference in Securities to Supplemental Indentures.</w:t>
      </w:r>
    </w:p>
    <w:p>
      <w:pPr>
        <w:spacing w:after="0" w:line="171"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w:t>
      </w:r>
    </w:p>
    <w:p>
      <w:pPr>
        <w:spacing w:after="0" w:line="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05" w:right="1440" w:bottom="1440" w:gutter="0" w:footer="0" w:header="0"/>
        </w:sectPr>
      </w:pPr>
    </w:p>
    <w:bookmarkStart w:id="87" w:name="page88"/>
    <w:bookmarkEnd w:id="87"/>
    <w:p>
      <w:pPr>
        <w:ind w:right="3579"/>
        <w:spacing w:after="0" w:line="297" w:lineRule="auto"/>
        <w:rPr>
          <w:sz w:val="20"/>
          <w:szCs w:val="20"/>
          <w:color w:val="auto"/>
        </w:rPr>
      </w:pPr>
      <w:r>
        <w:rPr>
          <w:rFonts w:ascii="Courier New" w:cs="Courier New" w:eastAsia="Courier New" w:hAnsi="Courier New"/>
          <w:sz w:val="15"/>
          <w:szCs w:val="15"/>
          <w:color w:val="auto"/>
        </w:rPr>
        <w:t>of the Trustee and the Company, to any such supplemental indenture may be prepared and executed by the Company and authenticated and delivered by the Trustee in exchange for Outstanding Securities of such series.</w:t>
      </w:r>
    </w:p>
    <w:p>
      <w:pPr>
        <w:spacing w:after="0" w:line="5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TEN</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COVENANTS.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1001. Payment of Principal, Premium and Interest.</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1002. Maintenance of Office or Agency.</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78"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1003. Money for Securities Payments to Be Held in Trust.</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05" w:right="1440" w:bottom="1440" w:gutter="0" w:footer="0" w:header="0"/>
        </w:sectPr>
      </w:pPr>
    </w:p>
    <w:bookmarkStart w:id="88" w:name="page89"/>
    <w:bookmarkEnd w:id="88"/>
    <w:p>
      <w:pPr>
        <w:ind w:right="3119" w:firstLine="444"/>
        <w:spacing w:after="0" w:line="285" w:lineRule="auto"/>
        <w:rPr>
          <w:sz w:val="20"/>
          <w:szCs w:val="20"/>
          <w:color w:val="auto"/>
        </w:rPr>
      </w:pPr>
      <w:r>
        <w:rPr>
          <w:rFonts w:ascii="Courier New" w:cs="Courier New" w:eastAsia="Courier New" w:hAnsi="Courier New"/>
          <w:sz w:val="14"/>
          <w:szCs w:val="14"/>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65"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86"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80"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1004. Statement by Officers as to Default.</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1005. Existence.</w:t>
      </w:r>
    </w:p>
    <w:p>
      <w:pPr>
        <w:spacing w:after="0" w:line="171" w:lineRule="exact"/>
        <w:rPr>
          <w:sz w:val="20"/>
          <w:szCs w:val="20"/>
          <w:color w:val="auto"/>
        </w:rPr>
      </w:pPr>
    </w:p>
    <w:p>
      <w:pPr>
        <w:ind w:right="3399" w:firstLine="444"/>
        <w:spacing w:after="0" w:line="387" w:lineRule="auto"/>
        <w:rPr>
          <w:sz w:val="20"/>
          <w:szCs w:val="20"/>
          <w:color w:val="auto"/>
        </w:rPr>
      </w:pPr>
      <w:r>
        <w:rPr>
          <w:rFonts w:ascii="Courier New" w:cs="Courier New" w:eastAsia="Courier New" w:hAnsi="Courier New"/>
          <w:sz w:val="14"/>
          <w:szCs w:val="14"/>
          <w:color w:val="auto"/>
        </w:rPr>
        <w:t>Subject to Article Eight, the Company will do or cause to be done all things necessary to preserve and keep in full force and effect its existence.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05"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SECTION 1006. Maintenance of Properties.</w:t>
      </w:r>
    </w:p>
    <w:p>
      <w:pPr>
        <w:spacing w:after="0" w:line="171"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1007. Payment of Taxes and Other Claims.</w:t>
      </w:r>
    </w:p>
    <w:p>
      <w:pPr>
        <w:spacing w:after="0" w:line="171"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The Company will pay or discharge or cause to be paid or discharged, before the same shall become delinquent, (1) all taxes, assessments and governmental charges levied or imposed upon the Company upon the income, profits or property of the Company, and (2) all lawful claims for labor, materials and supplies which, if unpaid, might by law become a lien upon the property of the Company; provided, however,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1008. Limitation on Liens.</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Company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at the option of the Company, prior to) such secured debt. The foregoing restriction, however, will not apply to:</w:t>
      </w:r>
    </w:p>
    <w:p>
      <w:pPr>
        <w:spacing w:after="0" w:line="86" w:lineRule="exact"/>
        <w:rPr>
          <w:sz w:val="20"/>
          <w:szCs w:val="20"/>
          <w:color w:val="auto"/>
        </w:rPr>
      </w:pPr>
    </w:p>
    <w:p>
      <w:pPr>
        <w:ind w:right="3299" w:firstLine="435"/>
        <w:spacing w:after="0" w:line="297" w:lineRule="auto"/>
        <w:tabs>
          <w:tab w:leader="none" w:pos="8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existing at the time of acquisition thereof by the Company or any Subsidiary, provided that such mortgages were in existence prior to the contemplation of such acquisitions;</w:t>
      </w:r>
    </w:p>
    <w:p>
      <w:pPr>
        <w:spacing w:after="0" w:line="51" w:lineRule="exact"/>
        <w:rPr>
          <w:rFonts w:ascii="Courier New" w:cs="Courier New" w:eastAsia="Courier New" w:hAnsi="Courier New"/>
          <w:sz w:val="15"/>
          <w:szCs w:val="15"/>
          <w:color w:val="auto"/>
        </w:rPr>
      </w:pPr>
    </w:p>
    <w:p>
      <w:pPr>
        <w:ind w:right="3119" w:firstLine="435"/>
        <w:spacing w:after="0" w:line="297" w:lineRule="auto"/>
        <w:tabs>
          <w:tab w:leader="none" w:pos="8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shares of stock or indebtedness or other assets of any corporation existing at the time such corporation becomes a Restricted Subsidiary, provided that</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05" w:right="1440" w:bottom="1440" w:gutter="0" w:footer="0" w:header="0"/>
        </w:sectPr>
      </w:pPr>
    </w:p>
    <w:bookmarkStart w:id="90" w:name="page91"/>
    <w:bookmarkEnd w:id="90"/>
    <w:p>
      <w:pPr>
        <w:ind w:right="3299"/>
        <w:spacing w:after="0" w:line="353" w:lineRule="auto"/>
        <w:rPr>
          <w:sz w:val="20"/>
          <w:szCs w:val="20"/>
          <w:color w:val="auto"/>
        </w:rPr>
      </w:pPr>
      <w:r>
        <w:rPr>
          <w:rFonts w:ascii="Courier New" w:cs="Courier New" w:eastAsia="Courier New" w:hAnsi="Courier New"/>
          <w:sz w:val="15"/>
          <w:szCs w:val="15"/>
          <w:color w:val="auto"/>
        </w:rPr>
        <w:t>such mortgages are not incurred in anticipation of such corporation becoming a Restricted Subsidiary;</w:t>
      </w:r>
    </w:p>
    <w:p>
      <w:pPr>
        <w:spacing w:after="0" w:line="12" w:lineRule="exact"/>
        <w:rPr>
          <w:sz w:val="20"/>
          <w:szCs w:val="20"/>
          <w:color w:val="auto"/>
        </w:rPr>
      </w:pPr>
    </w:p>
    <w:p>
      <w:pPr>
        <w:ind w:right="3119" w:firstLine="435"/>
        <w:spacing w:after="0" w:line="253" w:lineRule="auto"/>
        <w:tabs>
          <w:tab w:leader="none" w:pos="8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86" w:lineRule="exact"/>
        <w:rPr>
          <w:rFonts w:ascii="Courier New" w:cs="Courier New" w:eastAsia="Courier New" w:hAnsi="Courier New"/>
          <w:sz w:val="15"/>
          <w:szCs w:val="15"/>
          <w:color w:val="auto"/>
        </w:rPr>
      </w:pPr>
    </w:p>
    <w:p>
      <w:pPr>
        <w:ind w:right="3919" w:firstLine="435"/>
        <w:spacing w:after="0" w:line="353" w:lineRule="auto"/>
        <w:tabs>
          <w:tab w:leader="none" w:pos="8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to secure indebtedness owing to the Company or to a Restricted Subsidiary:</w:t>
      </w:r>
    </w:p>
    <w:p>
      <w:pPr>
        <w:spacing w:after="0" w:line="1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existing at the date of this Indenture;</w:t>
      </w:r>
    </w:p>
    <w:p>
      <w:pPr>
        <w:spacing w:after="0" w:line="171" w:lineRule="exact"/>
        <w:rPr>
          <w:rFonts w:ascii="Courier New" w:cs="Courier New" w:eastAsia="Courier New" w:hAnsi="Courier New"/>
          <w:sz w:val="15"/>
          <w:szCs w:val="15"/>
          <w:color w:val="auto"/>
        </w:rPr>
      </w:pPr>
    </w:p>
    <w:p>
      <w:pPr>
        <w:ind w:right="3119" w:firstLine="435"/>
        <w:spacing w:after="0" w:line="259" w:lineRule="auto"/>
        <w:tabs>
          <w:tab w:leader="none" w:pos="8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 provided that such mortgage was not incurred in anticipation of such merger or consolidation or sale, lease or other disposition;</w:t>
      </w:r>
    </w:p>
    <w:p>
      <w:pPr>
        <w:spacing w:after="0" w:line="81" w:lineRule="exact"/>
        <w:rPr>
          <w:rFonts w:ascii="Courier New" w:cs="Courier New" w:eastAsia="Courier New" w:hAnsi="Courier New"/>
          <w:sz w:val="15"/>
          <w:szCs w:val="15"/>
          <w:color w:val="auto"/>
        </w:rPr>
      </w:pPr>
    </w:p>
    <w:p>
      <w:pPr>
        <w:ind w:right="3119" w:firstLine="435"/>
        <w:spacing w:after="0" w:line="257" w:lineRule="auto"/>
        <w:tabs>
          <w:tab w:leader="none" w:pos="8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of the cost of constructing or improving the property subject to such mortgages;</w:t>
      </w:r>
    </w:p>
    <w:p>
      <w:pPr>
        <w:spacing w:after="0" w:line="80" w:lineRule="exact"/>
        <w:rPr>
          <w:rFonts w:ascii="Courier New" w:cs="Courier New" w:eastAsia="Courier New" w:hAnsi="Courier New"/>
          <w:sz w:val="15"/>
          <w:szCs w:val="15"/>
          <w:color w:val="auto"/>
        </w:rPr>
      </w:pPr>
    </w:p>
    <w:p>
      <w:pPr>
        <w:ind w:right="3399" w:firstLine="435"/>
        <w:spacing w:after="0" w:line="353" w:lineRule="auto"/>
        <w:tabs>
          <w:tab w:leader="none" w:pos="8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mortgages created in connection with the acquisition of assets or a project financed with, and created to secure, a Nonrecourse Obligation;</w:t>
      </w:r>
    </w:p>
    <w:p>
      <w:pPr>
        <w:spacing w:after="0" w:line="12" w:lineRule="exact"/>
        <w:rPr>
          <w:rFonts w:ascii="Courier New" w:cs="Courier New" w:eastAsia="Courier New" w:hAnsi="Courier New"/>
          <w:sz w:val="15"/>
          <w:szCs w:val="15"/>
          <w:color w:val="auto"/>
        </w:rPr>
      </w:pPr>
    </w:p>
    <w:p>
      <w:pPr>
        <w:ind w:right="3219" w:firstLine="435"/>
        <w:spacing w:after="0" w:line="271" w:lineRule="auto"/>
        <w:tabs>
          <w:tab w:leader="none" w:pos="88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extensions, renewals, refinancings or replacements of any mortgage referred to in the foregoing clauses (1), (2), (3), (4), (5), (6), (7) and (8) provided, however, that any mortgages permitted by any of the foregoing clauses</w:t>
      </w:r>
    </w:p>
    <w:p>
      <w:pPr>
        <w:ind w:right="3119"/>
        <w:spacing w:after="0" w:line="25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(2), (3), (4), (5), (6), (7) and (8)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(7) and (8) shall be of the type referred to in such clauses (7) or (8), as the case may be.</w:t>
      </w:r>
    </w:p>
    <w:p>
      <w:pPr>
        <w:spacing w:after="0" w:line="81"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Notwithstanding the restrictions set forth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w:t>
      </w:r>
    </w:p>
    <w:p>
      <w:pPr>
        <w:spacing w:after="0" w:line="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05" w:right="1440" w:bottom="1440" w:gutter="0" w:footer="0" w:header="0"/>
        </w:sectPr>
      </w:pPr>
    </w:p>
    <w:bookmarkStart w:id="91" w:name="page92"/>
    <w:bookmarkEnd w:id="91"/>
    <w:p>
      <w:pPr>
        <w:ind w:right="3219"/>
        <w:spacing w:after="0" w:line="297" w:lineRule="auto"/>
        <w:rPr>
          <w:sz w:val="20"/>
          <w:szCs w:val="20"/>
          <w:color w:val="auto"/>
        </w:rPr>
      </w:pPr>
      <w:r>
        <w:rPr>
          <w:rFonts w:ascii="Courier New" w:cs="Courier New" w:eastAsia="Courier New" w:hAnsi="Courier New"/>
          <w:sz w:val="15"/>
          <w:szCs w:val="15"/>
          <w:color w:val="auto"/>
        </w:rPr>
        <w:t>secured by mortgages (not including mortgages permitted under clauses (1) through (10) above) does not exceed 15% of the Consolidated Net Tangible Assets of the Company as most recently determine on or prior to such date.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1009. Limitations on Sale and Leaseback Transactions.</w:t>
      </w:r>
    </w:p>
    <w:p>
      <w:pPr>
        <w:spacing w:after="0" w:line="171"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The Company will not, nor will it permit any Restricted Subsidiary to, enter into any Sale and Lease-Back Transaction with respect to any Principal Property, other than any such transaction involving a lease for a term of not more than three years of any such transaction between the Company and a Restricted Subsidiary or between Restricted Subsidiaries, unless: (1) the Company or such Restricted Subsidiary would be entitled to incurs indebtedness secured by a mortgage on the Principal Property involved in such transaction at least equal in amount to the Attributable Debt with respect to such Sale and Lease-Back Transaction, without equally and ratably securing the Securities, pursuant to Section 1008; or (2) the Company shall apply an amount equal to the greater of the net proceeds of such sale or the Attributable Debt with respect to such Sale and Lease-Back Transaction within 180 days of such sale to either (or a combination of) the retirement (other than mandatory retirement, mandatory prepayment or sinking fund payment or by a payment at maturity) of debt for borrowed money of the Company or a Restricted Subsidiary that matures more than 12 months after the creation of such indebtedness or the purchase, construction or development of other comparable property.</w:t>
      </w:r>
    </w:p>
    <w:p>
      <w:pPr>
        <w:spacing w:after="0" w:line="87"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Notwithstanding the restrictions outlined is the preceding paragraph, the Company or any Restricted Subsidiary will be permitted to enter into Sale and Lease-Back Transactions which would otherwise be subject to such restrictions, without applying the net proceeds of such transactions in the manner set forth in clause (b) above, provided that after giving effect thereto, the aggregate amount of such sale and Lease-Back Transactions, together with the aggregate amount of all debt secured by mortgages not permitted by clauses (1) through (9) under Section 1008 above, does not exceed 15% of Consolidated Net Tangible Assets of the Company as most recently determined on or prior to such date.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1010. Waiver of Certain Covenants.</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301(19), 901(2), 901(7), 1006, 1007, 1008 or 1009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05" w:right="1440" w:bottom="1440" w:gutter="0" w:footer="0" w:header="0"/>
        </w:sectPr>
      </w:pPr>
    </w:p>
    <w:bookmarkStart w:id="92" w:name="page93"/>
    <w:bookmarkEnd w:id="92"/>
    <w:p>
      <w:pPr>
        <w:ind w:left="2840"/>
        <w:spacing w:after="0"/>
        <w:rPr>
          <w:sz w:val="20"/>
          <w:szCs w:val="20"/>
          <w:color w:val="auto"/>
        </w:rPr>
      </w:pPr>
      <w:r>
        <w:rPr>
          <w:rFonts w:ascii="Courier New" w:cs="Courier New" w:eastAsia="Courier New" w:hAnsi="Courier New"/>
          <w:sz w:val="15"/>
          <w:szCs w:val="15"/>
          <w:color w:val="auto"/>
        </w:rPr>
        <w:t>ARTICLE ELEVEN</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REDEMPTION OF SECURITIES.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1101. Applicability of Article.</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1102. Election to Redeem; Notice to Trustee.</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1103. Selection by Trustee of Securities to Be Redeemed.</w:t>
      </w:r>
    </w:p>
    <w:p>
      <w:pPr>
        <w:spacing w:after="0" w:line="171" w:lineRule="exact"/>
        <w:rPr>
          <w:sz w:val="20"/>
          <w:szCs w:val="20"/>
          <w:color w:val="auto"/>
        </w:rPr>
      </w:pPr>
    </w:p>
    <w:p>
      <w:pPr>
        <w:ind w:right="3119" w:firstLine="444"/>
        <w:spacing w:after="0" w:line="267" w:lineRule="auto"/>
        <w:rPr>
          <w:sz w:val="20"/>
          <w:szCs w:val="20"/>
          <w:color w:val="auto"/>
        </w:rPr>
      </w:pPr>
      <w:r>
        <w:rPr>
          <w:rFonts w:ascii="Courier New" w:cs="Courier New" w:eastAsia="Courier New" w:hAnsi="Courier New"/>
          <w:sz w:val="14"/>
          <w:szCs w:val="14"/>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255"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05" w:right="1440" w:bottom="1440" w:gutter="0" w:footer="0" w:header="0"/>
        </w:sectPr>
      </w:pPr>
    </w:p>
    <w:bookmarkStart w:id="93" w:name="page94"/>
    <w:bookmarkEnd w:id="93"/>
    <w:p>
      <w:pPr>
        <w:jc w:val="both"/>
        <w:ind w:right="3119" w:firstLine="444"/>
        <w:spacing w:after="0" w:line="326" w:lineRule="auto"/>
        <w:rPr>
          <w:sz w:val="20"/>
          <w:szCs w:val="20"/>
          <w:color w:val="auto"/>
        </w:rPr>
      </w:pPr>
      <w:r>
        <w:rPr>
          <w:rFonts w:ascii="Courier New" w:cs="Courier New" w:eastAsia="Courier New" w:hAnsi="Courier New"/>
          <w:sz w:val="14"/>
          <w:szCs w:val="14"/>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36"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77"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1104. Notice of Redemption.</w:t>
      </w:r>
    </w:p>
    <w:p>
      <w:pPr>
        <w:spacing w:after="0" w:line="17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Notice of redemption shall be given by first-class mail, postage prepaid, mailed not less than 30 nor more than 60 days prior to the Redemption Date, to each Holder of Securities to be redeemed, at its address appearing in the Security Register.</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71" w:lineRule="exact"/>
        <w:rPr>
          <w:sz w:val="20"/>
          <w:szCs w:val="20"/>
          <w:color w:val="auto"/>
        </w:rPr>
      </w:pPr>
    </w:p>
    <w:p>
      <w:pPr>
        <w:ind w:left="880" w:hanging="445"/>
        <w:spacing w:after="0"/>
        <w:tabs>
          <w:tab w:leader="none" w:pos="8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(including accrued interest, if any),</w:t>
      </w:r>
    </w:p>
    <w:p>
      <w:pPr>
        <w:spacing w:after="0" w:line="171"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77" w:lineRule="exact"/>
        <w:rPr>
          <w:rFonts w:ascii="Courier New" w:cs="Courier New" w:eastAsia="Courier New" w:hAnsi="Courier New"/>
          <w:sz w:val="15"/>
          <w:szCs w:val="15"/>
          <w:color w:val="auto"/>
        </w:rPr>
      </w:pPr>
    </w:p>
    <w:p>
      <w:pPr>
        <w:ind w:right="3119" w:firstLine="435"/>
        <w:spacing w:after="0" w:line="297" w:lineRule="auto"/>
        <w:tabs>
          <w:tab w:leader="none" w:pos="8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will become due and payable upon each such Security to be redeemed and, if applicable, that interest thereon will cease to accrue on and after said date,</w:t>
      </w:r>
    </w:p>
    <w:p>
      <w:pPr>
        <w:spacing w:after="0" w:line="51" w:lineRule="exact"/>
        <w:rPr>
          <w:rFonts w:ascii="Courier New" w:cs="Courier New" w:eastAsia="Courier New" w:hAnsi="Courier New"/>
          <w:sz w:val="15"/>
          <w:szCs w:val="15"/>
          <w:color w:val="auto"/>
        </w:rPr>
      </w:pPr>
    </w:p>
    <w:p>
      <w:pPr>
        <w:ind w:right="3219" w:firstLine="435"/>
        <w:spacing w:after="0" w:line="353" w:lineRule="auto"/>
        <w:tabs>
          <w:tab w:leader="none" w:pos="8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each such Security is to be surrendered for payment of the Redemption Price,</w:t>
      </w:r>
    </w:p>
    <w:p>
      <w:pPr>
        <w:spacing w:after="0" w:line="12"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conversion price, the date on which the right to convert the principal of the Securities or the portions thereof to be redeemed will terminate and the place or places where such Securities may be surrendered for conversion, and</w:t>
      </w:r>
    </w:p>
    <w:p>
      <w:pPr>
        <w:spacing w:after="0" w:line="6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 such is the case.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05" w:right="1440" w:bottom="1440" w:gutter="0" w:footer="0" w:header="0"/>
        </w:sectPr>
      </w:pPr>
    </w:p>
    <w:bookmarkStart w:id="94" w:name="page95"/>
    <w:bookmarkEnd w:id="94"/>
    <w:p>
      <w:pPr>
        <w:ind w:left="9" w:right="3219" w:firstLine="444"/>
        <w:spacing w:after="0" w:line="326"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3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1105. Deposit of Redemption Price.</w:t>
      </w:r>
    </w:p>
    <w:p>
      <w:pPr>
        <w:spacing w:after="0" w:line="171" w:lineRule="exact"/>
        <w:rPr>
          <w:sz w:val="20"/>
          <w:szCs w:val="20"/>
          <w:color w:val="auto"/>
        </w:rPr>
      </w:pPr>
    </w:p>
    <w:p>
      <w:pPr>
        <w:ind w:left="9" w:right="3219" w:firstLine="444"/>
        <w:spacing w:after="0" w:line="263" w:lineRule="auto"/>
        <w:rPr>
          <w:sz w:val="20"/>
          <w:szCs w:val="20"/>
          <w:color w:val="auto"/>
        </w:rPr>
      </w:pPr>
      <w:r>
        <w:rPr>
          <w:rFonts w:ascii="Courier New" w:cs="Courier New" w:eastAsia="Courier New" w:hAnsi="Courier New"/>
          <w:sz w:val="15"/>
          <w:szCs w:val="15"/>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77" w:lineRule="exact"/>
        <w:rPr>
          <w:sz w:val="20"/>
          <w:szCs w:val="20"/>
          <w:color w:val="auto"/>
        </w:rPr>
      </w:pPr>
    </w:p>
    <w:p>
      <w:pPr>
        <w:ind w:left="9" w:right="3299" w:firstLine="444"/>
        <w:spacing w:after="0" w:line="268" w:lineRule="auto"/>
        <w:rPr>
          <w:sz w:val="20"/>
          <w:szCs w:val="20"/>
          <w:color w:val="auto"/>
        </w:rPr>
      </w:pPr>
      <w:r>
        <w:rPr>
          <w:rFonts w:ascii="Courier New" w:cs="Courier New" w:eastAsia="Courier New" w:hAnsi="Courier New"/>
          <w:sz w:val="14"/>
          <w:szCs w:val="14"/>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w:t>
      </w:r>
    </w:p>
    <w:p>
      <w:pPr>
        <w:ind w:left="9" w:right="3219" w:hanging="9"/>
        <w:spacing w:after="0" w:line="316" w:lineRule="auto"/>
        <w:tabs>
          <w:tab w:leader="none" w:pos="453"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paid to the Company on Company Request, or if then held by the Company, shall be discharged from such trust.</w:t>
      </w:r>
    </w:p>
    <w:p>
      <w:pPr>
        <w:spacing w:after="0" w:line="3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1106. Securities Payable on Redemption Date.</w:t>
      </w:r>
    </w:p>
    <w:p>
      <w:pPr>
        <w:spacing w:after="0" w:line="171" w:lineRule="exact"/>
        <w:rPr>
          <w:sz w:val="20"/>
          <w:szCs w:val="20"/>
          <w:color w:val="auto"/>
        </w:rPr>
      </w:pPr>
    </w:p>
    <w:p>
      <w:pPr>
        <w:ind w:left="9" w:right="3119" w:firstLine="444"/>
        <w:spacing w:after="0" w:line="250"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88" w:lineRule="exact"/>
        <w:rPr>
          <w:sz w:val="20"/>
          <w:szCs w:val="20"/>
          <w:color w:val="auto"/>
        </w:rPr>
      </w:pPr>
    </w:p>
    <w:p>
      <w:pPr>
        <w:ind w:left="9" w:right="3299" w:firstLine="444"/>
        <w:spacing w:after="0" w:line="278"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6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1107. Securities Redeemed in Part.</w:t>
      </w:r>
    </w:p>
    <w:p>
      <w:pPr>
        <w:spacing w:after="0" w:line="171" w:lineRule="exact"/>
        <w:rPr>
          <w:sz w:val="20"/>
          <w:szCs w:val="20"/>
          <w:color w:val="auto"/>
        </w:rPr>
      </w:pPr>
    </w:p>
    <w:p>
      <w:pPr>
        <w:ind w:left="9" w:right="3119" w:firstLine="444"/>
        <w:spacing w:after="0" w:line="253" w:lineRule="auto"/>
        <w:rPr>
          <w:sz w:val="20"/>
          <w:szCs w:val="20"/>
          <w:color w:val="auto"/>
        </w:rPr>
      </w:pPr>
      <w:r>
        <w:rPr>
          <w:rFonts w:ascii="Courier New" w:cs="Courier New" w:eastAsia="Courier New" w:hAnsi="Courier New"/>
          <w:sz w:val="15"/>
          <w:szCs w:val="15"/>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8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8"/>
          </w:cols>
          <w:pgMar w:left="231" w:top="605" w:right="1440" w:bottom="1440" w:gutter="0" w:footer="0" w:header="0"/>
        </w:sectPr>
      </w:pPr>
    </w:p>
    <w:bookmarkStart w:id="95" w:name="page96"/>
    <w:bookmarkEnd w:id="95"/>
    <w:p>
      <w:pPr>
        <w:ind w:left="2840"/>
        <w:spacing w:after="0"/>
        <w:rPr>
          <w:sz w:val="20"/>
          <w:szCs w:val="20"/>
          <w:color w:val="auto"/>
        </w:rPr>
      </w:pPr>
      <w:r>
        <w:rPr>
          <w:rFonts w:ascii="Courier New" w:cs="Courier New" w:eastAsia="Courier New" w:hAnsi="Courier New"/>
          <w:sz w:val="15"/>
          <w:szCs w:val="15"/>
          <w:color w:val="auto"/>
        </w:rPr>
        <w:t>ARTICLE TWELVE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SINKING FUNDS.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1201. Applicability of Article.</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provisions of this Article shall be applicable to any sinking fund for the retirement of Securities of any series except as otherwise specified as contemplated by Section 301 for such Securities.</w:t>
      </w:r>
    </w:p>
    <w:p>
      <w:pPr>
        <w:spacing w:after="0" w:line="5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1202. Satisfaction of Sinking Fund Payments with Securities.</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1203. Redemption of Securities for Sinking Fund.</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Not less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9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05" w:right="1440" w:bottom="1440" w:gutter="0" w:footer="0" w:header="0"/>
        </w:sectPr>
      </w:pPr>
    </w:p>
    <w:bookmarkStart w:id="96" w:name="page97"/>
    <w:bookmarkEnd w:id="96"/>
    <w:p>
      <w:pPr>
        <w:ind w:left="2740"/>
        <w:spacing w:after="0"/>
        <w:rPr>
          <w:sz w:val="20"/>
          <w:szCs w:val="20"/>
          <w:color w:val="auto"/>
        </w:rPr>
      </w:pPr>
      <w:r>
        <w:rPr>
          <w:rFonts w:ascii="Courier New" w:cs="Courier New" w:eastAsia="Courier New" w:hAnsi="Courier New"/>
          <w:sz w:val="15"/>
          <w:szCs w:val="15"/>
          <w:color w:val="auto"/>
        </w:rPr>
        <w:t>ARTICLE THIRTEEN</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1301.</w:t>
      </w:r>
      <w:r>
        <w:rPr>
          <w:sz w:val="20"/>
          <w:szCs w:val="20"/>
          <w:color w:val="auto"/>
        </w:rPr>
        <w:tab/>
      </w:r>
      <w:r>
        <w:rPr>
          <w:rFonts w:ascii="Courier New" w:cs="Courier New" w:eastAsia="Courier New" w:hAnsi="Courier New"/>
          <w:sz w:val="14"/>
          <w:szCs w:val="14"/>
          <w:color w:val="auto"/>
        </w:rPr>
        <w:t>Company's Option to Effect Defeasance or Covenant Defeasance.</w:t>
      </w:r>
    </w:p>
    <w:p>
      <w:pPr>
        <w:spacing w:after="0" w:line="171" w:lineRule="exact"/>
        <w:rPr>
          <w:sz w:val="20"/>
          <w:szCs w:val="20"/>
          <w:color w:val="auto"/>
        </w:rPr>
      </w:pPr>
    </w:p>
    <w:p>
      <w:pPr>
        <w:ind w:right="3219" w:firstLine="444"/>
        <w:spacing w:after="0" w:line="281" w:lineRule="auto"/>
        <w:rPr>
          <w:sz w:val="20"/>
          <w:szCs w:val="20"/>
          <w:color w:val="auto"/>
        </w:rPr>
      </w:pPr>
      <w:r>
        <w:rPr>
          <w:rFonts w:ascii="Courier New" w:cs="Courier New" w:eastAsia="Courier New" w:hAnsi="Courier New"/>
          <w:sz w:val="14"/>
          <w:szCs w:val="14"/>
          <w:color w:val="auto"/>
        </w:rPr>
        <w:t>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1302.</w:t>
      </w:r>
      <w:r>
        <w:rPr>
          <w:sz w:val="20"/>
          <w:szCs w:val="20"/>
          <w:color w:val="auto"/>
        </w:rPr>
        <w:tab/>
      </w:r>
      <w:r>
        <w:rPr>
          <w:rFonts w:ascii="Courier New" w:cs="Courier New" w:eastAsia="Courier New" w:hAnsi="Courier New"/>
          <w:sz w:val="14"/>
          <w:szCs w:val="14"/>
          <w:color w:val="auto"/>
        </w:rPr>
        <w:t>Defeasance and Discharge.</w:t>
      </w:r>
    </w:p>
    <w:p>
      <w:pPr>
        <w:spacing w:after="0" w:line="171" w:lineRule="exact"/>
        <w:rPr>
          <w:sz w:val="20"/>
          <w:szCs w:val="20"/>
          <w:color w:val="auto"/>
        </w:rPr>
      </w:pPr>
    </w:p>
    <w:p>
      <w:pPr>
        <w:ind w:right="3119"/>
        <w:spacing w:after="0" w:line="265" w:lineRule="auto"/>
        <w:rPr>
          <w:sz w:val="20"/>
          <w:szCs w:val="20"/>
          <w:color w:val="auto"/>
        </w:rPr>
      </w:pPr>
      <w:r>
        <w:rPr>
          <w:rFonts w:ascii="Courier New" w:cs="Courier New" w:eastAsia="Courier New" w:hAnsi="Courier New"/>
          <w:sz w:val="14"/>
          <w:szCs w:val="14"/>
          <w:color w:val="auto"/>
        </w:rPr>
        <w:t>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and, if applicable, Article Fourteen,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2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1303.</w:t>
      </w:r>
      <w:r>
        <w:rPr>
          <w:sz w:val="20"/>
          <w:szCs w:val="20"/>
          <w:color w:val="auto"/>
        </w:rPr>
        <w:tab/>
      </w:r>
      <w:r>
        <w:rPr>
          <w:rFonts w:ascii="Courier New" w:cs="Courier New" w:eastAsia="Courier New" w:hAnsi="Courier New"/>
          <w:sz w:val="14"/>
          <w:szCs w:val="14"/>
          <w:color w:val="auto"/>
        </w:rPr>
        <w:t>Covenant Defeasance.</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Upon the Company's exercise of its option (if any) to have this Section applied to any Securities or any series of Securities, as the case may be, (1) the Company shall be released from its obligations under Sections 1006 through 1009, inclusive, and any covenants provided pursuant to Section 301(19), 901(2) or 901(7) for the benefit of the Holders of such Securities and (2) the occurrence of any event specified in Sections 501(4), Sections 1006 through 1009, inclusive, and any such covenants provided pursuant to Section 301(19), 901(2) or 901(7))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w:t>
      </w:r>
    </w:p>
    <w:p>
      <w:pPr>
        <w:spacing w:after="0" w:line="8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05" w:right="1440" w:bottom="1440" w:gutter="0" w:footer="0" w:header="0"/>
        </w:sectPr>
      </w:pPr>
    </w:p>
    <w:bookmarkStart w:id="97" w:name="page98"/>
    <w:bookmarkEnd w:id="97"/>
    <w:p>
      <w:pPr>
        <w:ind w:left="9" w:right="3119"/>
        <w:spacing w:after="0" w:line="263" w:lineRule="auto"/>
        <w:rPr>
          <w:sz w:val="20"/>
          <w:szCs w:val="20"/>
          <w:color w:val="auto"/>
        </w:rPr>
      </w:pPr>
      <w:r>
        <w:rPr>
          <w:rFonts w:ascii="Courier New" w:cs="Courier New" w:eastAsia="Courier New" w:hAnsi="Courier New"/>
          <w:sz w:val="15"/>
          <w:szCs w:val="15"/>
          <w:color w:val="auto"/>
        </w:rPr>
        <w:t>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77" w:lineRule="exact"/>
        <w:rPr>
          <w:sz w:val="20"/>
          <w:szCs w:val="20"/>
          <w:color w:val="auto"/>
        </w:rPr>
      </w:pPr>
    </w:p>
    <w:p>
      <w:pPr>
        <w:ind w:left="9"/>
        <w:spacing w:after="0"/>
        <w:tabs>
          <w:tab w:leader="none" w:pos="1309" w:val="left"/>
        </w:tabs>
        <w:rPr>
          <w:sz w:val="20"/>
          <w:szCs w:val="20"/>
          <w:color w:val="auto"/>
        </w:rPr>
      </w:pPr>
      <w:r>
        <w:rPr>
          <w:rFonts w:ascii="Courier New" w:cs="Courier New" w:eastAsia="Courier New" w:hAnsi="Courier New"/>
          <w:sz w:val="15"/>
          <w:szCs w:val="15"/>
          <w:color w:val="auto"/>
        </w:rPr>
        <w:t>SECTION 1304.</w:t>
      </w:r>
      <w:r>
        <w:rPr>
          <w:sz w:val="20"/>
          <w:szCs w:val="20"/>
          <w:color w:val="auto"/>
        </w:rPr>
        <w:tab/>
      </w:r>
      <w:r>
        <w:rPr>
          <w:rFonts w:ascii="Courier New" w:cs="Courier New" w:eastAsia="Courier New" w:hAnsi="Courier New"/>
          <w:sz w:val="14"/>
          <w:szCs w:val="14"/>
          <w:color w:val="auto"/>
        </w:rPr>
        <w:t>Conditions to Defeasance or Covenant Defeasance.</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The following shall be the conditions to the application of Section 1302 or</w:t>
      </w:r>
    </w:p>
    <w:p>
      <w:pPr>
        <w:spacing w:after="0" w:line="38"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Section 1303 to any Securities or any series of Securities, as the case may be:</w:t>
      </w:r>
    </w:p>
    <w:p>
      <w:pPr>
        <w:spacing w:after="0" w:line="157" w:lineRule="exact"/>
        <w:rPr>
          <w:sz w:val="20"/>
          <w:szCs w:val="20"/>
          <w:color w:val="auto"/>
        </w:rPr>
      </w:pPr>
    </w:p>
    <w:p>
      <w:pPr>
        <w:ind w:left="9" w:right="3119" w:firstLine="435"/>
        <w:spacing w:after="0" w:line="264" w:lineRule="auto"/>
        <w:tabs>
          <w:tab w:leader="none" w:pos="896"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w:t>
      </w:r>
    </w:p>
    <w:p>
      <w:pPr>
        <w:spacing w:after="0" w:line="3" w:lineRule="exact"/>
        <w:rPr>
          <w:rFonts w:ascii="Courier New" w:cs="Courier New" w:eastAsia="Courier New" w:hAnsi="Courier New"/>
          <w:sz w:val="14"/>
          <w:szCs w:val="14"/>
          <w:color w:val="auto"/>
        </w:rPr>
      </w:pPr>
    </w:p>
    <w:p>
      <w:pPr>
        <w:jc w:val="both"/>
        <w:ind w:left="9" w:right="3119" w:hanging="9"/>
        <w:spacing w:after="0" w:line="258" w:lineRule="auto"/>
        <w:tabs>
          <w:tab w:leader="none" w:pos="364"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 Obligations which through the scheduled payment of principal and interest in respect thereof in accordance with their terms will provide, not later than one day before the due date of any payment, money in an amount, or</w:t>
      </w:r>
    </w:p>
    <w:p>
      <w:pPr>
        <w:ind w:left="349" w:hanging="349"/>
        <w:spacing w:after="0"/>
        <w:tabs>
          <w:tab w:leader="none" w:pos="34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combination thereof, in each case sufficient, in the opinion of a</w:t>
      </w:r>
    </w:p>
    <w:p>
      <w:pPr>
        <w:ind w:left="9" w:right="31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96" w:lineRule="exact"/>
        <w:rPr>
          <w:rFonts w:ascii="Courier New" w:cs="Courier New" w:eastAsia="Courier New" w:hAnsi="Courier New"/>
          <w:sz w:val="15"/>
          <w:szCs w:val="15"/>
          <w:color w:val="auto"/>
        </w:rPr>
      </w:pPr>
    </w:p>
    <w:p>
      <w:pPr>
        <w:ind w:left="9" w:right="3119" w:firstLine="435"/>
        <w:spacing w:after="0" w:line="263" w:lineRule="auto"/>
        <w:tabs>
          <w:tab w:leader="none" w:pos="896"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w:t>
      </w:r>
    </w:p>
    <w:p>
      <w:pPr>
        <w:spacing w:after="0" w:line="7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8"/>
          </w:cols>
          <w:pgMar w:left="231" w:top="605" w:right="1440" w:bottom="1440" w:gutter="0" w:footer="0" w:header="0"/>
        </w:sectPr>
      </w:pPr>
    </w:p>
    <w:bookmarkStart w:id="98" w:name="page99"/>
    <w:bookmarkEnd w:id="98"/>
    <w:p>
      <w:pPr>
        <w:ind w:right="3119"/>
        <w:spacing w:after="0" w:line="259" w:lineRule="auto"/>
        <w:rPr>
          <w:sz w:val="20"/>
          <w:szCs w:val="20"/>
          <w:color w:val="auto"/>
        </w:rPr>
      </w:pPr>
      <w:r>
        <w:rPr>
          <w:rFonts w:ascii="Courier New" w:cs="Courier New" w:eastAsia="Courier New" w:hAnsi="Courier New"/>
          <w:sz w:val="15"/>
          <w:szCs w:val="15"/>
          <w:color w:val="auto"/>
        </w:rPr>
        <w:t>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82" w:lineRule="exact"/>
        <w:rPr>
          <w:sz w:val="20"/>
          <w:szCs w:val="20"/>
          <w:color w:val="auto"/>
        </w:rPr>
      </w:pPr>
    </w:p>
    <w:p>
      <w:pPr>
        <w:ind w:right="3119" w:firstLine="435"/>
        <w:spacing w:after="0" w:line="257" w:lineRule="auto"/>
        <w:tabs>
          <w:tab w:leader="none" w:pos="8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80"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66" w:lineRule="exact"/>
        <w:rPr>
          <w:rFonts w:ascii="Courier New" w:cs="Courier New" w:eastAsia="Courier New" w:hAnsi="Courier New"/>
          <w:sz w:val="15"/>
          <w:szCs w:val="15"/>
          <w:color w:val="auto"/>
        </w:rPr>
      </w:pPr>
    </w:p>
    <w:p>
      <w:pPr>
        <w:ind w:right="3119" w:firstLine="435"/>
        <w:spacing w:after="0" w:line="285" w:lineRule="auto"/>
        <w:tabs>
          <w:tab w:leader="none" w:pos="88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501(5) and (6), at any time on or prior to the 90th day after the date of such deposit (it being understood that this condition shall not be deemed satisfied until after such 90th day).</w:t>
      </w:r>
    </w:p>
    <w:p>
      <w:pPr>
        <w:spacing w:after="0" w:line="64" w:lineRule="exact"/>
        <w:rPr>
          <w:rFonts w:ascii="Courier New" w:cs="Courier New" w:eastAsia="Courier New" w:hAnsi="Courier New"/>
          <w:sz w:val="14"/>
          <w:szCs w:val="14"/>
          <w:color w:val="auto"/>
        </w:rPr>
      </w:pPr>
    </w:p>
    <w:p>
      <w:pPr>
        <w:ind w:right="3219" w:firstLine="435"/>
        <w:spacing w:after="0" w:line="297" w:lineRule="auto"/>
        <w:tabs>
          <w:tab w:leader="none" w:pos="8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cause the Trustee to have a conflicting interest within the meaning of the Trust Indenture Act (assuming all Securities are in default within the meaning of such Act).</w:t>
      </w:r>
    </w:p>
    <w:p>
      <w:pPr>
        <w:spacing w:after="0" w:line="51" w:lineRule="exact"/>
        <w:rPr>
          <w:rFonts w:ascii="Courier New" w:cs="Courier New" w:eastAsia="Courier New" w:hAnsi="Courier New"/>
          <w:sz w:val="15"/>
          <w:szCs w:val="15"/>
          <w:color w:val="auto"/>
        </w:rPr>
      </w:pPr>
    </w:p>
    <w:p>
      <w:pPr>
        <w:ind w:right="3119" w:firstLine="435"/>
        <w:spacing w:after="0" w:line="297" w:lineRule="auto"/>
        <w:tabs>
          <w:tab w:leader="none" w:pos="8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a breach or violation of, or constitute a default under, any other agreement or instrument to which the Company is a party or by which it is bound.</w:t>
      </w:r>
    </w:p>
    <w:p>
      <w:pPr>
        <w:spacing w:after="0" w:line="51"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66" w:lineRule="exact"/>
        <w:rPr>
          <w:rFonts w:ascii="Courier New" w:cs="Courier New" w:eastAsia="Courier New" w:hAnsi="Courier New"/>
          <w:sz w:val="15"/>
          <w:szCs w:val="15"/>
          <w:color w:val="auto"/>
        </w:rPr>
      </w:pPr>
    </w:p>
    <w:p>
      <w:pPr>
        <w:ind w:right="3659" w:firstLine="435"/>
        <w:spacing w:after="0" w:line="278" w:lineRule="auto"/>
        <w:tabs>
          <w:tab w:leader="none" w:pos="8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66" w:lineRule="exact"/>
        <w:rPr>
          <w:sz w:val="20"/>
          <w:szCs w:val="20"/>
          <w:color w:val="auto"/>
        </w:rPr>
      </w:pPr>
    </w:p>
    <w:p>
      <w:pPr>
        <w:ind w:right="3479"/>
        <w:spacing w:after="0" w:line="353" w:lineRule="auto"/>
        <w:rPr>
          <w:sz w:val="20"/>
          <w:szCs w:val="20"/>
          <w:color w:val="auto"/>
        </w:rPr>
      </w:pPr>
      <w:r>
        <w:rPr>
          <w:rFonts w:ascii="Courier New" w:cs="Courier New" w:eastAsia="Courier New" w:hAnsi="Courier New"/>
          <w:sz w:val="15"/>
          <w:szCs w:val="15"/>
          <w:color w:val="auto"/>
        </w:rPr>
        <w:t>SECTION 1305. Deposited Money and U.S. Government Obligations to Be Held in Trust; Miscellaneous Provisions.</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05" w:right="1440" w:bottom="1440" w:gutter="0" w:footer="0" w:header="0"/>
        </w:sectPr>
      </w:pPr>
    </w:p>
    <w:bookmarkStart w:id="99" w:name="page100"/>
    <w:bookmarkEnd w:id="99"/>
    <w:p>
      <w:pPr>
        <w:ind w:right="3119" w:firstLine="444"/>
        <w:spacing w:after="0" w:line="251" w:lineRule="auto"/>
        <w:rPr>
          <w:sz w:val="20"/>
          <w:szCs w:val="20"/>
          <w:color w:val="auto"/>
        </w:rPr>
      </w:pPr>
      <w:r>
        <w:rPr>
          <w:rFonts w:ascii="Courier New" w:cs="Courier New" w:eastAsia="Courier New" w:hAnsi="Courier New"/>
          <w:sz w:val="15"/>
          <w:szCs w:val="15"/>
          <w:color w:val="auto"/>
        </w:rPr>
        <w:t>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86"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7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8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1306.</w:t>
      </w:r>
      <w:r>
        <w:rPr>
          <w:sz w:val="20"/>
          <w:szCs w:val="20"/>
          <w:color w:val="auto"/>
        </w:rPr>
        <w:tab/>
      </w:r>
      <w:r>
        <w:rPr>
          <w:rFonts w:ascii="Courier New" w:cs="Courier New" w:eastAsia="Courier New" w:hAnsi="Courier New"/>
          <w:sz w:val="14"/>
          <w:szCs w:val="14"/>
          <w:color w:val="auto"/>
        </w:rPr>
        <w:t>Reinstatement.</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9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05" w:right="1440" w:bottom="1440" w:gutter="0" w:footer="0" w:header="0"/>
        </w:sectPr>
      </w:pPr>
    </w:p>
    <w:bookmarkStart w:id="100" w:name="page101"/>
    <w:bookmarkEnd w:id="100"/>
    <w:p>
      <w:pPr>
        <w:ind w:left="2740"/>
        <w:spacing w:after="0"/>
        <w:rPr>
          <w:sz w:val="20"/>
          <w:szCs w:val="20"/>
          <w:color w:val="auto"/>
        </w:rPr>
      </w:pPr>
      <w:r>
        <w:rPr>
          <w:rFonts w:ascii="Courier New" w:cs="Courier New" w:eastAsia="Courier New" w:hAnsi="Courier New"/>
          <w:sz w:val="15"/>
          <w:szCs w:val="15"/>
          <w:color w:val="auto"/>
        </w:rPr>
        <w:t>ARTICLE FOURTEEN</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CONVERSION OF SECURITIES.</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1401.</w:t>
      </w:r>
      <w:r>
        <w:rPr>
          <w:sz w:val="20"/>
          <w:szCs w:val="20"/>
          <w:color w:val="auto"/>
        </w:rPr>
        <w:tab/>
      </w:r>
      <w:r>
        <w:rPr>
          <w:rFonts w:ascii="Courier New" w:cs="Courier New" w:eastAsia="Courier New" w:hAnsi="Courier New"/>
          <w:sz w:val="14"/>
          <w:szCs w:val="14"/>
          <w:color w:val="auto"/>
        </w:rPr>
        <w:t>Applicability of Article.</w:t>
      </w:r>
    </w:p>
    <w:p>
      <w:pPr>
        <w:spacing w:after="0" w:line="171" w:lineRule="exact"/>
        <w:rPr>
          <w:sz w:val="20"/>
          <w:szCs w:val="20"/>
          <w:color w:val="auto"/>
        </w:rPr>
      </w:pPr>
    </w:p>
    <w:p>
      <w:pPr>
        <w:jc w:val="both"/>
        <w:ind w:right="3119" w:firstLine="444"/>
        <w:spacing w:after="0" w:line="269" w:lineRule="auto"/>
        <w:rPr>
          <w:sz w:val="20"/>
          <w:szCs w:val="20"/>
          <w:color w:val="auto"/>
        </w:rPr>
      </w:pPr>
      <w:r>
        <w:rPr>
          <w:rFonts w:ascii="Courier New" w:cs="Courier New" w:eastAsia="Courier New" w:hAnsi="Courier New"/>
          <w:sz w:val="15"/>
          <w:szCs w:val="15"/>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301 for the Securities of such series.</w:t>
      </w:r>
    </w:p>
    <w:p>
      <w:pPr>
        <w:spacing w:after="0" w:line="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1402.</w:t>
      </w:r>
      <w:r>
        <w:rPr>
          <w:sz w:val="20"/>
          <w:szCs w:val="20"/>
          <w:color w:val="auto"/>
        </w:rPr>
        <w:tab/>
      </w:r>
      <w:r>
        <w:rPr>
          <w:rFonts w:ascii="Courier New" w:cs="Courier New" w:eastAsia="Courier New" w:hAnsi="Courier New"/>
          <w:sz w:val="14"/>
          <w:szCs w:val="14"/>
          <w:color w:val="auto"/>
        </w:rPr>
        <w:t>Exercise of Conversion Privilege.</w:t>
      </w:r>
    </w:p>
    <w:p>
      <w:pPr>
        <w:spacing w:after="0" w:line="171"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In order to exercise a conversion privilege, the Holder of a Security of a series with such a privilege shall surrender such Security to the Company at the office or agency maintained for that purpose pursuant to Section 1002, accompanied by a duly executed conversion notice to the Company substantially in the form set forth in Section 206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registered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registered Holder notwithstanding the conversion of such Security, subject to the provisions of Section 307 relating to the payment of Defaulted Interest by the Company. As promptly as practicable after the receipt of such notice and of any payment required pursuant to a Board Resolution and, subject to Section 303,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w:t>
      </w: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04" w:right="1440" w:bottom="1440" w:gutter="0" w:footer="0" w:header="0"/>
        </w:sectPr>
      </w:pPr>
    </w:p>
    <w:bookmarkStart w:id="101" w:name="page102"/>
    <w:bookmarkEnd w:id="101"/>
    <w:p>
      <w:pPr>
        <w:ind w:right="3119"/>
        <w:spacing w:after="0" w:line="267" w:lineRule="auto"/>
        <w:rPr>
          <w:sz w:val="20"/>
          <w:szCs w:val="20"/>
          <w:color w:val="auto"/>
        </w:rPr>
      </w:pPr>
      <w:r>
        <w:rPr>
          <w:rFonts w:ascii="Courier New" w:cs="Courier New" w:eastAsia="Courier New" w:hAnsi="Courier New"/>
          <w:sz w:val="14"/>
          <w:szCs w:val="14"/>
          <w:color w:val="auto"/>
        </w:rPr>
        <w:t>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307,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78"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5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1403.</w:t>
      </w:r>
      <w:r>
        <w:rPr>
          <w:sz w:val="20"/>
          <w:szCs w:val="20"/>
          <w:color w:val="auto"/>
        </w:rPr>
        <w:tab/>
      </w:r>
      <w:r>
        <w:rPr>
          <w:rFonts w:ascii="Courier New" w:cs="Courier New" w:eastAsia="Courier New" w:hAnsi="Courier New"/>
          <w:sz w:val="14"/>
          <w:szCs w:val="14"/>
          <w:color w:val="auto"/>
        </w:rPr>
        <w:t>No Fractional Shares.</w:t>
      </w:r>
    </w:p>
    <w:p>
      <w:pPr>
        <w:spacing w:after="0" w:line="171" w:lineRule="exact"/>
        <w:rPr>
          <w:sz w:val="20"/>
          <w:szCs w:val="20"/>
          <w:color w:val="auto"/>
        </w:rPr>
      </w:pPr>
    </w:p>
    <w:p>
      <w:pPr>
        <w:ind w:right="3119" w:firstLine="444"/>
        <w:spacing w:after="0" w:line="245" w:lineRule="auto"/>
        <w:rPr>
          <w:sz w:val="20"/>
          <w:szCs w:val="20"/>
          <w:color w:val="auto"/>
        </w:rPr>
      </w:pPr>
      <w:r>
        <w:rPr>
          <w:rFonts w:ascii="Courier New" w:cs="Courier New" w:eastAsia="Courier New" w:hAnsi="Courier New"/>
          <w:sz w:val="15"/>
          <w:szCs w:val="15"/>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1403,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Nasdaq National Market, or if the Common Stock is not traded on the Nasdaq National Market, on the principal exchange or market on which the Common Stock is traded or quoted.</w:t>
      </w:r>
    </w:p>
    <w:p>
      <w:pPr>
        <w:spacing w:after="0" w:line="9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05" w:right="1440" w:bottom="1440" w:gutter="0" w:footer="0" w:header="0"/>
        </w:sectPr>
      </w:pPr>
    </w:p>
    <w:bookmarkStart w:id="102" w:name="page103"/>
    <w:bookmarkEnd w:id="102"/>
    <w:p>
      <w:pPr>
        <w:spacing w:after="0"/>
        <w:tabs>
          <w:tab w:leader="none" w:pos="1300" w:val="left"/>
        </w:tabs>
        <w:rPr>
          <w:sz w:val="20"/>
          <w:szCs w:val="20"/>
          <w:color w:val="auto"/>
        </w:rPr>
      </w:pPr>
      <w:r>
        <w:rPr>
          <w:rFonts w:ascii="Courier New" w:cs="Courier New" w:eastAsia="Courier New" w:hAnsi="Courier New"/>
          <w:sz w:val="15"/>
          <w:szCs w:val="15"/>
          <w:color w:val="auto"/>
        </w:rPr>
        <w:t>SECTION 1404.</w:t>
      </w:r>
      <w:r>
        <w:rPr>
          <w:sz w:val="20"/>
          <w:szCs w:val="20"/>
          <w:color w:val="auto"/>
        </w:rPr>
        <w:tab/>
      </w:r>
      <w:r>
        <w:rPr>
          <w:rFonts w:ascii="Courier New" w:cs="Courier New" w:eastAsia="Courier New" w:hAnsi="Courier New"/>
          <w:sz w:val="14"/>
          <w:szCs w:val="14"/>
          <w:color w:val="auto"/>
        </w:rPr>
        <w:t>Adjustment of Conversion Price.</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conversion price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w:t>
      </w:r>
    </w:p>
    <w:p>
      <w:pPr>
        <w:spacing w:after="0" w:line="72"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Whenever the conversion price is adjusted, the Company shall compute the adjusted conversion price in accordance with terms of the applicable Board Resolution or supplemental indenture and shall prepare an Officers' Certificate setting forth the adjusted conversion price and showing in reasonable detail the facts upon which such adjustment is based, and such certificate shall forthwith be filed at each office or agency maintained for the purpose of conversion of Securities pursuant to Section 1002 and, if different, with the Trustee. The Company shall forthwith cause a notice setting forth the adjusted conversion price to be mailed, first class postage prepaid, to each Holder of Securities of such series at its address appearing on the Security Register and to any conversion agent other than the Trustee.</w:t>
      </w:r>
    </w:p>
    <w:p>
      <w:pPr>
        <w:spacing w:after="0" w:line="8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1405.</w:t>
      </w:r>
      <w:r>
        <w:rPr>
          <w:sz w:val="20"/>
          <w:szCs w:val="20"/>
          <w:color w:val="auto"/>
        </w:rPr>
        <w:tab/>
      </w:r>
      <w:r>
        <w:rPr>
          <w:rFonts w:ascii="Courier New" w:cs="Courier New" w:eastAsia="Courier New" w:hAnsi="Courier New"/>
          <w:sz w:val="14"/>
          <w:szCs w:val="14"/>
          <w:color w:val="auto"/>
        </w:rPr>
        <w:t>Notice of Certain Corporate Actions.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case:</w:t>
      </w:r>
    </w:p>
    <w:p>
      <w:pPr>
        <w:spacing w:after="0" w:line="171" w:lineRule="exact"/>
        <w:rPr>
          <w:sz w:val="20"/>
          <w:szCs w:val="20"/>
          <w:color w:val="auto"/>
        </w:rPr>
      </w:pPr>
    </w:p>
    <w:p>
      <w:pPr>
        <w:ind w:right="3219" w:firstLine="435"/>
        <w:spacing w:after="0" w:line="278" w:lineRule="auto"/>
        <w:tabs>
          <w:tab w:leader="none" w:pos="8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1404; or</w:t>
      </w:r>
    </w:p>
    <w:p>
      <w:pPr>
        <w:spacing w:after="0" w:line="66" w:lineRule="exact"/>
        <w:rPr>
          <w:rFonts w:ascii="Courier New" w:cs="Courier New" w:eastAsia="Courier New" w:hAnsi="Courier New"/>
          <w:sz w:val="15"/>
          <w:szCs w:val="15"/>
          <w:color w:val="auto"/>
        </w:rPr>
      </w:pPr>
    </w:p>
    <w:p>
      <w:pPr>
        <w:ind w:right="3119" w:firstLine="435"/>
        <w:spacing w:after="0" w:line="269" w:lineRule="auto"/>
        <w:tabs>
          <w:tab w:leader="none" w:pos="8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71" w:lineRule="exact"/>
        <w:rPr>
          <w:rFonts w:ascii="Courier New" w:cs="Courier New" w:eastAsia="Courier New" w:hAnsi="Courier New"/>
          <w:sz w:val="15"/>
          <w:szCs w:val="15"/>
          <w:color w:val="auto"/>
        </w:rPr>
      </w:pPr>
    </w:p>
    <w:p>
      <w:pPr>
        <w:ind w:right="3119" w:firstLine="435"/>
        <w:spacing w:after="0" w:line="269" w:lineRule="auto"/>
        <w:tabs>
          <w:tab w:leader="none" w:pos="8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71" w:lineRule="exact"/>
        <w:rPr>
          <w:rFonts w:ascii="Courier New" w:cs="Courier New" w:eastAsia="Courier New" w:hAnsi="Courier New"/>
          <w:sz w:val="15"/>
          <w:szCs w:val="15"/>
          <w:color w:val="auto"/>
        </w:rPr>
      </w:pPr>
    </w:p>
    <w:p>
      <w:pPr>
        <w:ind w:right="3119" w:firstLine="435"/>
        <w:spacing w:after="0" w:line="257" w:lineRule="auto"/>
        <w:tabs>
          <w:tab w:leader="none" w:pos="8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 up of the Company; 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 (i) the date on which a record is to be taken for the purpose of such dividend, distribution, rights, options or warrants, or, if a record is not to be taken, the date as of which the</w:t>
      </w:r>
    </w:p>
    <w:p>
      <w:pPr>
        <w:spacing w:after="0" w:line="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05" w:right="1440" w:bottom="1440" w:gutter="0" w:footer="0" w:header="0"/>
        </w:sectPr>
      </w:pPr>
    </w:p>
    <w:bookmarkStart w:id="103" w:name="page104"/>
    <w:bookmarkEnd w:id="103"/>
    <w:p>
      <w:pPr>
        <w:ind w:right="3119"/>
        <w:spacing w:after="0" w:line="253" w:lineRule="auto"/>
        <w:rPr>
          <w:sz w:val="20"/>
          <w:szCs w:val="20"/>
          <w:color w:val="auto"/>
        </w:rPr>
      </w:pPr>
      <w:r>
        <w:rPr>
          <w:rFonts w:ascii="Courier New" w:cs="Courier New" w:eastAsia="Courier New" w:hAnsi="Courier New"/>
          <w:sz w:val="15"/>
          <w:szCs w:val="15"/>
          <w:color w:val="auto"/>
        </w:rPr>
        <w:t>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8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1406.</w:t>
      </w:r>
      <w:r>
        <w:rPr>
          <w:sz w:val="20"/>
          <w:szCs w:val="20"/>
          <w:color w:val="auto"/>
        </w:rPr>
        <w:tab/>
      </w:r>
      <w:r>
        <w:rPr>
          <w:rFonts w:ascii="Courier New" w:cs="Courier New" w:eastAsia="Courier New" w:hAnsi="Courier New"/>
          <w:sz w:val="14"/>
          <w:szCs w:val="14"/>
          <w:color w:val="auto"/>
        </w:rPr>
        <w:t>Reservation of Shares of Common Stock.</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1407.</w:t>
      </w:r>
      <w:r>
        <w:rPr>
          <w:sz w:val="20"/>
          <w:szCs w:val="20"/>
          <w:color w:val="auto"/>
        </w:rPr>
        <w:tab/>
      </w:r>
      <w:r>
        <w:rPr>
          <w:rFonts w:ascii="Courier New" w:cs="Courier New" w:eastAsia="Courier New" w:hAnsi="Courier New"/>
          <w:sz w:val="14"/>
          <w:szCs w:val="14"/>
          <w:color w:val="auto"/>
        </w:rPr>
        <w:t>Payment of Certain Taxes Upon Conversion.</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8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1408.</w:t>
      </w:r>
      <w:r>
        <w:rPr>
          <w:sz w:val="20"/>
          <w:szCs w:val="20"/>
          <w:color w:val="auto"/>
        </w:rPr>
        <w:tab/>
      </w:r>
      <w:r>
        <w:rPr>
          <w:rFonts w:ascii="Courier New" w:cs="Courier New" w:eastAsia="Courier New" w:hAnsi="Courier New"/>
          <w:sz w:val="14"/>
          <w:szCs w:val="14"/>
          <w:color w:val="auto"/>
        </w:rPr>
        <w:t>Nonassessability.</w:t>
      </w:r>
    </w:p>
    <w:p>
      <w:pPr>
        <w:spacing w:after="0" w:line="171" w:lineRule="exact"/>
        <w:rPr>
          <w:sz w:val="20"/>
          <w:szCs w:val="20"/>
          <w:color w:val="auto"/>
        </w:rPr>
      </w:pPr>
    </w:p>
    <w:p>
      <w:pPr>
        <w:jc w:val="both"/>
        <w:ind w:right="3579" w:firstLine="444"/>
        <w:spacing w:after="0" w:line="326" w:lineRule="auto"/>
        <w:rPr>
          <w:sz w:val="20"/>
          <w:szCs w:val="20"/>
          <w:color w:val="auto"/>
        </w:rPr>
      </w:pPr>
      <w:r>
        <w:rPr>
          <w:rFonts w:ascii="Courier New" w:cs="Courier New" w:eastAsia="Courier New" w:hAnsi="Courier New"/>
          <w:sz w:val="14"/>
          <w:szCs w:val="14"/>
          <w:color w:val="auto"/>
        </w:rPr>
        <w:t>The Company covenants that all shares of its Common Stock which may be issued upon conversion of Securities will upon issue in accordance with the terms hereof be duly and validly issued and fully paid and nonassessable.</w:t>
      </w:r>
    </w:p>
    <w:p>
      <w:pPr>
        <w:spacing w:after="0" w:line="3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1409.</w:t>
      </w:r>
      <w:r>
        <w:rPr>
          <w:sz w:val="20"/>
          <w:szCs w:val="20"/>
          <w:color w:val="auto"/>
        </w:rPr>
        <w:tab/>
      </w:r>
      <w:r>
        <w:rPr>
          <w:rFonts w:ascii="Courier New" w:cs="Courier New" w:eastAsia="Courier New" w:hAnsi="Courier New"/>
          <w:sz w:val="14"/>
          <w:szCs w:val="14"/>
          <w:color w:val="auto"/>
        </w:rPr>
        <w:t>Provision in Case of Consolidation, Merger or Sale of Assets.</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w:t>
      </w:r>
    </w:p>
    <w:p>
      <w:pPr>
        <w:spacing w:after="0" w:line="8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05" w:right="1440" w:bottom="1440" w:gutter="0" w:footer="0" w:header="0"/>
        </w:sectPr>
      </w:pPr>
    </w:p>
    <w:bookmarkStart w:id="104" w:name="page105"/>
    <w:bookmarkEnd w:id="104"/>
    <w:p>
      <w:pPr>
        <w:ind w:right="3119"/>
        <w:spacing w:after="0" w:line="262" w:lineRule="auto"/>
        <w:rPr>
          <w:sz w:val="20"/>
          <w:szCs w:val="20"/>
          <w:color w:val="auto"/>
        </w:rPr>
      </w:pPr>
      <w:r>
        <w:rPr>
          <w:rFonts w:ascii="Courier New" w:cs="Courier New" w:eastAsia="Courier New" w:hAnsi="Courier New"/>
          <w:sz w:val="14"/>
          <w:szCs w:val="14"/>
          <w:color w:val="auto"/>
        </w:rPr>
        <w:t>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1409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1409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106 promptly upon such execution.</w:t>
      </w:r>
    </w:p>
    <w:p>
      <w:pPr>
        <w:spacing w:after="0" w:line="200" w:lineRule="exact"/>
        <w:rPr>
          <w:sz w:val="20"/>
          <w:szCs w:val="20"/>
          <w:color w:val="auto"/>
        </w:rPr>
      </w:pPr>
    </w:p>
    <w:p>
      <w:pPr>
        <w:spacing w:after="0" w:line="240"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8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1410.</w:t>
      </w:r>
      <w:r>
        <w:rPr>
          <w:sz w:val="20"/>
          <w:szCs w:val="20"/>
          <w:color w:val="auto"/>
        </w:rPr>
        <w:tab/>
      </w:r>
      <w:r>
        <w:rPr>
          <w:rFonts w:ascii="Courier New" w:cs="Courier New" w:eastAsia="Courier New" w:hAnsi="Courier New"/>
          <w:sz w:val="14"/>
          <w:szCs w:val="14"/>
          <w:color w:val="auto"/>
        </w:rPr>
        <w:t>Duties of Trustee Regarding Conversion.</w:t>
      </w:r>
    </w:p>
    <w:p>
      <w:pPr>
        <w:spacing w:after="0" w:line="171"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w:t>
      </w:r>
    </w:p>
    <w:p>
      <w:pPr>
        <w:spacing w:after="0" w:line="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05" w:right="1440" w:bottom="1440" w:gutter="0" w:footer="0" w:header="0"/>
        </w:sectPr>
      </w:pPr>
    </w:p>
    <w:bookmarkStart w:id="105" w:name="page106"/>
    <w:bookmarkEnd w:id="105"/>
    <w:p>
      <w:pPr>
        <w:ind w:right="3119"/>
        <w:spacing w:after="0" w:line="251" w:lineRule="auto"/>
        <w:rPr>
          <w:sz w:val="20"/>
          <w:szCs w:val="20"/>
          <w:color w:val="auto"/>
        </w:rPr>
      </w:pPr>
      <w:r>
        <w:rPr>
          <w:rFonts w:ascii="Courier New" w:cs="Courier New" w:eastAsia="Courier New" w:hAnsi="Courier New"/>
          <w:sz w:val="15"/>
          <w:szCs w:val="15"/>
          <w:color w:val="auto"/>
        </w:rPr>
        <w:t>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601,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Fourteen or in the applicable supplemental indenture, resolutions of the Board of Directors or written instrument executed by one or more duly authorized officers of the Company.</w:t>
      </w:r>
    </w:p>
    <w:p>
      <w:pPr>
        <w:spacing w:after="0" w:line="8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1411.</w:t>
      </w:r>
      <w:r>
        <w:rPr>
          <w:sz w:val="20"/>
          <w:szCs w:val="20"/>
          <w:color w:val="auto"/>
        </w:rPr>
        <w:tab/>
      </w:r>
      <w:r>
        <w:rPr>
          <w:rFonts w:ascii="Courier New" w:cs="Courier New" w:eastAsia="Courier New" w:hAnsi="Courier New"/>
          <w:sz w:val="14"/>
          <w:szCs w:val="14"/>
          <w:color w:val="auto"/>
        </w:rPr>
        <w:t>Repayment of Certain Funds Upon Conversion.</w:t>
      </w:r>
    </w:p>
    <w:p>
      <w:pPr>
        <w:spacing w:after="0" w:line="171"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Twelve and funds deposited pursuant to Article Thirteen hereof) and which shall not be required for such purposes because of the conversion of such Securities as provided in this Article Fourteen shall after such conversion be repaid to the Company by the Trustee upon the Company's written request.</w:t>
      </w:r>
    </w:p>
    <w:p>
      <w:pPr>
        <w:spacing w:after="0" w:line="8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This instrument may be executed in any number of counterparts, each of which so executed shall be deemed to be an original, but all such counterparts shall together constitute but one and the same instrument.</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05" w:right="1440" w:bottom="1440" w:gutter="0" w:footer="0" w:header="0"/>
        </w:sectPr>
      </w:pPr>
    </w:p>
    <w:bookmarkStart w:id="106" w:name="page107"/>
    <w:bookmarkEnd w:id="106"/>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as of the day and year first above written.</w:t>
      </w:r>
    </w:p>
    <w:p>
      <w:pPr>
        <w:spacing w:after="0" w:line="18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MICRON TECHNOLOGY, INC.</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By:______________________________________________</w:t>
      </w:r>
    </w:p>
    <w:p>
      <w:pPr>
        <w:spacing w:after="0" w:line="3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w:t>
      </w:r>
    </w:p>
    <w:p>
      <w:pPr>
        <w:spacing w:after="0" w:line="14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NORWEST BANK MINNESOTA, NATIONAL ASSOCIATION, as</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Trustee</w:t>
      </w:r>
    </w:p>
    <w:p>
      <w:pPr>
        <w:spacing w:after="0" w:line="316"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By:______________________________________________</w:t>
      </w:r>
    </w:p>
    <w:p>
      <w:pPr>
        <w:spacing w:after="0" w:line="3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8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05" w:right="1440" w:bottom="1440" w:gutter="0" w:footer="0" w:header="0"/>
        </w:sectPr>
      </w:pPr>
    </w:p>
    <w:bookmarkStart w:id="107" w:name="page108"/>
    <w:bookmarkEnd w:id="107"/>
    <w:p>
      <w:pPr>
        <w:jc w:val="right"/>
        <w:ind w:right="3119"/>
        <w:spacing w:after="0"/>
        <w:rPr>
          <w:sz w:val="20"/>
          <w:szCs w:val="20"/>
          <w:color w:val="auto"/>
        </w:rPr>
      </w:pPr>
      <w:r>
        <w:rPr>
          <w:rFonts w:ascii="Courier New" w:cs="Courier New" w:eastAsia="Courier New" w:hAnsi="Courier New"/>
          <w:sz w:val="15"/>
          <w:szCs w:val="15"/>
          <w:color w:val="auto"/>
        </w:rPr>
        <w:t>Exhibit 4.2</w:t>
      </w:r>
    </w:p>
    <w:p>
      <w:pPr>
        <w:spacing w:after="0" w:line="200" w:lineRule="exact"/>
        <w:rPr>
          <w:sz w:val="20"/>
          <w:szCs w:val="20"/>
          <w:color w:val="auto"/>
        </w:rPr>
      </w:pPr>
    </w:p>
    <w:p>
      <w:pPr>
        <w:spacing w:after="0" w:line="31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to</w:t>
      </w:r>
    </w:p>
    <w:p>
      <w:pPr>
        <w:spacing w:after="0" w:line="17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Norwest Bank Minnesota, National Association,</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as Trustee</w:t>
      </w:r>
    </w:p>
    <w:p>
      <w:pPr>
        <w:spacing w:after="0" w:line="171"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Indenture</w:t>
      </w:r>
    </w:p>
    <w:p>
      <w:pPr>
        <w:spacing w:after="0" w:line="171"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Dated as of _______, 200__</w:t>
      </w:r>
    </w:p>
    <w:p>
      <w:pPr>
        <w:spacing w:after="0" w:line="17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Subordinated Debt Securities</w:t>
      </w:r>
    </w:p>
    <w:p>
      <w:pPr>
        <w:sectPr>
          <w:pgSz w:w="11900" w:h="16838" w:orient="portrait"/>
          <w:cols w:equalWidth="0" w:num="1">
            <w:col w:w="9019"/>
          </w:cols>
          <w:pgMar w:left="1440" w:top="457"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9"/>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340" w:type="dxa"/>
            <w:vAlign w:val="bottom"/>
          </w:tcPr>
          <w:p>
            <w:pPr>
              <w:jc w:val="right"/>
              <w:ind w:right="3546"/>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21"/>
                <w:szCs w:val="21"/>
                <w:color w:val="auto"/>
              </w:rPr>
            </w:pPr>
          </w:p>
        </w:tc>
      </w:tr>
      <w:tr>
        <w:trPr>
          <w:trHeight w:val="604"/>
        </w:trPr>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249"/>
        </w:trPr>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7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ARTICLE ONE DEFINITIONS AND OTHER PROVISIONS OF GENERAL APPLICATION......................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Compliance Certificates and Opinions...................................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Documents Delivered to Trustee.................................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Acts of Holders; Record Dates..........................................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Notices, Etc...........................................................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Notice to Holders; Waiver..............................................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Conflict with Trust Indenture Act......................................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Effect of Headings and Table of Contents...............................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Successors and Assigns.................................................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Separability Clause....................................................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Benefits of Indenture..................................................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Governing Law..........................................................</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Legal Holidays.........................................................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Indenture and Securities Solely Corporate Obligations..................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41"/>
        </w:trPr>
        <w:tc>
          <w:tcPr>
            <w:tcW w:w="7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ARTICLE TWO SECURITY FORMS...............................................................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Forms Generally........................................................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Face of Security...............................................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Reverse of Security............................................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Legend for Global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Trustee's Certificate of Authentication........................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Form of Conversion Notice..............................................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41"/>
        </w:trPr>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ARTICLE THREE THE</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Amount Unlimited; Issuable in Series...................................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Denominations..........................................................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303.</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Execution, Authentication, Delivery and Dating.........................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Temporary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Registration; Registration of Transfer and Exchange....................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Mutilated, Destroyed, Lost and Stolen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Payment of Interest; Interest Rights Preserved.........................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Persons Deemed Owners..................................................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Cancellation...........................................................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Computation of 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FOUR</w:t>
            </w:r>
          </w:p>
        </w:tc>
        <w:tc>
          <w:tcPr>
            <w:tcW w:w="6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SATISFACTION AND DISCHARGE..................................................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Satisfaction and Discharge of Indenture................................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402.</w:t>
            </w:r>
          </w:p>
        </w:tc>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Application of Trust Money.............................................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FIVE</w:t>
            </w:r>
          </w:p>
        </w:tc>
        <w:tc>
          <w:tcPr>
            <w:tcW w:w="6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REMEDIES....................................................................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05"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Events of Default.........................................................................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502.</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Acceleration of Maturity; Rescission and Annulment........................................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Collection of Indebtedness and Suits for Enforcement by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Trustee May File Proofs of Claim..........................................................</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Trustee May Enforce Claims Without Possession of Securities...............................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Application of Money Collected............................................................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507.</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Limitation on Suits.......................................................................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508.</w:t>
            </w:r>
          </w:p>
        </w:tc>
        <w:tc>
          <w:tcPr>
            <w:tcW w:w="84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Unconditional Right of Holders to Receive Principal, Premium and Interest and to Convert..  37</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509.</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Restoration of Rights and Remedies........................................................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Rights and Remedies Cumulative............................................................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Delay or Omission Not Waiver..............................................................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Control by Holders........................................................................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Waiver of Past Defaults...................................................................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514.</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Undertaking for Costs.....................................................................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515.</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Waiver of Usury, Stay or Extension Laws...................................................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41"/>
        </w:trPr>
        <w:tc>
          <w:tcPr>
            <w:tcW w:w="96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ARTICLE SIX THE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601.</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Certain Duties and Responsibilities.......................................................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602.</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Notice of Defaults........................................................................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603.</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Certain Rights of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604.</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Not Responsible for Recitals or Issuance of Securities....................................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May Hold Securities and Act as Trustee Under Other Indentures.............................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Money Held in Trust.......................................................................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Compensation and Reimbursement............................................................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Conflicting Interests.....................................................................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609.</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Corporate Trustee Required; Eligibility...................................................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Resignation and Removal; Appointment of Successor.........................................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Acceptance of Appointment by Successor....................................................</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Merger, Conversion, Consolidation or Succession to Business...............................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Preferential Collection of Claims Against Company.........................................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Appointment of Authenticating Agent.......................................................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1"/>
        </w:trPr>
        <w:tc>
          <w:tcPr>
            <w:tcW w:w="96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ARTICLE SEVEN HOLDERS' LISTS AND REPORTS BY TRUSTEE AND COMPANY.............................................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Company to Furnish Trustee Names and Addresses of Holders.................................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702.</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Preservation of Information; Communications to Holders....................................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703.</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Reports by Trustee........................................................................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Reports by Company........................................................................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341"/>
        </w:trPr>
        <w:tc>
          <w:tcPr>
            <w:tcW w:w="96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ARTICLE EIGHT CONSOLIDATION, MERGER, CONVEYANCE, TRANSFER OR LEASE..........................................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263"/>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801.</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Company May Consolidate, Etc..............................................................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249"/>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802.</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Successor Substituted.....................................................................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ARTICLE NINE</w:t>
            </w:r>
          </w:p>
        </w:tc>
        <w:tc>
          <w:tcPr>
            <w:tcW w:w="85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SUPPLEMENTAL INDENTURES........................................................................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341"/>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c>
          <w:tcPr>
            <w:tcW w:w="8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Supplemental Indentures Without Consent of Holders........................................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bl>
    <w:p>
      <w:pPr>
        <w:spacing w:after="0" w:line="2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946" w:right="1440" w:bottom="1440" w:gutter="0" w:footer="0" w:header="0"/>
        </w:sectPr>
      </w:pPr>
    </w:p>
    <w:bookmarkStart w:id="110" w:name="page111"/>
    <w:bookmarkEnd w:id="110"/>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902. Supplemental Indentures With Consent of Holders</w:t>
      </w:r>
      <w:r>
        <w:rPr>
          <w:sz w:val="20"/>
          <w:szCs w:val="20"/>
          <w:color w:val="auto"/>
        </w:rPr>
        <w:tab/>
      </w:r>
      <w:r>
        <w:rPr>
          <w:rFonts w:ascii="Courier New" w:cs="Courier New" w:eastAsia="Courier New" w:hAnsi="Courier New"/>
          <w:sz w:val="15"/>
          <w:szCs w:val="15"/>
          <w:color w:val="auto"/>
        </w:rPr>
        <w:t>51</w:t>
      </w:r>
    </w:p>
    <w:p>
      <w:pPr>
        <w:spacing w:after="0" w:line="27"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903. Execution of Supplemental Indentures</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904. Effect of Supplemental Indentures</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905. Conformity with Trust Indenture Act</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906. Reference in Securities to Supplemental Indentures</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907. Subordination Unimpaired</w:t>
      </w:r>
      <w:r>
        <w:rPr>
          <w:sz w:val="20"/>
          <w:szCs w:val="20"/>
          <w:color w:val="auto"/>
        </w:rPr>
        <w:tab/>
      </w:r>
      <w:r>
        <w:rPr>
          <w:rFonts w:ascii="Courier New" w:cs="Courier New" w:eastAsia="Courier New" w:hAnsi="Courier New"/>
          <w:sz w:val="15"/>
          <w:szCs w:val="15"/>
          <w:color w:val="auto"/>
        </w:rPr>
        <w:t>53</w:t>
      </w:r>
    </w:p>
    <w:p>
      <w:pPr>
        <w:spacing w:after="0" w:line="145" w:lineRule="exact"/>
        <w:rPr>
          <w:sz w:val="20"/>
          <w:szCs w:val="20"/>
          <w:color w:val="auto"/>
        </w:rPr>
      </w:pPr>
    </w:p>
    <w:p>
      <w:pPr>
        <w:spacing w:after="0"/>
        <w:tabs>
          <w:tab w:leader="dot" w:pos="7960" w:val="left"/>
        </w:tabs>
        <w:rPr>
          <w:sz w:val="20"/>
          <w:szCs w:val="20"/>
          <w:color w:val="auto"/>
        </w:rPr>
      </w:pPr>
      <w:r>
        <w:rPr>
          <w:rFonts w:ascii="Courier New" w:cs="Courier New" w:eastAsia="Courier New" w:hAnsi="Courier New"/>
          <w:sz w:val="15"/>
          <w:szCs w:val="15"/>
          <w:color w:val="auto"/>
        </w:rPr>
        <w:t>ARTICLE TEN COVENANTS</w:t>
      </w:r>
      <w:r>
        <w:rPr>
          <w:sz w:val="20"/>
          <w:szCs w:val="20"/>
          <w:color w:val="auto"/>
        </w:rPr>
        <w:tab/>
      </w:r>
      <w:r>
        <w:rPr>
          <w:rFonts w:ascii="Courier New" w:cs="Courier New" w:eastAsia="Courier New" w:hAnsi="Courier New"/>
          <w:sz w:val="15"/>
          <w:szCs w:val="15"/>
          <w:color w:val="auto"/>
        </w:rPr>
        <w:t>53</w:t>
      </w:r>
    </w:p>
    <w:p>
      <w:pPr>
        <w:spacing w:after="0" w:line="17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1001. Payment of Principal, Premium and Interest</w:t>
      </w:r>
      <w:r>
        <w:rPr>
          <w:sz w:val="20"/>
          <w:szCs w:val="20"/>
          <w:color w:val="auto"/>
        </w:rPr>
        <w:tab/>
      </w:r>
      <w:r>
        <w:rPr>
          <w:rFonts w:ascii="Courier New" w:cs="Courier New" w:eastAsia="Courier New" w:hAnsi="Courier New"/>
          <w:sz w:val="15"/>
          <w:szCs w:val="15"/>
          <w:color w:val="auto"/>
        </w:rPr>
        <w:t>53</w:t>
      </w:r>
    </w:p>
    <w:p>
      <w:pPr>
        <w:spacing w:after="0" w:line="27"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1002. Maintenance of Office or Agency</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1003. Money for Securities Payments to Be Held in Trust</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1004. Statement by Officers as to Default</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1005. Existence</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1006. Maintenance of Properties</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1007. Payment of Taxes and Other Claims</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1008. Waiver of Certain Covenants</w:t>
      </w:r>
      <w:r>
        <w:rPr>
          <w:sz w:val="20"/>
          <w:szCs w:val="20"/>
          <w:color w:val="auto"/>
        </w:rPr>
        <w:tab/>
      </w:r>
      <w:r>
        <w:rPr>
          <w:rFonts w:ascii="Courier New" w:cs="Courier New" w:eastAsia="Courier New" w:hAnsi="Courier New"/>
          <w:sz w:val="15"/>
          <w:szCs w:val="15"/>
          <w:color w:val="auto"/>
        </w:rPr>
        <w:t>55</w:t>
      </w:r>
    </w:p>
    <w:p>
      <w:pPr>
        <w:spacing w:after="0" w:line="145" w:lineRule="exact"/>
        <w:rPr>
          <w:sz w:val="20"/>
          <w:szCs w:val="20"/>
          <w:color w:val="auto"/>
        </w:rPr>
      </w:pPr>
    </w:p>
    <w:p>
      <w:pPr>
        <w:spacing w:after="0"/>
        <w:tabs>
          <w:tab w:leader="dot" w:pos="7960" w:val="left"/>
        </w:tabs>
        <w:rPr>
          <w:sz w:val="20"/>
          <w:szCs w:val="20"/>
          <w:color w:val="auto"/>
        </w:rPr>
      </w:pPr>
      <w:r>
        <w:rPr>
          <w:rFonts w:ascii="Courier New" w:cs="Courier New" w:eastAsia="Courier New" w:hAnsi="Courier New"/>
          <w:sz w:val="15"/>
          <w:szCs w:val="15"/>
          <w:color w:val="auto"/>
        </w:rPr>
        <w:t>ARTICLE ELEVEN REDEMPTION OF SECURITIES</w:t>
      </w:r>
      <w:r>
        <w:rPr>
          <w:sz w:val="20"/>
          <w:szCs w:val="20"/>
          <w:color w:val="auto"/>
        </w:rPr>
        <w:tab/>
      </w:r>
      <w:r>
        <w:rPr>
          <w:rFonts w:ascii="Courier New" w:cs="Courier New" w:eastAsia="Courier New" w:hAnsi="Courier New"/>
          <w:sz w:val="15"/>
          <w:szCs w:val="15"/>
          <w:color w:val="auto"/>
        </w:rPr>
        <w:t>56</w:t>
      </w:r>
    </w:p>
    <w:p>
      <w:pPr>
        <w:spacing w:after="0" w:line="17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1101. Applicability of Article</w:t>
      </w:r>
      <w:r>
        <w:rPr>
          <w:sz w:val="20"/>
          <w:szCs w:val="20"/>
          <w:color w:val="auto"/>
        </w:rPr>
        <w:tab/>
      </w:r>
      <w:r>
        <w:rPr>
          <w:rFonts w:ascii="Courier New" w:cs="Courier New" w:eastAsia="Courier New" w:hAnsi="Courier New"/>
          <w:sz w:val="15"/>
          <w:szCs w:val="15"/>
          <w:color w:val="auto"/>
        </w:rPr>
        <w:t>56</w:t>
      </w:r>
    </w:p>
    <w:p>
      <w:pPr>
        <w:spacing w:after="0" w:line="27"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1102. Election to Redeem; Notice to Trustee</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1103. Selection by Trustee of Securities to Be Redeemed</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1104. Notice of Redemption</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1105. Deposit of Redemption Price</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1106. Securities Payable on Redemption Date</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1107. Securities Redeemed in Part</w:t>
      </w:r>
      <w:r>
        <w:rPr>
          <w:sz w:val="20"/>
          <w:szCs w:val="20"/>
          <w:color w:val="auto"/>
        </w:rPr>
        <w:tab/>
      </w:r>
      <w:r>
        <w:rPr>
          <w:rFonts w:ascii="Courier New" w:cs="Courier New" w:eastAsia="Courier New" w:hAnsi="Courier New"/>
          <w:sz w:val="15"/>
          <w:szCs w:val="15"/>
          <w:color w:val="auto"/>
        </w:rPr>
        <w:t>58</w:t>
      </w:r>
    </w:p>
    <w:p>
      <w:pPr>
        <w:spacing w:after="0" w:line="145" w:lineRule="exact"/>
        <w:rPr>
          <w:sz w:val="20"/>
          <w:szCs w:val="20"/>
          <w:color w:val="auto"/>
        </w:rPr>
      </w:pPr>
    </w:p>
    <w:p>
      <w:pPr>
        <w:spacing w:after="0"/>
        <w:tabs>
          <w:tab w:leader="dot" w:pos="7960" w:val="left"/>
        </w:tabs>
        <w:rPr>
          <w:sz w:val="20"/>
          <w:szCs w:val="20"/>
          <w:color w:val="auto"/>
        </w:rPr>
      </w:pPr>
      <w:r>
        <w:rPr>
          <w:rFonts w:ascii="Courier New" w:cs="Courier New" w:eastAsia="Courier New" w:hAnsi="Courier New"/>
          <w:sz w:val="15"/>
          <w:szCs w:val="15"/>
          <w:color w:val="auto"/>
        </w:rPr>
        <w:t>ARTICLE TWELVE SINKING FUNDS</w:t>
      </w:r>
      <w:r>
        <w:rPr>
          <w:sz w:val="20"/>
          <w:szCs w:val="20"/>
          <w:color w:val="auto"/>
        </w:rPr>
        <w:tab/>
      </w:r>
      <w:r>
        <w:rPr>
          <w:rFonts w:ascii="Courier New" w:cs="Courier New" w:eastAsia="Courier New" w:hAnsi="Courier New"/>
          <w:sz w:val="15"/>
          <w:szCs w:val="15"/>
          <w:color w:val="auto"/>
        </w:rPr>
        <w:t>59</w:t>
      </w:r>
    </w:p>
    <w:p>
      <w:pPr>
        <w:spacing w:after="0" w:line="17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1201. Applicability of Article</w:t>
      </w:r>
      <w:r>
        <w:rPr>
          <w:sz w:val="20"/>
          <w:szCs w:val="20"/>
          <w:color w:val="auto"/>
        </w:rPr>
        <w:tab/>
      </w:r>
      <w:r>
        <w:rPr>
          <w:rFonts w:ascii="Courier New" w:cs="Courier New" w:eastAsia="Courier New" w:hAnsi="Courier New"/>
          <w:sz w:val="15"/>
          <w:szCs w:val="15"/>
          <w:color w:val="auto"/>
        </w:rPr>
        <w:t>59</w:t>
      </w:r>
    </w:p>
    <w:p>
      <w:pPr>
        <w:spacing w:after="0" w:line="27"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1202. Satisfaction of Sinking Fund Payments with Securities</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1203. Redemption of Securities for Sinking Fund</w:t>
      </w:r>
      <w:r>
        <w:rPr>
          <w:sz w:val="20"/>
          <w:szCs w:val="20"/>
          <w:color w:val="auto"/>
        </w:rPr>
        <w:tab/>
      </w:r>
      <w:r>
        <w:rPr>
          <w:rFonts w:ascii="Courier New" w:cs="Courier New" w:eastAsia="Courier New" w:hAnsi="Courier New"/>
          <w:sz w:val="15"/>
          <w:szCs w:val="15"/>
          <w:color w:val="auto"/>
        </w:rPr>
        <w:t>59</w:t>
      </w:r>
    </w:p>
    <w:p>
      <w:pPr>
        <w:spacing w:after="0" w:line="145" w:lineRule="exact"/>
        <w:rPr>
          <w:sz w:val="20"/>
          <w:szCs w:val="20"/>
          <w:color w:val="auto"/>
        </w:rPr>
      </w:pPr>
    </w:p>
    <w:p>
      <w:pPr>
        <w:spacing w:after="0"/>
        <w:tabs>
          <w:tab w:leader="dot" w:pos="7960" w:val="left"/>
        </w:tabs>
        <w:rPr>
          <w:sz w:val="20"/>
          <w:szCs w:val="20"/>
          <w:color w:val="auto"/>
        </w:rPr>
      </w:pPr>
      <w:r>
        <w:rPr>
          <w:rFonts w:ascii="Courier New" w:cs="Courier New" w:eastAsia="Courier New" w:hAnsi="Courier New"/>
          <w:sz w:val="15"/>
          <w:szCs w:val="15"/>
          <w:color w:val="auto"/>
        </w:rPr>
        <w:t>ARTICLE THIRTEEN DEFEASANCE AND COVENANT DEFEASANCE</w:t>
      </w:r>
      <w:r>
        <w:rPr>
          <w:sz w:val="20"/>
          <w:szCs w:val="20"/>
          <w:color w:val="auto"/>
        </w:rPr>
        <w:tab/>
      </w:r>
      <w:r>
        <w:rPr>
          <w:rFonts w:ascii="Courier New" w:cs="Courier New" w:eastAsia="Courier New" w:hAnsi="Courier New"/>
          <w:sz w:val="15"/>
          <w:szCs w:val="15"/>
          <w:color w:val="auto"/>
        </w:rPr>
        <w:t>60</w:t>
      </w:r>
    </w:p>
    <w:p>
      <w:pPr>
        <w:spacing w:after="0" w:line="17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1301. Company's Option to Effect Defeasance or Covenant Defeasance</w:t>
      </w:r>
      <w:r>
        <w:rPr>
          <w:sz w:val="20"/>
          <w:szCs w:val="20"/>
          <w:color w:val="auto"/>
        </w:rPr>
        <w:tab/>
      </w:r>
      <w:r>
        <w:rPr>
          <w:rFonts w:ascii="Courier New" w:cs="Courier New" w:eastAsia="Courier New" w:hAnsi="Courier New"/>
          <w:sz w:val="15"/>
          <w:szCs w:val="15"/>
          <w:color w:val="auto"/>
        </w:rPr>
        <w:t>60</w:t>
      </w:r>
    </w:p>
    <w:p>
      <w:pPr>
        <w:spacing w:after="0" w:line="27"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1302. Defeasance and Discharge</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1303. Covenant Defeasance</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1304. Conditions to Defeasance or Covenant Defeasance</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1305. Deposited Money and U</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1306. Reinstatement</w:t>
      </w:r>
      <w:r>
        <w:rPr>
          <w:sz w:val="20"/>
          <w:szCs w:val="20"/>
          <w:color w:val="auto"/>
        </w:rPr>
        <w:tab/>
      </w:r>
      <w:r>
        <w:rPr>
          <w:rFonts w:ascii="Courier New" w:cs="Courier New" w:eastAsia="Courier New" w:hAnsi="Courier New"/>
          <w:sz w:val="15"/>
          <w:szCs w:val="15"/>
          <w:color w:val="auto"/>
        </w:rPr>
        <w:t>64</w:t>
      </w:r>
    </w:p>
    <w:p>
      <w:pPr>
        <w:spacing w:after="0" w:line="145" w:lineRule="exact"/>
        <w:rPr>
          <w:sz w:val="20"/>
          <w:szCs w:val="20"/>
          <w:color w:val="auto"/>
        </w:rPr>
      </w:pPr>
    </w:p>
    <w:p>
      <w:pPr>
        <w:spacing w:after="0"/>
        <w:tabs>
          <w:tab w:leader="dot" w:pos="7960" w:val="left"/>
        </w:tabs>
        <w:rPr>
          <w:sz w:val="20"/>
          <w:szCs w:val="20"/>
          <w:color w:val="auto"/>
        </w:rPr>
      </w:pPr>
      <w:r>
        <w:rPr>
          <w:rFonts w:ascii="Courier New" w:cs="Courier New" w:eastAsia="Courier New" w:hAnsi="Courier New"/>
          <w:sz w:val="15"/>
          <w:szCs w:val="15"/>
          <w:color w:val="auto"/>
        </w:rPr>
        <w:t>ARTICLE FOURTEEN CONVERSION OF SECURITIES</w:t>
      </w:r>
      <w:r>
        <w:rPr>
          <w:sz w:val="20"/>
          <w:szCs w:val="20"/>
          <w:color w:val="auto"/>
        </w:rPr>
        <w:tab/>
      </w:r>
      <w:r>
        <w:rPr>
          <w:rFonts w:ascii="Courier New" w:cs="Courier New" w:eastAsia="Courier New" w:hAnsi="Courier New"/>
          <w:sz w:val="15"/>
          <w:szCs w:val="15"/>
          <w:color w:val="auto"/>
        </w:rPr>
        <w:t>64</w:t>
      </w:r>
    </w:p>
    <w:p>
      <w:pPr>
        <w:spacing w:after="0" w:line="17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1401. Applicability of Article</w:t>
      </w:r>
      <w:r>
        <w:rPr>
          <w:sz w:val="20"/>
          <w:szCs w:val="20"/>
          <w:color w:val="auto"/>
        </w:rPr>
        <w:tab/>
      </w:r>
      <w:r>
        <w:rPr>
          <w:rFonts w:ascii="Courier New" w:cs="Courier New" w:eastAsia="Courier New" w:hAnsi="Courier New"/>
          <w:sz w:val="15"/>
          <w:szCs w:val="15"/>
          <w:color w:val="auto"/>
        </w:rPr>
        <w:t>64</w:t>
      </w:r>
    </w:p>
    <w:p>
      <w:pPr>
        <w:spacing w:after="0" w:line="27"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1402. Exercise of Conversion Privilege</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1403. No Fractional Shares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1404. Adjustment of Conversion Price</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1405. Notice of Certain Corporate Actions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ind w:left="440"/>
        <w:spacing w:after="0"/>
        <w:tabs>
          <w:tab w:leader="dot" w:pos="7960" w:val="left"/>
        </w:tabs>
        <w:rPr>
          <w:sz w:val="20"/>
          <w:szCs w:val="20"/>
          <w:color w:val="auto"/>
        </w:rPr>
      </w:pPr>
      <w:r>
        <w:rPr>
          <w:rFonts w:ascii="Courier New" w:cs="Courier New" w:eastAsia="Courier New" w:hAnsi="Courier New"/>
          <w:sz w:val="15"/>
          <w:szCs w:val="15"/>
          <w:color w:val="auto"/>
        </w:rPr>
        <w:t>SECTION 1406. Reservation of Shares of Common Stock</w:t>
      </w:r>
      <w:r>
        <w:rPr>
          <w:sz w:val="20"/>
          <w:szCs w:val="20"/>
          <w:color w:val="auto"/>
        </w:rPr>
        <w:tab/>
      </w:r>
      <w:r>
        <w:rPr>
          <w:rFonts w:ascii="Courier New" w:cs="Courier New" w:eastAsia="Courier New" w:hAnsi="Courier New"/>
          <w:sz w:val="15"/>
          <w:szCs w:val="15"/>
          <w:color w:val="auto"/>
        </w:rPr>
        <w:t>67</w:t>
      </w:r>
    </w:p>
    <w:p>
      <w:pPr>
        <w:spacing w:after="0" w:line="31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946" w:right="1440" w:bottom="1440" w:gutter="0" w:footer="0" w:header="0"/>
        </w:sectPr>
      </w:pPr>
    </w:p>
    <w:bookmarkStart w:id="111" w:name="page112"/>
    <w:bookmarkEnd w:id="111"/>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1407. Payment of Certain Taxes Upon Conversion</w:t>
      </w:r>
      <w:r>
        <w:rPr>
          <w:sz w:val="20"/>
          <w:szCs w:val="20"/>
          <w:color w:val="auto"/>
        </w:rPr>
        <w:tab/>
      </w:r>
      <w:r>
        <w:rPr>
          <w:rFonts w:ascii="Courier New" w:cs="Courier New" w:eastAsia="Courier New" w:hAnsi="Courier New"/>
          <w:sz w:val="15"/>
          <w:szCs w:val="15"/>
          <w:color w:val="auto"/>
        </w:rPr>
        <w:t>67</w:t>
      </w:r>
    </w:p>
    <w:p>
      <w:pPr>
        <w:spacing w:after="0" w:line="27"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1408. Nonassessability</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1409. Provision in Case of Consolidation, Merger or Sale of Assets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1410. Duties of Trustee Regarding Conversion</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1411. Repayment of Certain Funds Upon Conversion</w:t>
      </w:r>
      <w:r>
        <w:rPr>
          <w:sz w:val="20"/>
          <w:szCs w:val="20"/>
          <w:color w:val="auto"/>
        </w:rPr>
        <w:tab/>
      </w:r>
      <w:r>
        <w:rPr>
          <w:rFonts w:ascii="Courier New" w:cs="Courier New" w:eastAsia="Courier New" w:hAnsi="Courier New"/>
          <w:sz w:val="15"/>
          <w:szCs w:val="15"/>
          <w:color w:val="auto"/>
        </w:rPr>
        <w:t>69</w:t>
      </w:r>
    </w:p>
    <w:p>
      <w:pPr>
        <w:spacing w:after="0" w:line="145" w:lineRule="exact"/>
        <w:rPr>
          <w:sz w:val="20"/>
          <w:szCs w:val="20"/>
          <w:color w:val="auto"/>
        </w:rPr>
      </w:pPr>
    </w:p>
    <w:p>
      <w:pPr>
        <w:spacing w:after="0"/>
        <w:tabs>
          <w:tab w:leader="dot" w:pos="9740" w:val="left"/>
        </w:tabs>
        <w:rPr>
          <w:sz w:val="20"/>
          <w:szCs w:val="20"/>
          <w:color w:val="auto"/>
        </w:rPr>
      </w:pPr>
      <w:r>
        <w:rPr>
          <w:rFonts w:ascii="Courier New" w:cs="Courier New" w:eastAsia="Courier New" w:hAnsi="Courier New"/>
          <w:sz w:val="15"/>
          <w:szCs w:val="15"/>
          <w:color w:val="auto"/>
        </w:rPr>
        <w:t>ARTICLE FIFTEEN SUBORDINATION OF SECURITIES</w:t>
      </w:r>
      <w:r>
        <w:rPr>
          <w:sz w:val="20"/>
          <w:szCs w:val="20"/>
          <w:color w:val="auto"/>
        </w:rPr>
        <w:tab/>
      </w:r>
      <w:r>
        <w:rPr>
          <w:rFonts w:ascii="Courier New" w:cs="Courier New" w:eastAsia="Courier New" w:hAnsi="Courier New"/>
          <w:sz w:val="15"/>
          <w:szCs w:val="15"/>
          <w:color w:val="auto"/>
        </w:rPr>
        <w:t>70</w:t>
      </w:r>
    </w:p>
    <w:p>
      <w:pPr>
        <w:spacing w:after="0" w:line="17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1501. Securities Subordinate to Senior Indebtedness</w:t>
      </w:r>
      <w:r>
        <w:rPr>
          <w:sz w:val="20"/>
          <w:szCs w:val="20"/>
          <w:color w:val="auto"/>
        </w:rPr>
        <w:tab/>
      </w:r>
      <w:r>
        <w:rPr>
          <w:rFonts w:ascii="Courier New" w:cs="Courier New" w:eastAsia="Courier New" w:hAnsi="Courier New"/>
          <w:sz w:val="15"/>
          <w:szCs w:val="15"/>
          <w:color w:val="auto"/>
        </w:rPr>
        <w:t>70</w:t>
      </w:r>
    </w:p>
    <w:p>
      <w:pPr>
        <w:spacing w:after="0" w:line="27"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1502. Payment Over of Proceeds Upon Dissolution, Etc</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1503. Prior Payment to Senior Indebtedness Upon Acceleration of Securities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1504. No Payment in Certain Circumstances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1505. Payment Permitted If No Default</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1506. Subrogation to Rights of Holders of Senior Indebtedness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1507. Provisions Solely to Define Relative Rights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1508. Trustee to Effectuate Subordination</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1509. No Waiver of Subordination Provisions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1510. Notice to Trustee</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1511. Reliance on Judicial Order or Certificate of Liquidating Agent</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1512. Trustee Not Fiduciary for Holders of Senior Indebtedness</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1513. Rights of Trustee as Holder of Senior Indebtedness; Preservation of Trustee's Rights</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1514. Article Applicable to Paying Agents</w:t>
      </w:r>
      <w:r>
        <w:rPr>
          <w:sz w:val="20"/>
          <w:szCs w:val="20"/>
          <w:color w:val="auto"/>
        </w:rPr>
        <w:tab/>
      </w:r>
      <w:r>
        <w:rPr>
          <w:rFonts w:ascii="Courier New" w:cs="Courier New" w:eastAsia="Courier New" w:hAnsi="Courier New"/>
          <w:sz w:val="15"/>
          <w:szCs w:val="15"/>
          <w:color w:val="auto"/>
        </w:rPr>
        <w:t>76</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1515. Certain Conversions Deemed Payment</w:t>
      </w:r>
      <w:r>
        <w:rPr>
          <w:sz w:val="20"/>
          <w:szCs w:val="20"/>
          <w:color w:val="auto"/>
        </w:rPr>
        <w:tab/>
      </w:r>
      <w:r>
        <w:rPr>
          <w:rFonts w:ascii="Courier New" w:cs="Courier New" w:eastAsia="Courier New" w:hAnsi="Courier New"/>
          <w:sz w:val="15"/>
          <w:szCs w:val="15"/>
          <w:color w:val="auto"/>
        </w:rPr>
        <w:t>77</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1516. Obligations of Company and Right to Convert Unconditional</w:t>
      </w:r>
      <w:r>
        <w:rPr>
          <w:sz w:val="20"/>
          <w:szCs w:val="20"/>
          <w:color w:val="auto"/>
        </w:rPr>
        <w:tab/>
      </w:r>
      <w:r>
        <w:rPr>
          <w:rFonts w:ascii="Courier New" w:cs="Courier New" w:eastAsia="Courier New" w:hAnsi="Courier New"/>
          <w:sz w:val="15"/>
          <w:szCs w:val="15"/>
          <w:color w:val="auto"/>
        </w:rPr>
        <w:t>77</w:t>
      </w:r>
    </w:p>
    <w:p>
      <w:pPr>
        <w:spacing w:after="0" w:line="1" w:lineRule="exact"/>
        <w:rPr>
          <w:sz w:val="20"/>
          <w:szCs w:val="20"/>
          <w:color w:val="auto"/>
        </w:rPr>
      </w:pPr>
    </w:p>
    <w:p>
      <w:pPr>
        <w:ind w:left="440"/>
        <w:spacing w:after="0"/>
        <w:tabs>
          <w:tab w:leader="dot" w:pos="9740" w:val="left"/>
        </w:tabs>
        <w:rPr>
          <w:sz w:val="20"/>
          <w:szCs w:val="20"/>
          <w:color w:val="auto"/>
        </w:rPr>
      </w:pPr>
      <w:r>
        <w:rPr>
          <w:rFonts w:ascii="Courier New" w:cs="Courier New" w:eastAsia="Courier New" w:hAnsi="Courier New"/>
          <w:sz w:val="15"/>
          <w:szCs w:val="15"/>
          <w:color w:val="auto"/>
        </w:rPr>
        <w:t>SECTION 1517. Reliance by Holders of Senior Indebtedness on Subordination Provisions</w:t>
      </w:r>
      <w:r>
        <w:rPr>
          <w:sz w:val="20"/>
          <w:szCs w:val="20"/>
          <w:color w:val="auto"/>
        </w:rPr>
        <w:tab/>
      </w:r>
      <w:r>
        <w:rPr>
          <w:rFonts w:ascii="Courier New" w:cs="Courier New" w:eastAsia="Courier New" w:hAnsi="Courier New"/>
          <w:sz w:val="15"/>
          <w:szCs w:val="15"/>
          <w:color w:val="auto"/>
        </w:rPr>
        <w:t>77</w:t>
      </w: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946" w:right="1440" w:bottom="1440" w:gutter="0" w:footer="0" w:header="0"/>
        </w:sectPr>
      </w:pPr>
    </w:p>
    <w:bookmarkStart w:id="112" w:name="page113"/>
    <w:bookmarkEnd w:id="112"/>
    <w:p>
      <w:pPr>
        <w:ind w:left="440"/>
        <w:spacing w:after="0"/>
        <w:rPr>
          <w:sz w:val="20"/>
          <w:szCs w:val="20"/>
          <w:color w:val="auto"/>
        </w:rPr>
      </w:pPr>
      <w:r>
        <w:rPr>
          <w:rFonts w:ascii="Courier New" w:cs="Courier New" w:eastAsia="Courier New" w:hAnsi="Courier New"/>
          <w:sz w:val="15"/>
          <w:szCs w:val="15"/>
          <w:color w:val="auto"/>
        </w:rPr>
        <w:t>INDENTURE, dated as of ________, 200_, between Micron Technology, Inc., a</w:t>
      </w:r>
    </w:p>
    <w:p>
      <w:pPr>
        <w:spacing w:after="0" w:line="27"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5"/>
          <w:szCs w:val="15"/>
          <w:color w:val="auto"/>
        </w:rPr>
        <w:t>corporation duly organized and existing under the laws of the State of Delaware (herein called the "Company"), having its principal executive office at 8000 South Federal Way, P.O. Box 6, Boise, Idaho 83707-0006, and Norwest Bank Minnesota, National Association, a national banking association duly organized and existing under the laws of the United States of America, as Trustee (herein called the "Trustee").</w:t>
      </w:r>
    </w:p>
    <w:p>
      <w:pPr>
        <w:spacing w:after="0" w:line="8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RECITALS OF THE COMPANY</w:t>
      </w:r>
    </w:p>
    <w:p>
      <w:pPr>
        <w:spacing w:after="0" w:line="171"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52"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All things necessary to make this Indenture a valid agreement of the Company, in accordance with its terms, have been done.</w:t>
      </w:r>
    </w:p>
    <w:p>
      <w:pPr>
        <w:spacing w:after="0" w:line="1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ONE</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DEFINITIONS AND OTHER PROVISIONS OF GENERAL APPLICATION</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Definitions.</w:t>
      </w:r>
    </w:p>
    <w:p>
      <w:pPr>
        <w:spacing w:after="0" w:line="17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For all purposes of this Indenture, except as otherwise expressly provided or unless the context otherwise requires:</w:t>
      </w:r>
    </w:p>
    <w:p>
      <w:pPr>
        <w:spacing w:after="0" w:line="12" w:lineRule="exact"/>
        <w:rPr>
          <w:sz w:val="20"/>
          <w:szCs w:val="20"/>
          <w:color w:val="auto"/>
        </w:rPr>
      </w:pPr>
    </w:p>
    <w:p>
      <w:pPr>
        <w:ind w:right="3299" w:firstLine="435"/>
        <w:spacing w:after="0" w:line="353" w:lineRule="auto"/>
        <w:tabs>
          <w:tab w:leader="none" w:pos="8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2" w:lineRule="exact"/>
        <w:rPr>
          <w:rFonts w:ascii="Courier New" w:cs="Courier New" w:eastAsia="Courier New" w:hAnsi="Courier New"/>
          <w:sz w:val="15"/>
          <w:szCs w:val="15"/>
          <w:color w:val="auto"/>
        </w:rPr>
      </w:pPr>
    </w:p>
    <w:p>
      <w:pPr>
        <w:ind w:right="3119" w:firstLine="435"/>
        <w:spacing w:after="0" w:line="297" w:lineRule="auto"/>
        <w:tabs>
          <w:tab w:leader="none" w:pos="8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51"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77" w:lineRule="exact"/>
        <w:rPr>
          <w:rFonts w:ascii="Courier New" w:cs="Courier New" w:eastAsia="Courier New" w:hAnsi="Courier New"/>
          <w:sz w:val="15"/>
          <w:szCs w:val="15"/>
          <w:color w:val="auto"/>
        </w:rPr>
      </w:pPr>
    </w:p>
    <w:p>
      <w:pPr>
        <w:ind w:right="3299" w:firstLine="435"/>
        <w:spacing w:after="0" w:line="297" w:lineRule="auto"/>
        <w:tabs>
          <w:tab w:leader="none" w:pos="887"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otherwise requires, any reference to an "Article" or a "Section" refers to an Article or a Section, as the case may be, of this Indenture; and</w:t>
      </w:r>
    </w:p>
    <w:p>
      <w:pPr>
        <w:sectPr>
          <w:pgSz w:w="11900" w:h="16838" w:orient="portrait"/>
          <w:cols w:equalWidth="0" w:num="1">
            <w:col w:w="10219"/>
          </w:cols>
          <w:pgMar w:left="240" w:top="605" w:right="1440" w:bottom="1440" w:gutter="0" w:footer="0" w:header="0"/>
        </w:sectPr>
      </w:pPr>
    </w:p>
    <w:bookmarkStart w:id="113" w:name="page114"/>
    <w:bookmarkEnd w:id="113"/>
    <w:p>
      <w:pPr>
        <w:ind w:right="3579" w:firstLine="435"/>
        <w:spacing w:after="0" w:line="297" w:lineRule="auto"/>
        <w:tabs>
          <w:tab w:leader="none" w:pos="8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pacing w:after="0" w:line="5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"Act," when used with respect to any Holder, has the meaning specified in Section 104.</w:t>
      </w:r>
    </w:p>
    <w:p>
      <w:pPr>
        <w:spacing w:after="0" w:line="12" w:lineRule="exact"/>
        <w:rPr>
          <w:sz w:val="20"/>
          <w:szCs w:val="20"/>
          <w:color w:val="auto"/>
        </w:rPr>
      </w:pPr>
    </w:p>
    <w:p>
      <w:pPr>
        <w:ind w:right="3399" w:firstLine="444"/>
        <w:spacing w:after="0" w:line="257"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80"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"Authenticating Agent" means any Person authorized by the Trustee pursuant to Section 614 to act on behalf of the Trustee to authenticate Securities of one or more series.</w:t>
      </w:r>
    </w:p>
    <w:p>
      <w:pPr>
        <w:spacing w:after="0" w:line="52"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"Board of Directors" means either the board of directors of the Company or any duly authorized committee of that board empowered to act for it with respect to this Indenture.</w:t>
      </w:r>
    </w:p>
    <w:p>
      <w:pPr>
        <w:spacing w:after="0" w:line="5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66"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66"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72" w:lineRule="exact"/>
        <w:rPr>
          <w:sz w:val="20"/>
          <w:szCs w:val="20"/>
          <w:color w:val="auto"/>
        </w:rPr>
      </w:pPr>
    </w:p>
    <w:p>
      <w:pPr>
        <w:ind w:right="3219" w:firstLine="444"/>
        <w:spacing w:after="0" w:line="268" w:lineRule="auto"/>
        <w:rPr>
          <w:sz w:val="20"/>
          <w:szCs w:val="20"/>
          <w:color w:val="auto"/>
        </w:rPr>
      </w:pPr>
      <w:r>
        <w:rPr>
          <w:rFonts w:ascii="Courier New" w:cs="Courier New" w:eastAsia="Courier New" w:hAnsi="Courier New"/>
          <w:sz w:val="14"/>
          <w:szCs w:val="14"/>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w:t>
      </w:r>
    </w:p>
    <w:p>
      <w:pPr>
        <w:ind w:left="4880"/>
        <w:spacing w:after="0"/>
        <w:tabs>
          <w:tab w:leader="none" w:pos="574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subject to the provisions of Section 1409,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w:t>
      </w:r>
    </w:p>
    <w:p>
      <w:pPr>
        <w:spacing w:after="0" w:line="1" w:lineRule="exact"/>
        <w:rPr>
          <w:sz w:val="20"/>
          <w:szCs w:val="20"/>
          <w:color w:val="auto"/>
        </w:rPr>
      </w:pPr>
    </w:p>
    <w:p>
      <w:pPr>
        <w:ind w:left="4960"/>
        <w:spacing w:after="0"/>
        <w:tabs>
          <w:tab w:leader="none" w:pos="5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5"/>
          <w:szCs w:val="15"/>
          <w:color w:val="auto"/>
        </w:rPr>
        <w:t>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5" w:right="1440" w:bottom="1440" w:gutter="0" w:footer="0" w:header="0"/>
        </w:sectPr>
      </w:pPr>
    </w:p>
    <w:bookmarkStart w:id="114" w:name="page115"/>
    <w:bookmarkEnd w:id="114"/>
    <w:p>
      <w:pPr>
        <w:ind w:right="3479" w:firstLine="444"/>
        <w:spacing w:after="0" w:line="278" w:lineRule="auto"/>
        <w:rPr>
          <w:sz w:val="20"/>
          <w:szCs w:val="20"/>
          <w:color w:val="auto"/>
        </w:rPr>
      </w:pPr>
      <w:r>
        <w:rPr>
          <w:rFonts w:ascii="Courier New" w:cs="Courier New" w:eastAsia="Courier New" w:hAnsi="Courier New"/>
          <w:sz w:val="15"/>
          <w:szCs w:val="15"/>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66"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"Company Request" or "Company Order" means a written request or order signed in the name of the Company by its Chairman of the Board, its Vice Chairman of the Board, its President or a Vice President, and by its principal financial officer, its Treasurer, an Assistant Treasurer, its Secretary or an Assistant Secretary, and delivered to the Trustee.</w:t>
      </w:r>
    </w:p>
    <w:p>
      <w:pPr>
        <w:spacing w:after="0" w:line="7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"Corporate Trust Office" means the corporate trust office of the Trustee at Norwest Center, Sixth Street and Marquette, Minneapolis, Minnesota 55479-0069, at which at any particular time its corporate trust business shall be administered.</w:t>
      </w:r>
    </w:p>
    <w:p>
      <w:pPr>
        <w:spacing w:after="0" w:line="66"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"corporation" means a corporation, association, company, joint-stock company or business trust.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"Covenant Defeasance" has the meaning specified in Section 1303.</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"Defaulted Interest" has the meaning specified in Section 307.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"Defeasance" has the meaning specified in Section 1302.</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66"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"Designated Senior Indebtedness" means the Company's obligations any Senior Indebtedness in which the instrument creating or evidencing the same or the assumption or guarantee thereof (or related agreements or documents to which the Company is a party) expressly provides that such Senior Indebtedness shall be "Designated Senior Indebtedness" for purposes of this Indenture (provided that such instrument, agreement or other document may place limitations and conditions on the right of such Senior Indebtedness to exercise the rights of Designated Senior Indebtedness).</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"Event of Default" has the meaning specified in Section 501.</w:t>
      </w:r>
    </w:p>
    <w:p>
      <w:pPr>
        <w:spacing w:after="0" w:line="171"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"Exchange Act" means the Securities Exchange Act of 1934 and any statute successor thereto, in each case as amended from time to time.</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"Expiration Date" has the meaning specified in Section 104.</w:t>
      </w:r>
    </w:p>
    <w:p>
      <w:pPr>
        <w:spacing w:after="0" w:line="171"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36"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"Holder" means a Person in whose name a Security is registered in the Security Register.</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5" w:right="1440" w:bottom="1440" w:gutter="0" w:footer="0" w:header="0"/>
        </w:sectPr>
      </w:pPr>
    </w:p>
    <w:bookmarkStart w:id="115" w:name="page116"/>
    <w:bookmarkEnd w:id="115"/>
    <w:p>
      <w:pPr>
        <w:ind w:right="3119" w:firstLine="444"/>
        <w:spacing w:after="0" w:line="263" w:lineRule="auto"/>
        <w:rPr>
          <w:sz w:val="20"/>
          <w:szCs w:val="20"/>
          <w:color w:val="auto"/>
        </w:rPr>
      </w:pPr>
      <w:r>
        <w:rPr>
          <w:rFonts w:ascii="Courier New" w:cs="Courier New" w:eastAsia="Courier New" w:hAnsi="Courier New"/>
          <w:sz w:val="14"/>
          <w:szCs w:val="14"/>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w:t>
      </w:r>
    </w:p>
    <w:p>
      <w:pPr>
        <w:spacing w:after="0" w:line="1" w:lineRule="exact"/>
        <w:rPr>
          <w:sz w:val="20"/>
          <w:szCs w:val="20"/>
          <w:color w:val="auto"/>
        </w:rPr>
      </w:pPr>
    </w:p>
    <w:p>
      <w:pPr>
        <w:ind w:left="3900"/>
        <w:spacing w:after="0"/>
        <w:tabs>
          <w:tab w:leader="none" w:pos="476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w:t>
      </w:r>
    </w:p>
    <w:p>
      <w:pPr>
        <w:spacing w:after="0" w:line="2"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ind w:right="3219"/>
        <w:spacing w:after="0" w:line="266" w:lineRule="auto"/>
        <w:rPr>
          <w:sz w:val="20"/>
          <w:szCs w:val="20"/>
          <w:color w:val="auto"/>
        </w:rPr>
      </w:pPr>
      <w:r>
        <w:rPr>
          <w:rFonts w:ascii="Courier New" w:cs="Courier New" w:eastAsia="Courier New" w:hAnsi="Courier New"/>
          <w:sz w:val="15"/>
          <w:szCs w:val="15"/>
          <w:color w:val="auto"/>
        </w:rPr>
        <w:t>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74"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"interest," when used with respect to an Original Issue Discount Security which by its terms bears interest only after Maturity, means interest payable after Maturity.</w:t>
      </w:r>
    </w:p>
    <w:p>
      <w:pPr>
        <w:spacing w:after="0" w:line="52"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"Interest Payment Date," when used with respect to any Security, means the Stated Maturity of an installment of interest on such Security.</w:t>
      </w:r>
    </w:p>
    <w:p>
      <w:pPr>
        <w:spacing w:after="0" w:line="1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"Investment Company Act" means the Investment Company Act of 1940 and any statute successor thereto, in each case as amended from time to time.</w:t>
      </w:r>
    </w:p>
    <w:p>
      <w:pPr>
        <w:spacing w:after="0" w:line="1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66"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"Notice of Default" means a written notice of the kind specified in Section 501(4).</w:t>
      </w:r>
    </w:p>
    <w:p>
      <w:pPr>
        <w:spacing w:after="0" w:line="1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"Officers' Certificate" means a certificate signed by the Chairman of the Board, a Vice Chairman of the Board, the President or a Vice President, and by the principal financial officer,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82"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"Opinion of Counsel" means a written opinion of counsel, who may be counsel for, or an employee of, the Company, and who shall be reasonably acceptable to the Trustee.</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05" w:right="1440" w:bottom="1440" w:gutter="0" w:footer="0" w:header="0"/>
        </w:sectPr>
      </w:pPr>
    </w:p>
    <w:bookmarkStart w:id="116" w:name="page117"/>
    <w:bookmarkEnd w:id="116"/>
    <w:p>
      <w:pPr>
        <w:ind w:right="3119" w:firstLine="444"/>
        <w:spacing w:after="0" w:line="297" w:lineRule="auto"/>
        <w:rPr>
          <w:sz w:val="20"/>
          <w:szCs w:val="20"/>
          <w:color w:val="auto"/>
        </w:rPr>
      </w:pPr>
      <w:r>
        <w:rPr>
          <w:rFonts w:ascii="Courier New" w:cs="Courier New" w:eastAsia="Courier New" w:hAnsi="Courier New"/>
          <w:sz w:val="15"/>
          <w:szCs w:val="15"/>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52"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52" w:lineRule="exact"/>
        <w:rPr>
          <w:sz w:val="20"/>
          <w:szCs w:val="20"/>
          <w:color w:val="auto"/>
        </w:rPr>
      </w:pPr>
    </w:p>
    <w:p>
      <w:pPr>
        <w:ind w:right="3479" w:firstLine="435"/>
        <w:spacing w:after="0" w:line="353" w:lineRule="auto"/>
        <w:tabs>
          <w:tab w:leader="none" w:pos="8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canceled by the Trustee or delivered to the Trustee for cancellation;</w:t>
      </w:r>
    </w:p>
    <w:p>
      <w:pPr>
        <w:spacing w:after="0" w:line="12" w:lineRule="exact"/>
        <w:rPr>
          <w:rFonts w:ascii="Courier New" w:cs="Courier New" w:eastAsia="Courier New" w:hAnsi="Courier New"/>
          <w:sz w:val="15"/>
          <w:szCs w:val="15"/>
          <w:color w:val="auto"/>
        </w:rPr>
      </w:pPr>
    </w:p>
    <w:p>
      <w:pPr>
        <w:ind w:right="3119" w:firstLine="435"/>
        <w:spacing w:after="0" w:line="259" w:lineRule="auto"/>
        <w:tabs>
          <w:tab w:leader="none" w:pos="8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81" w:lineRule="exact"/>
        <w:rPr>
          <w:rFonts w:ascii="Courier New" w:cs="Courier New" w:eastAsia="Courier New" w:hAnsi="Courier New"/>
          <w:sz w:val="15"/>
          <w:szCs w:val="15"/>
          <w:color w:val="auto"/>
        </w:rPr>
      </w:pPr>
    </w:p>
    <w:p>
      <w:pPr>
        <w:ind w:right="3759" w:firstLine="435"/>
        <w:spacing w:after="0" w:line="353" w:lineRule="auto"/>
        <w:tabs>
          <w:tab w:leader="none" w:pos="8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as to which Defeasance has been effected pursuant to Section 1302; and</w:t>
      </w:r>
    </w:p>
    <w:p>
      <w:pPr>
        <w:spacing w:after="0" w:line="12"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in determining whether the Holders of the requisite</w:t>
      </w:r>
    </w:p>
    <w:p>
      <w:pPr>
        <w:spacing w:after="0" w:line="2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w:t>
      </w: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5" w:right="1440" w:bottom="1440" w:gutter="0" w:footer="0" w:header="0"/>
        </w:sectPr>
      </w:pPr>
    </w:p>
    <w:bookmarkStart w:id="117" w:name="page118"/>
    <w:bookmarkEnd w:id="117"/>
    <w:p>
      <w:pPr>
        <w:ind w:left="9" w:right="3299"/>
        <w:spacing w:after="0" w:line="297" w:lineRule="auto"/>
        <w:rPr>
          <w:sz w:val="20"/>
          <w:szCs w:val="20"/>
          <w:color w:val="auto"/>
        </w:rPr>
      </w:pPr>
      <w:r>
        <w:rPr>
          <w:rFonts w:ascii="Courier New" w:cs="Courier New" w:eastAsia="Courier New" w:hAnsi="Courier New"/>
          <w:sz w:val="15"/>
          <w:szCs w:val="15"/>
          <w:color w:val="auto"/>
        </w:rPr>
        <w:t>with respect to such Securities and that the pledgee is not the Company or any other obligor upon the Securities or any Affiliate of the Company or of such other obligor.</w:t>
      </w:r>
    </w:p>
    <w:p>
      <w:pPr>
        <w:spacing w:after="0" w:line="52" w:lineRule="exact"/>
        <w:rPr>
          <w:sz w:val="20"/>
          <w:szCs w:val="20"/>
          <w:color w:val="auto"/>
        </w:rPr>
      </w:pPr>
    </w:p>
    <w:p>
      <w:pPr>
        <w:ind w:left="9" w:right="3119" w:firstLine="444"/>
        <w:spacing w:after="0" w:line="263"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or any premium or interest on any Securities on behalf of the Company. "Payment Blockage Notice" has the meaning specified in Section 1504. "Person" means any individual, corporation, partnership, joint venture, trust, unincorporated organization or government or any agency or political subdivision thereof.</w:t>
      </w:r>
    </w:p>
    <w:p>
      <w:pPr>
        <w:spacing w:after="0" w:line="77" w:lineRule="exact"/>
        <w:rPr>
          <w:sz w:val="20"/>
          <w:szCs w:val="20"/>
          <w:color w:val="auto"/>
        </w:rPr>
      </w:pPr>
    </w:p>
    <w:p>
      <w:pPr>
        <w:ind w:left="9" w:right="3119" w:firstLine="444"/>
        <w:spacing w:after="0" w:line="278" w:lineRule="auto"/>
        <w:rPr>
          <w:sz w:val="20"/>
          <w:szCs w:val="20"/>
          <w:color w:val="auto"/>
        </w:rPr>
      </w:pPr>
      <w:r>
        <w:rPr>
          <w:rFonts w:ascii="Courier New" w:cs="Courier New" w:eastAsia="Courier New" w:hAnsi="Courier New"/>
          <w:sz w:val="15"/>
          <w:szCs w:val="15"/>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66" w:lineRule="exact"/>
        <w:rPr>
          <w:sz w:val="20"/>
          <w:szCs w:val="20"/>
          <w:color w:val="auto"/>
        </w:rPr>
      </w:pPr>
    </w:p>
    <w:p>
      <w:pPr>
        <w:ind w:left="9" w:right="3219" w:firstLine="444"/>
        <w:spacing w:after="0" w:line="263" w:lineRule="auto"/>
        <w:rPr>
          <w:sz w:val="20"/>
          <w:szCs w:val="20"/>
          <w:color w:val="auto"/>
        </w:rPr>
      </w:pPr>
      <w:r>
        <w:rPr>
          <w:rFonts w:ascii="Courier New" w:cs="Courier New" w:eastAsia="Courier New" w:hAnsi="Courier New"/>
          <w:sz w:val="15"/>
          <w:szCs w:val="15"/>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77" w:lineRule="exact"/>
        <w:rPr>
          <w:sz w:val="20"/>
          <w:szCs w:val="20"/>
          <w:color w:val="auto"/>
        </w:rPr>
      </w:pPr>
    </w:p>
    <w:p>
      <w:pPr>
        <w:ind w:left="9" w:right="3119" w:firstLine="444"/>
        <w:spacing w:after="0" w:line="278"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 "Redemption Price," when used with respect to any Security to be redeemed, means the price at which it is to be redeemed pursuant to this Indenture.</w:t>
      </w:r>
    </w:p>
    <w:p>
      <w:pPr>
        <w:spacing w:after="0" w:line="66" w:lineRule="exact"/>
        <w:rPr>
          <w:sz w:val="20"/>
          <w:szCs w:val="20"/>
          <w:color w:val="auto"/>
        </w:rPr>
      </w:pPr>
    </w:p>
    <w:p>
      <w:pPr>
        <w:ind w:left="9" w:right="3119" w:firstLine="444"/>
        <w:spacing w:after="0" w:line="297" w:lineRule="auto"/>
        <w:rPr>
          <w:sz w:val="20"/>
          <w:szCs w:val="20"/>
          <w:color w:val="auto"/>
        </w:rPr>
      </w:pPr>
      <w:r>
        <w:rPr>
          <w:rFonts w:ascii="Courier New" w:cs="Courier New" w:eastAsia="Courier New" w:hAnsi="Courier New"/>
          <w:sz w:val="15"/>
          <w:szCs w:val="15"/>
          <w:color w:val="auto"/>
        </w:rPr>
        <w:t>"Regular Record Date" for the interest payable on any Interest Payment Date on the Securities of any series means the date specified for that purpose as contemplated by Section 301.</w:t>
      </w:r>
    </w:p>
    <w:p>
      <w:pPr>
        <w:spacing w:after="0" w:line="52"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"Representative" means the (a) indenture trustee or other trustee, agent or representative for any Senior Indebtedness or (b) with respect to any Senior Indebtedness that does not have any such trustee, agent or other representative,</w:t>
      </w:r>
    </w:p>
    <w:p>
      <w:pPr>
        <w:spacing w:after="0" w:line="1" w:lineRule="exact"/>
        <w:rPr>
          <w:sz w:val="20"/>
          <w:szCs w:val="20"/>
          <w:color w:val="auto"/>
        </w:rPr>
      </w:pPr>
    </w:p>
    <w:p>
      <w:pPr>
        <w:ind w:left="349" w:hanging="349"/>
        <w:spacing w:after="0"/>
        <w:tabs>
          <w:tab w:leader="none" w:pos="34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such Senior Indebtedness issued pursuant to an agreement</w:t>
      </w:r>
    </w:p>
    <w:p>
      <w:pPr>
        <w:ind w:left="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for voting arrangements as among the holders or owners of such Senior Indebtedness, any holder or owner of such Senior Indebtedness acting with the consent of the required persons necessary to bind such holders or owners of such Senior Indebtedness and (ii) in the case of all other such Senior Indebtedness, the holder or owner of such Senior Indebtedness.</w:t>
      </w:r>
    </w:p>
    <w:p>
      <w:pPr>
        <w:spacing w:after="0" w:line="81" w:lineRule="exact"/>
        <w:rPr>
          <w:sz w:val="20"/>
          <w:szCs w:val="20"/>
          <w:color w:val="auto"/>
        </w:rPr>
      </w:pPr>
    </w:p>
    <w:p>
      <w:pPr>
        <w:ind w:left="9" w:right="3219" w:firstLine="444"/>
        <w:spacing w:after="0" w:line="297" w:lineRule="auto"/>
        <w:rPr>
          <w:sz w:val="20"/>
          <w:szCs w:val="20"/>
          <w:color w:val="auto"/>
        </w:rPr>
      </w:pPr>
      <w:r>
        <w:rPr>
          <w:rFonts w:ascii="Courier New" w:cs="Courier New" w:eastAsia="Courier New" w:hAnsi="Courier New"/>
          <w:sz w:val="15"/>
          <w:szCs w:val="15"/>
          <w:color w:val="auto"/>
        </w:rPr>
        <w:t>"Securities" has the meaning stated in the first recital of this Indenture and more particularly means any Securities authenticated and delivered under this Indenture.</w:t>
      </w:r>
    </w:p>
    <w:p>
      <w:pPr>
        <w:spacing w:after="0" w:line="52" w:lineRule="exact"/>
        <w:rPr>
          <w:sz w:val="20"/>
          <w:szCs w:val="20"/>
          <w:color w:val="auto"/>
        </w:rPr>
      </w:pPr>
    </w:p>
    <w:p>
      <w:pPr>
        <w:ind w:left="9" w:right="3119" w:firstLine="444"/>
        <w:spacing w:after="0" w:line="353" w:lineRule="auto"/>
        <w:rPr>
          <w:sz w:val="20"/>
          <w:szCs w:val="20"/>
          <w:color w:val="auto"/>
        </w:rPr>
      </w:pPr>
      <w:r>
        <w:rPr>
          <w:rFonts w:ascii="Courier New" w:cs="Courier New" w:eastAsia="Courier New" w:hAnsi="Courier New"/>
          <w:sz w:val="15"/>
          <w:szCs w:val="15"/>
          <w:color w:val="auto"/>
        </w:rPr>
        <w:t>"Securities Act" means the Securities Act of 1933 and any statute successor thereto, in each case as amended from time to time.</w:t>
      </w:r>
    </w:p>
    <w:p>
      <w:pPr>
        <w:spacing w:after="0" w:line="1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05" w:right="1440" w:bottom="1440" w:gutter="0" w:footer="0" w:header="0"/>
        </w:sectPr>
      </w:pPr>
    </w:p>
    <w:bookmarkStart w:id="118" w:name="page119"/>
    <w:bookmarkEnd w:id="118"/>
    <w:p>
      <w:pPr>
        <w:ind w:left="9" w:right="3299" w:firstLine="444"/>
        <w:spacing w:after="0" w:line="353" w:lineRule="auto"/>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305.</w:t>
      </w:r>
    </w:p>
    <w:p>
      <w:pPr>
        <w:spacing w:after="0" w:line="12"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"Senior Indebtedness" means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this Indenture or thereafter created, incurred or assumed: (a) indebtedness of the Company evidenced by a credit or loan agreement, note, bond, debenture or other written obligation, (b) all obligations of the Company for money borrowed, (c) all obligations of the Company evidenced by a note or similar instrument given in connection with the acquisition of any businesses, properties or assets of any kind, (d) obligations of the Company (i) as lessee under leases required to be capitalized on the balance sheet of the lessee under generally accepted accounting principles, (ii) as lessee under other leases for facilities, equipment or related assets, whether or not capitalized, entered into or leased after the date of this Indenture for financing purposes (as determined by the Company) or (iii) under any lease or related document (including a purchase agreement) that provides that the Company is contractually obligated to purchase or cause a third party to purchase the leased property and the obligations of the Company 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all obligations of the Company with respect thereto, and (i) renewals, extensions, modifications, replacements, restatements and refundings of, or any indebtedness or obligation issued in exchange for, any such indebtedness or obligation described in clauses</w:t>
      </w:r>
    </w:p>
    <w:p>
      <w:pPr>
        <w:spacing w:after="0" w:line="178" w:lineRule="exact"/>
        <w:rPr>
          <w:sz w:val="20"/>
          <w:szCs w:val="20"/>
          <w:color w:val="auto"/>
        </w:rPr>
      </w:pPr>
    </w:p>
    <w:p>
      <w:pPr>
        <w:ind w:left="349" w:hanging="349"/>
        <w:spacing w:after="0"/>
        <w:tabs>
          <w:tab w:leader="none" w:pos="34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(h) of this paragraph; provided, however, that Senior Indebtedness</w:t>
      </w:r>
    </w:p>
    <w:p>
      <w:pPr>
        <w:ind w:left="31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right="3299"/>
        <w:spacing w:after="0" w:line="259" w:lineRule="auto"/>
        <w:rPr>
          <w:sz w:val="20"/>
          <w:szCs w:val="20"/>
          <w:color w:val="auto"/>
        </w:rPr>
      </w:pPr>
      <w:r>
        <w:rPr>
          <w:rFonts w:ascii="Courier New" w:cs="Courier New" w:eastAsia="Courier New" w:hAnsi="Courier New"/>
          <w:sz w:val="15"/>
          <w:szCs w:val="15"/>
          <w:color w:val="auto"/>
        </w:rPr>
        <w:t>shall not include the Securities or any such indebtedness or obligation if the terms of such indebtedness or obligation (or the terms of the instrument under which, or pursuant to which it is issued) expressly provide that such indebtedness or obligation is not superior in right of payment to the Securities.</w:t>
      </w:r>
    </w:p>
    <w:p>
      <w:pPr>
        <w:spacing w:after="0" w:line="81" w:lineRule="exact"/>
        <w:rPr>
          <w:sz w:val="20"/>
          <w:szCs w:val="20"/>
          <w:color w:val="auto"/>
        </w:rPr>
      </w:pPr>
    </w:p>
    <w:p>
      <w:pPr>
        <w:ind w:left="9" w:right="3479" w:firstLine="444"/>
        <w:spacing w:after="0" w:line="353" w:lineRule="auto"/>
        <w:rPr>
          <w:sz w:val="20"/>
          <w:szCs w:val="20"/>
          <w:color w:val="auto"/>
        </w:rPr>
      </w:pPr>
      <w:r>
        <w:rPr>
          <w:rFonts w:ascii="Courier New" w:cs="Courier New" w:eastAsia="Courier New" w:hAnsi="Courier New"/>
          <w:sz w:val="15"/>
          <w:szCs w:val="15"/>
          <w:color w:val="auto"/>
        </w:rPr>
        <w:t>"Special Record Date" for the payment of any Defaulted Interest means a date fixed by the Trustee pursuant to Section 307.</w:t>
      </w:r>
    </w:p>
    <w:p>
      <w:pPr>
        <w:spacing w:after="0" w:line="1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05" w:right="1440" w:bottom="1440" w:gutter="0" w:footer="0" w:header="0"/>
        </w:sectPr>
      </w:pPr>
    </w:p>
    <w:bookmarkStart w:id="119" w:name="page120"/>
    <w:bookmarkEnd w:id="119"/>
    <w:p>
      <w:pPr>
        <w:ind w:right="3299" w:firstLine="444"/>
        <w:spacing w:after="0" w:line="278" w:lineRule="auto"/>
        <w:rPr>
          <w:sz w:val="20"/>
          <w:szCs w:val="20"/>
          <w:color w:val="auto"/>
        </w:rPr>
      </w:pPr>
      <w:r>
        <w:rPr>
          <w:rFonts w:ascii="Courier New" w:cs="Courier New" w:eastAsia="Courier New" w:hAnsi="Courier New"/>
          <w:sz w:val="15"/>
          <w:szCs w:val="15"/>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66"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"Subsidiary" means a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and the accounts of which are consolidated with those of the Company in its most recent consolidated financial statements in accordance with generally accepted accounting principles.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86"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"Trust Indenture Act" means the Trust Indenture Act of 1939 as in force at the date as of which this instrument was executed; provided, however, that in</w:t>
      </w:r>
    </w:p>
    <w:p>
      <w:pPr>
        <w:spacing w:after="0" w:line="1" w:lineRule="exact"/>
        <w:rPr>
          <w:sz w:val="20"/>
          <w:szCs w:val="20"/>
          <w:color w:val="auto"/>
        </w:rPr>
      </w:pPr>
    </w:p>
    <w:p>
      <w:pPr>
        <w:ind w:left="4520"/>
        <w:spacing w:after="0"/>
        <w:tabs>
          <w:tab w:leader="none" w:pos="538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jc w:val="both"/>
        <w:ind w:right="3399"/>
        <w:spacing w:after="0" w:line="278" w:lineRule="auto"/>
        <w:rPr>
          <w:sz w:val="20"/>
          <w:szCs w:val="20"/>
          <w:color w:val="auto"/>
        </w:rPr>
      </w:pPr>
      <w:r>
        <w:rPr>
          <w:rFonts w:ascii="Courier New" w:cs="Courier New" w:eastAsia="Courier New" w:hAnsi="Courier New"/>
          <w:sz w:val="15"/>
          <w:szCs w:val="15"/>
          <w:color w:val="auto"/>
        </w:rPr>
        <w:t>the event the Trust Indenture Act of 1939 is amended after such date, "Trust Indenture Act" means, to the extent required by any such amendment, the Trust Indenture Act of 1939 as so amended.</w:t>
      </w:r>
    </w:p>
    <w:p>
      <w:pPr>
        <w:spacing w:after="0" w:line="66"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 Government Obligation" has the meaning specified in Section 1304.</w:t>
      </w:r>
    </w:p>
    <w:p>
      <w:pPr>
        <w:spacing w:after="0" w:line="171" w:lineRule="exact"/>
        <w:rPr>
          <w:sz w:val="20"/>
          <w:szCs w:val="20"/>
          <w:color w:val="auto"/>
        </w:rPr>
      </w:pPr>
    </w:p>
    <w:p>
      <w:pPr>
        <w:jc w:val="both"/>
        <w:ind w:right="3479" w:firstLine="444"/>
        <w:spacing w:after="0" w:line="297" w:lineRule="auto"/>
        <w:rPr>
          <w:sz w:val="20"/>
          <w:szCs w:val="20"/>
          <w:color w:val="auto"/>
        </w:rPr>
      </w:pPr>
      <w:r>
        <w:rPr>
          <w:rFonts w:ascii="Courier New" w:cs="Courier New" w:eastAsia="Courier New" w:hAnsi="Courier New"/>
          <w:sz w:val="15"/>
          <w:szCs w:val="15"/>
          <w:color w:val="auto"/>
        </w:rPr>
        <w:t>"Vice President," when used with respect to the Company or the Trustee, means any vice president, whether or not designated by a number or a word or words added before or after the title "vice president."</w:t>
      </w:r>
    </w:p>
    <w:p>
      <w:pPr>
        <w:spacing w:after="0" w:line="5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Compliance Certificates and Opinions.</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80"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shall include,</w:t>
      </w:r>
    </w:p>
    <w:p>
      <w:pPr>
        <w:spacing w:after="0" w:line="12" w:lineRule="exact"/>
        <w:rPr>
          <w:sz w:val="20"/>
          <w:szCs w:val="20"/>
          <w:color w:val="auto"/>
        </w:rPr>
      </w:pPr>
    </w:p>
    <w:p>
      <w:pPr>
        <w:ind w:right="3119" w:firstLine="435"/>
        <w:spacing w:after="0" w:line="387" w:lineRule="auto"/>
        <w:tabs>
          <w:tab w:leader="none" w:pos="887"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5" w:right="1440" w:bottom="1440" w:gutter="0" w:footer="0" w:header="0"/>
        </w:sectPr>
      </w:pPr>
    </w:p>
    <w:bookmarkStart w:id="120" w:name="page121"/>
    <w:bookmarkEnd w:id="120"/>
    <w:p>
      <w:pPr>
        <w:ind w:right="3479" w:firstLine="435"/>
        <w:spacing w:after="0" w:line="297" w:lineRule="auto"/>
        <w:tabs>
          <w:tab w:leader="none" w:pos="8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51"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66" w:lineRule="exact"/>
        <w:rPr>
          <w:rFonts w:ascii="Courier New" w:cs="Courier New" w:eastAsia="Courier New" w:hAnsi="Courier New"/>
          <w:sz w:val="15"/>
          <w:szCs w:val="15"/>
          <w:color w:val="auto"/>
        </w:rPr>
      </w:pPr>
    </w:p>
    <w:p>
      <w:pPr>
        <w:ind w:right="3479" w:firstLine="435"/>
        <w:spacing w:after="0" w:line="353" w:lineRule="auto"/>
        <w:tabs>
          <w:tab w:leader="none" w:pos="8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 such individual, such condition or covenant has been complied with.</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Form of Documents Delivered to Trustee.</w:t>
      </w:r>
    </w:p>
    <w:p>
      <w:pPr>
        <w:spacing w:after="0" w:line="17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82"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86"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Acts of Holders; Record Dates.</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w:t>
      </w:r>
    </w:p>
    <w:p>
      <w:pPr>
        <w:spacing w:after="0" w:line="8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05" w:right="1440" w:bottom="1440" w:gutter="0" w:footer="0" w:header="0"/>
        </w:sectPr>
      </w:pPr>
    </w:p>
    <w:bookmarkStart w:id="121" w:name="page122"/>
    <w:bookmarkEnd w:id="121"/>
    <w:p>
      <w:pPr>
        <w:ind w:right="3399"/>
        <w:spacing w:after="0" w:line="353" w:lineRule="auto"/>
        <w:rPr>
          <w:sz w:val="20"/>
          <w:szCs w:val="20"/>
          <w:color w:val="auto"/>
        </w:rPr>
      </w:pPr>
      <w:r>
        <w:rPr>
          <w:rFonts w:ascii="Courier New" w:cs="Courier New" w:eastAsia="Courier New" w:hAnsi="Courier New"/>
          <w:sz w:val="15"/>
          <w:szCs w:val="15"/>
          <w:color w:val="auto"/>
        </w:rPr>
        <w:t>Indenture and (subject to Section 601) conclusive in favor of the Trustee and the Company, if made in the manner provided in this Section.</w:t>
      </w:r>
    </w:p>
    <w:p>
      <w:pPr>
        <w:spacing w:after="0" w:line="12"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deems sufficient.</w:t>
      </w:r>
    </w:p>
    <w:p>
      <w:pPr>
        <w:spacing w:after="0" w:line="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ownership of Securities shall be proved by the Security Register.</w:t>
      </w:r>
    </w:p>
    <w:p>
      <w:pPr>
        <w:spacing w:after="0" w:line="171"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8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4"/>
          <w:szCs w:val="14"/>
          <w:color w:val="auto"/>
        </w:rPr>
        <w:t>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200" w:lineRule="exact"/>
        <w:rPr>
          <w:sz w:val="20"/>
          <w:szCs w:val="20"/>
          <w:color w:val="auto"/>
        </w:rPr>
      </w:pPr>
    </w:p>
    <w:p>
      <w:pPr>
        <w:spacing w:after="0" w:line="237"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05" w:right="1440" w:bottom="1440" w:gutter="0" w:footer="0" w:header="0"/>
        </w:sectPr>
      </w:pPr>
    </w:p>
    <w:bookmarkStart w:id="122" w:name="page123"/>
    <w:bookmarkEnd w:id="122"/>
    <w:p>
      <w:pPr>
        <w:ind w:right="3119"/>
        <w:spacing w:after="0" w:line="266" w:lineRule="auto"/>
        <w:rPr>
          <w:sz w:val="20"/>
          <w:szCs w:val="20"/>
          <w:color w:val="auto"/>
        </w:rPr>
      </w:pPr>
      <w:r>
        <w:rPr>
          <w:rFonts w:ascii="Courier New" w:cs="Courier New" w:eastAsia="Courier New" w:hAnsi="Courier New"/>
          <w:sz w:val="14"/>
          <w:szCs w:val="14"/>
          <w:color w:val="auto"/>
        </w:rPr>
        <w:t>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w:t>
      </w: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right="3119"/>
        <w:spacing w:after="0" w:line="246" w:lineRule="auto"/>
        <w:rPr>
          <w:sz w:val="20"/>
          <w:szCs w:val="20"/>
          <w:color w:val="auto"/>
        </w:rPr>
      </w:pPr>
      <w:r>
        <w:rPr>
          <w:rFonts w:ascii="Courier New" w:cs="Courier New" w:eastAsia="Courier New" w:hAnsi="Courier New"/>
          <w:sz w:val="15"/>
          <w:szCs w:val="15"/>
          <w:color w:val="auto"/>
        </w:rPr>
        <w:t>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96"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4"/>
          <w:szCs w:val="14"/>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78"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72" w:lineRule="exact"/>
        <w:rPr>
          <w:sz w:val="20"/>
          <w:szCs w:val="20"/>
          <w:color w:val="auto"/>
        </w:rPr>
      </w:pPr>
    </w:p>
    <w:p>
      <w:pPr>
        <w:spacing w:after="0"/>
        <w:tabs>
          <w:tab w:leader="none" w:pos="1220" w:val="left"/>
          <w:tab w:leader="none" w:pos="2540" w:val="left"/>
        </w:tabs>
        <w:rPr>
          <w:sz w:val="20"/>
          <w:szCs w:val="20"/>
          <w:color w:val="auto"/>
        </w:rPr>
      </w:pPr>
      <w:r>
        <w:rPr>
          <w:rFonts w:ascii="Courier New" w:cs="Courier New" w:eastAsia="Courier New" w:hAnsi="Courier New"/>
          <w:sz w:val="15"/>
          <w:szCs w:val="15"/>
          <w:color w:val="auto"/>
        </w:rPr>
        <w:t>SECTION 105.</w:t>
        <w:tab/>
        <w:t>Notices, Etc.</w:t>
      </w:r>
      <w:r>
        <w:rPr>
          <w:sz w:val="20"/>
          <w:szCs w:val="20"/>
          <w:color w:val="auto"/>
        </w:rPr>
        <w:tab/>
      </w:r>
      <w:r>
        <w:rPr>
          <w:rFonts w:ascii="Courier New" w:cs="Courier New" w:eastAsia="Courier New" w:hAnsi="Courier New"/>
          <w:sz w:val="14"/>
          <w:szCs w:val="14"/>
          <w:color w:val="auto"/>
        </w:rPr>
        <w:t>, to Trustee and Company.</w:t>
      </w:r>
    </w:p>
    <w:p>
      <w:pPr>
        <w:spacing w:after="0" w:line="171" w:lineRule="exact"/>
        <w:rPr>
          <w:sz w:val="20"/>
          <w:szCs w:val="20"/>
          <w:color w:val="auto"/>
        </w:rPr>
      </w:pPr>
    </w:p>
    <w:p>
      <w:pPr>
        <w:jc w:val="both"/>
        <w:ind w:right="3299" w:firstLine="444"/>
        <w:spacing w:after="0" w:line="297" w:lineRule="auto"/>
        <w:rPr>
          <w:sz w:val="20"/>
          <w:szCs w:val="20"/>
          <w:color w:val="auto"/>
        </w:rPr>
      </w:pPr>
      <w:r>
        <w:rPr>
          <w:rFonts w:ascii="Courier New" w:cs="Courier New" w:eastAsia="Courier New" w:hAnsi="Courier New"/>
          <w:sz w:val="15"/>
          <w:szCs w:val="15"/>
          <w:color w:val="auto"/>
        </w:rPr>
        <w:t>Any request, demand, authorization, direction, notice, consent, waiver or Act of Holders or other document provided or permitted by this Indenture to be made upon, given or furnished to, or filed with,</w:t>
      </w:r>
    </w:p>
    <w:p>
      <w:pPr>
        <w:spacing w:after="0" w:line="52" w:lineRule="exact"/>
        <w:rPr>
          <w:sz w:val="20"/>
          <w:szCs w:val="20"/>
          <w:color w:val="auto"/>
        </w:rPr>
      </w:pPr>
    </w:p>
    <w:p>
      <w:pPr>
        <w:ind w:right="3219" w:firstLine="435"/>
        <w:spacing w:after="0" w:line="269" w:lineRule="auto"/>
        <w:tabs>
          <w:tab w:leader="none" w:pos="8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by the Company shall be sufficient for every purpose hereunder if made, given, furnished or filed in writing (or by facsimile transmissions ((612) 667-9825), provided that oral confirmation of receipt shall have been received) to or with the Trustee at its Corporate Trust Office, Attention: Corporate Trust Department, or</w:t>
      </w:r>
    </w:p>
    <w:p>
      <w:pPr>
        <w:spacing w:after="0" w:line="71" w:lineRule="exact"/>
        <w:rPr>
          <w:rFonts w:ascii="Courier New" w:cs="Courier New" w:eastAsia="Courier New" w:hAnsi="Courier New"/>
          <w:sz w:val="15"/>
          <w:szCs w:val="15"/>
          <w:color w:val="auto"/>
        </w:rPr>
      </w:pPr>
    </w:p>
    <w:p>
      <w:pPr>
        <w:ind w:right="3399" w:firstLine="435"/>
        <w:spacing w:after="0" w:line="297" w:lineRule="auto"/>
        <w:tabs>
          <w:tab w:leader="none" w:pos="8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 for every purpose hereunder (unless otherwise herein expressly provided) if in writing and mailed, first-class postage</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05" w:right="1440" w:bottom="1440" w:gutter="0" w:footer="0" w:header="0"/>
        </w:sectPr>
      </w:pPr>
    </w:p>
    <w:bookmarkStart w:id="123" w:name="page124"/>
    <w:bookmarkEnd w:id="123"/>
    <w:p>
      <w:pPr>
        <w:ind w:right="3219"/>
        <w:spacing w:after="0" w:line="278" w:lineRule="auto"/>
        <w:rPr>
          <w:sz w:val="20"/>
          <w:szCs w:val="20"/>
          <w:color w:val="auto"/>
        </w:rPr>
      </w:pPr>
      <w:r>
        <w:rPr>
          <w:rFonts w:ascii="Courier New" w:cs="Courier New" w:eastAsia="Courier New" w:hAnsi="Courier New"/>
          <w:sz w:val="15"/>
          <w:szCs w:val="15"/>
          <w:color w:val="auto"/>
        </w:rPr>
        <w:t>prepaid,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106. Notice to Holders; Waiver.</w:t>
      </w:r>
    </w:p>
    <w:p>
      <w:pPr>
        <w:spacing w:after="0" w:line="171"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81" w:lineRule="exact"/>
        <w:rPr>
          <w:sz w:val="20"/>
          <w:szCs w:val="20"/>
          <w:color w:val="auto"/>
        </w:rPr>
      </w:pPr>
    </w:p>
    <w:p>
      <w:pPr>
        <w:jc w:val="both"/>
        <w:ind w:right="3119" w:firstLine="444"/>
        <w:spacing w:after="0" w:line="278" w:lineRule="auto"/>
        <w:rPr>
          <w:sz w:val="20"/>
          <w:szCs w:val="20"/>
          <w:color w:val="auto"/>
        </w:rPr>
      </w:pPr>
      <w:r>
        <w:rPr>
          <w:rFonts w:ascii="Courier New" w:cs="Courier New" w:eastAsia="Courier New" w:hAnsi="Courier New"/>
          <w:sz w:val="15"/>
          <w:szCs w:val="15"/>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4"/>
          <w:szCs w:val="14"/>
          <w:color w:val="auto"/>
        </w:rPr>
        <w:t>Conflict with Trust Indenture Act.</w:t>
      </w:r>
    </w:p>
    <w:p>
      <w:pPr>
        <w:spacing w:after="0" w:line="171" w:lineRule="exact"/>
        <w:rPr>
          <w:sz w:val="20"/>
          <w:szCs w:val="20"/>
          <w:color w:val="auto"/>
        </w:rPr>
      </w:pPr>
    </w:p>
    <w:p>
      <w:pPr>
        <w:ind w:right="3219" w:firstLine="444"/>
        <w:spacing w:after="0" w:line="285" w:lineRule="auto"/>
        <w:rPr>
          <w:sz w:val="20"/>
          <w:szCs w:val="20"/>
          <w:color w:val="auto"/>
        </w:rPr>
      </w:pPr>
      <w:r>
        <w:rPr>
          <w:rFonts w:ascii="Courier New" w:cs="Courier New" w:eastAsia="Courier New" w:hAnsi="Courier New"/>
          <w:sz w:val="14"/>
          <w:szCs w:val="14"/>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6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Effect of Headings and Table of Contents.</w:t>
      </w:r>
    </w:p>
    <w:p>
      <w:pPr>
        <w:spacing w:after="0" w:line="171"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The Article and Section headings herein and the Table of Contents are for convenience only and shall not affect the construction hereof.</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109.</w:t>
      </w:r>
      <w:r>
        <w:rPr>
          <w:sz w:val="20"/>
          <w:szCs w:val="20"/>
          <w:color w:val="auto"/>
        </w:rPr>
        <w:tab/>
      </w:r>
      <w:r>
        <w:rPr>
          <w:rFonts w:ascii="Courier New" w:cs="Courier New" w:eastAsia="Courier New" w:hAnsi="Courier New"/>
          <w:sz w:val="14"/>
          <w:szCs w:val="14"/>
          <w:color w:val="auto"/>
        </w:rPr>
        <w:t>Successors and Assigns.</w:t>
      </w:r>
    </w:p>
    <w:p>
      <w:pPr>
        <w:spacing w:after="0" w:line="171"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All covenants and agreements in this Indenture by the Company shall bind its successors and assigns, whether so expressed or not.</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4"/>
          <w:szCs w:val="14"/>
          <w:color w:val="auto"/>
        </w:rPr>
        <w:t>Separability Clause.</w:t>
      </w:r>
    </w:p>
    <w:p>
      <w:pPr>
        <w:spacing w:after="0" w:line="171" w:lineRule="exact"/>
        <w:rPr>
          <w:sz w:val="20"/>
          <w:szCs w:val="20"/>
          <w:color w:val="auto"/>
        </w:rPr>
      </w:pPr>
    </w:p>
    <w:p>
      <w:pPr>
        <w:ind w:right="3219" w:firstLine="444"/>
        <w:spacing w:after="0" w:line="326" w:lineRule="auto"/>
        <w:rPr>
          <w:sz w:val="20"/>
          <w:szCs w:val="20"/>
          <w:color w:val="auto"/>
        </w:rPr>
      </w:pPr>
      <w:r>
        <w:rPr>
          <w:rFonts w:ascii="Courier New" w:cs="Courier New" w:eastAsia="Courier New" w:hAnsi="Courier New"/>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3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05" w:right="1440" w:bottom="1440" w:gutter="0" w:footer="0" w:header="0"/>
        </w:sectPr>
      </w:pPr>
    </w:p>
    <w:bookmarkStart w:id="124" w:name="page125"/>
    <w:bookmarkEnd w:id="124"/>
    <w:p>
      <w:pPr>
        <w:spacing w:after="0"/>
        <w:tabs>
          <w:tab w:leader="none" w:pos="122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Benefits of Indenture.</w:t>
      </w:r>
    </w:p>
    <w:p>
      <w:pPr>
        <w:spacing w:after="0" w:line="17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Nothing in this Indenture or in the Securities, express or implied, shall give to any Person, other than the parties hereto and their successors hereunder, the holders of Senior Indebtedness and the Holders, any benefit or any legal or equitable right, remedy or claim under this Indenture.</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Governing Law.</w:t>
      </w:r>
    </w:p>
    <w:p>
      <w:pPr>
        <w:spacing w:after="0" w:line="171" w:lineRule="exact"/>
        <w:rPr>
          <w:sz w:val="20"/>
          <w:szCs w:val="20"/>
          <w:color w:val="auto"/>
        </w:rPr>
      </w:pPr>
    </w:p>
    <w:p>
      <w:pPr>
        <w:ind w:right="3479" w:firstLine="444"/>
        <w:spacing w:after="0" w:line="353" w:lineRule="auto"/>
        <w:rPr>
          <w:sz w:val="20"/>
          <w:szCs w:val="20"/>
          <w:color w:val="auto"/>
        </w:rPr>
      </w:pPr>
      <w:r>
        <w:rPr>
          <w:rFonts w:ascii="Courier New" w:cs="Courier New" w:eastAsia="Courier New" w:hAnsi="Courier New"/>
          <w:sz w:val="15"/>
          <w:szCs w:val="15"/>
          <w:color w:val="auto"/>
        </w:rPr>
        <w:t>THIS INDENTURE AND THE SECURITIES SHALL BE GOVERNED BY AND CONSTRUED IN ACCORDANCE WITH THE LAW OF THE STATE OF NEW YORK.</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Legal Holidays.</w:t>
      </w:r>
    </w:p>
    <w:p>
      <w:pPr>
        <w:spacing w:after="0" w:line="171" w:lineRule="exact"/>
        <w:rPr>
          <w:sz w:val="20"/>
          <w:szCs w:val="20"/>
          <w:color w:val="auto"/>
        </w:rPr>
      </w:pPr>
    </w:p>
    <w:p>
      <w:pPr>
        <w:ind w:right="3219" w:firstLine="444"/>
        <w:spacing w:after="0" w:line="251" w:lineRule="auto"/>
        <w:rPr>
          <w:sz w:val="20"/>
          <w:szCs w:val="20"/>
          <w:color w:val="auto"/>
        </w:rPr>
      </w:pPr>
      <w:r>
        <w:rPr>
          <w:rFonts w:ascii="Courier New" w:cs="Courier New" w:eastAsia="Courier New" w:hAnsi="Courier New"/>
          <w:sz w:val="15"/>
          <w:szCs w:val="15"/>
          <w:color w:val="auto"/>
        </w:rPr>
        <w:t>In any case where any Interest Payment Date, Redemption Date or Stated Maturity of any Security or the last date on which a Holder has the right to convert a Security at a particular conversion price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8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Indenture and Securities Solely Corporate Obligations.</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88"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TWO</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SECURITY FORMS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201.</w:t>
      </w:r>
      <w:r>
        <w:rPr>
          <w:sz w:val="20"/>
          <w:szCs w:val="20"/>
          <w:color w:val="auto"/>
        </w:rPr>
        <w:tab/>
      </w:r>
      <w:r>
        <w:rPr>
          <w:rFonts w:ascii="Courier New" w:cs="Courier New" w:eastAsia="Courier New" w:hAnsi="Courier New"/>
          <w:sz w:val="14"/>
          <w:szCs w:val="14"/>
          <w:color w:val="auto"/>
        </w:rPr>
        <w:t>Forms Generally.</w:t>
      </w:r>
    </w:p>
    <w:p>
      <w:pPr>
        <w:spacing w:after="0" w:line="171" w:lineRule="exact"/>
        <w:rPr>
          <w:sz w:val="20"/>
          <w:szCs w:val="20"/>
          <w:color w:val="auto"/>
        </w:rPr>
      </w:pPr>
    </w:p>
    <w:p>
      <w:pPr>
        <w:jc w:val="both"/>
        <w:ind w:right="3119" w:firstLine="444"/>
        <w:spacing w:after="0" w:line="297" w:lineRule="auto"/>
        <w:rPr>
          <w:sz w:val="20"/>
          <w:szCs w:val="20"/>
          <w:color w:val="auto"/>
        </w:rPr>
      </w:pPr>
      <w:r>
        <w:rPr>
          <w:rFonts w:ascii="Courier New" w:cs="Courier New" w:eastAsia="Courier New" w:hAnsi="Courier New"/>
          <w:sz w:val="15"/>
          <w:szCs w:val="15"/>
          <w:color w:val="auto"/>
        </w:rPr>
        <w:t>The Securities of each series shall be in substantially the form set forth in this Article, or in such other form as shall be established by or pursuant to a Board Resolution or in one or more</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05" w:right="1440" w:bottom="1440" w:gutter="0" w:footer="0" w:header="0"/>
        </w:sectPr>
      </w:pPr>
    </w:p>
    <w:bookmarkStart w:id="125" w:name="page126"/>
    <w:bookmarkEnd w:id="125"/>
    <w:p>
      <w:pPr>
        <w:ind w:right="3119"/>
        <w:spacing w:after="0" w:line="249" w:lineRule="auto"/>
        <w:rPr>
          <w:sz w:val="20"/>
          <w:szCs w:val="20"/>
          <w:color w:val="auto"/>
        </w:rPr>
      </w:pPr>
      <w:r>
        <w:rPr>
          <w:rFonts w:ascii="Courier New" w:cs="Courier New" w:eastAsia="Courier New" w:hAnsi="Courier New"/>
          <w:sz w:val="15"/>
          <w:szCs w:val="15"/>
          <w:color w:val="auto"/>
        </w:rPr>
        <w:t>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86"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Form of Face of Security.</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[Insert any legend required by the Internal Revenue Code and the regulations</w:t>
      </w:r>
    </w:p>
    <w:p>
      <w:pPr>
        <w:spacing w:after="0" w:line="2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thereunder.]</w:t>
      </w:r>
    </w:p>
    <w:p>
      <w:pPr>
        <w:spacing w:after="0" w:line="31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____________________________________________________</w:t>
      </w:r>
    </w:p>
    <w:p>
      <w:pPr>
        <w:sectPr>
          <w:pgSz w:w="11900" w:h="16838" w:orient="portrait"/>
          <w:cols w:equalWidth="0" w:num="1">
            <w:col w:w="10219"/>
          </w:cols>
          <w:pgMar w:left="240" w:top="605"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_________</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71" w:lineRule="exact"/>
        <w:rPr>
          <w:sz w:val="20"/>
          <w:szCs w:val="20"/>
          <w:color w:val="auto"/>
        </w:rPr>
      </w:pPr>
    </w:p>
    <w:p>
      <w:pPr>
        <w:sectPr>
          <w:pgSz w:w="11900" w:h="16838" w:orient="portrait"/>
          <w:cols w:equalWidth="0" w:num="2">
            <w:col w:w="5120" w:space="720"/>
            <w:col w:w="4379"/>
          </w:cols>
          <w:pgMar w:left="240" w:top="605" w:right="1440" w:bottom="1440" w:gutter="0" w:footer="0" w:header="0"/>
          <w:type w:val="continuous"/>
        </w:sectPr>
      </w:pPr>
    </w:p>
    <w:p>
      <w:pPr>
        <w:ind w:right="3399" w:firstLine="444"/>
        <w:spacing w:after="0" w:line="268" w:lineRule="auto"/>
        <w:rPr>
          <w:sz w:val="20"/>
          <w:szCs w:val="20"/>
          <w:color w:val="auto"/>
        </w:rPr>
      </w:pPr>
      <w:r>
        <w:rPr>
          <w:rFonts w:ascii="Courier New" w:cs="Courier New" w:eastAsia="Courier New" w:hAnsi="Courier New"/>
          <w:sz w:val="14"/>
          <w:szCs w:val="14"/>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________________________, or registered</w:t>
      </w:r>
    </w:p>
    <w:p>
      <w:pPr>
        <w:spacing w:after="0"/>
        <w:rPr>
          <w:sz w:val="20"/>
          <w:szCs w:val="20"/>
          <w:color w:val="auto"/>
        </w:rPr>
      </w:pPr>
      <w:r>
        <w:rPr>
          <w:rFonts w:ascii="Courier New" w:cs="Courier New" w:eastAsia="Courier New" w:hAnsi="Courier New"/>
          <w:sz w:val="15"/>
          <w:szCs w:val="15"/>
          <w:color w:val="auto"/>
        </w:rPr>
        <w:t>assigns, the principal sum of ____________________ Dollars on ________________</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[if the Security is to bear interest prior to Maturity, insert -- , and to pay interest thereon from _________ or from the most recent Interest Payment Date to</w:t>
      </w:r>
    </w:p>
    <w:p>
      <w:pPr>
        <w:spacing w:after="0"/>
        <w:rPr>
          <w:sz w:val="20"/>
          <w:szCs w:val="20"/>
          <w:color w:val="auto"/>
        </w:rPr>
      </w:pPr>
      <w:r>
        <w:rPr>
          <w:rFonts w:ascii="Courier New" w:cs="Courier New" w:eastAsia="Courier New" w:hAnsi="Courier New"/>
          <w:sz w:val="15"/>
          <w:szCs w:val="15"/>
          <w:color w:val="auto"/>
        </w:rPr>
        <w:t>which interest has been paid or duly provided for, semi-annually on 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_________ in each year, commencing _________, at the rate of ___% per annum,</w:t>
      </w:r>
    </w:p>
    <w:p>
      <w:pPr>
        <w:spacing w:after="0" w:line="12"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until the principal hereof is paid or made available for payment [if applicable, insert -- , provided that any principal and premium, and any such installment of interest, which is overdue shall bear interest at the rate of ___%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 (whether or not a Business Day), as the case may be, next preceding such</w:t>
      </w:r>
    </w:p>
    <w:p>
      <w:pPr>
        <w:spacing w:after="0" w:line="12" w:lineRule="exact"/>
        <w:rPr>
          <w:sz w:val="20"/>
          <w:szCs w:val="20"/>
          <w:color w:val="auto"/>
        </w:rPr>
      </w:pPr>
    </w:p>
    <w:p>
      <w:pPr>
        <w:jc w:val="both"/>
        <w:ind w:right="3119"/>
        <w:spacing w:after="0" w:line="278" w:lineRule="auto"/>
        <w:rPr>
          <w:sz w:val="20"/>
          <w:szCs w:val="20"/>
          <w:color w:val="auto"/>
        </w:rPr>
      </w:pPr>
      <w:r>
        <w:rPr>
          <w:rFonts w:ascii="Courier New" w:cs="Courier New" w:eastAsia="Courier New" w:hAnsi="Courier New"/>
          <w:sz w:val="15"/>
          <w:szCs w:val="15"/>
          <w:color w:val="auto"/>
        </w:rPr>
        <w:t>Interest Payment Date. Any such interest not so punctually paid or duly provided for will forthwith cease to be payable to the Holder on such Regular Record Date and</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05" w:right="1440" w:bottom="1440" w:gutter="0" w:footer="0" w:header="0"/>
          <w:type w:val="continuous"/>
        </w:sectPr>
      </w:pPr>
    </w:p>
    <w:bookmarkStart w:id="126" w:name="page127"/>
    <w:bookmarkEnd w:id="126"/>
    <w:p>
      <w:pPr>
        <w:ind w:right="3119"/>
        <w:spacing w:after="0" w:line="255" w:lineRule="auto"/>
        <w:rPr>
          <w:sz w:val="20"/>
          <w:szCs w:val="20"/>
          <w:color w:val="auto"/>
        </w:rPr>
      </w:pPr>
      <w:r>
        <w:rPr>
          <w:rFonts w:ascii="Courier New" w:cs="Courier New" w:eastAsia="Courier New" w:hAnsi="Courier New"/>
          <w:sz w:val="15"/>
          <w:szCs w:val="15"/>
          <w:color w:val="auto"/>
        </w:rPr>
        <w:t>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82"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___%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88"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Payment of the principal of (and premium, if any) and [if applicable, insert --any such] interest on this Security will be made at the office or agency of the Company maintained for that purpose in _________, in such coin or</w:t>
      </w:r>
    </w:p>
    <w:p>
      <w:pPr>
        <w:spacing w:after="0" w:line="1"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currency of the United States of America as at the time of payment is legal tender for payment of public and private debts [if applicable, insert -- ; provided, however, that at the option of the Company payment of interest may be</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right="3659"/>
        <w:spacing w:after="0" w:line="316" w:lineRule="auto"/>
        <w:rPr>
          <w:sz w:val="20"/>
          <w:szCs w:val="20"/>
          <w:color w:val="auto"/>
        </w:rPr>
      </w:pPr>
      <w:r>
        <w:rPr>
          <w:rFonts w:ascii="Courier New" w:cs="Courier New" w:eastAsia="Courier New" w:hAnsi="Courier New"/>
          <w:sz w:val="15"/>
          <w:szCs w:val="15"/>
          <w:color w:val="auto"/>
        </w:rPr>
        <w:t>made by check mailed to the address of the Person entitled thereto as such address shall appear in the Security Register].</w:t>
      </w:r>
    </w:p>
    <w:p>
      <w:pPr>
        <w:spacing w:after="0" w:line="39" w:lineRule="exact"/>
        <w:rPr>
          <w:sz w:val="20"/>
          <w:szCs w:val="20"/>
          <w:color w:val="auto"/>
        </w:rPr>
      </w:pPr>
    </w:p>
    <w:p>
      <w:pPr>
        <w:jc w:val="both"/>
        <w:ind w:right="3479" w:firstLine="444"/>
        <w:spacing w:after="0" w:line="297"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52"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66"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w:t>
      </w:r>
    </w:p>
    <w:p>
      <w:pPr>
        <w:sectPr>
          <w:pgSz w:w="11900" w:h="16838" w:orient="portrait"/>
          <w:cols w:equalWidth="0" w:num="1">
            <w:col w:w="10219"/>
          </w:cols>
          <w:pgMar w:left="240" w:top="605" w:right="1440" w:bottom="1440" w:gutter="0" w:footer="0" w:header="0"/>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83" w:lineRule="exact"/>
        <w:rPr>
          <w:sz w:val="20"/>
          <w:szCs w:val="20"/>
          <w:color w:val="auto"/>
        </w:rPr>
      </w:pPr>
    </w:p>
    <w:p>
      <w:pPr>
        <w:sectPr>
          <w:pgSz w:w="11900" w:h="16838" w:orient="portrait"/>
          <w:cols w:equalWidth="0" w:num="2">
            <w:col w:w="2460" w:space="720"/>
            <w:col w:w="7039"/>
          </w:cols>
          <w:pgMar w:left="240" w:top="605" w:right="1440" w:bottom="1440" w:gutter="0" w:footer="0" w:header="0"/>
          <w:type w:val="continuous"/>
        </w:sectPr>
      </w:pPr>
    </w:p>
    <w:p>
      <w:pPr>
        <w:ind w:left="318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05" w:right="1440" w:bottom="1440" w:gutter="0" w:footer="0" w:header="0"/>
          <w:type w:val="continuous"/>
        </w:sectPr>
      </w:pPr>
    </w:p>
    <w:bookmarkStart w:id="127" w:name="page128"/>
    <w:bookmarkEnd w:id="127"/>
    <w:p>
      <w:pPr>
        <w:spacing w:after="0"/>
        <w:tabs>
          <w:tab w:leader="none" w:pos="122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4"/>
          <w:szCs w:val="14"/>
          <w:color w:val="auto"/>
        </w:rPr>
        <w:t>Form of Reverse of Security.</w:t>
      </w:r>
    </w:p>
    <w:p>
      <w:pPr>
        <w:spacing w:after="0" w:line="171"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(herein called the "Securities"), issued and to be issued in one or more series under an Indenture, dated as of __________, 1997 (herein called the</w:t>
      </w:r>
    </w:p>
    <w:p>
      <w:pPr>
        <w:spacing w:after="0" w:line="1" w:lineRule="exact"/>
        <w:rPr>
          <w:sz w:val="20"/>
          <w:szCs w:val="20"/>
          <w:color w:val="auto"/>
        </w:rPr>
      </w:pPr>
    </w:p>
    <w:p>
      <w:pPr>
        <w:ind w:right="3219"/>
        <w:spacing w:after="0" w:line="248" w:lineRule="auto"/>
        <w:rPr>
          <w:sz w:val="20"/>
          <w:szCs w:val="20"/>
          <w:color w:val="auto"/>
        </w:rPr>
      </w:pPr>
      <w:r>
        <w:rPr>
          <w:rFonts w:ascii="Courier New" w:cs="Courier New" w:eastAsia="Courier New" w:hAnsi="Courier New"/>
          <w:sz w:val="15"/>
          <w:szCs w:val="15"/>
          <w:color w:val="auto"/>
        </w:rPr>
        <w:t>"Indenture,"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Indebtedness and the Holders of the Securities and of the terms upon which the Securities are, and are to be, authenticated and delivered. This Security is one of the series designated on the face hereof [if applicable, insert -- , limited in aggregate principal amount to $_________].</w:t>
      </w:r>
    </w:p>
    <w:p>
      <w:pPr>
        <w:spacing w:after="0" w:line="91"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[If applicable, insert -- The Securities of this series are subject to redemption upon not less than [If applicable, insert -- 30] days' notice by mail, [if applicable, insert -- (1) on _________ in any year commencing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_____ and ending with the year _____ through operation of the sinking fund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this series at a Redemption Price equal to 100% of the principal amount,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at any time [if applicable, insert -- on or after _________, 19__], as a</w:t>
      </w:r>
    </w:p>
    <w:p>
      <w:pPr>
        <w:spacing w:after="0" w:line="1"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whole or in part, at the election of the Company, at the following Redemption Prices (expressed as percentages of the principal amount): If redeemed [if applicable, insert -- on or before _________, ___%, and if redeemed]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12-month period beginning ________ of the years indicated, and thereafter at a</w:t>
      </w:r>
    </w:p>
    <w:p>
      <w:pPr>
        <w:spacing w:after="0" w:line="1" w:lineRule="exact"/>
        <w:rPr>
          <w:sz w:val="20"/>
          <w:szCs w:val="20"/>
          <w:color w:val="auto"/>
        </w:rPr>
      </w:pPr>
    </w:p>
    <w:p>
      <w:pPr>
        <w:ind w:right="3219"/>
        <w:spacing w:after="0" w:line="274" w:lineRule="auto"/>
        <w:rPr>
          <w:sz w:val="20"/>
          <w:szCs w:val="20"/>
          <w:color w:val="auto"/>
        </w:rPr>
      </w:pPr>
      <w:r>
        <w:rPr>
          <w:rFonts w:ascii="Courier New" w:cs="Courier New" w:eastAsia="Courier New" w:hAnsi="Courier New"/>
          <w:sz w:val="14"/>
          <w:szCs w:val="14"/>
          <w:color w:val="auto"/>
        </w:rPr>
        <w:t>Redemption Price equal to .% of the principal amount, together in the case 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200" w:lineRule="exact"/>
        <w:rPr>
          <w:sz w:val="20"/>
          <w:szCs w:val="20"/>
          <w:color w:val="auto"/>
        </w:rPr>
      </w:pPr>
    </w:p>
    <w:p>
      <w:pPr>
        <w:spacing w:after="0" w:line="384"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[If applicable, insert -- The Securities of this series are subject to redemption upon not less than [if applicable, insert -- 30] days' notice by mail, (1) on _________ in any year commencing with the year _____ and ending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the year _____ through operation of the sinking fund for this series at the</w:t>
      </w:r>
    </w:p>
    <w:p>
      <w:pPr>
        <w:spacing w:after="0" w:line="12"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Redemption Prices for redemption through operation of the sinking fund (expressed as percentages of the principal amount) set forth in the table below, and (2) at any time [if applicable, insert -- on or after __________], as a</w:t>
      </w:r>
    </w:p>
    <w:p>
      <w:pPr>
        <w:spacing w:after="0" w:line="1" w:lineRule="exact"/>
        <w:rPr>
          <w:sz w:val="20"/>
          <w:szCs w:val="20"/>
          <w:color w:val="auto"/>
        </w:rPr>
      </w:pPr>
    </w:p>
    <w:p>
      <w:pPr>
        <w:ind w:right="3299"/>
        <w:spacing w:after="0" w:line="290" w:lineRule="auto"/>
        <w:rPr>
          <w:sz w:val="20"/>
          <w:szCs w:val="20"/>
          <w:color w:val="auto"/>
        </w:rPr>
      </w:pPr>
      <w:r>
        <w:rPr>
          <w:rFonts w:ascii="Courier New" w:cs="Courier New" w:eastAsia="Courier New" w:hAnsi="Courier New"/>
          <w:sz w:val="14"/>
          <w:szCs w:val="14"/>
          <w:color w:val="auto"/>
        </w:rPr>
        <w:t>whole or in part, at the election of the Company, at the Redemption Prices for redemption otherwise than through operation of the sinking fund (expressed as percentages of the principal amount) set forth in the table below: If redeemed during the 12-month period beginning ________ of the years indicated,</w:t>
      </w:r>
    </w:p>
    <w:p>
      <w:pPr>
        <w:spacing w:after="0" w:line="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05" w:right="1440" w:bottom="1440" w:gutter="0" w:footer="0" w:header="0"/>
        </w:sectPr>
      </w:pPr>
    </w:p>
    <w:bookmarkStart w:id="128" w:name="page129"/>
    <w:bookmarkEnd w:id="128"/>
    <w:tbl>
      <w:tblPr>
        <w:tblLayout w:type="fixed"/>
        <w:tblInd w:w="44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9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Redemption Price For</w:t>
            </w:r>
          </w:p>
        </w:tc>
        <w:tc>
          <w:tcPr>
            <w:tcW w:w="1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Redemption</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Price For</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Redemption</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Through</w:t>
            </w:r>
          </w:p>
        </w:tc>
        <w:tc>
          <w:tcPr>
            <w:tcW w:w="1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Redemption</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Otherwise</w:t>
            </w:r>
          </w:p>
        </w:tc>
        <w:tc>
          <w:tcPr>
            <w:tcW w:w="0" w:type="dxa"/>
            <w:vAlign w:val="bottom"/>
          </w:tcPr>
          <w:p>
            <w:pPr>
              <w:spacing w:after="0"/>
              <w:rPr>
                <w:sz w:val="1"/>
                <w:szCs w:val="1"/>
                <w:color w:val="auto"/>
              </w:rPr>
            </w:pPr>
          </w:p>
        </w:tc>
      </w:tr>
      <w:tr>
        <w:trPr>
          <w:trHeight w:val="171"/>
        </w:trPr>
        <w:tc>
          <w:tcPr>
            <w:tcW w:w="1200" w:type="dxa"/>
            <w:vAlign w:val="bottom"/>
            <w:vMerge w:val="restart"/>
          </w:tcPr>
          <w:p>
            <w:pPr>
              <w:spacing w:after="0"/>
              <w:rPr>
                <w:sz w:val="20"/>
                <w:szCs w:val="20"/>
                <w:color w:val="auto"/>
              </w:rPr>
            </w:pPr>
            <w:r>
              <w:rPr>
                <w:rFonts w:ascii="Courier New" w:cs="Courier New" w:eastAsia="Courier New" w:hAnsi="Courier New"/>
                <w:sz w:val="15"/>
                <w:szCs w:val="15"/>
                <w:color w:val="auto"/>
              </w:rPr>
              <w:t>Year</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Operation</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Than</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Through Operation</w:t>
            </w:r>
          </w:p>
        </w:tc>
        <w:tc>
          <w:tcPr>
            <w:tcW w:w="0" w:type="dxa"/>
            <w:vAlign w:val="bottom"/>
          </w:tcPr>
          <w:p>
            <w:pPr>
              <w:spacing w:after="0"/>
              <w:rPr>
                <w:sz w:val="1"/>
                <w:szCs w:val="1"/>
                <w:color w:val="auto"/>
              </w:rPr>
            </w:pPr>
          </w:p>
        </w:tc>
      </w:tr>
      <w:tr>
        <w:trPr>
          <w:trHeight w:val="249"/>
        </w:trPr>
        <w:tc>
          <w:tcPr>
            <w:tcW w:w="1200" w:type="dxa"/>
            <w:vAlign w:val="bottom"/>
            <w:vMerge w:val="continue"/>
          </w:tcPr>
          <w:p>
            <w:pPr>
              <w:spacing w:after="0"/>
              <w:rPr>
                <w:sz w:val="21"/>
                <w:szCs w:val="21"/>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Sinking</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Fund</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9"/>
              </w:rPr>
              <w:t>the Sinking Fund</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3219"/>
        <w:spacing w:after="0" w:line="281" w:lineRule="auto"/>
        <w:rPr>
          <w:sz w:val="20"/>
          <w:szCs w:val="20"/>
          <w:color w:val="auto"/>
        </w:rPr>
      </w:pPr>
      <w:r>
        <w:rPr>
          <w:rFonts w:ascii="Courier New" w:cs="Courier New" w:eastAsia="Courier New" w:hAnsi="Courier New"/>
          <w:sz w:val="14"/>
          <w:szCs w:val="14"/>
          <w:color w:val="auto"/>
        </w:rPr>
        <w:t>and thereafter at a Redemption Price equal to ___%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65" w:lineRule="exact"/>
        <w:rPr>
          <w:sz w:val="20"/>
          <w:szCs w:val="20"/>
          <w:color w:val="auto"/>
        </w:rPr>
      </w:pPr>
    </w:p>
    <w:p>
      <w:pPr>
        <w:ind w:right="3299" w:firstLine="444"/>
        <w:spacing w:after="0" w:line="277" w:lineRule="auto"/>
        <w:rPr>
          <w:sz w:val="20"/>
          <w:szCs w:val="20"/>
          <w:color w:val="auto"/>
        </w:rPr>
      </w:pPr>
      <w:r>
        <w:rPr>
          <w:rFonts w:ascii="Courier New" w:cs="Courier New" w:eastAsia="Courier New" w:hAnsi="Courier New"/>
          <w:sz w:val="14"/>
          <w:szCs w:val="14"/>
          <w:color w:val="auto"/>
        </w:rPr>
        <w:t>[If applicable, insert -- Notwithstanding the foregoing, the Company may not, prior to __________, redeem any Securities of this series as contemplated</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5"/>
          <w:szCs w:val="15"/>
          <w:color w:val="auto"/>
        </w:rPr>
        <w:t>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81"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[If applicable, insert -- The sinking fund for this series provides for the redemption on _________, in each year beginning with the year _____ and ending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year _____ of [if applicable, insert -- not less than $_______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("mandatory sinking fund") and not more than] $_______ aggregate principal</w:t>
      </w:r>
    </w:p>
    <w:p>
      <w:pPr>
        <w:spacing w:after="0" w:line="1"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5"/>
          <w:szCs w:val="15"/>
          <w:color w:val="auto"/>
        </w:rPr>
        <w:t>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 in the inverse order in which they become due].]</w:t>
      </w:r>
    </w:p>
    <w:p>
      <w:pPr>
        <w:spacing w:after="0" w:line="81"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52" w:lineRule="exact"/>
        <w:rPr>
          <w:sz w:val="20"/>
          <w:szCs w:val="20"/>
          <w:color w:val="auto"/>
        </w:rPr>
      </w:pPr>
    </w:p>
    <w:p>
      <w:pPr>
        <w:ind w:right="3119" w:firstLine="444"/>
        <w:spacing w:after="0" w:line="303" w:lineRule="auto"/>
        <w:rPr>
          <w:sz w:val="20"/>
          <w:szCs w:val="20"/>
          <w:color w:val="auto"/>
        </w:rPr>
      </w:pPr>
      <w:r>
        <w:rPr>
          <w:rFonts w:ascii="Courier New" w:cs="Courier New" w:eastAsia="Courier New" w:hAnsi="Courier New"/>
          <w:sz w:val="14"/>
          <w:szCs w:val="14"/>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52"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[If the Security is convertible into Common Stock of the Company, insert -- Subject to the provisions of the Indenture, the Holder of this Security is entitled, at its option, at any time on or</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05" w:right="1440" w:bottom="1440" w:gutter="0" w:footer="0" w:header="0"/>
        </w:sectPr>
      </w:pPr>
    </w:p>
    <w:bookmarkStart w:id="129" w:name="page130"/>
    <w:bookmarkEnd w:id="129"/>
    <w:p>
      <w:pPr>
        <w:ind w:right="3219"/>
        <w:spacing w:after="0" w:line="261" w:lineRule="auto"/>
        <w:rPr>
          <w:sz w:val="20"/>
          <w:szCs w:val="20"/>
          <w:color w:val="auto"/>
        </w:rPr>
      </w:pPr>
      <w:r>
        <w:rPr>
          <w:rFonts w:ascii="Courier New" w:cs="Courier New" w:eastAsia="Courier New" w:hAnsi="Courier New"/>
          <w:sz w:val="14"/>
          <w:szCs w:val="14"/>
          <w:color w:val="auto"/>
        </w:rPr>
        <w:t>before [insert date] (except that, in case this Security or any portion hereof shall be called for redemption, such right shall terminate with respect to this Security or portion hereof, as the case may be, so called for redemption at the close of business on the first Business Day next preceding the date fixed for redemption as provided in the Indenture unless the Company defaults in making the payment due upon redemption), to convert the principal amount of this Security (or any portion hereof which is $1,000 or an integral multiple thereof), into fully paid and non-assessable shares (calculated as to each conversion to the nearest 1/100th of a share) of the Common Stock of the Company, as said shares shall be constituted at the date of conversion, at the conversion price of $______ principal amount of Securities for each share of</w:t>
      </w:r>
    </w:p>
    <w:p>
      <w:pPr>
        <w:spacing w:after="0" w:line="6" w:lineRule="exact"/>
        <w:rPr>
          <w:sz w:val="20"/>
          <w:szCs w:val="20"/>
          <w:color w:val="auto"/>
        </w:rPr>
      </w:pPr>
    </w:p>
    <w:p>
      <w:pPr>
        <w:jc w:val="both"/>
        <w:ind w:right="3659"/>
        <w:spacing w:after="0" w:line="258" w:lineRule="auto"/>
        <w:rPr>
          <w:sz w:val="20"/>
          <w:szCs w:val="20"/>
          <w:color w:val="auto"/>
        </w:rPr>
      </w:pPr>
      <w:r>
        <w:rPr>
          <w:rFonts w:ascii="Courier New" w:cs="Courier New" w:eastAsia="Courier New" w:hAnsi="Courier New"/>
          <w:sz w:val="14"/>
          <w:szCs w:val="14"/>
          <w:color w:val="auto"/>
        </w:rPr>
        <w:t>Common Stock, or at the adjusted conversion price in effect at the date of conversion determined as provided in the Indenture, upon surrender of this Security, together with the conversion notice hereon duly executed, to the Company at the designated office or agency of the Company in ____________,</w:t>
      </w:r>
    </w:p>
    <w:p>
      <w:pPr>
        <w:spacing w:after="0" w:line="1"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accompanied (if so required by the Company) by instruments of transfer, in form satisfactory to the Company and to the Trustee, duly executed by the Holder or by its duly authorized attorney in writing. Such surrender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 issued on conversion. The Company is not required to issue fractional shares upon any such conversion, but shall make adjustment therefor in cash on the basis of the current market value of such fractional interest as provided in the Indenture. The conversion price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200" w:lineRule="exact"/>
        <w:rPr>
          <w:sz w:val="20"/>
          <w:szCs w:val="20"/>
          <w:color w:val="auto"/>
        </w:rPr>
      </w:pPr>
    </w:p>
    <w:p>
      <w:pPr>
        <w:spacing w:after="0" w:line="2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05" w:right="1440" w:bottom="1440" w:gutter="0" w:footer="0" w:header="0"/>
        </w:sectPr>
      </w:pPr>
    </w:p>
    <w:bookmarkStart w:id="130" w:name="page131"/>
    <w:bookmarkEnd w:id="130"/>
    <w:p>
      <w:pPr>
        <w:ind w:right="3659" w:firstLine="444"/>
        <w:spacing w:after="0" w:line="353" w:lineRule="auto"/>
        <w:rPr>
          <w:sz w:val="20"/>
          <w:szCs w:val="20"/>
          <w:color w:val="auto"/>
        </w:rPr>
      </w:pPr>
      <w:r>
        <w:rPr>
          <w:rFonts w:ascii="Courier New" w:cs="Courier New" w:eastAsia="Courier New" w:hAnsi="Courier New"/>
          <w:sz w:val="15"/>
          <w:szCs w:val="15"/>
          <w:color w:val="auto"/>
        </w:rPr>
        <w:t>[If the Security is convertible into other securities of the Company, specify the conversion features.]</w:t>
      </w:r>
    </w:p>
    <w:p>
      <w:pPr>
        <w:spacing w:after="0" w:line="12"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 indebtedness evidenced by this Security is, to the extent and in the manner provided in the Indenture, subordinate and subject in right of payment to the prior payment in full of all Senior Indebtedness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[If</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Security is</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not an Original Issue</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Discount Security, insert -- If</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an Event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Default with</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respect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to Securities</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w w:val="98"/>
              </w:rPr>
              <w:t>of this series shall occur and be</w:t>
            </w:r>
          </w:p>
        </w:tc>
      </w:tr>
      <w:tr>
        <w:trPr>
          <w:trHeight w:val="171"/>
        </w:trPr>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continuing,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the principal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of the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Securities of</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this series may be declared due</w:t>
            </w:r>
          </w:p>
        </w:tc>
      </w:tr>
      <w:tr>
        <w:trPr>
          <w:trHeight w:val="249"/>
        </w:trPr>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and payable</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w w:val="95"/>
              </w:rPr>
              <w:t>in the manner</w:t>
            </w:r>
          </w:p>
        </w:tc>
        <w:tc>
          <w:tcPr>
            <w:tcW w:w="490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and with the effect provided in the Indenture.]</w:t>
            </w:r>
          </w:p>
        </w:tc>
      </w:tr>
    </w:tbl>
    <w:p>
      <w:pPr>
        <w:spacing w:after="0" w:line="92" w:lineRule="exact"/>
        <w:rPr>
          <w:sz w:val="20"/>
          <w:szCs w:val="20"/>
          <w:color w:val="auto"/>
        </w:rPr>
      </w:pPr>
    </w:p>
    <w:p>
      <w:pPr>
        <w:ind w:right="3219" w:firstLine="444"/>
        <w:spacing w:after="0" w:line="252" w:lineRule="auto"/>
        <w:rPr>
          <w:sz w:val="20"/>
          <w:szCs w:val="20"/>
          <w:color w:val="auto"/>
        </w:rPr>
      </w:pPr>
      <w:r>
        <w:rPr>
          <w:rFonts w:ascii="Courier New" w:cs="Courier New" w:eastAsia="Courier New" w:hAnsi="Courier New"/>
          <w:sz w:val="15"/>
          <w:szCs w:val="15"/>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85"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74"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w:t>
      </w:r>
    </w:p>
    <w:p>
      <w:pPr>
        <w:spacing w:after="0" w:line="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05" w:right="1440" w:bottom="1440" w:gutter="0" w:footer="0" w:header="0"/>
        </w:sectPr>
      </w:pPr>
    </w:p>
    <w:bookmarkStart w:id="131" w:name="page132"/>
    <w:bookmarkEnd w:id="131"/>
    <w:p>
      <w:pPr>
        <w:ind w:right="3119"/>
        <w:spacing w:after="0" w:line="257" w:lineRule="auto"/>
        <w:rPr>
          <w:sz w:val="20"/>
          <w:szCs w:val="20"/>
          <w:color w:val="auto"/>
        </w:rPr>
      </w:pPr>
      <w:r>
        <w:rPr>
          <w:rFonts w:ascii="Courier New" w:cs="Courier New" w:eastAsia="Courier New" w:hAnsi="Courier New"/>
          <w:sz w:val="15"/>
          <w:szCs w:val="15"/>
          <w:color w:val="auto"/>
        </w:rPr>
        <w:t>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80"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72"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73" w:lineRule="exact"/>
        <w:rPr>
          <w:sz w:val="20"/>
          <w:szCs w:val="20"/>
          <w:color w:val="auto"/>
        </w:rPr>
      </w:pPr>
    </w:p>
    <w:p>
      <w:pPr>
        <w:ind w:right="3219" w:firstLine="444"/>
        <w:spacing w:after="0" w:line="277"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$_____ and any integral multiple thereof. As</w:t>
      </w:r>
    </w:p>
    <w:p>
      <w:pPr>
        <w:spacing w:after="0" w:line="1" w:lineRule="exact"/>
        <w:rPr>
          <w:sz w:val="20"/>
          <w:szCs w:val="20"/>
          <w:color w:val="auto"/>
        </w:rPr>
      </w:pPr>
    </w:p>
    <w:p>
      <w:pPr>
        <w:ind w:right="3119"/>
        <w:spacing w:after="0" w:line="266" w:lineRule="auto"/>
        <w:rPr>
          <w:sz w:val="20"/>
          <w:szCs w:val="20"/>
          <w:color w:val="auto"/>
        </w:rPr>
      </w:pPr>
      <w:r>
        <w:rPr>
          <w:rFonts w:ascii="Courier New" w:cs="Courier New" w:eastAsia="Courier New" w:hAnsi="Courier New"/>
          <w:sz w:val="15"/>
          <w:szCs w:val="15"/>
          <w:color w:val="auto"/>
        </w:rPr>
        <w:t>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74"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No service charge shall be made for any such registration of transfer or exchange, but the Company may require payment of a sum sufficient to cover any tax or other governmental charge payable in connection therewith.</w:t>
      </w:r>
    </w:p>
    <w:p>
      <w:pPr>
        <w:spacing w:after="0" w:line="52"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59"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204.</w:t>
      </w:r>
      <w:r>
        <w:rPr>
          <w:sz w:val="20"/>
          <w:szCs w:val="20"/>
          <w:color w:val="auto"/>
        </w:rPr>
        <w:tab/>
      </w:r>
      <w:r>
        <w:rPr>
          <w:rFonts w:ascii="Courier New" w:cs="Courier New" w:eastAsia="Courier New" w:hAnsi="Courier New"/>
          <w:sz w:val="14"/>
          <w:szCs w:val="14"/>
          <w:color w:val="auto"/>
        </w:rPr>
        <w:t>Form of Legend for Global Securities.</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Unless otherwise specified as contemplated by Section 301 for the Securities evidenced thereby, every Global Security authenticated and delivered hereunder shall bear a legend in substantially the following form:</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05" w:right="1440" w:bottom="1440" w:gutter="0" w:footer="0" w:header="0"/>
        </w:sectPr>
      </w:pPr>
    </w:p>
    <w:bookmarkStart w:id="132" w:name="page133"/>
    <w:bookmarkEnd w:id="132"/>
    <w:p>
      <w:pPr>
        <w:ind w:right="3119"/>
        <w:spacing w:after="0" w:line="285"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6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205.</w:t>
      </w:r>
      <w:r>
        <w:rPr>
          <w:sz w:val="20"/>
          <w:szCs w:val="20"/>
          <w:color w:val="auto"/>
        </w:rPr>
        <w:tab/>
      </w:r>
      <w:r>
        <w:rPr>
          <w:rFonts w:ascii="Courier New" w:cs="Courier New" w:eastAsia="Courier New" w:hAnsi="Courier New"/>
          <w:sz w:val="14"/>
          <w:szCs w:val="14"/>
          <w:color w:val="auto"/>
        </w:rPr>
        <w:t>Form of Trustee's Certificate of Authentication.</w:t>
      </w:r>
    </w:p>
    <w:p>
      <w:pPr>
        <w:spacing w:after="0" w:line="171"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The Trustee's certificates of authentication shall be in substantially the following form:</w:t>
      </w:r>
    </w:p>
    <w:p>
      <w:pPr>
        <w:spacing w:after="0" w:line="12" w:lineRule="exact"/>
        <w:rPr>
          <w:sz w:val="20"/>
          <w:szCs w:val="20"/>
          <w:color w:val="auto"/>
        </w:rPr>
      </w:pPr>
    </w:p>
    <w:p>
      <w:pPr>
        <w:ind w:right="3299" w:firstLine="444"/>
        <w:spacing w:after="0" w:line="353" w:lineRule="auto"/>
        <w:rPr>
          <w:sz w:val="20"/>
          <w:szCs w:val="20"/>
          <w:color w:val="auto"/>
        </w:rPr>
      </w:pPr>
      <w:r>
        <w:rPr>
          <w:rFonts w:ascii="Courier New" w:cs="Courier New" w:eastAsia="Courier New" w:hAnsi="Courier New"/>
          <w:sz w:val="15"/>
          <w:szCs w:val="15"/>
          <w:color w:val="auto"/>
        </w:rPr>
        <w:t>This is one of the Securities of the series designated herein referred to in the within-mentioned Indenture.</w:t>
      </w:r>
    </w:p>
    <w:p>
      <w:pPr>
        <w:spacing w:after="0" w:line="1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NORWEST BANK MINNESOTA,</w:t>
      </w:r>
    </w:p>
    <w:p>
      <w:pPr>
        <w:spacing w:after="0" w:line="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NATIONAL ASSOCIATION,</w:t>
      </w:r>
    </w:p>
    <w:p>
      <w:pPr>
        <w:spacing w:after="0" w:line="14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As Trustee</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By:_____________________________</w:t>
      </w:r>
    </w:p>
    <w:p>
      <w:pPr>
        <w:spacing w:after="0" w:line="27"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Authorized Officer</w:t>
      </w:r>
    </w:p>
    <w:p>
      <w:pPr>
        <w:spacing w:after="0" w:line="14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206.</w:t>
      </w:r>
      <w:r>
        <w:rPr>
          <w:sz w:val="20"/>
          <w:szCs w:val="20"/>
          <w:color w:val="auto"/>
        </w:rPr>
        <w:tab/>
      </w:r>
      <w:r>
        <w:rPr>
          <w:rFonts w:ascii="Courier New" w:cs="Courier New" w:eastAsia="Courier New" w:hAnsi="Courier New"/>
          <w:sz w:val="14"/>
          <w:szCs w:val="14"/>
          <w:color w:val="auto"/>
        </w:rPr>
        <w:t>Form of Conversion Notice.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Micron Technology, Inc.:</w:t>
      </w:r>
    </w:p>
    <w:p>
      <w:pPr>
        <w:spacing w:after="0" w:line="171" w:lineRule="exact"/>
        <w:rPr>
          <w:sz w:val="20"/>
          <w:szCs w:val="20"/>
          <w:color w:val="auto"/>
        </w:rPr>
      </w:pPr>
    </w:p>
    <w:p>
      <w:pPr>
        <w:ind w:right="3119" w:firstLine="444"/>
        <w:spacing w:after="0" w:line="266" w:lineRule="auto"/>
        <w:rPr>
          <w:sz w:val="20"/>
          <w:szCs w:val="20"/>
          <w:color w:val="auto"/>
        </w:rPr>
      </w:pPr>
      <w:r>
        <w:rPr>
          <w:rFonts w:ascii="Courier New" w:cs="Courier New" w:eastAsia="Courier New" w:hAnsi="Courier New"/>
          <w:sz w:val="14"/>
          <w:szCs w:val="14"/>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within such period),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2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Principal Amount to be Converted</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05"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(in an integral multiple of $1,000, if</w:t>
      </w:r>
    </w:p>
    <w:p>
      <w:pPr>
        <w:spacing w:after="0" w:line="2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less than all)</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U.S. $ __________</w:t>
      </w:r>
    </w:p>
    <w:p>
      <w:pPr>
        <w:spacing w:after="0" w:line="14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Dated:______________________________</w:t>
      </w:r>
      <w:r>
        <w:rPr>
          <w:sz w:val="20"/>
          <w:szCs w:val="20"/>
          <w:color w:val="auto"/>
        </w:rPr>
        <w:tab/>
      </w:r>
      <w:r>
        <w:rPr>
          <w:rFonts w:ascii="Courier New" w:cs="Courier New" w:eastAsia="Courier New" w:hAnsi="Courier New"/>
          <w:sz w:val="14"/>
          <w:szCs w:val="14"/>
          <w:color w:val="auto"/>
        </w:rPr>
        <w:t>_____________________________________</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Signature(s) must be guaranteed by a</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qualified guarantor institution if</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shares of Common Stock are to be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delivered, or Securities to be issued,</w:t>
      </w:r>
    </w:p>
    <w:p>
      <w:pPr>
        <w:spacing w:after="0" w:line="1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other than to and in the name of the</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registered owner.</w:t>
      </w:r>
    </w:p>
    <w:p>
      <w:pPr>
        <w:spacing w:after="0" w:line="14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Signature Guaranty</w:t>
      </w:r>
    </w:p>
    <w:p>
      <w:pPr>
        <w:spacing w:after="0" w:line="145" w:lineRule="exact"/>
        <w:rPr>
          <w:sz w:val="20"/>
          <w:szCs w:val="20"/>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Fill in for registration of shares of Common Stock and Security if to be issued otherwise than to the registered Holder.</w:t>
      </w:r>
    </w:p>
    <w:p>
      <w:pPr>
        <w:sectPr>
          <w:pgSz w:w="11900" w:h="16838" w:orient="portrait"/>
          <w:cols w:equalWidth="0" w:num="1">
            <w:col w:w="10219"/>
          </w:cols>
          <w:pgMar w:left="240" w:top="605" w:right="1440" w:bottom="1440" w:gutter="0" w:footer="0" w:header="0"/>
        </w:sectPr>
      </w:pPr>
    </w:p>
    <w:p>
      <w:pPr>
        <w:spacing w:after="0" w:line="183" w:lineRule="exact"/>
        <w:rPr>
          <w:sz w:val="20"/>
          <w:szCs w:val="20"/>
          <w:color w:val="auto"/>
        </w:rPr>
      </w:pPr>
    </w:p>
    <w:p>
      <w:pPr>
        <w:ind w:right="260"/>
        <w:spacing w:after="0" w:line="395" w:lineRule="auto"/>
        <w:rPr>
          <w:sz w:val="20"/>
          <w:szCs w:val="20"/>
          <w:color w:val="auto"/>
        </w:rPr>
      </w:pPr>
      <w:r>
        <w:rPr>
          <w:rFonts w:ascii="Courier New" w:cs="Courier New" w:eastAsia="Courier New" w:hAnsi="Courier New"/>
          <w:sz w:val="14"/>
          <w:szCs w:val="14"/>
          <w:color w:val="auto"/>
        </w:rPr>
        <w:t>_____________________________ (Name)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or Other Taxpayer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0"/>
          <w:szCs w:val="20"/>
          <w:color w:val="auto"/>
        </w:rPr>
      </w:pPr>
    </w:p>
    <w:p>
      <w:pPr>
        <w:sectPr>
          <w:pgSz w:w="11900" w:h="16838" w:orient="portrait"/>
          <w:cols w:equalWidth="0" w:num="2">
            <w:col w:w="2820" w:space="720"/>
            <w:col w:w="6679"/>
          </w:cols>
          <w:pgMar w:left="240" w:top="605" w:right="1440"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Name and Address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zip code number)</w:t>
      </w:r>
    </w:p>
    <w:p>
      <w:pPr>
        <w:sectPr>
          <w:pgSz w:w="11900" w:h="16838" w:orient="portrait"/>
          <w:cols w:equalWidth="0" w:num="1">
            <w:col w:w="10219"/>
          </w:cols>
          <w:pgMar w:left="240" w:top="605" w:right="1440" w:bottom="1440" w:gutter="0" w:footer="0" w:header="0"/>
          <w:type w:val="continuous"/>
        </w:sectPr>
      </w:pPr>
    </w:p>
    <w:p>
      <w:pPr>
        <w:spacing w:after="0" w:line="145" w:lineRule="exact"/>
        <w:rPr>
          <w:sz w:val="20"/>
          <w:szCs w:val="20"/>
          <w:color w:val="auto"/>
        </w:rPr>
      </w:pPr>
    </w:p>
    <w:p>
      <w:pPr>
        <w:ind w:right="3299"/>
        <w:spacing w:after="0" w:line="353" w:lineRule="auto"/>
        <w:rPr>
          <w:sz w:val="20"/>
          <w:szCs w:val="20"/>
          <w:color w:val="auto"/>
        </w:rPr>
      </w:pPr>
      <w:r>
        <w:rPr>
          <w:rFonts w:ascii="Courier New" w:cs="Courier New" w:eastAsia="Courier New" w:hAnsi="Courier New"/>
          <w:sz w:val="15"/>
          <w:szCs w:val="15"/>
          <w:color w:val="auto"/>
        </w:rPr>
        <w:t>[The above conversion notice is to be modified, as appropriate, for conversion into other securities or property of the Company.]</w:t>
      </w:r>
    </w:p>
    <w:p>
      <w:pPr>
        <w:spacing w:after="0" w:line="1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THREE</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THE SECURITIES</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301.</w:t>
      </w:r>
      <w:r>
        <w:rPr>
          <w:sz w:val="20"/>
          <w:szCs w:val="20"/>
          <w:color w:val="auto"/>
        </w:rPr>
        <w:tab/>
      </w:r>
      <w:r>
        <w:rPr>
          <w:rFonts w:ascii="Courier New" w:cs="Courier New" w:eastAsia="Courier New" w:hAnsi="Courier New"/>
          <w:sz w:val="14"/>
          <w:szCs w:val="14"/>
          <w:color w:val="auto"/>
        </w:rPr>
        <w:t>Amount Unlimited; Issuable in Series.</w:t>
      </w:r>
    </w:p>
    <w:p>
      <w:pPr>
        <w:spacing w:after="0" w:line="171" w:lineRule="exact"/>
        <w:rPr>
          <w:sz w:val="20"/>
          <w:szCs w:val="20"/>
          <w:color w:val="auto"/>
        </w:rPr>
      </w:pPr>
    </w:p>
    <w:p>
      <w:pPr>
        <w:ind w:right="3119" w:firstLine="444"/>
        <w:spacing w:after="0" w:line="353" w:lineRule="auto"/>
        <w:rPr>
          <w:sz w:val="20"/>
          <w:szCs w:val="20"/>
          <w:color w:val="auto"/>
        </w:rPr>
      </w:pPr>
      <w:r>
        <w:rPr>
          <w:rFonts w:ascii="Courier New" w:cs="Courier New" w:eastAsia="Courier New" w:hAnsi="Courier New"/>
          <w:sz w:val="15"/>
          <w:szCs w:val="15"/>
          <w:color w:val="auto"/>
        </w:rPr>
        <w:t>The aggregate principal amount of Securities which may be authenticated and delivered under this Indenture is unlimited.</w:t>
      </w:r>
    </w:p>
    <w:p>
      <w:pPr>
        <w:spacing w:after="0" w:line="12" w:lineRule="exact"/>
        <w:rPr>
          <w:sz w:val="20"/>
          <w:szCs w:val="20"/>
          <w:color w:val="auto"/>
        </w:rPr>
      </w:pPr>
    </w:p>
    <w:p>
      <w:pPr>
        <w:ind w:right="3399" w:firstLine="444"/>
        <w:spacing w:after="0" w:line="297" w:lineRule="auto"/>
        <w:rPr>
          <w:sz w:val="20"/>
          <w:szCs w:val="20"/>
          <w:color w:val="auto"/>
        </w:rPr>
      </w:pPr>
      <w:r>
        <w:rPr>
          <w:rFonts w:ascii="Courier New" w:cs="Courier New" w:eastAsia="Courier New" w:hAnsi="Courier New"/>
          <w:sz w:val="15"/>
          <w:szCs w:val="15"/>
          <w:color w:val="auto"/>
        </w:rPr>
        <w:t>The Securities may be issued in one or more series. There shall be established in or pursuant to a Board Resolution and, subject to Section 303, set forth, or determined in the manner provided,</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05" w:right="1440" w:bottom="1440" w:gutter="0" w:footer="0" w:header="0"/>
          <w:type w:val="continuous"/>
        </w:sectPr>
      </w:pPr>
    </w:p>
    <w:bookmarkStart w:id="134" w:name="page135"/>
    <w:bookmarkEnd w:id="134"/>
    <w:p>
      <w:pPr>
        <w:ind w:right="3919"/>
        <w:spacing w:after="0" w:line="387" w:lineRule="auto"/>
        <w:rPr>
          <w:sz w:val="20"/>
          <w:szCs w:val="20"/>
          <w:color w:val="auto"/>
        </w:rPr>
      </w:pPr>
      <w:r>
        <w:rPr>
          <w:rFonts w:ascii="Courier New" w:cs="Courier New" w:eastAsia="Courier New" w:hAnsi="Courier New"/>
          <w:sz w:val="14"/>
          <w:szCs w:val="14"/>
          <w:color w:val="auto"/>
        </w:rPr>
        <w:t>in an Officers' Certificate, or established in one or more indentures supplemental hereto, prior to the issuance of Securities of any series,</w:t>
      </w:r>
    </w:p>
    <w:p>
      <w:pPr>
        <w:spacing w:after="0" w:line="1" w:lineRule="exact"/>
        <w:rPr>
          <w:sz w:val="20"/>
          <w:szCs w:val="20"/>
          <w:color w:val="auto"/>
        </w:rPr>
      </w:pPr>
    </w:p>
    <w:p>
      <w:pPr>
        <w:ind w:right="3119" w:firstLine="435"/>
        <w:spacing w:after="0" w:line="353"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Securities of the series (which shall distinguish the Securities of the series from Securities of any other series);</w:t>
      </w:r>
    </w:p>
    <w:p>
      <w:pPr>
        <w:spacing w:after="0" w:line="12" w:lineRule="exact"/>
        <w:rPr>
          <w:rFonts w:ascii="Courier New" w:cs="Courier New" w:eastAsia="Courier New" w:hAnsi="Courier New"/>
          <w:sz w:val="15"/>
          <w:szCs w:val="15"/>
          <w:color w:val="auto"/>
        </w:rPr>
      </w:pPr>
    </w:p>
    <w:p>
      <w:pPr>
        <w:ind w:right="3119" w:firstLine="435"/>
        <w:spacing w:after="0" w:line="259"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81" w:lineRule="exact"/>
        <w:rPr>
          <w:rFonts w:ascii="Courier New" w:cs="Courier New" w:eastAsia="Courier New" w:hAnsi="Courier New"/>
          <w:sz w:val="15"/>
          <w:szCs w:val="15"/>
          <w:color w:val="auto"/>
        </w:rPr>
      </w:pPr>
    </w:p>
    <w:p>
      <w:pPr>
        <w:ind w:right="3299" w:firstLine="435"/>
        <w:spacing w:after="0" w:line="278"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66" w:lineRule="exact"/>
        <w:rPr>
          <w:rFonts w:ascii="Courier New" w:cs="Courier New" w:eastAsia="Courier New" w:hAnsi="Courier New"/>
          <w:sz w:val="15"/>
          <w:szCs w:val="15"/>
          <w:color w:val="auto"/>
        </w:rPr>
      </w:pPr>
    </w:p>
    <w:p>
      <w:pPr>
        <w:ind w:right="3579" w:firstLine="435"/>
        <w:spacing w:after="0" w:line="353"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the principal of any Securities of the series is payable;</w:t>
      </w:r>
    </w:p>
    <w:p>
      <w:pPr>
        <w:spacing w:after="0" w:line="12" w:lineRule="exact"/>
        <w:rPr>
          <w:rFonts w:ascii="Courier New" w:cs="Courier New" w:eastAsia="Courier New" w:hAnsi="Courier New"/>
          <w:sz w:val="15"/>
          <w:szCs w:val="15"/>
          <w:color w:val="auto"/>
        </w:rPr>
      </w:pPr>
    </w:p>
    <w:p>
      <w:pPr>
        <w:ind w:right="3219" w:firstLine="435"/>
        <w:spacing w:after="0" w:line="303" w:lineRule="auto"/>
        <w:tabs>
          <w:tab w:leader="none" w:pos="88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52" w:lineRule="exact"/>
        <w:rPr>
          <w:rFonts w:ascii="Courier New" w:cs="Courier New" w:eastAsia="Courier New" w:hAnsi="Courier New"/>
          <w:sz w:val="14"/>
          <w:szCs w:val="14"/>
          <w:color w:val="auto"/>
        </w:rPr>
      </w:pPr>
    </w:p>
    <w:p>
      <w:pPr>
        <w:ind w:right="3839" w:firstLine="435"/>
        <w:spacing w:after="0" w:line="353"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the principal of and any premium and interest on any Securities of the series shall be payable;</w:t>
      </w:r>
    </w:p>
    <w:p>
      <w:pPr>
        <w:spacing w:after="0" w:line="12" w:lineRule="exact"/>
        <w:rPr>
          <w:rFonts w:ascii="Courier New" w:cs="Courier New" w:eastAsia="Courier New" w:hAnsi="Courier New"/>
          <w:sz w:val="15"/>
          <w:szCs w:val="15"/>
          <w:color w:val="auto"/>
        </w:rPr>
      </w:pPr>
    </w:p>
    <w:p>
      <w:pPr>
        <w:ind w:right="3119" w:firstLine="435"/>
        <w:spacing w:after="0" w:line="269"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71"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77" w:lineRule="exact"/>
        <w:rPr>
          <w:rFonts w:ascii="Courier New" w:cs="Courier New" w:eastAsia="Courier New" w:hAnsi="Courier New"/>
          <w:sz w:val="15"/>
          <w:szCs w:val="15"/>
          <w:color w:val="auto"/>
        </w:rPr>
      </w:pPr>
    </w:p>
    <w:p>
      <w:pPr>
        <w:jc w:val="both"/>
        <w:ind w:right="3759" w:firstLine="435"/>
        <w:spacing w:after="0" w:line="297" w:lineRule="auto"/>
        <w:tabs>
          <w:tab w:leader="none" w:pos="8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denominations of $1,000 and any integral multiple thereof, the denominations in which any Securities of the series shall be issuable;</w:t>
      </w:r>
    </w:p>
    <w:p>
      <w:pPr>
        <w:spacing w:after="0" w:line="51" w:lineRule="exact"/>
        <w:rPr>
          <w:rFonts w:ascii="Courier New" w:cs="Courier New" w:eastAsia="Courier New" w:hAnsi="Courier New"/>
          <w:sz w:val="15"/>
          <w:szCs w:val="15"/>
          <w:color w:val="auto"/>
        </w:rPr>
      </w:pPr>
    </w:p>
    <w:p>
      <w:pPr>
        <w:ind w:right="3479" w:firstLine="435"/>
        <w:spacing w:after="0" w:line="326" w:lineRule="auto"/>
        <w:tabs>
          <w:tab w:leader="none" w:pos="887"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principal of or any premium or interest on any Securities of the series may be determined with reference to an index or pursuant to a formula, the manner in which such amounts shall be determined;</w:t>
      </w:r>
    </w:p>
    <w:p>
      <w:pPr>
        <w:spacing w:after="0" w:line="3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05" w:right="1440" w:bottom="1440" w:gutter="0" w:footer="0" w:header="0"/>
        </w:sectPr>
      </w:pPr>
    </w:p>
    <w:bookmarkStart w:id="135" w:name="page136"/>
    <w:bookmarkEnd w:id="135"/>
    <w:p>
      <w:pPr>
        <w:ind w:left="-435" w:right="3119" w:firstLine="435"/>
        <w:spacing w:after="0" w:line="255" w:lineRule="auto"/>
        <w:tabs>
          <w:tab w:leader="none" w:pos="453"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81" w:lineRule="exact"/>
        <w:rPr>
          <w:rFonts w:ascii="Courier New" w:cs="Courier New" w:eastAsia="Courier New" w:hAnsi="Courier New"/>
          <w:sz w:val="15"/>
          <w:szCs w:val="15"/>
          <w:color w:val="auto"/>
        </w:rPr>
      </w:pPr>
    </w:p>
    <w:p>
      <w:pPr>
        <w:ind w:left="-435" w:right="3119" w:firstLine="435"/>
        <w:spacing w:after="0" w:line="251" w:lineRule="auto"/>
        <w:tabs>
          <w:tab w:leader="none" w:pos="453"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86" w:lineRule="exact"/>
        <w:rPr>
          <w:rFonts w:ascii="Courier New" w:cs="Courier New" w:eastAsia="Courier New" w:hAnsi="Courier New"/>
          <w:sz w:val="15"/>
          <w:szCs w:val="15"/>
          <w:color w:val="auto"/>
        </w:rPr>
      </w:pPr>
    </w:p>
    <w:p>
      <w:pPr>
        <w:ind w:left="-435" w:right="3219" w:firstLine="435"/>
        <w:spacing w:after="0" w:line="326" w:lineRule="auto"/>
        <w:tabs>
          <w:tab w:leader="none" w:pos="453"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36" w:lineRule="exact"/>
        <w:rPr>
          <w:rFonts w:ascii="Courier New" w:cs="Courier New" w:eastAsia="Courier New" w:hAnsi="Courier New"/>
          <w:sz w:val="14"/>
          <w:szCs w:val="14"/>
          <w:color w:val="auto"/>
        </w:rPr>
      </w:pPr>
    </w:p>
    <w:p>
      <w:pPr>
        <w:ind w:left="-435" w:right="3119" w:firstLine="435"/>
        <w:spacing w:after="0" w:line="255" w:lineRule="auto"/>
        <w:tabs>
          <w:tab w:leader="none" w:pos="453"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81" w:lineRule="exact"/>
        <w:rPr>
          <w:rFonts w:ascii="Courier New" w:cs="Courier New" w:eastAsia="Courier New" w:hAnsi="Courier New"/>
          <w:sz w:val="15"/>
          <w:szCs w:val="15"/>
          <w:color w:val="auto"/>
        </w:rPr>
      </w:pPr>
    </w:p>
    <w:p>
      <w:pPr>
        <w:ind w:left="-435" w:right="3119" w:firstLine="435"/>
        <w:spacing w:after="0" w:line="303" w:lineRule="auto"/>
        <w:tabs>
          <w:tab w:leader="none" w:pos="453"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the Securities of the series, in whole or any specified part, shall be defeasible pursuant to Section 1302 or Section 1303 or both such Sections and, if other than by a Board Resolution, the manner in which any election by the Company to defease such Securities shall be evidenced;</w:t>
      </w:r>
    </w:p>
    <w:p>
      <w:pPr>
        <w:spacing w:after="0" w:line="52" w:lineRule="exact"/>
        <w:rPr>
          <w:rFonts w:ascii="Courier New" w:cs="Courier New" w:eastAsia="Courier New" w:hAnsi="Courier New"/>
          <w:sz w:val="14"/>
          <w:szCs w:val="14"/>
          <w:color w:val="auto"/>
        </w:rPr>
      </w:pPr>
    </w:p>
    <w:p>
      <w:pPr>
        <w:ind w:left="-435" w:right="3479" w:firstLine="435"/>
        <w:spacing w:after="0" w:line="297" w:lineRule="auto"/>
        <w:tabs>
          <w:tab w:leader="none" w:pos="453"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terms of any right to convert Securities of the series into shares of Common Stock of the Company or other securities or property;</w:t>
      </w:r>
    </w:p>
    <w:p>
      <w:pPr>
        <w:spacing w:after="0" w:line="51" w:lineRule="exact"/>
        <w:rPr>
          <w:rFonts w:ascii="Courier New" w:cs="Courier New" w:eastAsia="Courier New" w:hAnsi="Courier New"/>
          <w:sz w:val="15"/>
          <w:szCs w:val="15"/>
          <w:color w:val="auto"/>
        </w:rPr>
      </w:pPr>
    </w:p>
    <w:p>
      <w:pPr>
        <w:ind w:left="-435" w:right="3119" w:firstLine="435"/>
        <w:spacing w:after="0" w:line="257" w:lineRule="auto"/>
        <w:tabs>
          <w:tab w:leader="none" w:pos="453"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w:t>
      </w:r>
    </w:p>
    <w:p>
      <w:pPr>
        <w:spacing w:after="0" w:line="80"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84"/>
          </w:cols>
          <w:pgMar w:left="675" w:top="605" w:right="1440" w:bottom="1440" w:gutter="0" w:footer="0" w:header="0"/>
        </w:sectPr>
      </w:pPr>
    </w:p>
    <w:bookmarkStart w:id="136" w:name="page137"/>
    <w:bookmarkEnd w:id="136"/>
    <w:p>
      <w:pPr>
        <w:ind w:right="3119"/>
        <w:spacing w:after="0" w:line="297" w:lineRule="auto"/>
        <w:rPr>
          <w:sz w:val="20"/>
          <w:szCs w:val="20"/>
          <w:color w:val="auto"/>
        </w:rPr>
      </w:pPr>
      <w:r>
        <w:rPr>
          <w:rFonts w:ascii="Courier New" w:cs="Courier New" w:eastAsia="Courier New" w:hAnsi="Courier New"/>
          <w:sz w:val="15"/>
          <w:szCs w:val="15"/>
          <w:color w:val="auto"/>
        </w:rPr>
        <w:t>such Global Security in whole or in part may be registered, in the name or names of Persons other than the Depositary for such Global Security or a nominee thereof;</w:t>
      </w:r>
    </w:p>
    <w:p>
      <w:pPr>
        <w:spacing w:after="0" w:line="52" w:lineRule="exact"/>
        <w:rPr>
          <w:sz w:val="20"/>
          <w:szCs w:val="20"/>
          <w:color w:val="auto"/>
        </w:rPr>
      </w:pPr>
    </w:p>
    <w:p>
      <w:pPr>
        <w:ind w:right="3119" w:firstLine="435"/>
        <w:spacing w:after="0" w:line="278" w:lineRule="auto"/>
        <w:tabs>
          <w:tab w:leader="none" w:pos="8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66" w:lineRule="exact"/>
        <w:rPr>
          <w:rFonts w:ascii="Courier New" w:cs="Courier New" w:eastAsia="Courier New" w:hAnsi="Courier New"/>
          <w:sz w:val="15"/>
          <w:szCs w:val="15"/>
          <w:color w:val="auto"/>
        </w:rPr>
      </w:pPr>
    </w:p>
    <w:p>
      <w:pPr>
        <w:ind w:right="3399" w:firstLine="435"/>
        <w:spacing w:after="0" w:line="353" w:lineRule="auto"/>
        <w:tabs>
          <w:tab w:leader="none" w:pos="887"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to or change in the covenants set forth in Article Ten which applies to Securities of the series; and</w:t>
      </w:r>
    </w:p>
    <w:p>
      <w:pPr>
        <w:spacing w:after="0" w:line="12" w:lineRule="exact"/>
        <w:rPr>
          <w:rFonts w:ascii="Courier New" w:cs="Courier New" w:eastAsia="Courier New" w:hAnsi="Courier New"/>
          <w:sz w:val="15"/>
          <w:szCs w:val="15"/>
          <w:color w:val="auto"/>
        </w:rPr>
      </w:pPr>
    </w:p>
    <w:p>
      <w:pPr>
        <w:jc w:val="both"/>
        <w:ind w:right="3299" w:firstLine="435"/>
        <w:spacing w:after="0" w:line="387" w:lineRule="auto"/>
        <w:tabs>
          <w:tab w:leader="none" w:pos="887"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 except as permitted by Section 901(5)).</w:t>
      </w:r>
    </w:p>
    <w:p>
      <w:pPr>
        <w:spacing w:after="0" w:line="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7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72" w:lineRule="exact"/>
        <w:rPr>
          <w:sz w:val="20"/>
          <w:szCs w:val="20"/>
          <w:color w:val="auto"/>
        </w:rPr>
      </w:pPr>
    </w:p>
    <w:p>
      <w:pPr>
        <w:ind w:right="3919" w:firstLine="444"/>
        <w:spacing w:after="0" w:line="353" w:lineRule="auto"/>
        <w:rPr>
          <w:sz w:val="20"/>
          <w:szCs w:val="20"/>
          <w:color w:val="auto"/>
        </w:rPr>
      </w:pPr>
      <w:r>
        <w:rPr>
          <w:rFonts w:ascii="Courier New" w:cs="Courier New" w:eastAsia="Courier New" w:hAnsi="Courier New"/>
          <w:sz w:val="15"/>
          <w:szCs w:val="15"/>
          <w:color w:val="auto"/>
        </w:rPr>
        <w:t>The Securities shall be subordinated in right of payment to Senior Indebtedness as provided in Article Fifteen.</w:t>
      </w:r>
    </w:p>
    <w:p>
      <w:pPr>
        <w:spacing w:after="0" w:line="1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302.</w:t>
      </w:r>
      <w:r>
        <w:rPr>
          <w:sz w:val="20"/>
          <w:szCs w:val="20"/>
          <w:color w:val="auto"/>
        </w:rPr>
        <w:tab/>
      </w:r>
      <w:r>
        <w:rPr>
          <w:rFonts w:ascii="Courier New" w:cs="Courier New" w:eastAsia="Courier New" w:hAnsi="Courier New"/>
          <w:sz w:val="14"/>
          <w:szCs w:val="14"/>
          <w:color w:val="auto"/>
        </w:rPr>
        <w:t>Denominations.</w:t>
      </w:r>
    </w:p>
    <w:p>
      <w:pPr>
        <w:spacing w:after="0" w:line="171"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5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Securities shall be executed on behalf of the Company by its Chairman of the Board, its Vice Chairman of the Board, its principal financial officer, its President or one of its Vice Presidents, attested by its Secretary or one of its Assistant Secretaries. The signature of any of these officers on the Securities may be manual or facsimile.</w:t>
      </w:r>
    </w:p>
    <w:p>
      <w:pPr>
        <w:spacing w:after="0" w:line="7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05" w:right="1440" w:bottom="1440" w:gutter="0" w:footer="0" w:header="0"/>
        </w:sectPr>
      </w:pPr>
    </w:p>
    <w:bookmarkStart w:id="137" w:name="page138"/>
    <w:bookmarkEnd w:id="137"/>
    <w:p>
      <w:pPr>
        <w:ind w:right="3119" w:firstLine="444"/>
        <w:spacing w:after="0" w:line="252"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85" w:lineRule="exact"/>
        <w:rPr>
          <w:sz w:val="20"/>
          <w:szCs w:val="20"/>
          <w:color w:val="auto"/>
        </w:rPr>
      </w:pPr>
    </w:p>
    <w:p>
      <w:pPr>
        <w:ind w:right="3219" w:firstLine="435"/>
        <w:spacing w:after="0" w:line="297" w:lineRule="auto"/>
        <w:tabs>
          <w:tab w:leader="none" w:pos="8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form of such Securities has been established by or pursuant to Board Resolution as permitted by Section 201, that such form has been established in conformity with the provisions of this Indenture;</w:t>
      </w:r>
    </w:p>
    <w:p>
      <w:pPr>
        <w:spacing w:after="0" w:line="51" w:lineRule="exact"/>
        <w:rPr>
          <w:rFonts w:ascii="Courier New" w:cs="Courier New" w:eastAsia="Courier New" w:hAnsi="Courier New"/>
          <w:sz w:val="15"/>
          <w:szCs w:val="15"/>
          <w:color w:val="auto"/>
        </w:rPr>
      </w:pPr>
    </w:p>
    <w:p>
      <w:pPr>
        <w:ind w:right="3299" w:firstLine="435"/>
        <w:spacing w:after="0" w:line="326" w:lineRule="auto"/>
        <w:tabs>
          <w:tab w:leader="none" w:pos="887"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terms of such Securities have been established by or pursuant to Board Resolution as permitted by Section 301, that such terms have been established in conformity with the provisions of this Indenture; and</w:t>
      </w:r>
    </w:p>
    <w:p>
      <w:pPr>
        <w:spacing w:after="0" w:line="36" w:lineRule="exact"/>
        <w:rPr>
          <w:rFonts w:ascii="Courier New" w:cs="Courier New" w:eastAsia="Courier New" w:hAnsi="Courier New"/>
          <w:sz w:val="14"/>
          <w:szCs w:val="14"/>
          <w:color w:val="auto"/>
        </w:rPr>
      </w:pPr>
    </w:p>
    <w:p>
      <w:pPr>
        <w:ind w:right="3119" w:firstLine="435"/>
        <w:spacing w:after="0" w:line="259" w:lineRule="auto"/>
        <w:tabs>
          <w:tab w:leader="none" w:pos="8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82" w:lineRule="exact"/>
        <w:rPr>
          <w:sz w:val="20"/>
          <w:szCs w:val="20"/>
          <w:color w:val="auto"/>
        </w:rPr>
      </w:pPr>
    </w:p>
    <w:p>
      <w:pPr>
        <w:ind w:right="3399" w:firstLine="444"/>
        <w:spacing w:after="0" w:line="269" w:lineRule="auto"/>
        <w:rPr>
          <w:sz w:val="20"/>
          <w:szCs w:val="20"/>
          <w:color w:val="auto"/>
        </w:rPr>
      </w:pPr>
      <w:r>
        <w:rPr>
          <w:rFonts w:ascii="Courier New" w:cs="Courier New" w:eastAsia="Courier New" w:hAnsi="Courier New"/>
          <w:sz w:val="15"/>
          <w:szCs w:val="15"/>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72"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Security shall be dated the date of its authentication.</w:t>
      </w:r>
    </w:p>
    <w:p>
      <w:pPr>
        <w:spacing w:after="0" w:line="171"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w:t>
      </w:r>
    </w:p>
    <w:p>
      <w:pPr>
        <w:spacing w:after="0" w:line="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05" w:right="1440" w:bottom="1440" w:gutter="0" w:footer="0" w:header="0"/>
        </w:sectPr>
      </w:pPr>
    </w:p>
    <w:bookmarkStart w:id="138" w:name="page139"/>
    <w:bookmarkEnd w:id="138"/>
    <w:p>
      <w:pPr>
        <w:ind w:right="3219"/>
        <w:spacing w:after="0" w:line="297" w:lineRule="auto"/>
        <w:rPr>
          <w:sz w:val="20"/>
          <w:szCs w:val="20"/>
          <w:color w:val="auto"/>
        </w:rPr>
      </w:pPr>
      <w:r>
        <w:rPr>
          <w:rFonts w:ascii="Courier New" w:cs="Courier New" w:eastAsia="Courier New" w:hAnsi="Courier New"/>
          <w:sz w:val="15"/>
          <w:szCs w:val="15"/>
          <w:color w:val="auto"/>
        </w:rPr>
        <w:t>all purposes of this Indenture such Security shall be deemed never to have been authenticated and delivered hereunder and shall never be entitled to the benefits of this Indenture.</w:t>
      </w:r>
    </w:p>
    <w:p>
      <w:pPr>
        <w:spacing w:after="0" w:line="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304.</w:t>
      </w:r>
      <w:r>
        <w:rPr>
          <w:sz w:val="20"/>
          <w:szCs w:val="20"/>
          <w:color w:val="auto"/>
        </w:rPr>
        <w:tab/>
      </w:r>
      <w:r>
        <w:rPr>
          <w:rFonts w:ascii="Courier New" w:cs="Courier New" w:eastAsia="Courier New" w:hAnsi="Courier New"/>
          <w:sz w:val="14"/>
          <w:szCs w:val="14"/>
          <w:color w:val="auto"/>
        </w:rPr>
        <w:t>Temporary Securities.</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80"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305.</w:t>
      </w:r>
      <w:r>
        <w:rPr>
          <w:sz w:val="20"/>
          <w:szCs w:val="20"/>
          <w:color w:val="auto"/>
        </w:rPr>
        <w:tab/>
      </w:r>
      <w:r>
        <w:rPr>
          <w:rFonts w:ascii="Courier New" w:cs="Courier New" w:eastAsia="Courier New" w:hAnsi="Courier New"/>
          <w:sz w:val="14"/>
          <w:szCs w:val="14"/>
          <w:color w:val="auto"/>
        </w:rPr>
        <w:t>Registration; Registration of Transfer and Exchange.</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80"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05" w:right="1440" w:bottom="1440" w:gutter="0" w:footer="0" w:header="0"/>
        </w:sectPr>
      </w:pPr>
    </w:p>
    <w:bookmarkStart w:id="139" w:name="page140"/>
    <w:bookmarkEnd w:id="139"/>
    <w:p>
      <w:pPr>
        <w:ind w:right="3219" w:firstLine="444"/>
        <w:spacing w:after="0" w:line="278" w:lineRule="auto"/>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66"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72" w:lineRule="exact"/>
        <w:rPr>
          <w:sz w:val="20"/>
          <w:szCs w:val="20"/>
          <w:color w:val="auto"/>
        </w:rPr>
      </w:pPr>
    </w:p>
    <w:p>
      <w:pPr>
        <w:ind w:right="3219" w:firstLine="444"/>
        <w:spacing w:after="0" w:line="292"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59"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provisions of Clauses (1), (2), (3) and (4) below shall apply only to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45" w:lineRule="exact"/>
        <w:rPr>
          <w:sz w:val="20"/>
          <w:szCs w:val="20"/>
          <w:color w:val="auto"/>
        </w:rPr>
      </w:pPr>
    </w:p>
    <w:p>
      <w:pPr>
        <w:ind w:right="3219" w:firstLine="435"/>
        <w:spacing w:after="0" w:line="269" w:lineRule="auto"/>
        <w:tabs>
          <w:tab w:leader="none" w:pos="8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71" w:lineRule="exact"/>
        <w:rPr>
          <w:rFonts w:ascii="Courier New" w:cs="Courier New" w:eastAsia="Courier New" w:hAnsi="Courier New"/>
          <w:sz w:val="15"/>
          <w:szCs w:val="15"/>
          <w:color w:val="auto"/>
        </w:rPr>
      </w:pPr>
    </w:p>
    <w:p>
      <w:pPr>
        <w:ind w:right="3119" w:firstLine="435"/>
        <w:spacing w:after="0" w:line="252" w:lineRule="auto"/>
        <w:tabs>
          <w:tab w:leader="none" w:pos="8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85" w:lineRule="exact"/>
        <w:rPr>
          <w:rFonts w:ascii="Courier New" w:cs="Courier New" w:eastAsia="Courier New" w:hAnsi="Courier New"/>
          <w:sz w:val="15"/>
          <w:szCs w:val="15"/>
          <w:color w:val="auto"/>
        </w:rPr>
      </w:pPr>
    </w:p>
    <w:p>
      <w:pPr>
        <w:ind w:right="3299" w:firstLine="435"/>
        <w:spacing w:after="0" w:line="278" w:lineRule="auto"/>
        <w:tabs>
          <w:tab w:leader="none" w:pos="8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05" w:right="1440" w:bottom="1440" w:gutter="0" w:footer="0" w:header="0"/>
        </w:sectPr>
      </w:pPr>
    </w:p>
    <w:bookmarkStart w:id="140" w:name="page141"/>
    <w:bookmarkEnd w:id="140"/>
    <w:p>
      <w:pPr>
        <w:ind w:right="3219" w:firstLine="435"/>
        <w:spacing w:after="0" w:line="285" w:lineRule="auto"/>
        <w:tabs>
          <w:tab w:leader="none" w:pos="88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306.</w:t>
      </w:r>
      <w:r>
        <w:rPr>
          <w:sz w:val="20"/>
          <w:szCs w:val="20"/>
          <w:color w:val="auto"/>
        </w:rPr>
        <w:tab/>
      </w:r>
      <w:r>
        <w:rPr>
          <w:rFonts w:ascii="Courier New" w:cs="Courier New" w:eastAsia="Courier New" w:hAnsi="Courier New"/>
          <w:sz w:val="14"/>
          <w:szCs w:val="14"/>
          <w:color w:val="auto"/>
        </w:rPr>
        <w:t>Mutilated, Destroyed, Lost and Stolen Securities.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66" w:lineRule="exact"/>
        <w:rPr>
          <w:sz w:val="20"/>
          <w:szCs w:val="20"/>
          <w:color w:val="auto"/>
        </w:rPr>
      </w:pPr>
    </w:p>
    <w:p>
      <w:pPr>
        <w:ind w:right="3219" w:firstLine="444"/>
        <w:spacing w:after="0" w:line="255" w:lineRule="auto"/>
        <w:rPr>
          <w:sz w:val="20"/>
          <w:szCs w:val="20"/>
          <w:color w:val="auto"/>
        </w:rPr>
      </w:pPr>
      <w:r>
        <w:rPr>
          <w:rFonts w:ascii="Courier New" w:cs="Courier New" w:eastAsia="Courier New" w:hAnsi="Courier New"/>
          <w:sz w:val="15"/>
          <w:szCs w:val="15"/>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82"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In case any such mutilated, destroyed, lost or stolen Security has become or is about to become due and payable, the Company in its discretion may, instead of issuing a new Security, pay such Security.</w:t>
      </w:r>
    </w:p>
    <w:p>
      <w:pPr>
        <w:spacing w:after="0" w:line="5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6"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65"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05" w:right="1440" w:bottom="1440" w:gutter="0" w:footer="0" w:header="0"/>
        </w:sectPr>
      </w:pPr>
    </w:p>
    <w:bookmarkStart w:id="141" w:name="page142"/>
    <w:bookmarkEnd w:id="141"/>
    <w:p>
      <w:pPr>
        <w:ind w:right="3399"/>
        <w:spacing w:after="0" w:line="353" w:lineRule="auto"/>
        <w:rPr>
          <w:sz w:val="20"/>
          <w:szCs w:val="20"/>
          <w:color w:val="auto"/>
        </w:rPr>
      </w:pPr>
      <w:r>
        <w:rPr>
          <w:rFonts w:ascii="Courier New" w:cs="Courier New" w:eastAsia="Courier New" w:hAnsi="Courier New"/>
          <w:sz w:val="15"/>
          <w:szCs w:val="15"/>
          <w:color w:val="auto"/>
        </w:rPr>
        <w:t>Predecessor Securities) is registered at the close of business on the Regular Record Date for such interest.</w:t>
      </w:r>
    </w:p>
    <w:p>
      <w:pPr>
        <w:spacing w:after="0" w:line="12" w:lineRule="exact"/>
        <w:rPr>
          <w:sz w:val="20"/>
          <w:szCs w:val="20"/>
          <w:color w:val="auto"/>
        </w:rPr>
      </w:pPr>
    </w:p>
    <w:p>
      <w:pPr>
        <w:ind w:right="3299" w:firstLine="444"/>
        <w:spacing w:after="0" w:line="263" w:lineRule="auto"/>
        <w:rPr>
          <w:sz w:val="20"/>
          <w:szCs w:val="20"/>
          <w:color w:val="auto"/>
        </w:rPr>
      </w:pPr>
      <w:r>
        <w:rPr>
          <w:rFonts w:ascii="Courier New" w:cs="Courier New" w:eastAsia="Courier New" w:hAnsi="Courier New"/>
          <w:sz w:val="15"/>
          <w:szCs w:val="15"/>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77" w:lineRule="exact"/>
        <w:rPr>
          <w:sz w:val="20"/>
          <w:szCs w:val="20"/>
          <w:color w:val="auto"/>
        </w:rPr>
      </w:pPr>
    </w:p>
    <w:p>
      <w:pPr>
        <w:ind w:right="3119" w:firstLine="435"/>
        <w:spacing w:after="0" w:line="263" w:lineRule="auto"/>
        <w:tabs>
          <w:tab w:leader="none" w:pos="8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263" w:lineRule="exact"/>
        <w:rPr>
          <w:rFonts w:ascii="Courier New" w:cs="Courier New" w:eastAsia="Courier New" w:hAnsi="Courier New"/>
          <w:sz w:val="14"/>
          <w:szCs w:val="14"/>
          <w:color w:val="auto"/>
        </w:rPr>
      </w:pPr>
    </w:p>
    <w:p>
      <w:pPr>
        <w:ind w:right="3119" w:firstLine="435"/>
        <w:spacing w:after="0" w:line="285" w:lineRule="auto"/>
        <w:tabs>
          <w:tab w:leader="none" w:pos="887"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65"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5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Subject to the provisions of Section 1402, in the case of any Security (or any part thereof) which is converted after any Regular Record Date and on or prior to the next succeeding Interest Payment Date (other than any Security the principal of (or premium, if any, on) which shall become</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05" w:right="1440" w:bottom="1440" w:gutter="0" w:footer="0" w:header="0"/>
        </w:sectPr>
      </w:pPr>
    </w:p>
    <w:bookmarkStart w:id="142" w:name="page143"/>
    <w:bookmarkEnd w:id="142"/>
    <w:p>
      <w:pPr>
        <w:ind w:left="6120"/>
        <w:spacing w:after="0"/>
        <w:rPr>
          <w:sz w:val="20"/>
          <w:szCs w:val="20"/>
          <w:color w:val="auto"/>
        </w:rPr>
      </w:pPr>
      <w:r>
        <w:rPr>
          <w:rFonts w:ascii="Courier New" w:cs="Courier New" w:eastAsia="Courier New" w:hAnsi="Courier New"/>
          <w:sz w:val="14"/>
          <w:szCs w:val="14"/>
          <w:color w:val="auto"/>
        </w:rPr>
        <w:t>EXHIBIT 4.2</w:t>
      </w:r>
    </w:p>
    <w:p>
      <w:pPr>
        <w:spacing w:after="0" w:line="183"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due and payable, whether at Stated Maturity or by declaration of acceleration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1402, in the case of any Security (or any part thereof) which is converted, interest whose Stated Maturity is after the date of conversion of such Security (or such part thereof) shall not be payable.</w:t>
      </w:r>
    </w:p>
    <w:p>
      <w:pPr>
        <w:spacing w:after="0" w:line="8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308.</w:t>
      </w:r>
      <w:r>
        <w:rPr>
          <w:sz w:val="20"/>
          <w:szCs w:val="20"/>
          <w:color w:val="auto"/>
        </w:rPr>
        <w:tab/>
      </w:r>
      <w:r>
        <w:rPr>
          <w:rFonts w:ascii="Courier New" w:cs="Courier New" w:eastAsia="Courier New" w:hAnsi="Courier New"/>
          <w:sz w:val="14"/>
          <w:szCs w:val="14"/>
          <w:color w:val="auto"/>
        </w:rPr>
        <w:t>Persons Deemed Owners.</w:t>
      </w:r>
    </w:p>
    <w:p>
      <w:pPr>
        <w:spacing w:after="0" w:line="171" w:lineRule="exact"/>
        <w:rPr>
          <w:sz w:val="20"/>
          <w:szCs w:val="20"/>
          <w:color w:val="auto"/>
        </w:rPr>
      </w:pPr>
    </w:p>
    <w:p>
      <w:pPr>
        <w:ind w:right="3299" w:firstLine="444"/>
        <w:spacing w:after="0" w:line="257" w:lineRule="auto"/>
        <w:rPr>
          <w:sz w:val="20"/>
          <w:szCs w:val="20"/>
          <w:color w:val="auto"/>
        </w:rPr>
      </w:pPr>
      <w:r>
        <w:rPr>
          <w:rFonts w:ascii="Courier New" w:cs="Courier New" w:eastAsia="Courier New" w:hAnsi="Courier New"/>
          <w:sz w:val="15"/>
          <w:szCs w:val="15"/>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8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309.</w:t>
      </w:r>
      <w:r>
        <w:rPr>
          <w:sz w:val="20"/>
          <w:szCs w:val="20"/>
          <w:color w:val="auto"/>
        </w:rPr>
        <w:tab/>
      </w:r>
      <w:r>
        <w:rPr>
          <w:rFonts w:ascii="Courier New" w:cs="Courier New" w:eastAsia="Courier New" w:hAnsi="Courier New"/>
          <w:sz w:val="14"/>
          <w:szCs w:val="14"/>
          <w:color w:val="auto"/>
        </w:rPr>
        <w:t>Cancellation.</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applicable securities law.</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Computation of Interest.</w:t>
      </w:r>
    </w:p>
    <w:p>
      <w:pPr>
        <w:spacing w:after="0" w:line="17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Except as otherwise specified as contemplated by Section 301 for Securities of any series, interest on the Securities of each series shall be computed on the basis of a 360-day year of twelve 30-day months.</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05" w:right="1440" w:bottom="1440" w:gutter="0" w:footer="0" w:header="0"/>
        </w:sectPr>
      </w:pPr>
    </w:p>
    <w:bookmarkStart w:id="143" w:name="page144"/>
    <w:bookmarkEnd w:id="143"/>
    <w:p>
      <w:pPr>
        <w:jc w:val="center"/>
        <w:ind w:right="3139"/>
        <w:spacing w:after="0"/>
        <w:rPr>
          <w:sz w:val="20"/>
          <w:szCs w:val="20"/>
          <w:color w:val="auto"/>
        </w:rPr>
      </w:pPr>
      <w:r>
        <w:rPr>
          <w:rFonts w:ascii="Courier New" w:cs="Courier New" w:eastAsia="Courier New" w:hAnsi="Courier New"/>
          <w:sz w:val="15"/>
          <w:szCs w:val="15"/>
          <w:color w:val="auto"/>
        </w:rPr>
        <w:t>ARTICLE FOUR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SATISFACTION AND DISCHARGE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401.</w:t>
      </w:r>
      <w:r>
        <w:rPr>
          <w:sz w:val="20"/>
          <w:szCs w:val="20"/>
          <w:color w:val="auto"/>
        </w:rPr>
        <w:tab/>
      </w:r>
      <w:r>
        <w:rPr>
          <w:rFonts w:ascii="Courier New" w:cs="Courier New" w:eastAsia="Courier New" w:hAnsi="Courier New"/>
          <w:sz w:val="14"/>
          <w:szCs w:val="14"/>
          <w:color w:val="auto"/>
        </w:rPr>
        <w:t>Satisfaction and Discharge of Indenture.</w:t>
      </w:r>
    </w:p>
    <w:p>
      <w:pPr>
        <w:spacing w:after="0" w:line="171" w:lineRule="exact"/>
        <w:rPr>
          <w:sz w:val="20"/>
          <w:szCs w:val="20"/>
          <w:color w:val="auto"/>
        </w:rPr>
      </w:pPr>
    </w:p>
    <w:p>
      <w:pPr>
        <w:jc w:val="both"/>
        <w:ind w:right="3399" w:firstLine="444"/>
        <w:spacing w:after="0" w:line="269" w:lineRule="auto"/>
        <w:rPr>
          <w:sz w:val="20"/>
          <w:szCs w:val="20"/>
          <w:color w:val="auto"/>
        </w:rPr>
      </w:pPr>
      <w:r>
        <w:rPr>
          <w:rFonts w:ascii="Courier New" w:cs="Courier New" w:eastAsia="Courier New" w:hAnsi="Courier New"/>
          <w:sz w:val="15"/>
          <w:szCs w:val="15"/>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72" w:lineRule="exact"/>
        <w:rPr>
          <w:sz w:val="20"/>
          <w:szCs w:val="20"/>
          <w:color w:val="auto"/>
        </w:rPr>
      </w:pPr>
    </w:p>
    <w:p>
      <w:pPr>
        <w:ind w:left="880" w:hanging="445"/>
        <w:spacing w:after="0"/>
        <w:tabs>
          <w:tab w:leader="none" w:pos="8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1" w:lineRule="exact"/>
        <w:rPr>
          <w:rFonts w:ascii="Courier New" w:cs="Courier New" w:eastAsia="Courier New" w:hAnsi="Courier New"/>
          <w:sz w:val="15"/>
          <w:szCs w:val="15"/>
          <w:color w:val="auto"/>
        </w:rPr>
      </w:pPr>
    </w:p>
    <w:p>
      <w:pPr>
        <w:ind w:right="3219" w:firstLine="878"/>
        <w:spacing w:after="0" w:line="259" w:lineRule="auto"/>
        <w:tabs>
          <w:tab w:leader="none" w:pos="1331" w:val="left"/>
        </w:tabs>
        <w:numPr>
          <w:ilvl w:val="1"/>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81"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Securities not theretofore delivered to the Trustee for</w:t>
      </w:r>
    </w:p>
    <w:p>
      <w:pPr>
        <w:spacing w:after="0" w:line="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cancellation</w:t>
      </w:r>
    </w:p>
    <w:p>
      <w:pPr>
        <w:spacing w:after="0" w:line="145" w:lineRule="exact"/>
        <w:rPr>
          <w:rFonts w:ascii="Courier New" w:cs="Courier New" w:eastAsia="Courier New" w:hAnsi="Courier New"/>
          <w:sz w:val="14"/>
          <w:szCs w:val="14"/>
          <w:color w:val="auto"/>
        </w:rPr>
      </w:pPr>
    </w:p>
    <w:p>
      <w:pPr>
        <w:ind w:left="2300" w:hanging="534"/>
        <w:spacing w:after="0"/>
        <w:tabs>
          <w:tab w:leader="none" w:pos="2300" w:val="left"/>
        </w:tabs>
        <w:numPr>
          <w:ilvl w:val="2"/>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71" w:lineRule="exact"/>
        <w:rPr>
          <w:rFonts w:ascii="Courier New" w:cs="Courier New" w:eastAsia="Courier New" w:hAnsi="Courier New"/>
          <w:sz w:val="15"/>
          <w:szCs w:val="15"/>
          <w:color w:val="auto"/>
        </w:rPr>
      </w:pPr>
    </w:p>
    <w:p>
      <w:pPr>
        <w:ind w:left="2300" w:hanging="534"/>
        <w:spacing w:after="0"/>
        <w:tabs>
          <w:tab w:leader="none" w:pos="2300" w:val="left"/>
        </w:tabs>
        <w:numPr>
          <w:ilvl w:val="2"/>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w:t>
      </w:r>
    </w:p>
    <w:p>
      <w:pPr>
        <w:spacing w:after="0" w:line="2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year, or</w:t>
      </w:r>
    </w:p>
    <w:p>
      <w:pPr>
        <w:spacing w:after="0" w:line="145" w:lineRule="exact"/>
        <w:rPr>
          <w:rFonts w:ascii="Courier New" w:cs="Courier New" w:eastAsia="Courier New" w:hAnsi="Courier New"/>
          <w:sz w:val="15"/>
          <w:szCs w:val="15"/>
          <w:color w:val="auto"/>
        </w:rPr>
      </w:pPr>
    </w:p>
    <w:p>
      <w:pPr>
        <w:jc w:val="both"/>
        <w:ind w:right="3219" w:firstLine="1766"/>
        <w:spacing w:after="0" w:line="297" w:lineRule="auto"/>
        <w:tabs>
          <w:tab w:leader="none" w:pos="2307" w:val="left"/>
        </w:tabs>
        <w:numPr>
          <w:ilvl w:val="2"/>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 year under arrangements satisfactory to the Trustee for the giving of notice of redemption by the Trustee in the name, and at the expense, of the Company,</w:t>
      </w:r>
    </w:p>
    <w:p>
      <w:pPr>
        <w:spacing w:after="0" w:line="52"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5"/>
          <w:szCs w:val="15"/>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82" w:lineRule="exact"/>
        <w:rPr>
          <w:sz w:val="20"/>
          <w:szCs w:val="20"/>
          <w:color w:val="auto"/>
        </w:rPr>
      </w:pPr>
    </w:p>
    <w:p>
      <w:pPr>
        <w:ind w:right="3659" w:firstLine="435"/>
        <w:spacing w:after="0" w:line="353" w:lineRule="auto"/>
        <w:tabs>
          <w:tab w:leader="none" w:pos="8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12"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05" w:right="1440" w:bottom="1440" w:gutter="0" w:footer="0" w:header="0"/>
        </w:sectPr>
      </w:pPr>
    </w:p>
    <w:bookmarkStart w:id="144" w:name="page145"/>
    <w:bookmarkEnd w:id="144"/>
    <w:p>
      <w:pPr>
        <w:ind w:right="3219" w:firstLine="444"/>
        <w:spacing w:after="0" w:line="263"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402.</w:t>
      </w:r>
      <w:r>
        <w:rPr>
          <w:sz w:val="20"/>
          <w:szCs w:val="20"/>
          <w:color w:val="auto"/>
        </w:rPr>
        <w:tab/>
      </w:r>
      <w:r>
        <w:rPr>
          <w:rFonts w:ascii="Courier New" w:cs="Courier New" w:eastAsia="Courier New" w:hAnsi="Courier New"/>
          <w:sz w:val="14"/>
          <w:szCs w:val="14"/>
          <w:color w:val="auto"/>
        </w:rPr>
        <w:t>Application of Trust Money.</w:t>
      </w:r>
    </w:p>
    <w:p>
      <w:pPr>
        <w:spacing w:after="0" w:line="171"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6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FIVE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REMEDIES</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Events of Default.</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"Event of Default," wherever used herein with respect to Securities of any series, means any one of the following events (whatever the reason for such Event of Default and whether it shall be occasioned by the provisions of Article Fifteen or be voluntary or involuntary or be effected by operation of law or pursuant to any judgment, decree or order of any court or any order, rule or regulation of any administrative or governmental body):</w:t>
      </w:r>
    </w:p>
    <w:p>
      <w:pPr>
        <w:spacing w:after="0" w:line="77" w:lineRule="exact"/>
        <w:rPr>
          <w:sz w:val="20"/>
          <w:szCs w:val="20"/>
          <w:color w:val="auto"/>
        </w:rPr>
      </w:pPr>
    </w:p>
    <w:p>
      <w:pPr>
        <w:ind w:right="3399" w:firstLine="435"/>
        <w:spacing w:after="0" w:line="297" w:lineRule="auto"/>
        <w:tabs>
          <w:tab w:leader="none" w:pos="88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Security of that series when it becomes due and payable, and continuance of such default for a period of 30 days; or</w:t>
      </w:r>
    </w:p>
    <w:p>
      <w:pPr>
        <w:spacing w:after="0" w:line="51" w:lineRule="exact"/>
        <w:rPr>
          <w:rFonts w:ascii="Courier New" w:cs="Courier New" w:eastAsia="Courier New" w:hAnsi="Courier New"/>
          <w:sz w:val="15"/>
          <w:szCs w:val="15"/>
          <w:color w:val="auto"/>
        </w:rPr>
      </w:pPr>
    </w:p>
    <w:p>
      <w:pPr>
        <w:ind w:right="3659" w:firstLine="435"/>
        <w:spacing w:after="0" w:line="353" w:lineRule="auto"/>
        <w:tabs>
          <w:tab w:leader="none" w:pos="88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any premium on any Security of that series at its Maturity; or</w:t>
      </w:r>
    </w:p>
    <w:p>
      <w:pPr>
        <w:spacing w:after="0" w:line="12" w:lineRule="exact"/>
        <w:rPr>
          <w:rFonts w:ascii="Courier New" w:cs="Courier New" w:eastAsia="Courier New" w:hAnsi="Courier New"/>
          <w:sz w:val="15"/>
          <w:szCs w:val="15"/>
          <w:color w:val="auto"/>
        </w:rPr>
      </w:pPr>
    </w:p>
    <w:p>
      <w:pPr>
        <w:ind w:right="3119" w:firstLine="435"/>
        <w:spacing w:after="0" w:line="353" w:lineRule="auto"/>
        <w:tabs>
          <w:tab w:leader="none" w:pos="88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Security of that series; or</w:t>
      </w:r>
    </w:p>
    <w:p>
      <w:pPr>
        <w:spacing w:after="0" w:line="12" w:lineRule="exact"/>
        <w:rPr>
          <w:rFonts w:ascii="Courier New" w:cs="Courier New" w:eastAsia="Courier New" w:hAnsi="Courier New"/>
          <w:sz w:val="15"/>
          <w:szCs w:val="15"/>
          <w:color w:val="auto"/>
        </w:rPr>
      </w:pPr>
    </w:p>
    <w:p>
      <w:pPr>
        <w:ind w:right="3119" w:firstLine="435"/>
        <w:spacing w:after="0" w:line="252" w:lineRule="auto"/>
        <w:tabs>
          <w:tab w:leader="none" w:pos="88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8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05" w:right="1440" w:bottom="1440" w:gutter="0" w:footer="0" w:header="0"/>
        </w:sectPr>
      </w:pPr>
    </w:p>
    <w:bookmarkStart w:id="145" w:name="page146"/>
    <w:bookmarkEnd w:id="145"/>
    <w:p>
      <w:pPr>
        <w:ind w:right="3219" w:firstLine="435"/>
        <w:spacing w:after="0" w:line="251" w:lineRule="auto"/>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86" w:lineRule="exact"/>
        <w:rPr>
          <w:rFonts w:ascii="Courier New" w:cs="Courier New" w:eastAsia="Courier New" w:hAnsi="Courier New"/>
          <w:sz w:val="15"/>
          <w:szCs w:val="15"/>
          <w:color w:val="auto"/>
        </w:rPr>
      </w:pPr>
    </w:p>
    <w:p>
      <w:pPr>
        <w:ind w:right="3119" w:firstLine="435"/>
        <w:spacing w:after="0" w:line="248" w:lineRule="auto"/>
        <w:tabs>
          <w:tab w:leader="none" w:pos="8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9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Securities of that</w:t>
      </w:r>
    </w:p>
    <w:p>
      <w:pPr>
        <w:spacing w:after="0" w:line="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series.</w:t>
      </w:r>
    </w:p>
    <w:p>
      <w:pPr>
        <w:spacing w:after="0" w:line="14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502.</w:t>
      </w:r>
      <w:r>
        <w:rPr>
          <w:sz w:val="20"/>
          <w:szCs w:val="20"/>
          <w:color w:val="auto"/>
        </w:rPr>
        <w:tab/>
      </w:r>
      <w:r>
        <w:rPr>
          <w:rFonts w:ascii="Courier New" w:cs="Courier New" w:eastAsia="Courier New" w:hAnsi="Courier New"/>
          <w:sz w:val="14"/>
          <w:szCs w:val="14"/>
          <w:color w:val="auto"/>
        </w:rPr>
        <w:t>Acceleration of Maturity; Rescission and Annulment.</w:t>
      </w:r>
    </w:p>
    <w:p>
      <w:pPr>
        <w:spacing w:after="0" w:line="171" w:lineRule="exact"/>
        <w:rPr>
          <w:sz w:val="20"/>
          <w:szCs w:val="20"/>
          <w:color w:val="auto"/>
        </w:rPr>
      </w:pPr>
    </w:p>
    <w:p>
      <w:pPr>
        <w:ind w:right="3119" w:firstLine="444"/>
        <w:spacing w:after="0" w:line="246" w:lineRule="auto"/>
        <w:rPr>
          <w:sz w:val="20"/>
          <w:szCs w:val="20"/>
          <w:color w:val="auto"/>
        </w:rPr>
      </w:pPr>
      <w:r>
        <w:rPr>
          <w:rFonts w:ascii="Courier New" w:cs="Courier New" w:eastAsia="Courier New" w:hAnsi="Courier New"/>
          <w:sz w:val="15"/>
          <w:szCs w:val="15"/>
          <w:color w:val="auto"/>
        </w:rPr>
        <w:t>If an Event of Default (other than an Event of Default specified in Section 501(5) or 501(6))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 (6)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Any payments by the Company on the Securities following any such acceleration will be subject to the subordination provisions of Article Fifteen to the extent provided therein.</w:t>
      </w:r>
    </w:p>
    <w:p>
      <w:pPr>
        <w:spacing w:after="0" w:line="10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05" w:right="1440" w:bottom="1440" w:gutter="0" w:footer="0" w:header="0"/>
        </w:sectPr>
      </w:pPr>
    </w:p>
    <w:bookmarkStart w:id="146" w:name="page147"/>
    <w:bookmarkEnd w:id="146"/>
    <w:p>
      <w:pPr>
        <w:ind w:right="3119" w:firstLine="444"/>
        <w:spacing w:after="0" w:line="263" w:lineRule="auto"/>
        <w:rPr>
          <w:sz w:val="20"/>
          <w:szCs w:val="20"/>
          <w:color w:val="auto"/>
        </w:rPr>
      </w:pPr>
      <w:r>
        <w:rPr>
          <w:rFonts w:ascii="Courier New" w:cs="Courier New" w:eastAsia="Courier New" w:hAnsi="Courier New"/>
          <w:sz w:val="15"/>
          <w:szCs w:val="15"/>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77"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the Company has paid or deposited with the Trustee a sum sufficient to</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w:t>
      </w:r>
    </w:p>
    <w:p>
      <w:pPr>
        <w:spacing w:after="0" w:line="145" w:lineRule="exact"/>
        <w:rPr>
          <w:sz w:val="20"/>
          <w:szCs w:val="20"/>
          <w:color w:val="auto"/>
        </w:rPr>
      </w:pPr>
    </w:p>
    <w:p>
      <w:pPr>
        <w:ind w:left="1320" w:hanging="442"/>
        <w:spacing w:after="0"/>
        <w:tabs>
          <w:tab w:leader="none" w:pos="132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Securities of that series,</w:t>
      </w:r>
    </w:p>
    <w:p>
      <w:pPr>
        <w:spacing w:after="0" w:line="171" w:lineRule="exact"/>
        <w:rPr>
          <w:rFonts w:ascii="Courier New" w:cs="Courier New" w:eastAsia="Courier New" w:hAnsi="Courier New"/>
          <w:sz w:val="15"/>
          <w:szCs w:val="15"/>
          <w:color w:val="auto"/>
        </w:rPr>
      </w:pPr>
    </w:p>
    <w:p>
      <w:pPr>
        <w:ind w:right="3119" w:firstLine="878"/>
        <w:spacing w:after="0" w:line="278" w:lineRule="auto"/>
        <w:tabs>
          <w:tab w:leader="none" w:pos="1331"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66" w:lineRule="exact"/>
        <w:rPr>
          <w:rFonts w:ascii="Courier New" w:cs="Courier New" w:eastAsia="Courier New" w:hAnsi="Courier New"/>
          <w:sz w:val="15"/>
          <w:szCs w:val="15"/>
          <w:color w:val="auto"/>
        </w:rPr>
      </w:pPr>
    </w:p>
    <w:p>
      <w:pPr>
        <w:ind w:right="3299" w:firstLine="878"/>
        <w:spacing w:after="0" w:line="297" w:lineRule="auto"/>
        <w:tabs>
          <w:tab w:leader="none" w:pos="1331"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or rates prescribed therefor in such Securities, and</w:t>
      </w:r>
    </w:p>
    <w:p>
      <w:pPr>
        <w:spacing w:after="0" w:line="51" w:lineRule="exact"/>
        <w:rPr>
          <w:rFonts w:ascii="Courier New" w:cs="Courier New" w:eastAsia="Courier New" w:hAnsi="Courier New"/>
          <w:sz w:val="15"/>
          <w:szCs w:val="15"/>
          <w:color w:val="auto"/>
        </w:rPr>
      </w:pPr>
    </w:p>
    <w:p>
      <w:pPr>
        <w:ind w:right="3399" w:firstLine="878"/>
        <w:spacing w:after="0" w:line="297" w:lineRule="auto"/>
        <w:tabs>
          <w:tab w:leader="none" w:pos="1331"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 and</w:t>
      </w:r>
    </w:p>
    <w:p>
      <w:pPr>
        <w:spacing w:after="0" w:line="51" w:lineRule="exact"/>
        <w:rPr>
          <w:rFonts w:ascii="Courier New" w:cs="Courier New" w:eastAsia="Courier New" w:hAnsi="Courier New"/>
          <w:sz w:val="15"/>
          <w:szCs w:val="15"/>
          <w:color w:val="auto"/>
        </w:rPr>
      </w:pPr>
    </w:p>
    <w:p>
      <w:pPr>
        <w:ind w:right="3119" w:firstLine="435"/>
        <w:spacing w:after="0" w:line="278" w:lineRule="auto"/>
        <w:tabs>
          <w:tab w:leader="none" w:pos="887"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66"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1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 by Trustee.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covenants that if</w:t>
      </w:r>
    </w:p>
    <w:p>
      <w:pPr>
        <w:spacing w:after="0" w:line="171" w:lineRule="exact"/>
        <w:rPr>
          <w:sz w:val="20"/>
          <w:szCs w:val="20"/>
          <w:color w:val="auto"/>
        </w:rPr>
      </w:pPr>
    </w:p>
    <w:p>
      <w:pPr>
        <w:ind w:right="3119" w:firstLine="435"/>
        <w:spacing w:after="0" w:line="297" w:lineRule="auto"/>
        <w:tabs>
          <w:tab w:leader="none" w:pos="88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interest on any Security when such interest becomes due and payable and such default continues for a period of 30 days, or</w:t>
      </w:r>
    </w:p>
    <w:p>
      <w:pPr>
        <w:spacing w:after="0" w:line="51" w:lineRule="exact"/>
        <w:rPr>
          <w:rFonts w:ascii="Courier New" w:cs="Courier New" w:eastAsia="Courier New" w:hAnsi="Courier New"/>
          <w:sz w:val="15"/>
          <w:szCs w:val="15"/>
          <w:color w:val="auto"/>
        </w:rPr>
      </w:pPr>
    </w:p>
    <w:p>
      <w:pPr>
        <w:ind w:right="3479" w:firstLine="435"/>
        <w:spacing w:after="0" w:line="353" w:lineRule="auto"/>
        <w:tabs>
          <w:tab w:leader="none" w:pos="887"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premium, if any, on) any Security at the Maturity thereof,</w:t>
      </w:r>
    </w:p>
    <w:p>
      <w:pPr>
        <w:spacing w:after="0" w:line="12" w:lineRule="exact"/>
        <w:rPr>
          <w:sz w:val="20"/>
          <w:szCs w:val="20"/>
          <w:color w:val="auto"/>
        </w:rPr>
      </w:pPr>
    </w:p>
    <w:p>
      <w:pPr>
        <w:ind w:right="3299"/>
        <w:spacing w:after="0" w:line="275" w:lineRule="auto"/>
        <w:rPr>
          <w:sz w:val="20"/>
          <w:szCs w:val="20"/>
          <w:color w:val="auto"/>
        </w:rPr>
      </w:pPr>
      <w:r>
        <w:rPr>
          <w:rFonts w:ascii="Courier New" w:cs="Courier New" w:eastAsia="Courier New" w:hAnsi="Courier New"/>
          <w:sz w:val="14"/>
          <w:szCs w:val="14"/>
          <w:color w:val="auto"/>
        </w:rPr>
        <w:t>the Company will, upon demand of the Trustee, but subject to the provisions of Article Fifteen,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05" w:right="1440" w:bottom="1440" w:gutter="0" w:footer="0" w:header="0"/>
        </w:sectPr>
      </w:pPr>
    </w:p>
    <w:bookmarkStart w:id="147" w:name="page148"/>
    <w:bookmarkEnd w:id="147"/>
    <w:p>
      <w:pPr>
        <w:ind w:right="3119" w:firstLine="444"/>
        <w:spacing w:after="0" w:line="259" w:lineRule="auto"/>
        <w:rPr>
          <w:sz w:val="20"/>
          <w:szCs w:val="20"/>
          <w:color w:val="auto"/>
        </w:rPr>
      </w:pPr>
      <w:r>
        <w:rPr>
          <w:rFonts w:ascii="Courier New" w:cs="Courier New" w:eastAsia="Courier New" w:hAnsi="Courier New"/>
          <w:sz w:val="15"/>
          <w:szCs w:val="15"/>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8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504.</w:t>
      </w:r>
      <w:r>
        <w:rPr>
          <w:sz w:val="20"/>
          <w:szCs w:val="20"/>
          <w:color w:val="auto"/>
        </w:rPr>
        <w:tab/>
      </w:r>
      <w:r>
        <w:rPr>
          <w:rFonts w:ascii="Courier New" w:cs="Courier New" w:eastAsia="Courier New" w:hAnsi="Courier New"/>
          <w:sz w:val="14"/>
          <w:szCs w:val="14"/>
          <w:color w:val="auto"/>
        </w:rPr>
        <w:t>Trustee May File Proofs of Claim.</w:t>
      </w:r>
    </w:p>
    <w:p>
      <w:pPr>
        <w:spacing w:after="0" w:line="171"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81" w:lineRule="exact"/>
        <w:rPr>
          <w:sz w:val="20"/>
          <w:szCs w:val="20"/>
          <w:color w:val="auto"/>
        </w:rPr>
      </w:pPr>
    </w:p>
    <w:p>
      <w:pPr>
        <w:ind w:right="3219" w:firstLine="444"/>
        <w:spacing w:after="0" w:line="266" w:lineRule="auto"/>
        <w:rPr>
          <w:sz w:val="20"/>
          <w:szCs w:val="20"/>
          <w:color w:val="auto"/>
        </w:rPr>
      </w:pPr>
      <w:r>
        <w:rPr>
          <w:rFonts w:ascii="Courier New" w:cs="Courier New" w:eastAsia="Courier New" w:hAnsi="Courier New"/>
          <w:sz w:val="14"/>
          <w:szCs w:val="14"/>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w:t>
      </w:r>
    </w:p>
    <w:p>
      <w:pPr>
        <w:ind w:left="5220"/>
        <w:spacing w:after="0"/>
        <w:tabs>
          <w:tab w:leader="none" w:pos="6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right="3479"/>
        <w:spacing w:after="0" w:line="278" w:lineRule="auto"/>
        <w:rPr>
          <w:sz w:val="20"/>
          <w:szCs w:val="20"/>
          <w:color w:val="auto"/>
        </w:rPr>
      </w:pPr>
      <w:r>
        <w:rPr>
          <w:rFonts w:ascii="Courier New" w:cs="Courier New" w:eastAsia="Courier New" w:hAnsi="Courier New"/>
          <w:sz w:val="15"/>
          <w:szCs w:val="15"/>
          <w:color w:val="auto"/>
        </w:rPr>
        <w:t>that the Trustee may, on behalf of the Holders, vote for the election of a trustee in bankruptcy or similar official and be a member of a creditors' or other similar committee.</w:t>
      </w:r>
    </w:p>
    <w:p>
      <w:pPr>
        <w:spacing w:after="0" w:line="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 Securities.</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8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506.</w:t>
      </w:r>
      <w:r>
        <w:rPr>
          <w:sz w:val="20"/>
          <w:szCs w:val="20"/>
          <w:color w:val="auto"/>
        </w:rPr>
        <w:tab/>
      </w:r>
      <w:r>
        <w:rPr>
          <w:rFonts w:ascii="Courier New" w:cs="Courier New" w:eastAsia="Courier New" w:hAnsi="Courier New"/>
          <w:sz w:val="14"/>
          <w:szCs w:val="14"/>
          <w:color w:val="auto"/>
        </w:rPr>
        <w:t>Application of Money Collected.</w:t>
      </w:r>
    </w:p>
    <w:p>
      <w:pPr>
        <w:spacing w:after="0" w:line="171"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05" w:right="1440" w:bottom="1440" w:gutter="0" w:footer="0" w:header="0"/>
        </w:sectPr>
      </w:pPr>
    </w:p>
    <w:bookmarkStart w:id="148" w:name="page149"/>
    <w:bookmarkEnd w:id="148"/>
    <w:p>
      <w:pPr>
        <w:ind w:left="440"/>
        <w:spacing w:after="0"/>
        <w:tabs>
          <w:tab w:leader="none" w:pos="1120" w:val="left"/>
        </w:tabs>
        <w:rPr>
          <w:sz w:val="20"/>
          <w:szCs w:val="20"/>
          <w:color w:val="auto"/>
        </w:rPr>
      </w:pPr>
      <w:r>
        <w:rPr>
          <w:rFonts w:ascii="Courier New" w:cs="Courier New" w:eastAsia="Courier New" w:hAnsi="Courier New"/>
          <w:sz w:val="15"/>
          <w:szCs w:val="15"/>
          <w:color w:val="auto"/>
        </w:rPr>
        <w:t>FIRST:</w:t>
        <w:tab/>
        <w:t>To the payment of all amounts due the Trustee under Section 607;</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45"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SECOND: Subject to Article Fifteen,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w:t>
      </w:r>
    </w:p>
    <w:p>
      <w:pPr>
        <w:spacing w:after="0" w:line="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507.</w:t>
      </w:r>
      <w:r>
        <w:rPr>
          <w:sz w:val="20"/>
          <w:szCs w:val="20"/>
          <w:color w:val="auto"/>
        </w:rPr>
        <w:tab/>
      </w:r>
      <w:r>
        <w:rPr>
          <w:rFonts w:ascii="Courier New" w:cs="Courier New" w:eastAsia="Courier New" w:hAnsi="Courier New"/>
          <w:sz w:val="14"/>
          <w:szCs w:val="14"/>
          <w:color w:val="auto"/>
        </w:rPr>
        <w:t>Limitation on Suits.</w:t>
      </w:r>
    </w:p>
    <w:p>
      <w:pPr>
        <w:spacing w:after="0" w:line="171"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6" w:lineRule="exact"/>
        <w:rPr>
          <w:sz w:val="20"/>
          <w:szCs w:val="20"/>
          <w:color w:val="auto"/>
        </w:rPr>
      </w:pPr>
    </w:p>
    <w:p>
      <w:pPr>
        <w:ind w:right="3399" w:firstLine="435"/>
        <w:spacing w:after="0" w:line="387" w:lineRule="auto"/>
        <w:tabs>
          <w:tab w:leader="none" w:pos="887"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the Securities of that series;</w:t>
      </w:r>
    </w:p>
    <w:p>
      <w:pPr>
        <w:ind w:right="3219" w:firstLine="435"/>
        <w:spacing w:after="0" w:line="278" w:lineRule="auto"/>
        <w:tabs>
          <w:tab w:leader="none" w:pos="8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6" w:lineRule="exact"/>
        <w:rPr>
          <w:rFonts w:ascii="Courier New" w:cs="Courier New" w:eastAsia="Courier New" w:hAnsi="Courier New"/>
          <w:sz w:val="15"/>
          <w:szCs w:val="15"/>
          <w:color w:val="auto"/>
        </w:rPr>
      </w:pPr>
    </w:p>
    <w:p>
      <w:pPr>
        <w:jc w:val="both"/>
        <w:ind w:right="3919" w:firstLine="435"/>
        <w:spacing w:after="0" w:line="297" w:lineRule="auto"/>
        <w:tabs>
          <w:tab w:leader="none" w:pos="8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51" w:lineRule="exact"/>
        <w:rPr>
          <w:rFonts w:ascii="Courier New" w:cs="Courier New" w:eastAsia="Courier New" w:hAnsi="Courier New"/>
          <w:sz w:val="15"/>
          <w:szCs w:val="15"/>
          <w:color w:val="auto"/>
        </w:rPr>
      </w:pPr>
    </w:p>
    <w:p>
      <w:pPr>
        <w:ind w:right="3219" w:firstLine="435"/>
        <w:spacing w:after="0" w:line="353" w:lineRule="auto"/>
        <w:tabs>
          <w:tab w:leader="none" w:pos="8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2" w:lineRule="exact"/>
        <w:rPr>
          <w:rFonts w:ascii="Courier New" w:cs="Courier New" w:eastAsia="Courier New" w:hAnsi="Courier New"/>
          <w:sz w:val="15"/>
          <w:szCs w:val="15"/>
          <w:color w:val="auto"/>
        </w:rPr>
      </w:pPr>
    </w:p>
    <w:p>
      <w:pPr>
        <w:jc w:val="both"/>
        <w:ind w:right="3219" w:firstLine="435"/>
        <w:spacing w:after="0" w:line="297" w:lineRule="auto"/>
        <w:tabs>
          <w:tab w:leader="none" w:pos="8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Securities of that series;</w:t>
      </w:r>
    </w:p>
    <w:p>
      <w:pPr>
        <w:spacing w:after="0" w:line="52"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5"/>
          <w:szCs w:val="15"/>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82"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SECTION 508. Unconditional Right of Holders to Receive Principal, Premium and Interest and to Convert.</w:t>
      </w:r>
    </w:p>
    <w:p>
      <w:pPr>
        <w:spacing w:after="0" w:line="1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Notwithstanding any other provision in this Indenture, but subject to the provisions of Article Fifteen,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to convert such Securities in accordance with</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05" w:right="1440" w:bottom="1440" w:gutter="0" w:footer="0" w:header="0"/>
        </w:sectPr>
      </w:pPr>
    </w:p>
    <w:bookmarkStart w:id="149" w:name="page150"/>
    <w:bookmarkEnd w:id="149"/>
    <w:p>
      <w:pPr>
        <w:ind w:right="3219"/>
        <w:spacing w:after="0" w:line="387" w:lineRule="auto"/>
        <w:rPr>
          <w:sz w:val="20"/>
          <w:szCs w:val="20"/>
          <w:color w:val="auto"/>
        </w:rPr>
      </w:pPr>
      <w:r>
        <w:rPr>
          <w:rFonts w:ascii="Courier New" w:cs="Courier New" w:eastAsia="Courier New" w:hAnsi="Courier New"/>
          <w:sz w:val="14"/>
          <w:szCs w:val="14"/>
          <w:color w:val="auto"/>
        </w:rPr>
        <w:t>Article Fourteen and to institute suit for the enforcement of any such payment, and such rights shall not be impaired without the consent of such Holder.</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509.</w:t>
      </w:r>
      <w:r>
        <w:rPr>
          <w:sz w:val="20"/>
          <w:szCs w:val="20"/>
          <w:color w:val="auto"/>
        </w:rPr>
        <w:tab/>
      </w:r>
      <w:r>
        <w:rPr>
          <w:rFonts w:ascii="Courier New" w:cs="Courier New" w:eastAsia="Courier New" w:hAnsi="Courier New"/>
          <w:sz w:val="14"/>
          <w:szCs w:val="14"/>
          <w:color w:val="auto"/>
        </w:rPr>
        <w:t>Restoration of Rights and Remedies.</w:t>
      </w:r>
    </w:p>
    <w:p>
      <w:pPr>
        <w:spacing w:after="0" w:line="17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8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4"/>
          <w:szCs w:val="14"/>
          <w:color w:val="auto"/>
        </w:rPr>
        <w:t>Rights and Remedies Cumulative.</w:t>
      </w:r>
    </w:p>
    <w:p>
      <w:pPr>
        <w:spacing w:after="0" w:line="171"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4"/>
          <w:szCs w:val="14"/>
          <w:color w:val="auto"/>
        </w:rPr>
        <w:t>Delay or Omission Not Waiver.</w:t>
      </w:r>
    </w:p>
    <w:p>
      <w:pPr>
        <w:spacing w:after="0" w:line="171"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4"/>
          <w:szCs w:val="14"/>
          <w:color w:val="auto"/>
        </w:rPr>
        <w:t>Control by Holders.</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2" w:lineRule="exact"/>
        <w:rPr>
          <w:sz w:val="20"/>
          <w:szCs w:val="20"/>
          <w:color w:val="auto"/>
        </w:rPr>
      </w:pPr>
    </w:p>
    <w:p>
      <w:pPr>
        <w:ind w:right="3219" w:firstLine="435"/>
        <w:spacing w:after="0" w:line="278" w:lineRule="auto"/>
        <w:tabs>
          <w:tab w:leader="none" w:pos="79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66" w:lineRule="exact"/>
        <w:rPr>
          <w:rFonts w:ascii="Courier New" w:cs="Courier New" w:eastAsia="Courier New" w:hAnsi="Courier New"/>
          <w:sz w:val="15"/>
          <w:szCs w:val="15"/>
          <w:color w:val="auto"/>
        </w:rPr>
      </w:pPr>
    </w:p>
    <w:p>
      <w:pPr>
        <w:ind w:right="3579" w:firstLine="435"/>
        <w:spacing w:after="0" w:line="353" w:lineRule="auto"/>
        <w:tabs>
          <w:tab w:leader="none" w:pos="79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 or this Indenture.</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05" w:right="1440" w:bottom="1440" w:gutter="0" w:footer="0" w:header="0"/>
        </w:sectPr>
      </w:pPr>
    </w:p>
    <w:bookmarkStart w:id="150" w:name="page151"/>
    <w:bookmarkEnd w:id="150"/>
    <w:p>
      <w:pPr>
        <w:spacing w:after="0"/>
        <w:tabs>
          <w:tab w:leader="none" w:pos="130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4"/>
          <w:szCs w:val="14"/>
          <w:color w:val="auto"/>
        </w:rPr>
        <w:t>Waiver of Past Defaults.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66" w:lineRule="exact"/>
        <w:rPr>
          <w:sz w:val="20"/>
          <w:szCs w:val="20"/>
          <w:color w:val="auto"/>
        </w:rPr>
      </w:pPr>
    </w:p>
    <w:p>
      <w:pPr>
        <w:ind w:right="3299" w:firstLine="435"/>
        <w:spacing w:after="0" w:line="353" w:lineRule="auto"/>
        <w:tabs>
          <w:tab w:leader="none" w:pos="8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or any premium or interest on any Security of such series, or</w:t>
      </w:r>
    </w:p>
    <w:p>
      <w:pPr>
        <w:spacing w:after="0" w:line="12" w:lineRule="exact"/>
        <w:rPr>
          <w:rFonts w:ascii="Courier New" w:cs="Courier New" w:eastAsia="Courier New" w:hAnsi="Courier New"/>
          <w:sz w:val="15"/>
          <w:szCs w:val="15"/>
          <w:color w:val="auto"/>
        </w:rPr>
      </w:pPr>
    </w:p>
    <w:p>
      <w:pPr>
        <w:ind w:right="3219" w:firstLine="435"/>
        <w:spacing w:after="0" w:line="297" w:lineRule="auto"/>
        <w:tabs>
          <w:tab w:leader="none" w:pos="8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Nine cannot be modified or amended without the consent of the Holder of each Outstanding Security of such series affected.</w:t>
      </w:r>
    </w:p>
    <w:p>
      <w:pPr>
        <w:spacing w:after="0" w:line="52"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4"/>
          <w:szCs w:val="14"/>
          <w:color w:val="auto"/>
        </w:rPr>
        <w:t>Undertaking for Costs.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Fourteen.</w:t>
      </w:r>
    </w:p>
    <w:p>
      <w:pPr>
        <w:spacing w:after="0" w:line="8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515.</w:t>
      </w:r>
      <w:r>
        <w:rPr>
          <w:sz w:val="20"/>
          <w:szCs w:val="20"/>
          <w:color w:val="auto"/>
        </w:rPr>
        <w:tab/>
      </w:r>
      <w:r>
        <w:rPr>
          <w:rFonts w:ascii="Courier New" w:cs="Courier New" w:eastAsia="Courier New" w:hAnsi="Courier New"/>
          <w:sz w:val="14"/>
          <w:szCs w:val="14"/>
          <w:color w:val="auto"/>
        </w:rPr>
        <w:t>Waiver of Usury, Stay or Extension Laws.</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05" w:right="1440" w:bottom="1440" w:gutter="0" w:footer="0" w:header="0"/>
        </w:sectPr>
      </w:pPr>
    </w:p>
    <w:bookmarkStart w:id="151" w:name="page152"/>
    <w:bookmarkEnd w:id="151"/>
    <w:p>
      <w:pPr>
        <w:ind w:left="3000"/>
        <w:spacing w:after="0"/>
        <w:rPr>
          <w:sz w:val="20"/>
          <w:szCs w:val="20"/>
          <w:color w:val="auto"/>
        </w:rPr>
      </w:pPr>
      <w:r>
        <w:rPr>
          <w:rFonts w:ascii="Courier New" w:cs="Courier New" w:eastAsia="Courier New" w:hAnsi="Courier New"/>
          <w:sz w:val="15"/>
          <w:szCs w:val="15"/>
          <w:color w:val="auto"/>
        </w:rPr>
        <w:t>ARTICLE SIX</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TRUSTEE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Certain Duties and Responsibilities.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8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602.</w:t>
      </w:r>
      <w:r>
        <w:rPr>
          <w:sz w:val="20"/>
          <w:szCs w:val="20"/>
          <w:color w:val="auto"/>
        </w:rPr>
        <w:tab/>
      </w:r>
      <w:r>
        <w:rPr>
          <w:rFonts w:ascii="Courier New" w:cs="Courier New" w:eastAsia="Courier New" w:hAnsi="Courier New"/>
          <w:sz w:val="14"/>
          <w:szCs w:val="14"/>
          <w:color w:val="auto"/>
        </w:rPr>
        <w:t>Notice of Defaults.</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If a default occurs hereunder with respect to Securities of any series, the Trustee shall give the Holders of Securities of such series notice of such default as and to the extent provided by the Trust Indenture Act; provided,</w:t>
      </w:r>
    </w:p>
    <w:p>
      <w:pPr>
        <w:spacing w:after="0" w:line="1" w:lineRule="exact"/>
        <w:rPr>
          <w:sz w:val="20"/>
          <w:szCs w:val="20"/>
          <w:color w:val="auto"/>
        </w:rPr>
      </w:pPr>
    </w:p>
    <w:p>
      <w:pPr>
        <w:ind w:left="5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however, that in the case of any default of the character specified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5"/>
          <w:szCs w:val="15"/>
          <w:color w:val="auto"/>
        </w:rPr>
        <w:t>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8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603.</w:t>
      </w:r>
      <w:r>
        <w:rPr>
          <w:sz w:val="20"/>
          <w:szCs w:val="20"/>
          <w:color w:val="auto"/>
        </w:rPr>
        <w:tab/>
      </w:r>
      <w:r>
        <w:rPr>
          <w:rFonts w:ascii="Courier New" w:cs="Courier New" w:eastAsia="Courier New" w:hAnsi="Courier New"/>
          <w:sz w:val="14"/>
          <w:szCs w:val="14"/>
          <w:color w:val="auto"/>
        </w:rPr>
        <w:t>Certain Rights of Trustee.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Subject to the provisions of Section 601:</w:t>
      </w:r>
    </w:p>
    <w:p>
      <w:pPr>
        <w:spacing w:after="0" w:line="171" w:lineRule="exact"/>
        <w:rPr>
          <w:sz w:val="20"/>
          <w:szCs w:val="20"/>
          <w:color w:val="auto"/>
        </w:rPr>
      </w:pPr>
    </w:p>
    <w:p>
      <w:pPr>
        <w:jc w:val="both"/>
        <w:ind w:right="3119" w:firstLine="435"/>
        <w:spacing w:after="0" w:line="269" w:lineRule="auto"/>
        <w:tabs>
          <w:tab w:leader="none" w:pos="88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1" w:lineRule="exact"/>
        <w:rPr>
          <w:rFonts w:ascii="Courier New" w:cs="Courier New" w:eastAsia="Courier New" w:hAnsi="Courier New"/>
          <w:sz w:val="15"/>
          <w:szCs w:val="15"/>
          <w:color w:val="auto"/>
        </w:rPr>
      </w:pPr>
    </w:p>
    <w:p>
      <w:pPr>
        <w:ind w:right="3119" w:firstLine="435"/>
        <w:spacing w:after="0" w:line="326" w:lineRule="auto"/>
        <w:tabs>
          <w:tab w:leader="none" w:pos="887"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36" w:lineRule="exact"/>
        <w:rPr>
          <w:rFonts w:ascii="Courier New" w:cs="Courier New" w:eastAsia="Courier New" w:hAnsi="Courier New"/>
          <w:sz w:val="14"/>
          <w:szCs w:val="14"/>
          <w:color w:val="auto"/>
        </w:rPr>
      </w:pPr>
    </w:p>
    <w:p>
      <w:pPr>
        <w:ind w:right="3119" w:firstLine="435"/>
        <w:spacing w:after="0" w:line="269" w:lineRule="auto"/>
        <w:tabs>
          <w:tab w:leader="none" w:pos="887"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05" w:right="1440" w:bottom="1440" w:gutter="0" w:footer="0" w:header="0"/>
        </w:sectPr>
      </w:pPr>
    </w:p>
    <w:bookmarkStart w:id="152" w:name="page153"/>
    <w:bookmarkEnd w:id="152"/>
    <w:p>
      <w:pPr>
        <w:ind w:right="3299" w:firstLine="435"/>
        <w:spacing w:after="0" w:line="278" w:lineRule="auto"/>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66"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77" w:lineRule="exact"/>
        <w:rPr>
          <w:rFonts w:ascii="Courier New" w:cs="Courier New" w:eastAsia="Courier New" w:hAnsi="Courier New"/>
          <w:sz w:val="15"/>
          <w:szCs w:val="15"/>
          <w:color w:val="auto"/>
        </w:rPr>
      </w:pPr>
    </w:p>
    <w:p>
      <w:pPr>
        <w:ind w:right="3219" w:firstLine="435"/>
        <w:spacing w:after="0" w:line="255" w:lineRule="auto"/>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81" w:lineRule="exact"/>
        <w:rPr>
          <w:rFonts w:ascii="Courier New" w:cs="Courier New" w:eastAsia="Courier New" w:hAnsi="Courier New"/>
          <w:sz w:val="15"/>
          <w:szCs w:val="15"/>
          <w:color w:val="auto"/>
        </w:rPr>
      </w:pPr>
    </w:p>
    <w:p>
      <w:pPr>
        <w:ind w:right="3399" w:firstLine="435"/>
        <w:spacing w:after="0" w:line="269" w:lineRule="auto"/>
        <w:tabs>
          <w:tab w:leader="none" w:pos="8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604.</w:t>
      </w:r>
      <w:r>
        <w:rPr>
          <w:sz w:val="20"/>
          <w:szCs w:val="20"/>
          <w:color w:val="auto"/>
        </w:rPr>
        <w:tab/>
      </w:r>
      <w:r>
        <w:rPr>
          <w:rFonts w:ascii="Courier New" w:cs="Courier New" w:eastAsia="Courier New" w:hAnsi="Courier New"/>
          <w:sz w:val="14"/>
          <w:szCs w:val="14"/>
          <w:color w:val="auto"/>
        </w:rPr>
        <w:t>Not Responsible for Recitals or Issuance of Securities.</w:t>
      </w:r>
    </w:p>
    <w:p>
      <w:pPr>
        <w:spacing w:after="0" w:line="17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8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605.</w:t>
      </w:r>
      <w:r>
        <w:rPr>
          <w:sz w:val="20"/>
          <w:szCs w:val="20"/>
          <w:color w:val="auto"/>
        </w:rPr>
        <w:tab/>
      </w:r>
      <w:r>
        <w:rPr>
          <w:rFonts w:ascii="Courier New" w:cs="Courier New" w:eastAsia="Courier New" w:hAnsi="Courier New"/>
          <w:sz w:val="14"/>
          <w:szCs w:val="14"/>
          <w:color w:val="auto"/>
        </w:rPr>
        <w:t>May Hold Securities and Act as Trustee Under Other Indentures.</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77"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Subject to the limitations imposed by the Trust Indenture Act, nothing in this Indenture shall prohibit the Trustee from becoming and acting as trustee under other indentures under which other</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05" w:right="1440" w:bottom="1440" w:gutter="0" w:footer="0" w:header="0"/>
        </w:sectPr>
      </w:pPr>
    </w:p>
    <w:bookmarkStart w:id="153" w:name="page154"/>
    <w:bookmarkEnd w:id="153"/>
    <w:p>
      <w:pPr>
        <w:ind w:right="3119"/>
        <w:spacing w:after="0" w:line="297" w:lineRule="auto"/>
        <w:rPr>
          <w:sz w:val="20"/>
          <w:szCs w:val="20"/>
          <w:color w:val="auto"/>
        </w:rPr>
      </w:pPr>
      <w:r>
        <w:rPr>
          <w:rFonts w:ascii="Courier New" w:cs="Courier New" w:eastAsia="Courier New" w:hAnsi="Courier New"/>
          <w:sz w:val="15"/>
          <w:szCs w:val="15"/>
          <w:color w:val="auto"/>
        </w:rPr>
        <w:t>securities, or certificates of interest of participation in other securities, of the Company are outstanding in the same manner as if it were not Trustee hereunder.</w:t>
      </w:r>
    </w:p>
    <w:p>
      <w:pPr>
        <w:spacing w:after="0" w:line="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606.</w:t>
      </w:r>
      <w:r>
        <w:rPr>
          <w:sz w:val="20"/>
          <w:szCs w:val="20"/>
          <w:color w:val="auto"/>
        </w:rPr>
        <w:tab/>
      </w:r>
      <w:r>
        <w:rPr>
          <w:rFonts w:ascii="Courier New" w:cs="Courier New" w:eastAsia="Courier New" w:hAnsi="Courier New"/>
          <w:sz w:val="14"/>
          <w:szCs w:val="14"/>
          <w:color w:val="auto"/>
        </w:rPr>
        <w:t>Money Held in Trust.</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607.</w:t>
      </w:r>
      <w:r>
        <w:rPr>
          <w:sz w:val="20"/>
          <w:szCs w:val="20"/>
          <w:color w:val="auto"/>
        </w:rPr>
        <w:tab/>
      </w:r>
      <w:r>
        <w:rPr>
          <w:rFonts w:ascii="Courier New" w:cs="Courier New" w:eastAsia="Courier New" w:hAnsi="Courier New"/>
          <w:sz w:val="14"/>
          <w:szCs w:val="14"/>
          <w:color w:val="auto"/>
        </w:rPr>
        <w:t>Compensation and Reimbursement.</w:t>
      </w:r>
    </w:p>
    <w:p>
      <w:pPr>
        <w:spacing w:after="0" w:line="171"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The Company shall pay to the Trustee and Agents from time to time reasonable compensation for all services rendered by it hereunder (which compensation shall not be limited by any provision of law in regard to the compensation of a trustee of an express trust) The Company shall reimburse the Trustee and the Agents upon request for all reasonable disbursements, expenses and advances incurred or made it in connection with its duties under this Indenture, including the reasonable compensation, disbursements and expenses of the Trustee's agents and counsel.</w:t>
      </w:r>
    </w:p>
    <w:p>
      <w:pPr>
        <w:spacing w:after="0" w:line="80"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The Company shall indemnify each of the Trustee and any predecessor Trustee for, and hold each of them harmless against, any and all loss, damage, claim, liability or expense, including without limitation taxes (other than taxes based on the income of the Trustee or such Agent) and reasonable attorneys' fees and expenses incurred by each of them in connection with the exercise or performance of any of its powers or duties hereunder (including, without limitation, settlement costs). The Trustee or Agent shall notify the Company in writing promptly of any claim asserted against the Trustee or Agent for which it may seek indemnity. However, the failure by the Trustee or Agent to so notify the Company shall not relieve the Company of its obligations hereunder except to the extent the Company is prejudiced thereby.</w:t>
      </w:r>
    </w:p>
    <w:p>
      <w:pPr>
        <w:spacing w:after="0" w:line="85"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Notwithstanding the foregoing, the Company need not reimburse the Trustee for any expense or indemnify it against any loss or liability incurred by the Trustee through its negligence or bad faith. To secure the payment obligations of the Company in this Section 607, the Trustee shall have a lien prior to the Notes on all money or property held or collected by the Trustee except such money or property held in trust to pay principal of an said interest on particular Notes. The obligations of the Company under this Section 607 to compensate and indemnify the Trustee, Agents and each predecessor Trustee and to pay or reimburse the Trustee, Agents and each predecessor Trustee for expenses, disbursements and advances shall survive the resignation or removal of the Trustee and the satisfaction, discharge or other termination of this Indenture, including any termination or rejection hereof under any bankruptcy law.</w:t>
      </w:r>
    </w:p>
    <w:p>
      <w:pPr>
        <w:spacing w:after="0" w:line="78"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When the Trustee incurs expenses or renders services after an Event of Default specified in Section 501(5) and (6) hereof occurs, the expenses and the compensation for the services are intended to constitute expenses of administration under any bankruptcy law.</w:t>
      </w:r>
    </w:p>
    <w:p>
      <w:pPr>
        <w:spacing w:after="0" w:line="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608.</w:t>
      </w:r>
      <w:r>
        <w:rPr>
          <w:sz w:val="20"/>
          <w:szCs w:val="20"/>
          <w:color w:val="auto"/>
        </w:rPr>
        <w:tab/>
      </w:r>
      <w:r>
        <w:rPr>
          <w:rFonts w:ascii="Courier New" w:cs="Courier New" w:eastAsia="Courier New" w:hAnsi="Courier New"/>
          <w:sz w:val="14"/>
          <w:szCs w:val="14"/>
          <w:color w:val="auto"/>
        </w:rPr>
        <w:t>Conflicting Interests.</w:t>
      </w:r>
    </w:p>
    <w:p>
      <w:pPr>
        <w:spacing w:after="0" w:line="17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5"/>
          <w:szCs w:val="15"/>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8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Corporate Trustee Required; Eligibility.</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w:t>
      </w:r>
    </w:p>
    <w:p>
      <w:pPr>
        <w:spacing w:after="0" w:line="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05" w:right="1440" w:bottom="1440" w:gutter="0" w:footer="0" w:header="0"/>
        </w:sectPr>
      </w:pPr>
    </w:p>
    <w:bookmarkStart w:id="154" w:name="page155"/>
    <w:bookmarkEnd w:id="154"/>
    <w:p>
      <w:pPr>
        <w:ind w:right="3119"/>
        <w:spacing w:after="0" w:line="263" w:lineRule="auto"/>
        <w:rPr>
          <w:sz w:val="20"/>
          <w:szCs w:val="20"/>
          <w:color w:val="auto"/>
        </w:rPr>
      </w:pPr>
      <w:r>
        <w:rPr>
          <w:rFonts w:ascii="Courier New" w:cs="Courier New" w:eastAsia="Courier New" w:hAnsi="Courier New"/>
          <w:sz w:val="15"/>
          <w:szCs w:val="15"/>
          <w:color w:val="auto"/>
        </w:rPr>
        <w:t>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Resignation and Removal; Appointment of Successor.</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82"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at any time:</w:t>
      </w:r>
    </w:p>
    <w:p>
      <w:pPr>
        <w:spacing w:after="0" w:line="171" w:lineRule="exact"/>
        <w:rPr>
          <w:sz w:val="20"/>
          <w:szCs w:val="20"/>
          <w:color w:val="auto"/>
        </w:rPr>
      </w:pPr>
    </w:p>
    <w:p>
      <w:pPr>
        <w:ind w:right="3119" w:firstLine="435"/>
        <w:spacing w:after="0" w:line="297" w:lineRule="auto"/>
        <w:tabs>
          <w:tab w:leader="none" w:pos="8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Section 608 after written request therefor by the Company or by any Holder who has been a bona fide Holder of a Security for at least six months, or</w:t>
      </w:r>
    </w:p>
    <w:p>
      <w:pPr>
        <w:spacing w:after="0" w:line="51" w:lineRule="exact"/>
        <w:rPr>
          <w:rFonts w:ascii="Courier New" w:cs="Courier New" w:eastAsia="Courier New" w:hAnsi="Courier New"/>
          <w:sz w:val="15"/>
          <w:szCs w:val="15"/>
          <w:color w:val="auto"/>
        </w:rPr>
      </w:pPr>
    </w:p>
    <w:p>
      <w:pPr>
        <w:ind w:right="3479" w:firstLine="435"/>
        <w:spacing w:after="0" w:line="297" w:lineRule="auto"/>
        <w:tabs>
          <w:tab w:leader="none" w:pos="8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609 and shall fail to resign after written request therefor by the Company or by any such Holder, or</w:t>
      </w:r>
    </w:p>
    <w:p>
      <w:pPr>
        <w:spacing w:after="0" w:line="51" w:lineRule="exact"/>
        <w:rPr>
          <w:rFonts w:ascii="Courier New" w:cs="Courier New" w:eastAsia="Courier New" w:hAnsi="Courier New"/>
          <w:sz w:val="15"/>
          <w:szCs w:val="15"/>
          <w:color w:val="auto"/>
        </w:rPr>
      </w:pPr>
    </w:p>
    <w:p>
      <w:pPr>
        <w:ind w:right="3299" w:firstLine="435"/>
        <w:spacing w:after="0" w:line="269" w:lineRule="auto"/>
        <w:tabs>
          <w:tab w:leader="none" w:pos="8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2" w:lineRule="exact"/>
        <w:rPr>
          <w:sz w:val="20"/>
          <w:szCs w:val="20"/>
          <w:color w:val="auto"/>
        </w:rPr>
      </w:pPr>
    </w:p>
    <w:p>
      <w:pPr>
        <w:ind w:right="3219" w:firstLine="444"/>
        <w:spacing w:after="0" w:line="285" w:lineRule="auto"/>
        <w:rPr>
          <w:sz w:val="20"/>
          <w:szCs w:val="20"/>
          <w:color w:val="auto"/>
        </w:rPr>
      </w:pPr>
      <w:r>
        <w:rPr>
          <w:rFonts w:ascii="Courier New" w:cs="Courier New" w:eastAsia="Courier New" w:hAnsi="Courier New"/>
          <w:sz w:val="14"/>
          <w:szCs w:val="14"/>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If the Trustee shall resign, be removed or become incapable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of acting, or</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if a vacancy shall occur in the office of Trustee for</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any cause,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with respect to</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the Securities of one or more series, the Company, by</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Board Resolution, shall</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promptly appoint a successor Trustee or Trustees with</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respect to</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the Securities</w:t>
            </w:r>
          </w:p>
        </w:tc>
      </w:tr>
      <w:tr>
        <w:trPr>
          <w:trHeight w:val="249"/>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of that or those series (it being understood that any</w:t>
            </w:r>
          </w:p>
        </w:tc>
        <w:tc>
          <w:tcPr>
            <w:tcW w:w="2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such successor Trustee</w:t>
            </w:r>
          </w:p>
        </w:tc>
      </w:tr>
      <w:tr>
        <w:trPr>
          <w:trHeight w:val="341"/>
        </w:trPr>
        <w:tc>
          <w:tcPr>
            <w:tcW w:w="4740" w:type="dxa"/>
            <w:vAlign w:val="bottom"/>
          </w:tcPr>
          <w:p>
            <w:pPr>
              <w:ind w:left="3360"/>
              <w:spacing w:after="0"/>
              <w:rPr>
                <w:sz w:val="20"/>
                <w:szCs w:val="20"/>
                <w:color w:val="auto"/>
              </w:rPr>
            </w:pPr>
            <w:r>
              <w:rPr>
                <w:rFonts w:ascii="Courier New" w:cs="Courier New" w:eastAsia="Courier New" w:hAnsi="Courier New"/>
                <w:sz w:val="15"/>
                <w:szCs w:val="15"/>
                <w:color w:val="auto"/>
              </w:rPr>
              <w:t>-43-</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605" w:right="1440" w:bottom="1440" w:gutter="0" w:footer="0" w:header="0"/>
        </w:sectPr>
      </w:pPr>
    </w:p>
    <w:bookmarkStart w:id="155" w:name="page156"/>
    <w:bookmarkEnd w:id="155"/>
    <w:p>
      <w:pPr>
        <w:ind w:right="3119"/>
        <w:spacing w:after="0" w:line="247" w:lineRule="auto"/>
        <w:rPr>
          <w:sz w:val="20"/>
          <w:szCs w:val="20"/>
          <w:color w:val="auto"/>
        </w:rPr>
      </w:pPr>
      <w:r>
        <w:rPr>
          <w:rFonts w:ascii="Courier New" w:cs="Courier New" w:eastAsia="Courier New" w:hAnsi="Courier New"/>
          <w:sz w:val="15"/>
          <w:szCs w:val="15"/>
          <w:color w:val="auto"/>
        </w:rPr>
        <w:t>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9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Acceptance of Appointment by Successor.</w:t>
      </w:r>
    </w:p>
    <w:p>
      <w:pPr>
        <w:spacing w:after="0" w:line="171" w:lineRule="exact"/>
        <w:rPr>
          <w:sz w:val="20"/>
          <w:szCs w:val="20"/>
          <w:color w:val="auto"/>
        </w:rPr>
      </w:pPr>
    </w:p>
    <w:p>
      <w:pPr>
        <w:ind w:right="3119" w:firstLine="444"/>
        <w:spacing w:after="0" w:line="251" w:lineRule="auto"/>
        <w:rPr>
          <w:sz w:val="20"/>
          <w:szCs w:val="20"/>
          <w:color w:val="auto"/>
        </w:rPr>
      </w:pPr>
      <w:r>
        <w:rPr>
          <w:rFonts w:ascii="Courier New" w:cs="Courier New" w:eastAsia="Courier New" w:hAnsi="Courier New"/>
          <w:sz w:val="15"/>
          <w:szCs w:val="15"/>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86" w:lineRule="exact"/>
        <w:rPr>
          <w:sz w:val="20"/>
          <w:szCs w:val="20"/>
          <w:color w:val="auto"/>
        </w:rPr>
      </w:pPr>
    </w:p>
    <w:p>
      <w:pPr>
        <w:ind w:right="3119" w:firstLine="444"/>
        <w:spacing w:after="0" w:line="281" w:lineRule="auto"/>
        <w:rPr>
          <w:sz w:val="20"/>
          <w:szCs w:val="20"/>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w:t>
      </w:r>
    </w:p>
    <w:p>
      <w:pPr>
        <w:spacing w:after="0" w:line="6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05" w:right="1440" w:bottom="1440" w:gutter="0" w:footer="0" w:header="0"/>
        </w:sectPr>
      </w:pPr>
    </w:p>
    <w:bookmarkStart w:id="156" w:name="page157"/>
    <w:bookmarkEnd w:id="156"/>
    <w:p>
      <w:pPr>
        <w:ind w:right="3119"/>
        <w:spacing w:after="0" w:line="264" w:lineRule="auto"/>
        <w:rPr>
          <w:sz w:val="20"/>
          <w:szCs w:val="20"/>
          <w:color w:val="auto"/>
        </w:rPr>
      </w:pPr>
      <w:r>
        <w:rPr>
          <w:rFonts w:ascii="Courier New" w:cs="Courier New" w:eastAsia="Courier New" w:hAnsi="Courier New"/>
          <w:sz w:val="14"/>
          <w:szCs w:val="14"/>
          <w:color w:val="auto"/>
        </w:rPr>
        <w:t>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58" w:lineRule="exact"/>
        <w:rPr>
          <w:sz w:val="20"/>
          <w:szCs w:val="20"/>
          <w:color w:val="auto"/>
        </w:rPr>
      </w:pPr>
    </w:p>
    <w:p>
      <w:pPr>
        <w:ind w:right="3299" w:firstLine="444"/>
        <w:spacing w:after="0" w:line="278" w:lineRule="auto"/>
        <w:rPr>
          <w:sz w:val="20"/>
          <w:szCs w:val="20"/>
          <w:color w:val="auto"/>
        </w:rPr>
      </w:pPr>
      <w:r>
        <w:rPr>
          <w:rFonts w:ascii="Courier New" w:cs="Courier New" w:eastAsia="Courier New" w:hAnsi="Courier New"/>
          <w:sz w:val="15"/>
          <w:szCs w:val="15"/>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66" w:lineRule="exact"/>
        <w:rPr>
          <w:sz w:val="20"/>
          <w:szCs w:val="20"/>
          <w:color w:val="auto"/>
        </w:rPr>
      </w:pPr>
    </w:p>
    <w:p>
      <w:pPr>
        <w:jc w:val="both"/>
        <w:ind w:right="3479" w:firstLine="444"/>
        <w:spacing w:after="0" w:line="297" w:lineRule="auto"/>
        <w:rPr>
          <w:sz w:val="20"/>
          <w:szCs w:val="20"/>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this Article.</w:t>
      </w:r>
    </w:p>
    <w:p>
      <w:pPr>
        <w:spacing w:after="0" w:line="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Merger, Conversion, Consolidation or Succession to Business.</w:t>
      </w:r>
    </w:p>
    <w:p>
      <w:pPr>
        <w:spacing w:after="0" w:line="171" w:lineRule="exact"/>
        <w:rPr>
          <w:sz w:val="20"/>
          <w:szCs w:val="20"/>
          <w:color w:val="auto"/>
        </w:rPr>
      </w:pPr>
    </w:p>
    <w:p>
      <w:pPr>
        <w:ind w:right="3119" w:firstLine="444"/>
        <w:spacing w:after="0" w:line="270" w:lineRule="auto"/>
        <w:rPr>
          <w:sz w:val="20"/>
          <w:szCs w:val="20"/>
          <w:color w:val="auto"/>
        </w:rPr>
      </w:pPr>
      <w:r>
        <w:rPr>
          <w:rFonts w:ascii="Courier New" w:cs="Courier New" w:eastAsia="Courier New" w:hAnsi="Courier New"/>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4"/>
          <w:szCs w:val="14"/>
          <w:color w:val="auto"/>
        </w:rPr>
        <w:t>Preferential Collection of Claims Against Company.</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05" w:right="1440" w:bottom="1440" w:gutter="0" w:footer="0" w:header="0"/>
        </w:sectPr>
      </w:pPr>
    </w:p>
    <w:bookmarkStart w:id="157" w:name="page158"/>
    <w:bookmarkEnd w:id="157"/>
    <w:p>
      <w:pPr>
        <w:spacing w:after="0"/>
        <w:tabs>
          <w:tab w:leader="none" w:pos="130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Appointment of Authenticating Agent.</w:t>
      </w:r>
    </w:p>
    <w:p>
      <w:pPr>
        <w:spacing w:after="0" w:line="171"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250"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80"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05" w:right="1440" w:bottom="1440" w:gutter="0" w:footer="0" w:header="0"/>
        </w:sectPr>
      </w:pPr>
    </w:p>
    <w:bookmarkStart w:id="158" w:name="page159"/>
    <w:bookmarkEnd w:id="158"/>
    <w:p>
      <w:pPr>
        <w:ind w:right="3219" w:firstLine="444"/>
        <w:spacing w:after="0" w:line="278" w:lineRule="auto"/>
        <w:rPr>
          <w:sz w:val="20"/>
          <w:szCs w:val="20"/>
          <w:color w:val="auto"/>
        </w:rPr>
      </w:pPr>
      <w:r>
        <w:rPr>
          <w:rFonts w:ascii="Courier New" w:cs="Courier New" w:eastAsia="Courier New" w:hAnsi="Courier New"/>
          <w:sz w:val="15"/>
          <w:szCs w:val="15"/>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66" w:lineRule="exact"/>
        <w:rPr>
          <w:sz w:val="20"/>
          <w:szCs w:val="20"/>
          <w:color w:val="auto"/>
        </w:rPr>
      </w:pPr>
    </w:p>
    <w:p>
      <w:pPr>
        <w:ind w:right="3399" w:firstLine="444"/>
        <w:spacing w:after="0" w:line="278" w:lineRule="auto"/>
        <w:rPr>
          <w:sz w:val="20"/>
          <w:szCs w:val="20"/>
          <w:color w:val="auto"/>
        </w:rPr>
      </w:pPr>
      <w:r>
        <w:rPr>
          <w:rFonts w:ascii="Courier New" w:cs="Courier New" w:eastAsia="Courier New" w:hAnsi="Courier New"/>
          <w:sz w:val="15"/>
          <w:szCs w:val="15"/>
          <w:color w:val="auto"/>
        </w:rPr>
        <w:t>If an appointment with respect to one or more series is made pursuant to this Section 612, the Securities of such series may have endorsed thereon, in addition to the Trustee's certificate of authentication, an alternative certificate of authentication in the following form:</w:t>
      </w:r>
    </w:p>
    <w:p>
      <w:pPr>
        <w:spacing w:after="0" w:line="66"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pacing w:after="0" w:line="1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As Trustee</w:t>
      </w:r>
    </w:p>
    <w:p>
      <w:pPr>
        <w:spacing w:after="0" w:line="14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By:_________________________________________,</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As Authenticating Agent</w:t>
      </w:r>
    </w:p>
    <w:p>
      <w:pPr>
        <w:spacing w:after="0" w:line="14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By:_________________________________________</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Authorized Officer</w:t>
      </w:r>
    </w:p>
    <w:p>
      <w:pPr>
        <w:spacing w:after="0" w:line="31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SEVEN</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701.</w:t>
      </w:r>
      <w:r>
        <w:rPr>
          <w:sz w:val="20"/>
          <w:szCs w:val="20"/>
          <w:color w:val="auto"/>
        </w:rPr>
        <w:tab/>
      </w:r>
      <w:r>
        <w:rPr>
          <w:rFonts w:ascii="Courier New" w:cs="Courier New" w:eastAsia="Courier New" w:hAnsi="Courier New"/>
          <w:sz w:val="14"/>
          <w:szCs w:val="14"/>
          <w:color w:val="auto"/>
        </w:rPr>
        <w:t>Company to Furnish Trustee Names and Addresses of Holders.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will furnish or cause to be furnished to the Trustee</w:t>
      </w:r>
    </w:p>
    <w:p>
      <w:pPr>
        <w:spacing w:after="0" w:line="171" w:lineRule="exact"/>
        <w:rPr>
          <w:sz w:val="20"/>
          <w:szCs w:val="20"/>
          <w:color w:val="auto"/>
        </w:rPr>
      </w:pPr>
    </w:p>
    <w:p>
      <w:pPr>
        <w:ind w:right="3119" w:firstLine="435"/>
        <w:spacing w:after="0" w:line="278" w:lineRule="auto"/>
        <w:tabs>
          <w:tab w:leader="none" w:pos="8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later than 15 days after the Regular Record Date, a list, in such form as the Trustee may reasonably require, of the names and addresses of the Holders of Securities of each series as of such Regular Record Date, as the case may be, and</w:t>
      </w:r>
    </w:p>
    <w:p>
      <w:pPr>
        <w:spacing w:after="0" w:line="66"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66"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provided that no such list need be furnished by the Company to the Trustee so long as the Trustee is acting as Security Registrar.</w:t>
      </w:r>
    </w:p>
    <w:p>
      <w:pPr>
        <w:spacing w:after="0" w:line="1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702.</w:t>
      </w:r>
      <w:r>
        <w:rPr>
          <w:sz w:val="20"/>
          <w:szCs w:val="20"/>
          <w:color w:val="auto"/>
        </w:rPr>
        <w:tab/>
      </w:r>
      <w:r>
        <w:rPr>
          <w:rFonts w:ascii="Courier New" w:cs="Courier New" w:eastAsia="Courier New" w:hAnsi="Courier New"/>
          <w:sz w:val="14"/>
          <w:szCs w:val="14"/>
          <w:color w:val="auto"/>
        </w:rPr>
        <w:t>Preservation of Information; Communications to Holders.</w:t>
      </w:r>
    </w:p>
    <w:p>
      <w:pPr>
        <w:spacing w:after="0" w:line="171" w:lineRule="exact"/>
        <w:rPr>
          <w:sz w:val="20"/>
          <w:szCs w:val="20"/>
          <w:color w:val="auto"/>
        </w:rPr>
      </w:pPr>
    </w:p>
    <w:p>
      <w:pPr>
        <w:ind w:right="3219" w:firstLine="444"/>
        <w:spacing w:after="0" w:line="278" w:lineRule="auto"/>
        <w:rPr>
          <w:sz w:val="20"/>
          <w:szCs w:val="20"/>
          <w:color w:val="auto"/>
        </w:rPr>
      </w:pPr>
      <w:r>
        <w:rPr>
          <w:rFonts w:ascii="Courier New" w:cs="Courier New" w:eastAsia="Courier New" w:hAnsi="Courier New"/>
          <w:sz w:val="15"/>
          <w:szCs w:val="15"/>
          <w:color w:val="auto"/>
        </w:rPr>
        <w:t>The Trustee shall preserve, in as current a form as is reasonably practicable, the names and addresses of Holders contained in the most recent list furnished to the Trustee as provided in Section 701, if any, and the names and addresses of Holders received by the Trustee in its capacity</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05" w:right="1440" w:bottom="1440" w:gutter="0" w:footer="0" w:header="0"/>
        </w:sectPr>
      </w:pPr>
    </w:p>
    <w:bookmarkStart w:id="159" w:name="page160"/>
    <w:bookmarkEnd w:id="159"/>
    <w:p>
      <w:pPr>
        <w:ind w:right="3659"/>
        <w:spacing w:after="0" w:line="353" w:lineRule="auto"/>
        <w:rPr>
          <w:sz w:val="20"/>
          <w:szCs w:val="20"/>
          <w:color w:val="auto"/>
        </w:rPr>
      </w:pPr>
      <w:r>
        <w:rPr>
          <w:rFonts w:ascii="Courier New" w:cs="Courier New" w:eastAsia="Courier New" w:hAnsi="Courier New"/>
          <w:sz w:val="15"/>
          <w:szCs w:val="15"/>
          <w:color w:val="auto"/>
        </w:rPr>
        <w:t>as Security Registrar. The Trustee may destroy any list furnished to it as provided in Section 701 upon receipt of a new list so furnished.</w:t>
      </w:r>
    </w:p>
    <w:p>
      <w:pPr>
        <w:spacing w:after="0" w:line="1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66" w:lineRule="exact"/>
        <w:rPr>
          <w:sz w:val="20"/>
          <w:szCs w:val="20"/>
          <w:color w:val="auto"/>
        </w:rPr>
      </w:pPr>
    </w:p>
    <w:p>
      <w:pPr>
        <w:ind w:right="3299"/>
        <w:spacing w:after="0" w:line="269" w:lineRule="auto"/>
        <w:rPr>
          <w:sz w:val="20"/>
          <w:szCs w:val="20"/>
          <w:color w:val="auto"/>
        </w:rPr>
      </w:pPr>
      <w:r>
        <w:rPr>
          <w:rFonts w:ascii="Courier New" w:cs="Courier New" w:eastAsia="Courier New" w:hAnsi="Courier New"/>
          <w:sz w:val="15"/>
          <w:szCs w:val="15"/>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703.</w:t>
      </w:r>
      <w:r>
        <w:rPr>
          <w:sz w:val="20"/>
          <w:szCs w:val="20"/>
          <w:color w:val="auto"/>
        </w:rPr>
        <w:tab/>
      </w:r>
      <w:r>
        <w:rPr>
          <w:rFonts w:ascii="Courier New" w:cs="Courier New" w:eastAsia="Courier New" w:hAnsi="Courier New"/>
          <w:sz w:val="14"/>
          <w:szCs w:val="14"/>
          <w:color w:val="auto"/>
        </w:rPr>
        <w:t>Reports by Trustee.</w:t>
      </w:r>
    </w:p>
    <w:p>
      <w:pPr>
        <w:spacing w:after="0" w:line="171" w:lineRule="exact"/>
        <w:rPr>
          <w:sz w:val="20"/>
          <w:szCs w:val="20"/>
          <w:color w:val="auto"/>
        </w:rPr>
      </w:pPr>
    </w:p>
    <w:p>
      <w:pPr>
        <w:ind w:right="3299" w:firstLine="444"/>
        <w:spacing w:after="0" w:line="326" w:lineRule="auto"/>
        <w:rPr>
          <w:sz w:val="20"/>
          <w:szCs w:val="20"/>
          <w:color w:val="auto"/>
        </w:rPr>
      </w:pPr>
      <w:r>
        <w:rPr>
          <w:rFonts w:ascii="Courier New" w:cs="Courier New" w:eastAsia="Courier New" w:hAnsi="Courier New"/>
          <w:sz w:val="14"/>
          <w:szCs w:val="14"/>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36"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66" w:lineRule="exact"/>
        <w:rPr>
          <w:sz w:val="20"/>
          <w:szCs w:val="20"/>
          <w:color w:val="auto"/>
        </w:rPr>
      </w:pPr>
    </w:p>
    <w:p>
      <w:pPr>
        <w:ind w:right="3399" w:firstLine="444"/>
        <w:spacing w:after="0" w:line="303" w:lineRule="auto"/>
        <w:rPr>
          <w:sz w:val="20"/>
          <w:szCs w:val="20"/>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704.</w:t>
      </w:r>
      <w:r>
        <w:rPr>
          <w:sz w:val="20"/>
          <w:szCs w:val="20"/>
          <w:color w:val="auto"/>
        </w:rPr>
        <w:tab/>
      </w:r>
      <w:r>
        <w:rPr>
          <w:rFonts w:ascii="Courier New" w:cs="Courier New" w:eastAsia="Courier New" w:hAnsi="Courier New"/>
          <w:sz w:val="14"/>
          <w:szCs w:val="14"/>
          <w:color w:val="auto"/>
        </w:rPr>
        <w:t>Reports by Company.</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EIGHT</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CONSOLIDATION, MERGER, CONVEYANCE, TRANSFER OR LEASE</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801.</w:t>
      </w:r>
      <w:r>
        <w:rPr>
          <w:sz w:val="20"/>
          <w:szCs w:val="20"/>
          <w:color w:val="auto"/>
        </w:rPr>
        <w:tab/>
      </w:r>
      <w:r>
        <w:rPr>
          <w:rFonts w:ascii="Courier New" w:cs="Courier New" w:eastAsia="Courier New" w:hAnsi="Courier New"/>
          <w:sz w:val="14"/>
          <w:szCs w:val="14"/>
          <w:color w:val="auto"/>
        </w:rPr>
        <w:t>Company May Consolidate, Etc., Only on Certain Terms.</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Company shall not consolidate with or merge into any other Person (in a transaction in which the Company is not the surviving corporation) or convey, transfer or lease its properties and assets substantially as an entirety to any Person, unless:</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05" w:right="1440" w:bottom="1440" w:gutter="0" w:footer="0" w:header="0"/>
        </w:sectPr>
      </w:pPr>
    </w:p>
    <w:bookmarkStart w:id="160" w:name="page161"/>
    <w:bookmarkEnd w:id="160"/>
    <w:p>
      <w:pPr>
        <w:ind w:right="3119" w:firstLine="435"/>
        <w:spacing w:after="0" w:line="246" w:lineRule="auto"/>
        <w:tabs>
          <w:tab w:leader="none" w:pos="8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consolidate with or merge into another Person (in an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Fourteen, if applicable, or as otherwise specified pursuant to Section 301,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00" w:lineRule="exact"/>
        <w:rPr>
          <w:rFonts w:ascii="Courier New" w:cs="Courier New" w:eastAsia="Courier New" w:hAnsi="Courier New"/>
          <w:sz w:val="15"/>
          <w:szCs w:val="15"/>
          <w:color w:val="auto"/>
        </w:rPr>
      </w:pPr>
    </w:p>
    <w:p>
      <w:pPr>
        <w:ind w:right="3219" w:firstLine="435"/>
        <w:spacing w:after="0" w:line="263" w:lineRule="auto"/>
        <w:tabs>
          <w:tab w:leader="none" w:pos="8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77"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802.</w:t>
      </w:r>
      <w:r>
        <w:rPr>
          <w:sz w:val="20"/>
          <w:szCs w:val="20"/>
          <w:color w:val="auto"/>
        </w:rPr>
        <w:tab/>
      </w:r>
      <w:r>
        <w:rPr>
          <w:rFonts w:ascii="Courier New" w:cs="Courier New" w:eastAsia="Courier New" w:hAnsi="Courier New"/>
          <w:sz w:val="14"/>
          <w:szCs w:val="14"/>
          <w:color w:val="auto"/>
        </w:rPr>
        <w:t>Successor Substituted.</w:t>
      </w:r>
    </w:p>
    <w:p>
      <w:pPr>
        <w:spacing w:after="0" w:line="171"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05" w:right="1440" w:bottom="1440" w:gutter="0" w:footer="0" w:header="0"/>
        </w:sectPr>
      </w:pPr>
    </w:p>
    <w:bookmarkStart w:id="161" w:name="page162"/>
    <w:bookmarkEnd w:id="161"/>
    <w:p>
      <w:pPr>
        <w:ind w:left="3000"/>
        <w:spacing w:after="0"/>
        <w:rPr>
          <w:sz w:val="20"/>
          <w:szCs w:val="20"/>
          <w:color w:val="auto"/>
        </w:rPr>
      </w:pPr>
      <w:r>
        <w:rPr>
          <w:rFonts w:ascii="Courier New" w:cs="Courier New" w:eastAsia="Courier New" w:hAnsi="Courier New"/>
          <w:sz w:val="15"/>
          <w:szCs w:val="15"/>
          <w:color w:val="auto"/>
        </w:rPr>
        <w:t>ARTICLE NINE</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SUPPLEMENTAL INDENTURES</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901.</w:t>
      </w:r>
      <w:r>
        <w:rPr>
          <w:sz w:val="20"/>
          <w:szCs w:val="20"/>
          <w:color w:val="auto"/>
        </w:rPr>
        <w:tab/>
      </w:r>
      <w:r>
        <w:rPr>
          <w:rFonts w:ascii="Courier New" w:cs="Courier New" w:eastAsia="Courier New" w:hAnsi="Courier New"/>
          <w:sz w:val="14"/>
          <w:szCs w:val="14"/>
          <w:color w:val="auto"/>
        </w:rPr>
        <w:t>Supplemental Indentures Without Consent of Holders.</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66" w:lineRule="exact"/>
        <w:rPr>
          <w:sz w:val="20"/>
          <w:szCs w:val="20"/>
          <w:color w:val="auto"/>
        </w:rPr>
      </w:pPr>
    </w:p>
    <w:p>
      <w:pPr>
        <w:ind w:right="3759" w:firstLine="435"/>
        <w:spacing w:after="0" w:line="297" w:lineRule="auto"/>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or successive successions, and the assumption by any such successor of the covenants of the Company herein and in the Securities; or</w:t>
      </w:r>
    </w:p>
    <w:p>
      <w:pPr>
        <w:spacing w:after="0" w:line="51" w:lineRule="exact"/>
        <w:rPr>
          <w:rFonts w:ascii="Courier New" w:cs="Courier New" w:eastAsia="Courier New" w:hAnsi="Courier New"/>
          <w:sz w:val="15"/>
          <w:szCs w:val="15"/>
          <w:color w:val="auto"/>
        </w:rPr>
      </w:pPr>
    </w:p>
    <w:p>
      <w:pPr>
        <w:ind w:right="3219" w:firstLine="435"/>
        <w:spacing w:after="0" w:line="269" w:lineRule="auto"/>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71" w:lineRule="exact"/>
        <w:rPr>
          <w:rFonts w:ascii="Courier New" w:cs="Courier New" w:eastAsia="Courier New" w:hAnsi="Courier New"/>
          <w:sz w:val="15"/>
          <w:szCs w:val="15"/>
          <w:color w:val="auto"/>
        </w:rPr>
      </w:pPr>
    </w:p>
    <w:p>
      <w:pPr>
        <w:ind w:right="3119" w:firstLine="435"/>
        <w:spacing w:after="0" w:line="269" w:lineRule="auto"/>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71" w:lineRule="exact"/>
        <w:rPr>
          <w:rFonts w:ascii="Courier New" w:cs="Courier New" w:eastAsia="Courier New" w:hAnsi="Courier New"/>
          <w:sz w:val="15"/>
          <w:szCs w:val="15"/>
          <w:color w:val="auto"/>
        </w:rPr>
      </w:pPr>
    </w:p>
    <w:p>
      <w:pPr>
        <w:ind w:right="3219" w:firstLine="435"/>
        <w:spacing w:after="0" w:line="269" w:lineRule="auto"/>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71" w:lineRule="exact"/>
        <w:rPr>
          <w:rFonts w:ascii="Courier New" w:cs="Courier New" w:eastAsia="Courier New" w:hAnsi="Courier New"/>
          <w:sz w:val="15"/>
          <w:szCs w:val="15"/>
          <w:color w:val="auto"/>
        </w:rPr>
      </w:pPr>
    </w:p>
    <w:p>
      <w:pPr>
        <w:ind w:right="3119" w:firstLine="435"/>
        <w:spacing w:after="0" w:line="259" w:lineRule="auto"/>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8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or</w:t>
      </w:r>
    </w:p>
    <w:p>
      <w:pPr>
        <w:spacing w:after="0" w:line="171" w:lineRule="exact"/>
        <w:rPr>
          <w:rFonts w:ascii="Courier New" w:cs="Courier New" w:eastAsia="Courier New" w:hAnsi="Courier New"/>
          <w:sz w:val="15"/>
          <w:szCs w:val="15"/>
          <w:color w:val="auto"/>
        </w:rPr>
      </w:pPr>
    </w:p>
    <w:p>
      <w:pPr>
        <w:ind w:right="3919" w:firstLine="435"/>
        <w:spacing w:after="0" w:line="353" w:lineRule="auto"/>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the form or terms of Securities of any series as permitted by Sections 201 and 301; or</w:t>
      </w:r>
    </w:p>
    <w:p>
      <w:pPr>
        <w:spacing w:after="0" w:line="12" w:lineRule="exact"/>
        <w:rPr>
          <w:rFonts w:ascii="Courier New" w:cs="Courier New" w:eastAsia="Courier New" w:hAnsi="Courier New"/>
          <w:sz w:val="15"/>
          <w:szCs w:val="15"/>
          <w:color w:val="auto"/>
        </w:rPr>
      </w:pPr>
    </w:p>
    <w:p>
      <w:pPr>
        <w:ind w:right="3119" w:firstLine="435"/>
        <w:spacing w:after="0" w:line="292" w:lineRule="auto"/>
        <w:tabs>
          <w:tab w:leader="none" w:pos="887"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05" w:right="1440" w:bottom="1440" w:gutter="0" w:footer="0" w:header="0"/>
        </w:sectPr>
      </w:pPr>
    </w:p>
    <w:bookmarkStart w:id="162" w:name="page163"/>
    <w:bookmarkEnd w:id="162"/>
    <w:p>
      <w:pPr>
        <w:ind w:right="3299" w:firstLine="435"/>
        <w:spacing w:after="0" w:line="278" w:lineRule="auto"/>
        <w:tabs>
          <w:tab w:leader="none" w:pos="88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provision with respect to the conversion rights of Holders pursuant to the requirements of Article Fourteen, including providing for the conversion of the securities into any security (other than the Common Stock of the Company) or property of the Company; or</w:t>
      </w:r>
    </w:p>
    <w:p>
      <w:pPr>
        <w:spacing w:after="0" w:line="66"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(10) shall not adversely affect the interests of the Holders of Securities of any series in any material respect; or</w:t>
      </w:r>
    </w:p>
    <w:p>
      <w:pPr>
        <w:spacing w:after="0" w:line="77"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supplement any of the provisions of the Indenture to such extent as shall be necessary to permit or facilitate the defeasance and discharge of any series of Securities pursuant to Articles Four and Thirteen, provided that any such action shall not adversely affect the interests of the Holders of Securities of such series or any other series of Securities in any material respect.</w:t>
      </w:r>
    </w:p>
    <w:p>
      <w:pPr>
        <w:spacing w:after="0" w:line="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902.</w:t>
      </w:r>
      <w:r>
        <w:rPr>
          <w:sz w:val="20"/>
          <w:szCs w:val="20"/>
          <w:color w:val="auto"/>
        </w:rPr>
        <w:tab/>
      </w:r>
      <w:r>
        <w:rPr>
          <w:rFonts w:ascii="Courier New" w:cs="Courier New" w:eastAsia="Courier New" w:hAnsi="Courier New"/>
          <w:sz w:val="14"/>
          <w:szCs w:val="14"/>
          <w:color w:val="auto"/>
        </w:rPr>
        <w:t>Supplemental Indentures With Consent of Holders.</w:t>
      </w:r>
    </w:p>
    <w:p>
      <w:pPr>
        <w:spacing w:after="0" w:line="171" w:lineRule="exact"/>
        <w:rPr>
          <w:sz w:val="20"/>
          <w:szCs w:val="20"/>
          <w:color w:val="auto"/>
        </w:rPr>
      </w:pPr>
    </w:p>
    <w:p>
      <w:pPr>
        <w:ind w:right="3219" w:firstLine="444"/>
        <w:spacing w:after="0" w:line="263" w:lineRule="auto"/>
        <w:rPr>
          <w:sz w:val="20"/>
          <w:szCs w:val="20"/>
          <w:color w:val="auto"/>
        </w:rPr>
      </w:pPr>
      <w:r>
        <w:rPr>
          <w:rFonts w:ascii="Courier New" w:cs="Courier New" w:eastAsia="Courier New" w:hAnsi="Courier New"/>
          <w:sz w:val="14"/>
          <w:szCs w:val="14"/>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w:t>
      </w:r>
    </w:p>
    <w:p>
      <w:pPr>
        <w:spacing w:after="0" w:line="1" w:lineRule="exact"/>
        <w:rPr>
          <w:sz w:val="20"/>
          <w:szCs w:val="20"/>
          <w:color w:val="auto"/>
        </w:rPr>
      </w:pPr>
    </w:p>
    <w:p>
      <w:pPr>
        <w:ind w:left="4260"/>
        <w:spacing w:after="0"/>
        <w:tabs>
          <w:tab w:leader="none" w:pos="51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right="3919"/>
        <w:spacing w:after="0" w:line="316" w:lineRule="auto"/>
        <w:rPr>
          <w:sz w:val="20"/>
          <w:szCs w:val="20"/>
          <w:color w:val="auto"/>
        </w:rPr>
      </w:pPr>
      <w:r>
        <w:rPr>
          <w:rFonts w:ascii="Courier New" w:cs="Courier New" w:eastAsia="Courier New" w:hAnsi="Courier New"/>
          <w:sz w:val="15"/>
          <w:szCs w:val="15"/>
          <w:color w:val="auto"/>
        </w:rPr>
        <w:t>supplemental indenture shall, without the consent of the Holder of each Outstanding Security affected thereby,</w:t>
      </w:r>
    </w:p>
    <w:p>
      <w:pPr>
        <w:spacing w:after="0" w:line="39" w:lineRule="exact"/>
        <w:rPr>
          <w:sz w:val="20"/>
          <w:szCs w:val="20"/>
          <w:color w:val="auto"/>
        </w:rPr>
      </w:pPr>
    </w:p>
    <w:p>
      <w:pPr>
        <w:ind w:right="3119" w:firstLine="435"/>
        <w:spacing w:after="0" w:line="250" w:lineRule="auto"/>
        <w:tabs>
          <w:tab w:leader="none" w:pos="887"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such series of Securities in a manner adverse to the Holders of Securities of such series, or</w:t>
      </w:r>
    </w:p>
    <w:p>
      <w:pPr>
        <w:spacing w:after="0" w:line="88" w:lineRule="exact"/>
        <w:rPr>
          <w:rFonts w:ascii="Courier New" w:cs="Courier New" w:eastAsia="Courier New" w:hAnsi="Courier New"/>
          <w:sz w:val="15"/>
          <w:szCs w:val="15"/>
          <w:color w:val="auto"/>
        </w:rPr>
      </w:pPr>
    </w:p>
    <w:p>
      <w:pPr>
        <w:ind w:right="3219" w:firstLine="435"/>
        <w:spacing w:after="0" w:line="292" w:lineRule="auto"/>
        <w:tabs>
          <w:tab w:leader="none" w:pos="887"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59" w:lineRule="exact"/>
        <w:rPr>
          <w:rFonts w:ascii="Courier New" w:cs="Courier New" w:eastAsia="Courier New" w:hAnsi="Courier New"/>
          <w:sz w:val="14"/>
          <w:szCs w:val="14"/>
          <w:color w:val="auto"/>
        </w:rPr>
      </w:pPr>
    </w:p>
    <w:p>
      <w:pPr>
        <w:ind w:right="3119" w:firstLine="435"/>
        <w:spacing w:after="0" w:line="278" w:lineRule="auto"/>
        <w:tabs>
          <w:tab w:leader="none" w:pos="887"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05"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5"/>
          <w:szCs w:val="15"/>
          <w:color w:val="auto"/>
        </w:rPr>
        <w:t>provided, however, that this clause shall not be deemed to require the consent</w:t>
      </w:r>
    </w:p>
    <w:p>
      <w:pPr>
        <w:spacing w:after="0" w:line="2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jc w:val="both"/>
        <w:ind w:right="3399"/>
        <w:spacing w:after="0" w:line="307" w:lineRule="auto"/>
        <w:rPr>
          <w:sz w:val="20"/>
          <w:szCs w:val="20"/>
          <w:color w:val="auto"/>
        </w:rPr>
      </w:pPr>
      <w:r>
        <w:rPr>
          <w:rFonts w:ascii="Courier New" w:cs="Courier New" w:eastAsia="Courier New" w:hAnsi="Courier New"/>
          <w:sz w:val="14"/>
          <w:szCs w:val="14"/>
          <w:color w:val="auto"/>
        </w:rPr>
        <w:t>of any Holder with respect to changes in the references to "the Trustee" and concomitant changes in this Section and Section 1008, or the deletion of this proviso, in accordance with the requirements of Sections 611 and 901(8), or</w:t>
      </w:r>
    </w:p>
    <w:p>
      <w:pPr>
        <w:spacing w:after="0" w:line="48" w:lineRule="exact"/>
        <w:rPr>
          <w:sz w:val="20"/>
          <w:szCs w:val="20"/>
          <w:color w:val="auto"/>
        </w:rPr>
      </w:pPr>
    </w:p>
    <w:p>
      <w:pPr>
        <w:ind w:right="3219" w:firstLine="435"/>
        <w:spacing w:after="0" w:line="278" w:lineRule="auto"/>
        <w:tabs>
          <w:tab w:leader="none" w:pos="8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make any change that adversely affects the right to convert any security as provided in Article Fourteen or pursuant to Section 301 (except as permitted by Section 901(9)) or decrease the conversion rate or increase the conversion price of any such security.</w:t>
      </w:r>
    </w:p>
    <w:p>
      <w:pPr>
        <w:spacing w:after="0" w:line="66"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77"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It shall not be necessary for any Act of Holders under this Section to approve the particular form of any proposed supplemental indenture, but it shall be sufficient if such Act shall approve the substance thereof.</w:t>
      </w:r>
    </w:p>
    <w:p>
      <w:pPr>
        <w:spacing w:after="0" w:line="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903.</w:t>
      </w:r>
      <w:r>
        <w:rPr>
          <w:sz w:val="20"/>
          <w:szCs w:val="20"/>
          <w:color w:val="auto"/>
        </w:rPr>
        <w:tab/>
      </w:r>
      <w:r>
        <w:rPr>
          <w:rFonts w:ascii="Courier New" w:cs="Courier New" w:eastAsia="Courier New" w:hAnsi="Courier New"/>
          <w:sz w:val="14"/>
          <w:szCs w:val="14"/>
          <w:color w:val="auto"/>
        </w:rPr>
        <w:t>Execution of Supplemental Indentures.</w:t>
      </w:r>
    </w:p>
    <w:p>
      <w:pPr>
        <w:spacing w:after="0" w:line="171" w:lineRule="exact"/>
        <w:rPr>
          <w:sz w:val="20"/>
          <w:szCs w:val="20"/>
          <w:color w:val="auto"/>
        </w:rPr>
      </w:pPr>
    </w:p>
    <w:p>
      <w:pPr>
        <w:ind w:right="3119" w:firstLine="444"/>
        <w:spacing w:after="0" w:line="277" w:lineRule="auto"/>
        <w:rPr>
          <w:sz w:val="20"/>
          <w:szCs w:val="20"/>
          <w:color w:val="auto"/>
        </w:rPr>
      </w:pPr>
      <w:r>
        <w:rPr>
          <w:rFonts w:ascii="Courier New" w:cs="Courier New" w:eastAsia="Courier New" w:hAnsi="Courier New"/>
          <w:sz w:val="14"/>
          <w:szCs w:val="14"/>
          <w:color w:val="auto"/>
        </w:rPr>
        <w:t>In executing, or accepting the additional trusts created by, any supplemental indenture permitted by this Article or the modifications thereby of the trusts created by this Indenture, the Trustee shall be entitled to receive, and (subject to Sections 601 and 603)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904.</w:t>
      </w:r>
      <w:r>
        <w:rPr>
          <w:sz w:val="20"/>
          <w:szCs w:val="20"/>
          <w:color w:val="auto"/>
        </w:rPr>
        <w:tab/>
      </w:r>
      <w:r>
        <w:rPr>
          <w:rFonts w:ascii="Courier New" w:cs="Courier New" w:eastAsia="Courier New" w:hAnsi="Courier New"/>
          <w:sz w:val="14"/>
          <w:szCs w:val="14"/>
          <w:color w:val="auto"/>
        </w:rPr>
        <w:t>Effect of Supplemental Indentures.</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905.</w:t>
      </w:r>
      <w:r>
        <w:rPr>
          <w:sz w:val="20"/>
          <w:szCs w:val="20"/>
          <w:color w:val="auto"/>
        </w:rPr>
        <w:tab/>
      </w:r>
      <w:r>
        <w:rPr>
          <w:rFonts w:ascii="Courier New" w:cs="Courier New" w:eastAsia="Courier New" w:hAnsi="Courier New"/>
          <w:sz w:val="14"/>
          <w:szCs w:val="14"/>
          <w:color w:val="auto"/>
        </w:rPr>
        <w:t>Conformity with Trust Indenture Act.</w:t>
      </w:r>
    </w:p>
    <w:p>
      <w:pPr>
        <w:spacing w:after="0" w:line="171" w:lineRule="exact"/>
        <w:rPr>
          <w:sz w:val="20"/>
          <w:szCs w:val="20"/>
          <w:color w:val="auto"/>
        </w:rPr>
      </w:pPr>
    </w:p>
    <w:p>
      <w:pPr>
        <w:ind w:right="3759" w:firstLine="444"/>
        <w:spacing w:after="0" w:line="353" w:lineRule="auto"/>
        <w:rPr>
          <w:sz w:val="20"/>
          <w:szCs w:val="20"/>
          <w:color w:val="auto"/>
        </w:rPr>
      </w:pPr>
      <w:r>
        <w:rPr>
          <w:rFonts w:ascii="Courier New" w:cs="Courier New" w:eastAsia="Courier New" w:hAnsi="Courier New"/>
          <w:sz w:val="15"/>
          <w:szCs w:val="15"/>
          <w:color w:val="auto"/>
        </w:rPr>
        <w:t>Every supplemental indenture executed pursuant to this Article shall conform to the requirements of the Trust Indenture Act.</w:t>
      </w:r>
    </w:p>
    <w:p>
      <w:pPr>
        <w:spacing w:after="0" w:line="1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906.</w:t>
      </w:r>
      <w:r>
        <w:rPr>
          <w:sz w:val="20"/>
          <w:szCs w:val="20"/>
          <w:color w:val="auto"/>
        </w:rPr>
        <w:tab/>
      </w:r>
      <w:r>
        <w:rPr>
          <w:rFonts w:ascii="Courier New" w:cs="Courier New" w:eastAsia="Courier New" w:hAnsi="Courier New"/>
          <w:sz w:val="14"/>
          <w:szCs w:val="14"/>
          <w:color w:val="auto"/>
        </w:rPr>
        <w:t>Reference in Securities to Supplemental Indentures.</w:t>
      </w:r>
    </w:p>
    <w:p>
      <w:pPr>
        <w:spacing w:after="0" w:line="171" w:lineRule="exact"/>
        <w:rPr>
          <w:sz w:val="20"/>
          <w:szCs w:val="20"/>
          <w:color w:val="auto"/>
        </w:rPr>
      </w:pPr>
    </w:p>
    <w:p>
      <w:pPr>
        <w:ind w:right="3119" w:firstLine="444"/>
        <w:spacing w:after="0" w:line="297" w:lineRule="auto"/>
        <w:rPr>
          <w:sz w:val="20"/>
          <w:szCs w:val="20"/>
          <w:color w:val="auto"/>
        </w:rPr>
      </w:pPr>
      <w:r>
        <w:rPr>
          <w:rFonts w:ascii="Courier New" w:cs="Courier New" w:eastAsia="Courier New" w:hAnsi="Courier New"/>
          <w:sz w:val="15"/>
          <w:szCs w:val="15"/>
          <w:color w:val="auto"/>
        </w:rPr>
        <w:t>Securities of any series authenticated and delivered after the execution of any supplemental indenture pursuant to this Article may, and shall if required by the Trustee, bear a notation in form</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05" w:right="1440" w:bottom="1440" w:gutter="0" w:footer="0" w:header="0"/>
        </w:sectPr>
      </w:pPr>
    </w:p>
    <w:bookmarkStart w:id="164" w:name="page165"/>
    <w:bookmarkEnd w:id="164"/>
    <w:p>
      <w:pPr>
        <w:ind w:right="3399"/>
        <w:spacing w:after="0" w:line="263" w:lineRule="auto"/>
        <w:rPr>
          <w:sz w:val="20"/>
          <w:szCs w:val="20"/>
          <w:color w:val="auto"/>
        </w:rPr>
      </w:pPr>
      <w:r>
        <w:rPr>
          <w:rFonts w:ascii="Courier New" w:cs="Courier New" w:eastAsia="Courier New" w:hAnsi="Courier New"/>
          <w:sz w:val="15"/>
          <w:szCs w:val="15"/>
          <w:color w:val="auto"/>
        </w:rPr>
        <w:t>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907.</w:t>
      </w:r>
      <w:r>
        <w:rPr>
          <w:sz w:val="20"/>
          <w:szCs w:val="20"/>
          <w:color w:val="auto"/>
        </w:rPr>
        <w:tab/>
      </w:r>
      <w:r>
        <w:rPr>
          <w:rFonts w:ascii="Courier New" w:cs="Courier New" w:eastAsia="Courier New" w:hAnsi="Courier New"/>
          <w:sz w:val="14"/>
          <w:szCs w:val="14"/>
          <w:color w:val="auto"/>
        </w:rPr>
        <w:t>Subordination Unimpaired.</w:t>
      </w:r>
    </w:p>
    <w:p>
      <w:pPr>
        <w:spacing w:after="0" w:line="171" w:lineRule="exact"/>
        <w:rPr>
          <w:sz w:val="20"/>
          <w:szCs w:val="20"/>
          <w:color w:val="auto"/>
        </w:rPr>
      </w:pPr>
    </w:p>
    <w:p>
      <w:pPr>
        <w:ind w:right="3659" w:firstLine="444"/>
        <w:spacing w:after="0" w:line="297" w:lineRule="auto"/>
        <w:rPr>
          <w:sz w:val="20"/>
          <w:szCs w:val="20"/>
          <w:color w:val="auto"/>
        </w:rPr>
      </w:pPr>
      <w:r>
        <w:rPr>
          <w:rFonts w:ascii="Courier New" w:cs="Courier New" w:eastAsia="Courier New" w:hAnsi="Courier New"/>
          <w:sz w:val="15"/>
          <w:szCs w:val="15"/>
          <w:color w:val="auto"/>
        </w:rPr>
        <w:t>No provision in any supplemental indenture which affects the superior position of the holders of Senior Indebtedness shall be effective against holders of Senior Indebtedness.</w:t>
      </w:r>
    </w:p>
    <w:p>
      <w:pPr>
        <w:spacing w:after="0" w:line="5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TEN</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COVENANTS</w:t>
      </w:r>
    </w:p>
    <w:p>
      <w:pPr>
        <w:spacing w:after="0" w:line="17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1001.</w:t>
      </w:r>
      <w:r>
        <w:rPr>
          <w:sz w:val="20"/>
          <w:szCs w:val="20"/>
          <w:color w:val="auto"/>
        </w:rPr>
        <w:tab/>
      </w:r>
      <w:r>
        <w:rPr>
          <w:rFonts w:ascii="Courier New" w:cs="Courier New" w:eastAsia="Courier New" w:hAnsi="Courier New"/>
          <w:sz w:val="14"/>
          <w:szCs w:val="14"/>
          <w:color w:val="auto"/>
        </w:rPr>
        <w:t>Payment of Principal, Premium and Interest.</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66"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1002.</w:t>
      </w:r>
      <w:r>
        <w:rPr>
          <w:sz w:val="20"/>
          <w:szCs w:val="20"/>
          <w:color w:val="auto"/>
        </w:rPr>
        <w:tab/>
      </w:r>
      <w:r>
        <w:rPr>
          <w:rFonts w:ascii="Courier New" w:cs="Courier New" w:eastAsia="Courier New" w:hAnsi="Courier New"/>
          <w:sz w:val="14"/>
          <w:szCs w:val="14"/>
          <w:color w:val="auto"/>
        </w:rPr>
        <w:t>Maintenance of Office or Agency.</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78"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w:t>
      </w:r>
    </w:p>
    <w:p>
      <w:pPr>
        <w:ind w:left="1240"/>
        <w:spacing w:after="0"/>
        <w:tabs>
          <w:tab w:leader="none" w:pos="210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5"/>
          <w:szCs w:val="15"/>
          <w:color w:val="auto"/>
        </w:rPr>
        <w:t>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05" w:right="1440" w:bottom="1440" w:gutter="0" w:footer="0" w:header="0"/>
        </w:sectPr>
      </w:pPr>
    </w:p>
    <w:bookmarkStart w:id="165" w:name="page166"/>
    <w:bookmarkEnd w:id="165"/>
    <w:p>
      <w:pPr>
        <w:spacing w:after="0"/>
        <w:tabs>
          <w:tab w:leader="none" w:pos="1480" w:val="left"/>
        </w:tabs>
        <w:rPr>
          <w:sz w:val="20"/>
          <w:szCs w:val="20"/>
          <w:color w:val="auto"/>
        </w:rPr>
      </w:pPr>
      <w:r>
        <w:rPr>
          <w:rFonts w:ascii="Courier New" w:cs="Courier New" w:eastAsia="Courier New" w:hAnsi="Courier New"/>
          <w:sz w:val="15"/>
          <w:szCs w:val="15"/>
          <w:color w:val="auto"/>
        </w:rPr>
        <w:t>SECTION 1003.</w:t>
      </w:r>
      <w:r>
        <w:rPr>
          <w:sz w:val="20"/>
          <w:szCs w:val="20"/>
          <w:color w:val="auto"/>
        </w:rPr>
        <w:tab/>
      </w:r>
      <w:r>
        <w:rPr>
          <w:rFonts w:ascii="Courier New" w:cs="Courier New" w:eastAsia="Courier New" w:hAnsi="Courier New"/>
          <w:sz w:val="14"/>
          <w:szCs w:val="14"/>
          <w:color w:val="auto"/>
        </w:rPr>
        <w:t>Money for Securities Payments to Be Held in Trust.</w:t>
      </w:r>
    </w:p>
    <w:p>
      <w:pPr>
        <w:spacing w:after="0" w:line="171"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80" w:lineRule="exact"/>
        <w:rPr>
          <w:sz w:val="20"/>
          <w:szCs w:val="20"/>
          <w:color w:val="auto"/>
        </w:rPr>
      </w:pPr>
    </w:p>
    <w:p>
      <w:pPr>
        <w:ind w:right="3119" w:firstLine="444"/>
        <w:spacing w:after="0" w:line="285" w:lineRule="auto"/>
        <w:rPr>
          <w:sz w:val="20"/>
          <w:szCs w:val="20"/>
          <w:color w:val="auto"/>
        </w:rPr>
      </w:pPr>
      <w:r>
        <w:rPr>
          <w:rFonts w:ascii="Courier New" w:cs="Courier New" w:eastAsia="Courier New" w:hAnsi="Courier New"/>
          <w:sz w:val="14"/>
          <w:szCs w:val="14"/>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65" w:lineRule="exact"/>
        <w:rPr>
          <w:sz w:val="20"/>
          <w:szCs w:val="20"/>
          <w:color w:val="auto"/>
        </w:rPr>
      </w:pPr>
    </w:p>
    <w:p>
      <w:pPr>
        <w:ind w:right="3119" w:firstLine="444"/>
        <w:spacing w:after="0" w:line="253" w:lineRule="auto"/>
        <w:rPr>
          <w:sz w:val="20"/>
          <w:szCs w:val="20"/>
          <w:color w:val="auto"/>
        </w:rPr>
      </w:pPr>
      <w:r>
        <w:rPr>
          <w:rFonts w:ascii="Courier New" w:cs="Courier New" w:eastAsia="Courier New" w:hAnsi="Courier New"/>
          <w:sz w:val="15"/>
          <w:szCs w:val="15"/>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86" w:lineRule="exact"/>
        <w:rPr>
          <w:sz w:val="20"/>
          <w:szCs w:val="20"/>
          <w:color w:val="auto"/>
        </w:rPr>
      </w:pPr>
    </w:p>
    <w:p>
      <w:pPr>
        <w:ind w:right="3219" w:firstLine="444"/>
        <w:spacing w:after="0" w:line="257"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80"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78"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1004.</w:t>
      </w:r>
      <w:r>
        <w:rPr>
          <w:sz w:val="20"/>
          <w:szCs w:val="20"/>
          <w:color w:val="auto"/>
        </w:rPr>
        <w:tab/>
      </w:r>
      <w:r>
        <w:rPr>
          <w:rFonts w:ascii="Courier New" w:cs="Courier New" w:eastAsia="Courier New" w:hAnsi="Courier New"/>
          <w:sz w:val="14"/>
          <w:szCs w:val="14"/>
          <w:color w:val="auto"/>
        </w:rPr>
        <w:t>Statement by Officers as to Default.</w:t>
      </w:r>
    </w:p>
    <w:p>
      <w:pPr>
        <w:spacing w:after="0" w:line="171" w:lineRule="exact"/>
        <w:rPr>
          <w:sz w:val="20"/>
          <w:szCs w:val="20"/>
          <w:color w:val="auto"/>
        </w:rPr>
      </w:pPr>
    </w:p>
    <w:p>
      <w:pPr>
        <w:ind w:right="3299" w:firstLine="444"/>
        <w:spacing w:after="0" w:line="297" w:lineRule="auto"/>
        <w:rPr>
          <w:sz w:val="20"/>
          <w:szCs w:val="20"/>
          <w:color w:val="auto"/>
        </w:rPr>
      </w:pPr>
      <w:r>
        <w:rPr>
          <w:rFonts w:ascii="Courier New" w:cs="Courier New" w:eastAsia="Courier New" w:hAnsi="Courier New"/>
          <w:sz w:val="15"/>
          <w:szCs w:val="15"/>
          <w:color w:val="auto"/>
        </w:rPr>
        <w:t>The Company will deliver to the Trustee, within 120 days after the end of each fiscal year of the Company ending after the date hereof, an Officers' Certificate, stating whether or not to the best</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05" w:right="1440" w:bottom="1440" w:gutter="0" w:footer="0" w:header="0"/>
        </w:sectPr>
      </w:pPr>
    </w:p>
    <w:bookmarkStart w:id="166" w:name="page167"/>
    <w:bookmarkEnd w:id="166"/>
    <w:p>
      <w:pPr>
        <w:ind w:right="3119"/>
        <w:spacing w:after="0" w:line="292" w:lineRule="auto"/>
        <w:rPr>
          <w:sz w:val="20"/>
          <w:szCs w:val="20"/>
          <w:color w:val="auto"/>
        </w:rPr>
      </w:pPr>
      <w:r>
        <w:rPr>
          <w:rFonts w:ascii="Courier New" w:cs="Courier New" w:eastAsia="Courier New" w:hAnsi="Courier New"/>
          <w:sz w:val="14"/>
          <w:szCs w:val="14"/>
          <w:color w:val="auto"/>
        </w:rPr>
        <w:t>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59"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1005.</w:t>
      </w:r>
      <w:r>
        <w:rPr>
          <w:sz w:val="20"/>
          <w:szCs w:val="20"/>
          <w:color w:val="auto"/>
        </w:rPr>
        <w:tab/>
      </w:r>
      <w:r>
        <w:rPr>
          <w:rFonts w:ascii="Courier New" w:cs="Courier New" w:eastAsia="Courier New" w:hAnsi="Courier New"/>
          <w:sz w:val="14"/>
          <w:szCs w:val="14"/>
          <w:color w:val="auto"/>
        </w:rPr>
        <w:t>Existence.</w:t>
      </w:r>
    </w:p>
    <w:p>
      <w:pPr>
        <w:spacing w:after="0" w:line="171" w:lineRule="exact"/>
        <w:rPr>
          <w:sz w:val="20"/>
          <w:szCs w:val="20"/>
          <w:color w:val="auto"/>
        </w:rPr>
      </w:pPr>
    </w:p>
    <w:p>
      <w:pPr>
        <w:ind w:right="3399" w:firstLine="444"/>
        <w:spacing w:after="0" w:line="387" w:lineRule="auto"/>
        <w:rPr>
          <w:sz w:val="20"/>
          <w:szCs w:val="20"/>
          <w:color w:val="auto"/>
        </w:rPr>
      </w:pPr>
      <w:r>
        <w:rPr>
          <w:rFonts w:ascii="Courier New" w:cs="Courier New" w:eastAsia="Courier New" w:hAnsi="Courier New"/>
          <w:sz w:val="14"/>
          <w:szCs w:val="14"/>
          <w:color w:val="auto"/>
        </w:rPr>
        <w:t>Subject to Article Eight, the Company will do or cause to be done all things necessary to preserve and keep in full force and effect its existence.</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1006.</w:t>
      </w:r>
      <w:r>
        <w:rPr>
          <w:sz w:val="20"/>
          <w:szCs w:val="20"/>
          <w:color w:val="auto"/>
        </w:rPr>
        <w:tab/>
      </w:r>
      <w:r>
        <w:rPr>
          <w:rFonts w:ascii="Courier New" w:cs="Courier New" w:eastAsia="Courier New" w:hAnsi="Courier New"/>
          <w:sz w:val="14"/>
          <w:szCs w:val="14"/>
          <w:color w:val="auto"/>
        </w:rPr>
        <w:t>Maintenance of Properties.</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4"/>
          <w:szCs w:val="14"/>
          <w:color w:val="auto"/>
        </w:rPr>
        <w:t>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w:t>
      </w:r>
    </w:p>
    <w:p>
      <w:pPr>
        <w:spacing w:after="0" w:line="4" w:lineRule="exact"/>
        <w:rPr>
          <w:sz w:val="20"/>
          <w:szCs w:val="20"/>
          <w:color w:val="auto"/>
        </w:rPr>
      </w:pPr>
    </w:p>
    <w:p>
      <w:pPr>
        <w:ind w:left="3460"/>
        <w:spacing w:after="0"/>
        <w:tabs>
          <w:tab w:leader="none" w:pos="4320"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ind w:right="3119"/>
        <w:spacing w:after="0" w:line="266" w:lineRule="auto"/>
        <w:rPr>
          <w:sz w:val="20"/>
          <w:szCs w:val="20"/>
          <w:color w:val="auto"/>
        </w:rPr>
      </w:pPr>
      <w:r>
        <w:rPr>
          <w:rFonts w:ascii="Courier New" w:cs="Courier New" w:eastAsia="Courier New" w:hAnsi="Courier New"/>
          <w:sz w:val="15"/>
          <w:szCs w:val="15"/>
          <w:color w:val="auto"/>
        </w:rPr>
        <w:t>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74"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1007.</w:t>
      </w:r>
      <w:r>
        <w:rPr>
          <w:sz w:val="20"/>
          <w:szCs w:val="20"/>
          <w:color w:val="auto"/>
        </w:rPr>
        <w:tab/>
      </w:r>
      <w:r>
        <w:rPr>
          <w:rFonts w:ascii="Courier New" w:cs="Courier New" w:eastAsia="Courier New" w:hAnsi="Courier New"/>
          <w:sz w:val="14"/>
          <w:szCs w:val="14"/>
          <w:color w:val="auto"/>
        </w:rPr>
        <w:t>Payment of Taxes and Other Claims.</w:t>
      </w:r>
    </w:p>
    <w:p>
      <w:pPr>
        <w:spacing w:after="0" w:line="171"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provided, however, that the Company shall not be required to pay or</w:t>
      </w:r>
    </w:p>
    <w:p>
      <w:pPr>
        <w:spacing w:after="0" w:line="3" w:lineRule="exact"/>
        <w:rPr>
          <w:sz w:val="20"/>
          <w:szCs w:val="20"/>
          <w:color w:val="auto"/>
        </w:rPr>
      </w:pPr>
    </w:p>
    <w:p>
      <w:pPr>
        <w:ind w:left="780"/>
        <w:spacing w:after="0"/>
        <w:tabs>
          <w:tab w:leader="none" w:pos="1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5"/>
          <w:szCs w:val="15"/>
          <w:color w:val="auto"/>
        </w:rPr>
        <w:t>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8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1008.</w:t>
      </w:r>
      <w:r>
        <w:rPr>
          <w:sz w:val="20"/>
          <w:szCs w:val="20"/>
          <w:color w:val="auto"/>
        </w:rPr>
        <w:tab/>
      </w:r>
      <w:r>
        <w:rPr>
          <w:rFonts w:ascii="Courier New" w:cs="Courier New" w:eastAsia="Courier New" w:hAnsi="Courier New"/>
          <w:sz w:val="14"/>
          <w:szCs w:val="14"/>
          <w:color w:val="auto"/>
        </w:rPr>
        <w:t>Waiver of Certain Covenants.</w:t>
      </w:r>
    </w:p>
    <w:p>
      <w:pPr>
        <w:spacing w:after="0" w:line="171" w:lineRule="exact"/>
        <w:rPr>
          <w:sz w:val="20"/>
          <w:szCs w:val="20"/>
          <w:color w:val="auto"/>
        </w:rPr>
      </w:pPr>
    </w:p>
    <w:p>
      <w:pPr>
        <w:ind w:right="3119" w:firstLine="444"/>
        <w:spacing w:after="0" w:line="273" w:lineRule="auto"/>
        <w:rPr>
          <w:sz w:val="20"/>
          <w:szCs w:val="20"/>
          <w:color w:val="auto"/>
        </w:rPr>
      </w:pPr>
      <w:r>
        <w:rPr>
          <w:rFonts w:ascii="Courier New" w:cs="Courier New" w:eastAsia="Courier New" w:hAnsi="Courier New"/>
          <w:sz w:val="14"/>
          <w:szCs w:val="14"/>
          <w:color w:val="auto"/>
        </w:rPr>
        <w:t>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301(19), 901(2), 901(7), 1006 or 1007 for the benefit of the Holders of such series if before the time for such compliance the Holders of at least 50%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w:t>
      </w:r>
    </w:p>
    <w:p>
      <w:pPr>
        <w:spacing w:after="0" w:line="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05" w:right="1440" w:bottom="1440" w:gutter="0" w:footer="0" w:header="0"/>
        </w:sectPr>
      </w:pPr>
    </w:p>
    <w:bookmarkStart w:id="167" w:name="page168"/>
    <w:bookmarkEnd w:id="167"/>
    <w:p>
      <w:pPr>
        <w:ind w:right="3399"/>
        <w:spacing w:after="0" w:line="297" w:lineRule="auto"/>
        <w:rPr>
          <w:sz w:val="20"/>
          <w:szCs w:val="20"/>
          <w:color w:val="auto"/>
        </w:rPr>
      </w:pPr>
      <w:r>
        <w:rPr>
          <w:rFonts w:ascii="Courier New" w:cs="Courier New" w:eastAsia="Courier New" w:hAnsi="Courier New"/>
          <w:sz w:val="15"/>
          <w:szCs w:val="15"/>
          <w:color w:val="auto"/>
        </w:rPr>
        <w:t>and, until such waiver shall become effective, the obligations of the Company and the duties of the Trustee in respect of any such term, provision or condition shall remain in full force and effect.</w:t>
      </w:r>
    </w:p>
    <w:p>
      <w:pPr>
        <w:spacing w:after="0" w:line="5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ELEVEN</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REDEMPTION OF SECURITIES</w:t>
      </w:r>
    </w:p>
    <w:p>
      <w:pPr>
        <w:spacing w:after="0" w:line="17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1101.</w:t>
      </w:r>
      <w:r>
        <w:rPr>
          <w:sz w:val="20"/>
          <w:szCs w:val="20"/>
          <w:color w:val="auto"/>
        </w:rPr>
        <w:tab/>
      </w:r>
      <w:r>
        <w:rPr>
          <w:rFonts w:ascii="Courier New" w:cs="Courier New" w:eastAsia="Courier New" w:hAnsi="Courier New"/>
          <w:sz w:val="14"/>
          <w:szCs w:val="14"/>
          <w:color w:val="auto"/>
        </w:rPr>
        <w:t>Applicability of Article.</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66"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1102.</w:t>
      </w:r>
      <w:r>
        <w:rPr>
          <w:sz w:val="20"/>
          <w:szCs w:val="20"/>
          <w:color w:val="auto"/>
        </w:rPr>
        <w:tab/>
      </w:r>
      <w:r>
        <w:rPr>
          <w:rFonts w:ascii="Courier New" w:cs="Courier New" w:eastAsia="Courier New" w:hAnsi="Courier New"/>
          <w:sz w:val="14"/>
          <w:szCs w:val="14"/>
          <w:color w:val="auto"/>
        </w:rPr>
        <w:t>Election to Redeem; Notice to Trustee.</w:t>
      </w:r>
    </w:p>
    <w:p>
      <w:pPr>
        <w:spacing w:after="0" w:line="171" w:lineRule="exact"/>
        <w:rPr>
          <w:sz w:val="20"/>
          <w:szCs w:val="20"/>
          <w:color w:val="auto"/>
        </w:rPr>
      </w:pPr>
    </w:p>
    <w:p>
      <w:pPr>
        <w:ind w:right="3119" w:firstLine="444"/>
        <w:spacing w:after="0" w:line="250" w:lineRule="auto"/>
        <w:rPr>
          <w:sz w:val="20"/>
          <w:szCs w:val="20"/>
          <w:color w:val="auto"/>
        </w:rPr>
      </w:pPr>
      <w:r>
        <w:rPr>
          <w:rFonts w:ascii="Courier New" w:cs="Courier New" w:eastAsia="Courier New" w:hAnsi="Courier New"/>
          <w:sz w:val="15"/>
          <w:szCs w:val="15"/>
          <w:color w:val="auto"/>
        </w:rPr>
        <w:t>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88"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1103.</w:t>
      </w:r>
      <w:r>
        <w:rPr>
          <w:sz w:val="20"/>
          <w:szCs w:val="20"/>
          <w:color w:val="auto"/>
        </w:rPr>
        <w:tab/>
      </w:r>
      <w:r>
        <w:rPr>
          <w:rFonts w:ascii="Courier New" w:cs="Courier New" w:eastAsia="Courier New" w:hAnsi="Courier New"/>
          <w:sz w:val="14"/>
          <w:szCs w:val="14"/>
          <w:color w:val="auto"/>
        </w:rPr>
        <w:t>Selection by Trustee of Securities to Be Redeemed.</w:t>
      </w:r>
    </w:p>
    <w:p>
      <w:pPr>
        <w:spacing w:after="0" w:line="171"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(or such shorter period of time as may be acceptable to the Trustee) prior to the Redemption Date by the Trustee, from the Outstanding Securities of such series not previously called for redemption, by lot, or in the Trustee's discretion, on a pro rata basis,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92"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w:t>
      </w:r>
    </w:p>
    <w:p>
      <w:pPr>
        <w:spacing w:after="0" w:line="6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05" w:right="1440" w:bottom="1440" w:gutter="0" w:footer="0" w:header="0"/>
        </w:sectPr>
      </w:pPr>
    </w:p>
    <w:bookmarkStart w:id="168" w:name="page169"/>
    <w:bookmarkEnd w:id="168"/>
    <w:p>
      <w:pPr>
        <w:ind w:right="3219"/>
        <w:spacing w:after="0" w:line="387" w:lineRule="auto"/>
        <w:rPr>
          <w:sz w:val="20"/>
          <w:szCs w:val="20"/>
          <w:color w:val="auto"/>
        </w:rPr>
      </w:pPr>
      <w:r>
        <w:rPr>
          <w:rFonts w:ascii="Courier New" w:cs="Courier New" w:eastAsia="Courier New" w:hAnsi="Courier New"/>
          <w:sz w:val="14"/>
          <w:szCs w:val="14"/>
          <w:color w:val="auto"/>
        </w:rPr>
        <w:t>which have been converted during a selection of Securities to be redeemed shall be treated by the Trustee as Outstanding for the purpose of such selection.</w:t>
      </w:r>
    </w:p>
    <w:p>
      <w:pPr>
        <w:spacing w:after="0" w:line="1" w:lineRule="exact"/>
        <w:rPr>
          <w:sz w:val="20"/>
          <w:szCs w:val="20"/>
          <w:color w:val="auto"/>
        </w:rPr>
      </w:pPr>
    </w:p>
    <w:p>
      <w:pPr>
        <w:jc w:val="both"/>
        <w:ind w:right="3119" w:firstLine="444"/>
        <w:spacing w:after="0" w:line="326" w:lineRule="auto"/>
        <w:rPr>
          <w:sz w:val="20"/>
          <w:szCs w:val="20"/>
          <w:color w:val="auto"/>
        </w:rPr>
      </w:pPr>
      <w:r>
        <w:rPr>
          <w:rFonts w:ascii="Courier New" w:cs="Courier New" w:eastAsia="Courier New" w:hAnsi="Courier New"/>
          <w:sz w:val="14"/>
          <w:szCs w:val="14"/>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36"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77" w:lineRule="exact"/>
        <w:rPr>
          <w:sz w:val="20"/>
          <w:szCs w:val="20"/>
          <w:color w:val="auto"/>
        </w:rPr>
      </w:pPr>
    </w:p>
    <w:p>
      <w:pPr>
        <w:ind w:right="3219" w:firstLine="444"/>
        <w:spacing w:after="0" w:line="303"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5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1104.</w:t>
      </w:r>
      <w:r>
        <w:rPr>
          <w:sz w:val="20"/>
          <w:szCs w:val="20"/>
          <w:color w:val="auto"/>
        </w:rPr>
        <w:tab/>
      </w:r>
      <w:r>
        <w:rPr>
          <w:rFonts w:ascii="Courier New" w:cs="Courier New" w:eastAsia="Courier New" w:hAnsi="Courier New"/>
          <w:sz w:val="14"/>
          <w:szCs w:val="14"/>
          <w:color w:val="auto"/>
        </w:rPr>
        <w:t>Notice of Redemption.</w:t>
      </w:r>
    </w:p>
    <w:p>
      <w:pPr>
        <w:spacing w:after="0" w:line="171"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Notice of redemption shall be given by first-class mail, postage prepaid, mailed not less than 30 nor more than 60 days prior to the Redemption Date, unless a shorter period is specified in the Securities to be redeemed, to each Holder of Securities to be redeemed, at its address appearing in the Security Register.</w:t>
      </w:r>
    </w:p>
    <w:p>
      <w:pPr>
        <w:spacing w:after="0" w:line="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71" w:lineRule="exact"/>
        <w:rPr>
          <w:sz w:val="20"/>
          <w:szCs w:val="20"/>
          <w:color w:val="auto"/>
        </w:rPr>
      </w:pPr>
    </w:p>
    <w:p>
      <w:pPr>
        <w:ind w:left="880" w:hanging="445"/>
        <w:spacing w:after="0"/>
        <w:tabs>
          <w:tab w:leader="none" w:pos="88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(including accrued interest, if any),</w:t>
      </w:r>
    </w:p>
    <w:p>
      <w:pPr>
        <w:spacing w:after="0" w:line="171" w:lineRule="exact"/>
        <w:rPr>
          <w:rFonts w:ascii="Courier New" w:cs="Courier New" w:eastAsia="Courier New" w:hAnsi="Courier New"/>
          <w:sz w:val="15"/>
          <w:szCs w:val="15"/>
          <w:color w:val="auto"/>
        </w:rPr>
      </w:pPr>
    </w:p>
    <w:p>
      <w:pPr>
        <w:ind w:right="3119" w:firstLine="435"/>
        <w:spacing w:after="0" w:line="263" w:lineRule="auto"/>
        <w:tabs>
          <w:tab w:leader="none" w:pos="8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77" w:lineRule="exact"/>
        <w:rPr>
          <w:rFonts w:ascii="Courier New" w:cs="Courier New" w:eastAsia="Courier New" w:hAnsi="Courier New"/>
          <w:sz w:val="15"/>
          <w:szCs w:val="15"/>
          <w:color w:val="auto"/>
        </w:rPr>
      </w:pPr>
    </w:p>
    <w:p>
      <w:pPr>
        <w:ind w:right="3119" w:firstLine="435"/>
        <w:spacing w:after="0" w:line="297" w:lineRule="auto"/>
        <w:tabs>
          <w:tab w:leader="none" w:pos="8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will become due and payable upon each such Security to be redeemed and, if applicable, that interest thereon will cease to accrue on and after said date,</w:t>
      </w:r>
    </w:p>
    <w:p>
      <w:pPr>
        <w:spacing w:after="0" w:line="51" w:lineRule="exact"/>
        <w:rPr>
          <w:rFonts w:ascii="Courier New" w:cs="Courier New" w:eastAsia="Courier New" w:hAnsi="Courier New"/>
          <w:sz w:val="15"/>
          <w:szCs w:val="15"/>
          <w:color w:val="auto"/>
        </w:rPr>
      </w:pPr>
    </w:p>
    <w:p>
      <w:pPr>
        <w:ind w:right="3219" w:firstLine="435"/>
        <w:spacing w:after="0" w:line="353" w:lineRule="auto"/>
        <w:tabs>
          <w:tab w:leader="none" w:pos="887"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each such Security is to be surrendered for payment of the Redemption Price,</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05" w:right="1440" w:bottom="1440" w:gutter="0" w:footer="0" w:header="0"/>
        </w:sectPr>
      </w:pPr>
    </w:p>
    <w:bookmarkStart w:id="169" w:name="page170"/>
    <w:bookmarkEnd w:id="169"/>
    <w:p>
      <w:pPr>
        <w:ind w:left="9" w:right="3219" w:firstLine="435"/>
        <w:spacing w:after="0" w:line="278" w:lineRule="auto"/>
        <w:tabs>
          <w:tab w:leader="none" w:pos="896"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the conversion price, the date on which the right to convert the principal of the Securities or the portions thereof to be redeemed will terminate and the place or places where such Securities may be surrendered for conversion, and</w:t>
      </w:r>
    </w:p>
    <w:p>
      <w:pPr>
        <w:spacing w:after="0" w:line="66" w:lineRule="exact"/>
        <w:rPr>
          <w:rFonts w:ascii="Courier New" w:cs="Courier New" w:eastAsia="Courier New" w:hAnsi="Courier New"/>
          <w:sz w:val="15"/>
          <w:szCs w:val="15"/>
          <w:color w:val="auto"/>
        </w:rPr>
      </w:pPr>
    </w:p>
    <w:p>
      <w:pPr>
        <w:ind w:left="889" w:hanging="445"/>
        <w:spacing w:after="0"/>
        <w:tabs>
          <w:tab w:leader="none" w:pos="88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redemption is for a sinking fund, if such is the case.</w:t>
      </w:r>
    </w:p>
    <w:p>
      <w:pPr>
        <w:spacing w:after="0" w:line="171" w:lineRule="exact"/>
        <w:rPr>
          <w:sz w:val="20"/>
          <w:szCs w:val="20"/>
          <w:color w:val="auto"/>
        </w:rPr>
      </w:pPr>
    </w:p>
    <w:p>
      <w:pPr>
        <w:ind w:left="9" w:right="3219" w:firstLine="444"/>
        <w:spacing w:after="0" w:line="326"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36" w:lineRule="exact"/>
        <w:rPr>
          <w:sz w:val="20"/>
          <w:szCs w:val="20"/>
          <w:color w:val="auto"/>
        </w:rPr>
      </w:pPr>
    </w:p>
    <w:p>
      <w:pPr>
        <w:ind w:left="9"/>
        <w:spacing w:after="0"/>
        <w:tabs>
          <w:tab w:leader="none" w:pos="1489" w:val="left"/>
        </w:tabs>
        <w:rPr>
          <w:sz w:val="20"/>
          <w:szCs w:val="20"/>
          <w:color w:val="auto"/>
        </w:rPr>
      </w:pPr>
      <w:r>
        <w:rPr>
          <w:rFonts w:ascii="Courier New" w:cs="Courier New" w:eastAsia="Courier New" w:hAnsi="Courier New"/>
          <w:sz w:val="15"/>
          <w:szCs w:val="15"/>
          <w:color w:val="auto"/>
        </w:rPr>
        <w:t>SECTION 1105.</w:t>
      </w:r>
      <w:r>
        <w:rPr>
          <w:sz w:val="20"/>
          <w:szCs w:val="20"/>
          <w:color w:val="auto"/>
        </w:rPr>
        <w:tab/>
      </w:r>
      <w:r>
        <w:rPr>
          <w:rFonts w:ascii="Courier New" w:cs="Courier New" w:eastAsia="Courier New" w:hAnsi="Courier New"/>
          <w:sz w:val="14"/>
          <w:szCs w:val="14"/>
          <w:color w:val="auto"/>
        </w:rPr>
        <w:t>Deposit of Redemption Price.</w:t>
      </w:r>
    </w:p>
    <w:p>
      <w:pPr>
        <w:spacing w:after="0" w:line="171" w:lineRule="exact"/>
        <w:rPr>
          <w:sz w:val="20"/>
          <w:szCs w:val="20"/>
          <w:color w:val="auto"/>
        </w:rPr>
      </w:pPr>
    </w:p>
    <w:p>
      <w:pPr>
        <w:ind w:left="9" w:right="3219" w:firstLine="444"/>
        <w:spacing w:after="0" w:line="263" w:lineRule="auto"/>
        <w:rPr>
          <w:sz w:val="20"/>
          <w:szCs w:val="20"/>
          <w:color w:val="auto"/>
        </w:rPr>
      </w:pPr>
      <w:r>
        <w:rPr>
          <w:rFonts w:ascii="Courier New" w:cs="Courier New" w:eastAsia="Courier New" w:hAnsi="Courier New"/>
          <w:sz w:val="15"/>
          <w:szCs w:val="15"/>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77" w:lineRule="exact"/>
        <w:rPr>
          <w:sz w:val="20"/>
          <w:szCs w:val="20"/>
          <w:color w:val="auto"/>
        </w:rPr>
      </w:pPr>
    </w:p>
    <w:p>
      <w:pPr>
        <w:ind w:left="9" w:right="3299" w:firstLine="444"/>
        <w:spacing w:after="0" w:line="268" w:lineRule="auto"/>
        <w:rPr>
          <w:sz w:val="20"/>
          <w:szCs w:val="20"/>
          <w:color w:val="auto"/>
        </w:rPr>
      </w:pPr>
      <w:r>
        <w:rPr>
          <w:rFonts w:ascii="Courier New" w:cs="Courier New" w:eastAsia="Courier New" w:hAnsi="Courier New"/>
          <w:sz w:val="14"/>
          <w:szCs w:val="14"/>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w:t>
      </w:r>
    </w:p>
    <w:p>
      <w:pPr>
        <w:ind w:left="9" w:right="3219" w:hanging="9"/>
        <w:spacing w:after="0" w:line="316" w:lineRule="auto"/>
        <w:tabs>
          <w:tab w:leader="none" w:pos="453"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paid to the Company on Company Request, or if then held by the Company, shall be discharged from such trust.</w:t>
      </w:r>
    </w:p>
    <w:p>
      <w:pPr>
        <w:spacing w:after="0" w:line="39" w:lineRule="exact"/>
        <w:rPr>
          <w:sz w:val="20"/>
          <w:szCs w:val="20"/>
          <w:color w:val="auto"/>
        </w:rPr>
      </w:pPr>
    </w:p>
    <w:p>
      <w:pPr>
        <w:ind w:left="9"/>
        <w:spacing w:after="0"/>
        <w:tabs>
          <w:tab w:leader="none" w:pos="1489" w:val="left"/>
        </w:tabs>
        <w:rPr>
          <w:sz w:val="20"/>
          <w:szCs w:val="20"/>
          <w:color w:val="auto"/>
        </w:rPr>
      </w:pPr>
      <w:r>
        <w:rPr>
          <w:rFonts w:ascii="Courier New" w:cs="Courier New" w:eastAsia="Courier New" w:hAnsi="Courier New"/>
          <w:sz w:val="15"/>
          <w:szCs w:val="15"/>
          <w:color w:val="auto"/>
        </w:rPr>
        <w:t>SECTION 1106.</w:t>
      </w:r>
      <w:r>
        <w:rPr>
          <w:sz w:val="20"/>
          <w:szCs w:val="20"/>
          <w:color w:val="auto"/>
        </w:rPr>
        <w:tab/>
      </w:r>
      <w:r>
        <w:rPr>
          <w:rFonts w:ascii="Courier New" w:cs="Courier New" w:eastAsia="Courier New" w:hAnsi="Courier New"/>
          <w:sz w:val="14"/>
          <w:szCs w:val="14"/>
          <w:color w:val="auto"/>
        </w:rPr>
        <w:t>Securities Payable on Redemption Date.</w:t>
      </w:r>
    </w:p>
    <w:p>
      <w:pPr>
        <w:spacing w:after="0" w:line="171" w:lineRule="exact"/>
        <w:rPr>
          <w:sz w:val="20"/>
          <w:szCs w:val="20"/>
          <w:color w:val="auto"/>
        </w:rPr>
      </w:pPr>
    </w:p>
    <w:p>
      <w:pPr>
        <w:ind w:left="9" w:right="3119" w:firstLine="444"/>
        <w:spacing w:after="0" w:line="263" w:lineRule="auto"/>
        <w:rPr>
          <w:sz w:val="20"/>
          <w:szCs w:val="20"/>
          <w:color w:val="auto"/>
        </w:rPr>
      </w:pPr>
      <w:r>
        <w:rPr>
          <w:rFonts w:ascii="Courier New" w:cs="Courier New" w:eastAsia="Courier New" w:hAnsi="Courier New"/>
          <w:sz w:val="14"/>
          <w:szCs w:val="14"/>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w:t>
      </w:r>
    </w:p>
    <w:p>
      <w:pPr>
        <w:spacing w:after="0" w:line="1" w:lineRule="exact"/>
        <w:rPr>
          <w:sz w:val="20"/>
          <w:szCs w:val="20"/>
          <w:color w:val="auto"/>
        </w:rPr>
      </w:pPr>
    </w:p>
    <w:p>
      <w:pPr>
        <w:ind w:left="2129"/>
        <w:spacing w:after="0"/>
        <w:tabs>
          <w:tab w:leader="none" w:pos="2989"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5"/>
          <w:szCs w:val="15"/>
          <w:color w:val="auto"/>
        </w:rPr>
        <w:t>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81" w:lineRule="exact"/>
        <w:rPr>
          <w:sz w:val="20"/>
          <w:szCs w:val="20"/>
          <w:color w:val="auto"/>
        </w:rPr>
      </w:pPr>
    </w:p>
    <w:p>
      <w:pPr>
        <w:ind w:left="9" w:right="3299" w:firstLine="444"/>
        <w:spacing w:after="0" w:line="278"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66" w:lineRule="exact"/>
        <w:rPr>
          <w:sz w:val="20"/>
          <w:szCs w:val="20"/>
          <w:color w:val="auto"/>
        </w:rPr>
      </w:pPr>
    </w:p>
    <w:p>
      <w:pPr>
        <w:ind w:left="9"/>
        <w:spacing w:after="0"/>
        <w:tabs>
          <w:tab w:leader="none" w:pos="1489" w:val="left"/>
        </w:tabs>
        <w:rPr>
          <w:sz w:val="20"/>
          <w:szCs w:val="20"/>
          <w:color w:val="auto"/>
        </w:rPr>
      </w:pPr>
      <w:r>
        <w:rPr>
          <w:rFonts w:ascii="Courier New" w:cs="Courier New" w:eastAsia="Courier New" w:hAnsi="Courier New"/>
          <w:sz w:val="15"/>
          <w:szCs w:val="15"/>
          <w:color w:val="auto"/>
        </w:rPr>
        <w:t>SECTION 1107.</w:t>
      </w:r>
      <w:r>
        <w:rPr>
          <w:sz w:val="20"/>
          <w:szCs w:val="20"/>
          <w:color w:val="auto"/>
        </w:rPr>
        <w:tab/>
      </w:r>
      <w:r>
        <w:rPr>
          <w:rFonts w:ascii="Courier New" w:cs="Courier New" w:eastAsia="Courier New" w:hAnsi="Courier New"/>
          <w:sz w:val="14"/>
          <w:szCs w:val="14"/>
          <w:color w:val="auto"/>
        </w:rPr>
        <w:t>Securities Redeemed in Part.</w:t>
      </w:r>
    </w:p>
    <w:p>
      <w:pPr>
        <w:spacing w:after="0" w:line="171" w:lineRule="exact"/>
        <w:rPr>
          <w:sz w:val="20"/>
          <w:szCs w:val="20"/>
          <w:color w:val="auto"/>
        </w:rPr>
      </w:pPr>
    </w:p>
    <w:p>
      <w:pPr>
        <w:jc w:val="both"/>
        <w:ind w:left="9" w:right="3119" w:firstLine="444"/>
        <w:spacing w:after="0" w:line="297" w:lineRule="auto"/>
        <w:rPr>
          <w:sz w:val="20"/>
          <w:szCs w:val="20"/>
          <w:color w:val="auto"/>
        </w:rPr>
      </w:pPr>
      <w:r>
        <w:rPr>
          <w:rFonts w:ascii="Courier New" w:cs="Courier New" w:eastAsia="Courier New" w:hAnsi="Courier New"/>
          <w:sz w:val="15"/>
          <w:szCs w:val="15"/>
          <w:color w:val="auto"/>
        </w:rPr>
        <w:t>Any Security which is to be redeemed only in part shall be surrendered at a Place of Payment therefor (with, if the Company or the Trustee so requires, due endorsement by, or a written</w:t>
      </w:r>
    </w:p>
    <w:p>
      <w:pPr>
        <w:spacing w:after="0" w:line="5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8"/>
          </w:cols>
          <w:pgMar w:left="231" w:top="605" w:right="1440" w:bottom="1440" w:gutter="0" w:footer="0" w:header="0"/>
        </w:sectPr>
      </w:pPr>
    </w:p>
    <w:bookmarkStart w:id="170" w:name="page171"/>
    <w:bookmarkEnd w:id="170"/>
    <w:p>
      <w:pPr>
        <w:ind w:right="3119"/>
        <w:spacing w:after="0" w:line="281" w:lineRule="auto"/>
        <w:rPr>
          <w:sz w:val="20"/>
          <w:szCs w:val="20"/>
          <w:color w:val="auto"/>
        </w:rPr>
      </w:pPr>
      <w:r>
        <w:rPr>
          <w:rFonts w:ascii="Courier New" w:cs="Courier New" w:eastAsia="Courier New" w:hAnsi="Courier New"/>
          <w:sz w:val="14"/>
          <w:szCs w:val="14"/>
          <w:color w:val="auto"/>
        </w:rPr>
        <w:t>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6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ARTICLE TWELVE</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SINKING FUNDS</w:t>
      </w:r>
    </w:p>
    <w:p>
      <w:pPr>
        <w:spacing w:after="0" w:line="17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1201.</w:t>
      </w:r>
      <w:r>
        <w:rPr>
          <w:sz w:val="20"/>
          <w:szCs w:val="20"/>
          <w:color w:val="auto"/>
        </w:rPr>
        <w:tab/>
      </w:r>
      <w:r>
        <w:rPr>
          <w:rFonts w:ascii="Courier New" w:cs="Courier New" w:eastAsia="Courier New" w:hAnsi="Courier New"/>
          <w:sz w:val="14"/>
          <w:szCs w:val="14"/>
          <w:color w:val="auto"/>
        </w:rPr>
        <w:t>Applicability of Article.</w:t>
      </w:r>
    </w:p>
    <w:p>
      <w:pPr>
        <w:spacing w:after="0" w:line="171" w:lineRule="exact"/>
        <w:rPr>
          <w:sz w:val="20"/>
          <w:szCs w:val="20"/>
          <w:color w:val="auto"/>
        </w:rPr>
      </w:pPr>
    </w:p>
    <w:p>
      <w:pPr>
        <w:ind w:right="3219" w:firstLine="444"/>
        <w:spacing w:after="0" w:line="297" w:lineRule="auto"/>
        <w:rPr>
          <w:sz w:val="20"/>
          <w:szCs w:val="20"/>
          <w:color w:val="auto"/>
        </w:rPr>
      </w:pPr>
      <w:r>
        <w:rPr>
          <w:rFonts w:ascii="Courier New" w:cs="Courier New" w:eastAsia="Courier New" w:hAnsi="Courier New"/>
          <w:sz w:val="15"/>
          <w:szCs w:val="15"/>
          <w:color w:val="auto"/>
        </w:rPr>
        <w:t>The provisions of this Article shall be applicable to any sinking fund for the retirement of Securities of any series except as otherwise specified as contemplated by Section 301 for such Securities.</w:t>
      </w:r>
    </w:p>
    <w:p>
      <w:pPr>
        <w:spacing w:after="0" w:line="5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80"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1202.</w:t>
      </w:r>
      <w:r>
        <w:rPr>
          <w:sz w:val="20"/>
          <w:szCs w:val="20"/>
          <w:color w:val="auto"/>
        </w:rPr>
        <w:tab/>
      </w:r>
      <w:r>
        <w:rPr>
          <w:rFonts w:ascii="Courier New" w:cs="Courier New" w:eastAsia="Courier New" w:hAnsi="Courier New"/>
          <w:sz w:val="14"/>
          <w:szCs w:val="14"/>
          <w:color w:val="auto"/>
        </w:rPr>
        <w:t>Satisfaction of Sinking Fund Payments with Securities.</w:t>
      </w:r>
    </w:p>
    <w:p>
      <w:pPr>
        <w:spacing w:after="0" w:line="171"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9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1203.</w:t>
      </w:r>
      <w:r>
        <w:rPr>
          <w:sz w:val="20"/>
          <w:szCs w:val="20"/>
          <w:color w:val="auto"/>
        </w:rPr>
        <w:tab/>
      </w:r>
      <w:r>
        <w:rPr>
          <w:rFonts w:ascii="Courier New" w:cs="Courier New" w:eastAsia="Courier New" w:hAnsi="Courier New"/>
          <w:sz w:val="14"/>
          <w:szCs w:val="14"/>
          <w:color w:val="auto"/>
        </w:rPr>
        <w:t>Redemption of Securities for Sinking Fund.</w:t>
      </w:r>
    </w:p>
    <w:p>
      <w:pPr>
        <w:spacing w:after="0" w:line="171" w:lineRule="exact"/>
        <w:rPr>
          <w:sz w:val="20"/>
          <w:szCs w:val="20"/>
          <w:color w:val="auto"/>
        </w:rPr>
      </w:pPr>
    </w:p>
    <w:p>
      <w:pPr>
        <w:ind w:right="3479" w:firstLine="444"/>
        <w:spacing w:after="0" w:line="263" w:lineRule="auto"/>
        <w:rPr>
          <w:sz w:val="20"/>
          <w:szCs w:val="20"/>
          <w:color w:val="auto"/>
        </w:rPr>
      </w:pPr>
      <w:r>
        <w:rPr>
          <w:rFonts w:ascii="Courier New" w:cs="Courier New" w:eastAsia="Courier New" w:hAnsi="Courier New"/>
          <w:sz w:val="15"/>
          <w:szCs w:val="15"/>
          <w:color w:val="auto"/>
        </w:rPr>
        <w:t>Not less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w:t>
      </w:r>
    </w:p>
    <w:p>
      <w:pPr>
        <w:spacing w:after="0" w:line="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05" w:right="1440" w:bottom="1440" w:gutter="0" w:footer="0" w:header="0"/>
        </w:sectPr>
      </w:pPr>
    </w:p>
    <w:bookmarkStart w:id="171" w:name="page172"/>
    <w:bookmarkEnd w:id="171"/>
    <w:p>
      <w:pPr>
        <w:ind w:right="3219"/>
        <w:spacing w:after="0" w:line="255" w:lineRule="auto"/>
        <w:rPr>
          <w:sz w:val="20"/>
          <w:szCs w:val="20"/>
          <w:color w:val="auto"/>
        </w:rPr>
      </w:pPr>
      <w:r>
        <w:rPr>
          <w:rFonts w:ascii="Courier New" w:cs="Courier New" w:eastAsia="Courier New" w:hAnsi="Courier New"/>
          <w:sz w:val="15"/>
          <w:szCs w:val="15"/>
          <w:color w:val="auto"/>
        </w:rPr>
        <w:t>which is to be satisfied by delivering and crediting Securities pursuant to Section 1202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8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THIRTEEN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DEFEASANCE AND COVENANT DEFEASANCE</w:t>
      </w:r>
    </w:p>
    <w:p>
      <w:pPr>
        <w:spacing w:after="0" w:line="17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1301.</w:t>
      </w:r>
      <w:r>
        <w:rPr>
          <w:sz w:val="20"/>
          <w:szCs w:val="20"/>
          <w:color w:val="auto"/>
        </w:rPr>
        <w:tab/>
      </w:r>
      <w:r>
        <w:rPr>
          <w:rFonts w:ascii="Courier New" w:cs="Courier New" w:eastAsia="Courier New" w:hAnsi="Courier New"/>
          <w:sz w:val="14"/>
          <w:szCs w:val="14"/>
          <w:color w:val="auto"/>
        </w:rPr>
        <w:t>Company's Option to Effect Defeasance or Covenant Defeasance.</w:t>
      </w:r>
    </w:p>
    <w:p>
      <w:pPr>
        <w:spacing w:after="0" w:line="171" w:lineRule="exact"/>
        <w:rPr>
          <w:sz w:val="20"/>
          <w:szCs w:val="20"/>
          <w:color w:val="auto"/>
        </w:rPr>
      </w:pPr>
    </w:p>
    <w:p>
      <w:pPr>
        <w:ind w:right="3219" w:firstLine="444"/>
        <w:spacing w:after="0" w:line="281" w:lineRule="auto"/>
        <w:rPr>
          <w:sz w:val="20"/>
          <w:szCs w:val="20"/>
          <w:color w:val="auto"/>
        </w:rPr>
      </w:pPr>
      <w:r>
        <w:rPr>
          <w:rFonts w:ascii="Courier New" w:cs="Courier New" w:eastAsia="Courier New" w:hAnsi="Courier New"/>
          <w:sz w:val="14"/>
          <w:szCs w:val="14"/>
          <w:color w:val="auto"/>
        </w:rPr>
        <w:t>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6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1302.</w:t>
      </w:r>
      <w:r>
        <w:rPr>
          <w:sz w:val="20"/>
          <w:szCs w:val="20"/>
          <w:color w:val="auto"/>
        </w:rPr>
        <w:tab/>
      </w:r>
      <w:r>
        <w:rPr>
          <w:rFonts w:ascii="Courier New" w:cs="Courier New" w:eastAsia="Courier New" w:hAnsi="Courier New"/>
          <w:sz w:val="14"/>
          <w:szCs w:val="14"/>
          <w:color w:val="auto"/>
        </w:rPr>
        <w:t>Defeasance and Discharge.</w:t>
      </w:r>
    </w:p>
    <w:p>
      <w:pPr>
        <w:spacing w:after="0" w:line="171"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Upon the Company's exercise of its option (if any) to have this Section applied to any Securities or any series of Securities, as the case may be, the Company shall be deemed to have been discharged from its obligations, and the provisions of Article Fifteen shall cease to be effective,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and, if applicable, Article Fourteen,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26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05" w:right="1440" w:bottom="1440" w:gutter="0" w:footer="0" w:header="0"/>
        </w:sectPr>
      </w:pPr>
    </w:p>
    <w:bookmarkStart w:id="172" w:name="page173"/>
    <w:bookmarkEnd w:id="172"/>
    <w:p>
      <w:pPr>
        <w:ind w:left="9"/>
        <w:spacing w:after="0"/>
        <w:tabs>
          <w:tab w:leader="none" w:pos="1489" w:val="left"/>
        </w:tabs>
        <w:rPr>
          <w:sz w:val="20"/>
          <w:szCs w:val="20"/>
          <w:color w:val="auto"/>
        </w:rPr>
      </w:pPr>
      <w:r>
        <w:rPr>
          <w:rFonts w:ascii="Courier New" w:cs="Courier New" w:eastAsia="Courier New" w:hAnsi="Courier New"/>
          <w:sz w:val="15"/>
          <w:szCs w:val="15"/>
          <w:color w:val="auto"/>
        </w:rPr>
        <w:t>SECTION 1303.</w:t>
      </w:r>
      <w:r>
        <w:rPr>
          <w:sz w:val="20"/>
          <w:szCs w:val="20"/>
          <w:color w:val="auto"/>
        </w:rPr>
        <w:tab/>
      </w:r>
      <w:r>
        <w:rPr>
          <w:rFonts w:ascii="Courier New" w:cs="Courier New" w:eastAsia="Courier New" w:hAnsi="Courier New"/>
          <w:sz w:val="14"/>
          <w:szCs w:val="14"/>
          <w:color w:val="auto"/>
        </w:rPr>
        <w:t>Covenant Defeasance.</w:t>
      </w:r>
    </w:p>
    <w:p>
      <w:pPr>
        <w:spacing w:after="0" w:line="171" w:lineRule="exact"/>
        <w:rPr>
          <w:sz w:val="20"/>
          <w:szCs w:val="20"/>
          <w:color w:val="auto"/>
        </w:rPr>
      </w:pPr>
    </w:p>
    <w:p>
      <w:pPr>
        <w:ind w:left="9" w:right="3119" w:firstLine="444"/>
        <w:spacing w:after="0" w:line="265" w:lineRule="auto"/>
        <w:rPr>
          <w:sz w:val="20"/>
          <w:szCs w:val="20"/>
          <w:color w:val="auto"/>
        </w:rPr>
      </w:pPr>
      <w:r>
        <w:rPr>
          <w:rFonts w:ascii="Courier New" w:cs="Courier New" w:eastAsia="Courier New" w:hAnsi="Courier New"/>
          <w:sz w:val="14"/>
          <w:szCs w:val="14"/>
          <w:color w:val="auto"/>
        </w:rPr>
        <w:t>Upon the Company's exercise of its option (if any) to have this Section applied to any Securities or any series of Securities, as the case may be, (1) the Company shall be released from its obligations under Sections 1006 through 1007, inclusive, and any covenants provided pursuant to Section 301(19), 901(2) or 901(7) for the benefit of the Holders of such Securities and (2) the occurrence of any event specified in Sections 501(4) (with respect to any of Sections 1006 through 1007, inclusive, and any such covenants provided pursuant to Section 301(19), 901(2) or 901(7)), shall be deemed not to be or result in an Event of Default, and (3) the provisions of Article Fifteen shall cease to be effective,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or Article Fifteen,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257" w:lineRule="exact"/>
        <w:rPr>
          <w:sz w:val="20"/>
          <w:szCs w:val="20"/>
          <w:color w:val="auto"/>
        </w:rPr>
      </w:pPr>
    </w:p>
    <w:p>
      <w:pPr>
        <w:ind w:left="9"/>
        <w:spacing w:after="0"/>
        <w:tabs>
          <w:tab w:leader="none" w:pos="1489" w:val="left"/>
        </w:tabs>
        <w:rPr>
          <w:sz w:val="20"/>
          <w:szCs w:val="20"/>
          <w:color w:val="auto"/>
        </w:rPr>
      </w:pPr>
      <w:r>
        <w:rPr>
          <w:rFonts w:ascii="Courier New" w:cs="Courier New" w:eastAsia="Courier New" w:hAnsi="Courier New"/>
          <w:sz w:val="15"/>
          <w:szCs w:val="15"/>
          <w:color w:val="auto"/>
        </w:rPr>
        <w:t>SECTION 1304.</w:t>
      </w:r>
      <w:r>
        <w:rPr>
          <w:sz w:val="20"/>
          <w:szCs w:val="20"/>
          <w:color w:val="auto"/>
        </w:rPr>
        <w:tab/>
      </w:r>
      <w:r>
        <w:rPr>
          <w:rFonts w:ascii="Courier New" w:cs="Courier New" w:eastAsia="Courier New" w:hAnsi="Courier New"/>
          <w:sz w:val="14"/>
          <w:szCs w:val="14"/>
          <w:color w:val="auto"/>
        </w:rPr>
        <w:t>Conditions to Defeasance or Covenant Defeasance.</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The following shall be the conditions to the application of Section 1302 or</w:t>
      </w:r>
    </w:p>
    <w:p>
      <w:pPr>
        <w:spacing w:after="0" w:line="38"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Section 1303 to any Securities or any series of Securities, as the case may be:</w:t>
      </w:r>
    </w:p>
    <w:p>
      <w:pPr>
        <w:spacing w:after="0" w:line="157" w:lineRule="exact"/>
        <w:rPr>
          <w:sz w:val="20"/>
          <w:szCs w:val="20"/>
          <w:color w:val="auto"/>
        </w:rPr>
      </w:pPr>
    </w:p>
    <w:p>
      <w:pPr>
        <w:ind w:left="9" w:right="3119" w:firstLine="435"/>
        <w:spacing w:after="0" w:line="264" w:lineRule="auto"/>
        <w:tabs>
          <w:tab w:leader="none" w:pos="896"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w:t>
      </w:r>
    </w:p>
    <w:p>
      <w:pPr>
        <w:spacing w:after="0" w:line="3" w:lineRule="exact"/>
        <w:rPr>
          <w:rFonts w:ascii="Courier New" w:cs="Courier New" w:eastAsia="Courier New" w:hAnsi="Courier New"/>
          <w:sz w:val="14"/>
          <w:szCs w:val="14"/>
          <w:color w:val="auto"/>
        </w:rPr>
      </w:pPr>
    </w:p>
    <w:p>
      <w:pPr>
        <w:jc w:val="both"/>
        <w:ind w:left="9" w:right="3119" w:hanging="9"/>
        <w:spacing w:after="0" w:line="258" w:lineRule="auto"/>
        <w:tabs>
          <w:tab w:leader="none" w:pos="364"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 Obligations which through the scheduled payment of principal and interest in respect thereof in accordance with their terms will provide, not later than one day before the due date of any payment, money in an amount, or</w:t>
      </w:r>
    </w:p>
    <w:p>
      <w:pPr>
        <w:ind w:left="349" w:hanging="349"/>
        <w:spacing w:after="0"/>
        <w:tabs>
          <w:tab w:leader="none" w:pos="349"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combination thereof, in each case sufficient, in the opinion of a</w:t>
      </w:r>
    </w:p>
    <w:p>
      <w:pPr>
        <w:ind w:left="9" w:right="31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w:t>
      </w:r>
    </w:p>
    <w:p>
      <w:pPr>
        <w:spacing w:after="0" w:line="8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8"/>
          </w:cols>
          <w:pgMar w:left="231" w:top="605" w:right="1440" w:bottom="1440" w:gutter="0" w:footer="0" w:header="0"/>
        </w:sectPr>
      </w:pPr>
    </w:p>
    <w:bookmarkStart w:id="173" w:name="page174"/>
    <w:bookmarkEnd w:id="173"/>
    <w:p>
      <w:pPr>
        <w:ind w:right="3119"/>
        <w:spacing w:after="0" w:line="257" w:lineRule="auto"/>
        <w:rPr>
          <w:sz w:val="20"/>
          <w:szCs w:val="20"/>
          <w:color w:val="auto"/>
        </w:rPr>
      </w:pPr>
      <w:r>
        <w:rPr>
          <w:rFonts w:ascii="Courier New" w:cs="Courier New" w:eastAsia="Courier New" w:hAnsi="Courier New"/>
          <w:sz w:val="15"/>
          <w:szCs w:val="15"/>
          <w:color w:val="auto"/>
        </w:rPr>
        <w:t>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80" w:lineRule="exact"/>
        <w:rPr>
          <w:sz w:val="20"/>
          <w:szCs w:val="20"/>
          <w:color w:val="auto"/>
        </w:rPr>
      </w:pPr>
    </w:p>
    <w:p>
      <w:pPr>
        <w:ind w:right="3119" w:firstLine="435"/>
        <w:spacing w:after="0" w:line="251" w:lineRule="auto"/>
        <w:tabs>
          <w:tab w:leader="none" w:pos="8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86" w:lineRule="exact"/>
        <w:rPr>
          <w:rFonts w:ascii="Courier New" w:cs="Courier New" w:eastAsia="Courier New" w:hAnsi="Courier New"/>
          <w:sz w:val="15"/>
          <w:szCs w:val="15"/>
          <w:color w:val="auto"/>
        </w:rPr>
      </w:pPr>
    </w:p>
    <w:p>
      <w:pPr>
        <w:ind w:right="3119" w:firstLine="435"/>
        <w:spacing w:after="0" w:line="257" w:lineRule="auto"/>
        <w:tabs>
          <w:tab w:leader="none" w:pos="8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80" w:lineRule="exact"/>
        <w:rPr>
          <w:rFonts w:ascii="Courier New" w:cs="Courier New" w:eastAsia="Courier New" w:hAnsi="Courier New"/>
          <w:sz w:val="15"/>
          <w:szCs w:val="15"/>
          <w:color w:val="auto"/>
        </w:rPr>
      </w:pPr>
    </w:p>
    <w:p>
      <w:pPr>
        <w:ind w:right="3219" w:firstLine="435"/>
        <w:spacing w:after="0" w:line="278" w:lineRule="auto"/>
        <w:tabs>
          <w:tab w:leader="none" w:pos="8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66" w:lineRule="exact"/>
        <w:rPr>
          <w:rFonts w:ascii="Courier New" w:cs="Courier New" w:eastAsia="Courier New" w:hAnsi="Courier New"/>
          <w:sz w:val="15"/>
          <w:szCs w:val="15"/>
          <w:color w:val="auto"/>
        </w:rPr>
      </w:pPr>
    </w:p>
    <w:p>
      <w:pPr>
        <w:ind w:right="3119" w:firstLine="435"/>
        <w:spacing w:after="0" w:line="285" w:lineRule="auto"/>
        <w:tabs>
          <w:tab w:leader="none" w:pos="887"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501(5) and (6), at any time on or prior to the 90th day after the date of such deposit (it being understood that this condition shall not be deemed satisfied until after such 90th day).</w:t>
      </w:r>
    </w:p>
    <w:p>
      <w:pPr>
        <w:spacing w:after="0" w:line="64" w:lineRule="exact"/>
        <w:rPr>
          <w:rFonts w:ascii="Courier New" w:cs="Courier New" w:eastAsia="Courier New" w:hAnsi="Courier New"/>
          <w:sz w:val="14"/>
          <w:szCs w:val="14"/>
          <w:color w:val="auto"/>
        </w:rPr>
      </w:pPr>
    </w:p>
    <w:p>
      <w:pPr>
        <w:ind w:right="3219" w:firstLine="435"/>
        <w:spacing w:after="0" w:line="297" w:lineRule="auto"/>
        <w:tabs>
          <w:tab w:leader="none" w:pos="8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cause the Trustee to have a conflicting interest within the meaning of the Trust Indenture Act (assuming all Securities are in default within the meaning of such Act).</w:t>
      </w:r>
    </w:p>
    <w:p>
      <w:pPr>
        <w:spacing w:after="0" w:line="51" w:lineRule="exact"/>
        <w:rPr>
          <w:rFonts w:ascii="Courier New" w:cs="Courier New" w:eastAsia="Courier New" w:hAnsi="Courier New"/>
          <w:sz w:val="15"/>
          <w:szCs w:val="15"/>
          <w:color w:val="auto"/>
        </w:rPr>
      </w:pPr>
    </w:p>
    <w:p>
      <w:pPr>
        <w:ind w:right="3119" w:firstLine="435"/>
        <w:spacing w:after="0" w:line="297" w:lineRule="auto"/>
        <w:tabs>
          <w:tab w:leader="none" w:pos="88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a breach or violation of, or constitute a default under, any other agreement or instrument to which the Company is a party or by which it is bound.</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05" w:right="1440" w:bottom="1440" w:gutter="0" w:footer="0" w:header="0"/>
        </w:sectPr>
      </w:pPr>
    </w:p>
    <w:bookmarkStart w:id="174" w:name="page175"/>
    <w:bookmarkEnd w:id="174"/>
    <w:p>
      <w:pPr>
        <w:ind w:right="3219" w:firstLine="435"/>
        <w:spacing w:after="0" w:line="278" w:lineRule="auto"/>
        <w:tabs>
          <w:tab w:leader="none" w:pos="88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66" w:lineRule="exact"/>
        <w:rPr>
          <w:rFonts w:ascii="Courier New" w:cs="Courier New" w:eastAsia="Courier New" w:hAnsi="Courier New"/>
          <w:sz w:val="15"/>
          <w:szCs w:val="15"/>
          <w:color w:val="auto"/>
        </w:rPr>
      </w:pPr>
    </w:p>
    <w:p>
      <w:pPr>
        <w:ind w:right="3119" w:firstLine="435"/>
        <w:spacing w:after="0" w:line="251" w:lineRule="auto"/>
        <w:tabs>
          <w:tab w:leader="none" w:pos="88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such deposit, (A) no default in the payment of any principal of or premium or interest on any Senior Indebtedness shall have occurred and be continuing, (B) no event of default with respect to any Senior Indebtedness shall have resulted in such Senior Indebtedness becoming, and continuing to be, due and payable prior to the date on which it would otherwise have become due and payable (unless payment of such Senior Indebtedness has been made or duly provided for), and (C) no other event of default with respect to any Senior Indebtedness shall have occurred and be continuing permitting (after notice or lapse of time or both) the holders of such Senior Indebtedness (or a trustee on behalf of such holders) to declare such Senior Indebtedness due and payable prior to the date on which it would otherwise have become due and payable.</w:t>
      </w:r>
    </w:p>
    <w:p>
      <w:pPr>
        <w:spacing w:after="0" w:line="86" w:lineRule="exact"/>
        <w:rPr>
          <w:rFonts w:ascii="Courier New" w:cs="Courier New" w:eastAsia="Courier New" w:hAnsi="Courier New"/>
          <w:sz w:val="15"/>
          <w:szCs w:val="15"/>
          <w:color w:val="auto"/>
        </w:rPr>
      </w:pPr>
    </w:p>
    <w:p>
      <w:pPr>
        <w:ind w:right="3659" w:firstLine="435"/>
        <w:spacing w:after="0" w:line="278" w:lineRule="auto"/>
        <w:tabs>
          <w:tab w:leader="none" w:pos="887"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66" w:lineRule="exact"/>
        <w:rPr>
          <w:sz w:val="20"/>
          <w:szCs w:val="20"/>
          <w:color w:val="auto"/>
        </w:rPr>
      </w:pPr>
    </w:p>
    <w:p>
      <w:pPr>
        <w:ind w:right="3299"/>
        <w:spacing w:after="0" w:line="353" w:lineRule="auto"/>
        <w:rPr>
          <w:sz w:val="20"/>
          <w:szCs w:val="20"/>
          <w:color w:val="auto"/>
        </w:rPr>
      </w:pPr>
      <w:r>
        <w:rPr>
          <w:rFonts w:ascii="Courier New" w:cs="Courier New" w:eastAsia="Courier New" w:hAnsi="Courier New"/>
          <w:sz w:val="15"/>
          <w:szCs w:val="15"/>
          <w:color w:val="auto"/>
        </w:rPr>
        <w:t>SECTION 1305. Deposited Money and U.S. Government Obligations to be Held in Trust; Miscellaneous Provisions.</w:t>
      </w:r>
    </w:p>
    <w:p>
      <w:pPr>
        <w:spacing w:after="0" w:line="12"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and U.S. Government Obligations so held in trust shall not be subject to the provisions of Article Fifteen.</w:t>
      </w:r>
    </w:p>
    <w:p>
      <w:pPr>
        <w:spacing w:after="0" w:line="92"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72" w:lineRule="exact"/>
        <w:rPr>
          <w:sz w:val="20"/>
          <w:szCs w:val="20"/>
          <w:color w:val="auto"/>
        </w:rPr>
      </w:pPr>
    </w:p>
    <w:p>
      <w:pPr>
        <w:ind w:right="3119" w:firstLine="444"/>
        <w:spacing w:after="0" w:line="257" w:lineRule="auto"/>
        <w:rPr>
          <w:sz w:val="20"/>
          <w:szCs w:val="20"/>
          <w:color w:val="auto"/>
        </w:rPr>
      </w:pPr>
      <w:r>
        <w:rPr>
          <w:rFonts w:ascii="Courier New" w:cs="Courier New" w:eastAsia="Courier New" w:hAnsi="Courier New"/>
          <w:sz w:val="15"/>
          <w:szCs w:val="15"/>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05" w:right="1440" w:bottom="1440" w:gutter="0" w:footer="0" w:header="0"/>
        </w:sectPr>
      </w:pPr>
    </w:p>
    <w:bookmarkStart w:id="175" w:name="page176"/>
    <w:bookmarkEnd w:id="175"/>
    <w:p>
      <w:pPr>
        <w:spacing w:after="0"/>
        <w:tabs>
          <w:tab w:leader="none" w:pos="1480" w:val="left"/>
        </w:tabs>
        <w:rPr>
          <w:sz w:val="20"/>
          <w:szCs w:val="20"/>
          <w:color w:val="auto"/>
        </w:rPr>
      </w:pPr>
      <w:r>
        <w:rPr>
          <w:rFonts w:ascii="Courier New" w:cs="Courier New" w:eastAsia="Courier New" w:hAnsi="Courier New"/>
          <w:sz w:val="15"/>
          <w:szCs w:val="15"/>
          <w:color w:val="auto"/>
        </w:rPr>
        <w:t>SECTION 1306.</w:t>
      </w:r>
      <w:r>
        <w:rPr>
          <w:sz w:val="20"/>
          <w:szCs w:val="20"/>
          <w:color w:val="auto"/>
        </w:rPr>
        <w:tab/>
      </w:r>
      <w:r>
        <w:rPr>
          <w:rFonts w:ascii="Courier New" w:cs="Courier New" w:eastAsia="Courier New" w:hAnsi="Courier New"/>
          <w:sz w:val="14"/>
          <w:szCs w:val="14"/>
          <w:color w:val="auto"/>
        </w:rPr>
        <w:t>Reinstatement.</w:t>
      </w:r>
    </w:p>
    <w:p>
      <w:pPr>
        <w:spacing w:after="0" w:line="171"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w:t>
      </w:r>
    </w:p>
    <w:p>
      <w:pPr>
        <w:spacing w:after="0" w:line="1" w:lineRule="exact"/>
        <w:rPr>
          <w:sz w:val="20"/>
          <w:szCs w:val="20"/>
          <w:color w:val="auto"/>
        </w:rPr>
      </w:pPr>
    </w:p>
    <w:p>
      <w:pPr>
        <w:ind w:left="2920"/>
        <w:spacing w:after="0"/>
        <w:tabs>
          <w:tab w:leader="none" w:pos="3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right="3119"/>
        <w:spacing w:after="0" w:line="266" w:lineRule="auto"/>
        <w:rPr>
          <w:sz w:val="20"/>
          <w:szCs w:val="20"/>
          <w:color w:val="auto"/>
        </w:rPr>
      </w:pPr>
      <w:r>
        <w:rPr>
          <w:rFonts w:ascii="Courier New" w:cs="Courier New" w:eastAsia="Courier New" w:hAnsi="Courier New"/>
          <w:sz w:val="15"/>
          <w:szCs w:val="15"/>
          <w:color w:val="auto"/>
        </w:rPr>
        <w:t>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FOURTEEN</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CONVERSION OF SECURITIES</w:t>
      </w:r>
    </w:p>
    <w:p>
      <w:pPr>
        <w:spacing w:after="0" w:line="17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1401.</w:t>
      </w:r>
      <w:r>
        <w:rPr>
          <w:sz w:val="20"/>
          <w:szCs w:val="20"/>
          <w:color w:val="auto"/>
        </w:rPr>
        <w:tab/>
      </w:r>
      <w:r>
        <w:rPr>
          <w:rFonts w:ascii="Courier New" w:cs="Courier New" w:eastAsia="Courier New" w:hAnsi="Courier New"/>
          <w:sz w:val="14"/>
          <w:szCs w:val="14"/>
          <w:color w:val="auto"/>
        </w:rPr>
        <w:t>Applicability of Article.</w:t>
      </w:r>
    </w:p>
    <w:p>
      <w:pPr>
        <w:spacing w:after="0" w:line="171" w:lineRule="exact"/>
        <w:rPr>
          <w:sz w:val="20"/>
          <w:szCs w:val="20"/>
          <w:color w:val="auto"/>
        </w:rPr>
      </w:pPr>
    </w:p>
    <w:p>
      <w:pPr>
        <w:jc w:val="both"/>
        <w:ind w:right="3119" w:firstLine="444"/>
        <w:spacing w:after="0" w:line="269" w:lineRule="auto"/>
        <w:rPr>
          <w:sz w:val="20"/>
          <w:szCs w:val="20"/>
          <w:color w:val="auto"/>
        </w:rPr>
      </w:pPr>
      <w:r>
        <w:rPr>
          <w:rFonts w:ascii="Courier New" w:cs="Courier New" w:eastAsia="Courier New" w:hAnsi="Courier New"/>
          <w:sz w:val="15"/>
          <w:szCs w:val="15"/>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301 for the Securities of such series.</w:t>
      </w:r>
    </w:p>
    <w:p>
      <w:pPr>
        <w:spacing w:after="0" w:line="7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1402.</w:t>
      </w:r>
      <w:r>
        <w:rPr>
          <w:sz w:val="20"/>
          <w:szCs w:val="20"/>
          <w:color w:val="auto"/>
        </w:rPr>
        <w:tab/>
      </w:r>
      <w:r>
        <w:rPr>
          <w:rFonts w:ascii="Courier New" w:cs="Courier New" w:eastAsia="Courier New" w:hAnsi="Courier New"/>
          <w:sz w:val="14"/>
          <w:szCs w:val="14"/>
          <w:color w:val="auto"/>
        </w:rPr>
        <w:t>Exercise of Conversion Privilege.</w:t>
      </w:r>
    </w:p>
    <w:p>
      <w:pPr>
        <w:spacing w:after="0" w:line="171"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In order to exercise a conversion privilege, the Holder of a Security of a series with such a privilege shall surrender such Security to the Company at the office or agency maintained for that purpose pursuant to Section 1002, accompanied by a duly executed conversion notice to the Company substantially in the form set forth in Section 206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registered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w:t>
      </w:r>
    </w:p>
    <w:p>
      <w:pPr>
        <w:spacing w:after="0" w:line="2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05" w:right="1440" w:bottom="1440" w:gutter="0" w:footer="0" w:header="0"/>
        </w:sectPr>
      </w:pPr>
    </w:p>
    <w:bookmarkStart w:id="176" w:name="page177"/>
    <w:bookmarkEnd w:id="176"/>
    <w:p>
      <w:pPr>
        <w:ind w:right="3119"/>
        <w:spacing w:after="0" w:line="262" w:lineRule="auto"/>
        <w:rPr>
          <w:sz w:val="20"/>
          <w:szCs w:val="20"/>
          <w:color w:val="auto"/>
        </w:rPr>
      </w:pPr>
      <w:r>
        <w:rPr>
          <w:rFonts w:ascii="Courier New" w:cs="Courier New" w:eastAsia="Courier New" w:hAnsi="Courier New"/>
          <w:sz w:val="14"/>
          <w:szCs w:val="14"/>
          <w:color w:val="auto"/>
        </w:rPr>
        <w:t>such registered Holder notwithstanding the conversion of such Security, subject to the provisions of Section 307 relating to the payment of Defaulted Interest by the Company. As promptly as practicable after the receipt of such notice and of any payment required pursuant to a Board Resolution and, subject to Section 303,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307,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265"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59"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SECTION 1403.</w:t>
      </w:r>
      <w:r>
        <w:rPr>
          <w:sz w:val="20"/>
          <w:szCs w:val="20"/>
          <w:color w:val="auto"/>
        </w:rPr>
        <w:tab/>
      </w:r>
      <w:r>
        <w:rPr>
          <w:rFonts w:ascii="Courier New" w:cs="Courier New" w:eastAsia="Courier New" w:hAnsi="Courier New"/>
          <w:sz w:val="14"/>
          <w:szCs w:val="14"/>
          <w:color w:val="auto"/>
        </w:rPr>
        <w:t>No Fractional Shares.</w:t>
      </w:r>
    </w:p>
    <w:p>
      <w:pPr>
        <w:spacing w:after="0" w:line="171"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1403,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w:t>
      </w:r>
    </w:p>
    <w:p>
      <w:pPr>
        <w:spacing w:after="0" w:line="7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05" w:right="1440" w:bottom="1440" w:gutter="0" w:footer="0" w:header="0"/>
        </w:sectPr>
      </w:pPr>
    </w:p>
    <w:bookmarkStart w:id="177" w:name="page178"/>
    <w:bookmarkEnd w:id="177"/>
    <w:p>
      <w:pPr>
        <w:ind w:right="3119"/>
        <w:spacing w:after="0" w:line="248" w:lineRule="auto"/>
        <w:rPr>
          <w:sz w:val="20"/>
          <w:szCs w:val="20"/>
          <w:color w:val="auto"/>
        </w:rPr>
      </w:pPr>
      <w:r>
        <w:rPr>
          <w:rFonts w:ascii="Courier New" w:cs="Courier New" w:eastAsia="Courier New" w:hAnsi="Courier New"/>
          <w:sz w:val="15"/>
          <w:szCs w:val="15"/>
          <w:color w:val="auto"/>
        </w:rPr>
        <w:t>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New York Stock Exchange, or if the Common Stock is not traded on the New York Stock Exchange, on the principal exchange or market on which the Common Stock is traded or quoted.</w:t>
      </w:r>
    </w:p>
    <w:p>
      <w:pPr>
        <w:spacing w:after="0" w:line="9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1404.</w:t>
      </w:r>
      <w:r>
        <w:rPr>
          <w:sz w:val="20"/>
          <w:szCs w:val="20"/>
          <w:color w:val="auto"/>
        </w:rPr>
        <w:tab/>
      </w:r>
      <w:r>
        <w:rPr>
          <w:rFonts w:ascii="Courier New" w:cs="Courier New" w:eastAsia="Courier New" w:hAnsi="Courier New"/>
          <w:sz w:val="14"/>
          <w:szCs w:val="14"/>
          <w:color w:val="auto"/>
        </w:rPr>
        <w:t>Adjustment of Conversion Price.</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conversion price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w:t>
      </w:r>
    </w:p>
    <w:p>
      <w:pPr>
        <w:spacing w:after="0" w:line="72" w:lineRule="exact"/>
        <w:rPr>
          <w:sz w:val="20"/>
          <w:szCs w:val="20"/>
          <w:color w:val="auto"/>
        </w:rPr>
      </w:pPr>
    </w:p>
    <w:p>
      <w:pPr>
        <w:ind w:right="3119" w:firstLine="444"/>
        <w:spacing w:after="0" w:line="252" w:lineRule="auto"/>
        <w:rPr>
          <w:sz w:val="20"/>
          <w:szCs w:val="20"/>
          <w:color w:val="auto"/>
        </w:rPr>
      </w:pPr>
      <w:r>
        <w:rPr>
          <w:rFonts w:ascii="Courier New" w:cs="Courier New" w:eastAsia="Courier New" w:hAnsi="Courier New"/>
          <w:sz w:val="15"/>
          <w:szCs w:val="15"/>
          <w:color w:val="auto"/>
        </w:rPr>
        <w:t>Whenever the conversion price is adjusted, the Company shall compute the adjusted conversion price in accordance with terms of the applicable Board Resolution or supplemental indenture and shall prepare an Officers' Certificate setting forth the adjusted conversion price and showing in reasonable detail the facts upon which such adjustment is based, and such certificate shall forthwith be filed at each office or agency maintained for the purpose of conversion of Securities pursuant to Section 1002 and, if different, with the Trustee. The Company shall forthwith cause a notice setting forth the adjusted conversion price to be mailed, first class postage prepaid, to each Holder of Securities of such series at its address appearing on the Security Register and to any conversion agent other than the Trustee.</w:t>
      </w:r>
    </w:p>
    <w:p>
      <w:pPr>
        <w:spacing w:after="0" w:line="8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1405.</w:t>
      </w:r>
      <w:r>
        <w:rPr>
          <w:sz w:val="20"/>
          <w:szCs w:val="20"/>
          <w:color w:val="auto"/>
        </w:rPr>
        <w:tab/>
      </w:r>
      <w:r>
        <w:rPr>
          <w:rFonts w:ascii="Courier New" w:cs="Courier New" w:eastAsia="Courier New" w:hAnsi="Courier New"/>
          <w:sz w:val="14"/>
          <w:szCs w:val="14"/>
          <w:color w:val="auto"/>
        </w:rPr>
        <w:t>Notice of Certain Corporate Actions.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case:</w:t>
      </w:r>
    </w:p>
    <w:p>
      <w:pPr>
        <w:spacing w:after="0" w:line="171" w:lineRule="exact"/>
        <w:rPr>
          <w:sz w:val="20"/>
          <w:szCs w:val="20"/>
          <w:color w:val="auto"/>
        </w:rPr>
      </w:pPr>
    </w:p>
    <w:p>
      <w:pPr>
        <w:ind w:right="3219" w:firstLine="435"/>
        <w:spacing w:after="0" w:line="278" w:lineRule="auto"/>
        <w:tabs>
          <w:tab w:leader="none" w:pos="8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1404; or</w:t>
      </w:r>
    </w:p>
    <w:p>
      <w:pPr>
        <w:spacing w:after="0" w:line="66" w:lineRule="exact"/>
        <w:rPr>
          <w:rFonts w:ascii="Courier New" w:cs="Courier New" w:eastAsia="Courier New" w:hAnsi="Courier New"/>
          <w:sz w:val="15"/>
          <w:szCs w:val="15"/>
          <w:color w:val="auto"/>
        </w:rPr>
      </w:pPr>
    </w:p>
    <w:p>
      <w:pPr>
        <w:ind w:right="3119" w:firstLine="435"/>
        <w:spacing w:after="0" w:line="269" w:lineRule="auto"/>
        <w:tabs>
          <w:tab w:leader="none" w:pos="887"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05" w:right="1440" w:bottom="1440" w:gutter="0" w:footer="0" w:header="0"/>
        </w:sectPr>
      </w:pPr>
    </w:p>
    <w:bookmarkStart w:id="178" w:name="page179"/>
    <w:bookmarkEnd w:id="178"/>
    <w:p>
      <w:pPr>
        <w:ind w:left="9" w:right="3119" w:firstLine="435"/>
        <w:spacing w:after="0" w:line="269" w:lineRule="auto"/>
        <w:tabs>
          <w:tab w:leader="none" w:pos="896"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71" w:lineRule="exact"/>
        <w:rPr>
          <w:rFonts w:ascii="Courier New" w:cs="Courier New" w:eastAsia="Courier New" w:hAnsi="Courier New"/>
          <w:sz w:val="15"/>
          <w:szCs w:val="15"/>
          <w:color w:val="auto"/>
        </w:rPr>
      </w:pPr>
    </w:p>
    <w:p>
      <w:pPr>
        <w:ind w:left="9" w:right="3119" w:firstLine="435"/>
        <w:spacing w:after="0" w:line="353" w:lineRule="auto"/>
        <w:tabs>
          <w:tab w:leader="none" w:pos="896"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 up of the Company;</w:t>
      </w:r>
    </w:p>
    <w:p>
      <w:pPr>
        <w:spacing w:after="0" w:line="12" w:lineRule="exact"/>
        <w:rPr>
          <w:sz w:val="20"/>
          <w:szCs w:val="20"/>
          <w:color w:val="auto"/>
        </w:rPr>
      </w:pPr>
    </w:p>
    <w:p>
      <w:pPr>
        <w:jc w:val="both"/>
        <w:ind w:left="9" w:right="3219" w:firstLine="444"/>
        <w:spacing w:after="0" w:line="271" w:lineRule="auto"/>
        <w:rPr>
          <w:sz w:val="20"/>
          <w:szCs w:val="20"/>
          <w:color w:val="auto"/>
        </w:rPr>
      </w:pPr>
      <w:r>
        <w:rPr>
          <w:rFonts w:ascii="Courier New" w:cs="Courier New" w:eastAsia="Courier New" w:hAnsi="Courier New"/>
          <w:sz w:val="14"/>
          <w:szCs w:val="14"/>
          <w:color w:val="auto"/>
        </w:rPr>
        <w:t>then the Company shall cause to be filed with the Trustee, and shall cause to be mailed to all Holders at their last addresses as they shall appear in the Security Register, at least 20 days (or 10 days in any case specified in Clause</w:t>
      </w:r>
    </w:p>
    <w:p>
      <w:pPr>
        <w:spacing w:after="0" w:line="1" w:lineRule="exact"/>
        <w:rPr>
          <w:sz w:val="20"/>
          <w:szCs w:val="20"/>
          <w:color w:val="auto"/>
        </w:rPr>
      </w:pPr>
    </w:p>
    <w:p>
      <w:pPr>
        <w:ind w:left="9" w:right="3119" w:hanging="9"/>
        <w:spacing w:after="0" w:line="246" w:lineRule="auto"/>
        <w:tabs>
          <w:tab w:leader="none" w:pos="364"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96" w:lineRule="exact"/>
        <w:rPr>
          <w:sz w:val="20"/>
          <w:szCs w:val="20"/>
          <w:color w:val="auto"/>
        </w:rPr>
      </w:pPr>
    </w:p>
    <w:p>
      <w:pPr>
        <w:ind w:left="9"/>
        <w:spacing w:after="0"/>
        <w:tabs>
          <w:tab w:leader="none" w:pos="1309" w:val="left"/>
        </w:tabs>
        <w:rPr>
          <w:sz w:val="20"/>
          <w:szCs w:val="20"/>
          <w:color w:val="auto"/>
        </w:rPr>
      </w:pPr>
      <w:r>
        <w:rPr>
          <w:rFonts w:ascii="Courier New" w:cs="Courier New" w:eastAsia="Courier New" w:hAnsi="Courier New"/>
          <w:sz w:val="15"/>
          <w:szCs w:val="15"/>
          <w:color w:val="auto"/>
        </w:rPr>
        <w:t>SECTION 1406.</w:t>
      </w:r>
      <w:r>
        <w:rPr>
          <w:sz w:val="20"/>
          <w:szCs w:val="20"/>
          <w:color w:val="auto"/>
        </w:rPr>
        <w:tab/>
      </w:r>
      <w:r>
        <w:rPr>
          <w:rFonts w:ascii="Courier New" w:cs="Courier New" w:eastAsia="Courier New" w:hAnsi="Courier New"/>
          <w:sz w:val="14"/>
          <w:szCs w:val="14"/>
          <w:color w:val="auto"/>
        </w:rPr>
        <w:t>Reservation of Shares of Common Stock.</w:t>
      </w:r>
    </w:p>
    <w:p>
      <w:pPr>
        <w:spacing w:after="0" w:line="171" w:lineRule="exact"/>
        <w:rPr>
          <w:sz w:val="20"/>
          <w:szCs w:val="20"/>
          <w:color w:val="auto"/>
        </w:rPr>
      </w:pPr>
    </w:p>
    <w:p>
      <w:pPr>
        <w:ind w:left="9" w:right="3119" w:firstLine="444"/>
        <w:spacing w:after="0" w:line="269" w:lineRule="auto"/>
        <w:rPr>
          <w:sz w:val="20"/>
          <w:szCs w:val="20"/>
          <w:color w:val="auto"/>
        </w:rPr>
      </w:pPr>
      <w:r>
        <w:rPr>
          <w:rFonts w:ascii="Courier New" w:cs="Courier New" w:eastAsia="Courier New" w:hAnsi="Courier New"/>
          <w:sz w:val="15"/>
          <w:szCs w:val="15"/>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72" w:lineRule="exact"/>
        <w:rPr>
          <w:sz w:val="20"/>
          <w:szCs w:val="20"/>
          <w:color w:val="auto"/>
        </w:rPr>
      </w:pPr>
    </w:p>
    <w:p>
      <w:pPr>
        <w:ind w:left="9"/>
        <w:spacing w:after="0"/>
        <w:tabs>
          <w:tab w:leader="none" w:pos="1309" w:val="left"/>
        </w:tabs>
        <w:rPr>
          <w:sz w:val="20"/>
          <w:szCs w:val="20"/>
          <w:color w:val="auto"/>
        </w:rPr>
      </w:pPr>
      <w:r>
        <w:rPr>
          <w:rFonts w:ascii="Courier New" w:cs="Courier New" w:eastAsia="Courier New" w:hAnsi="Courier New"/>
          <w:sz w:val="15"/>
          <w:szCs w:val="15"/>
          <w:color w:val="auto"/>
        </w:rPr>
        <w:t>SECTION 1407.</w:t>
      </w:r>
      <w:r>
        <w:rPr>
          <w:sz w:val="20"/>
          <w:szCs w:val="20"/>
          <w:color w:val="auto"/>
        </w:rPr>
        <w:tab/>
      </w:r>
      <w:r>
        <w:rPr>
          <w:rFonts w:ascii="Courier New" w:cs="Courier New" w:eastAsia="Courier New" w:hAnsi="Courier New"/>
          <w:sz w:val="14"/>
          <w:szCs w:val="14"/>
          <w:color w:val="auto"/>
        </w:rPr>
        <w:t>Payment of Certain Taxes Upon Conversion.</w:t>
      </w:r>
    </w:p>
    <w:p>
      <w:pPr>
        <w:spacing w:after="0" w:line="171" w:lineRule="exact"/>
        <w:rPr>
          <w:sz w:val="20"/>
          <w:szCs w:val="20"/>
          <w:color w:val="auto"/>
        </w:rPr>
      </w:pPr>
    </w:p>
    <w:p>
      <w:pPr>
        <w:ind w:left="9" w:right="3119" w:firstLine="444"/>
        <w:spacing w:after="0" w:line="253" w:lineRule="auto"/>
        <w:rPr>
          <w:sz w:val="20"/>
          <w:szCs w:val="20"/>
          <w:color w:val="auto"/>
        </w:rPr>
      </w:pPr>
      <w:r>
        <w:rPr>
          <w:rFonts w:ascii="Courier New" w:cs="Courier New" w:eastAsia="Courier New" w:hAnsi="Courier New"/>
          <w:sz w:val="15"/>
          <w:szCs w:val="15"/>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8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8"/>
          </w:cols>
          <w:pgMar w:left="231" w:top="605" w:right="1440" w:bottom="1440" w:gutter="0" w:footer="0" w:header="0"/>
        </w:sectPr>
      </w:pPr>
    </w:p>
    <w:bookmarkStart w:id="179" w:name="page180"/>
    <w:bookmarkEnd w:id="179"/>
    <w:p>
      <w:pPr>
        <w:spacing w:after="0"/>
        <w:tabs>
          <w:tab w:leader="none" w:pos="1300" w:val="left"/>
        </w:tabs>
        <w:rPr>
          <w:sz w:val="20"/>
          <w:szCs w:val="20"/>
          <w:color w:val="auto"/>
        </w:rPr>
      </w:pPr>
      <w:r>
        <w:rPr>
          <w:rFonts w:ascii="Courier New" w:cs="Courier New" w:eastAsia="Courier New" w:hAnsi="Courier New"/>
          <w:sz w:val="15"/>
          <w:szCs w:val="15"/>
          <w:color w:val="auto"/>
        </w:rPr>
        <w:t>SECTION 1408.</w:t>
      </w:r>
      <w:r>
        <w:rPr>
          <w:sz w:val="20"/>
          <w:szCs w:val="20"/>
          <w:color w:val="auto"/>
        </w:rPr>
        <w:tab/>
      </w:r>
      <w:r>
        <w:rPr>
          <w:rFonts w:ascii="Courier New" w:cs="Courier New" w:eastAsia="Courier New" w:hAnsi="Courier New"/>
          <w:sz w:val="14"/>
          <w:szCs w:val="14"/>
          <w:color w:val="auto"/>
        </w:rPr>
        <w:t>Nonassessability.</w:t>
      </w:r>
    </w:p>
    <w:p>
      <w:pPr>
        <w:spacing w:after="0" w:line="171" w:lineRule="exact"/>
        <w:rPr>
          <w:sz w:val="20"/>
          <w:szCs w:val="20"/>
          <w:color w:val="auto"/>
        </w:rPr>
      </w:pPr>
    </w:p>
    <w:p>
      <w:pPr>
        <w:jc w:val="both"/>
        <w:ind w:right="3579" w:firstLine="444"/>
        <w:spacing w:after="0" w:line="326" w:lineRule="auto"/>
        <w:rPr>
          <w:sz w:val="20"/>
          <w:szCs w:val="20"/>
          <w:color w:val="auto"/>
        </w:rPr>
      </w:pPr>
      <w:r>
        <w:rPr>
          <w:rFonts w:ascii="Courier New" w:cs="Courier New" w:eastAsia="Courier New" w:hAnsi="Courier New"/>
          <w:sz w:val="14"/>
          <w:szCs w:val="14"/>
          <w:color w:val="auto"/>
        </w:rPr>
        <w:t>The Company covenants that all shares of its Common Stock which may be issued upon conversion of Securities will upon issue in accordance with the terms hereof be duly and validly issued and fully paid and nonassessable.</w:t>
      </w:r>
    </w:p>
    <w:p>
      <w:pPr>
        <w:spacing w:after="0" w:line="3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1409.</w:t>
      </w:r>
      <w:r>
        <w:rPr>
          <w:sz w:val="20"/>
          <w:szCs w:val="20"/>
          <w:color w:val="auto"/>
        </w:rPr>
        <w:tab/>
      </w:r>
      <w:r>
        <w:rPr>
          <w:rFonts w:ascii="Courier New" w:cs="Courier New" w:eastAsia="Courier New" w:hAnsi="Courier New"/>
          <w:sz w:val="14"/>
          <w:szCs w:val="14"/>
          <w:color w:val="auto"/>
        </w:rPr>
        <w:t>Provision in Case of Consolidation, Merger or Sale of Assets.</w:t>
      </w:r>
    </w:p>
    <w:p>
      <w:pPr>
        <w:spacing w:after="0" w:line="17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w:t>
      </w:r>
    </w:p>
    <w:p>
      <w:pPr>
        <w:spacing w:after="0" w:line="1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right="3119"/>
        <w:spacing w:after="0" w:line="245" w:lineRule="auto"/>
        <w:rPr>
          <w:sz w:val="20"/>
          <w:szCs w:val="20"/>
          <w:color w:val="auto"/>
        </w:rPr>
      </w:pPr>
      <w:r>
        <w:rPr>
          <w:rFonts w:ascii="Courier New" w:cs="Courier New" w:eastAsia="Courier New" w:hAnsi="Courier New"/>
          <w:sz w:val="15"/>
          <w:szCs w:val="15"/>
          <w:color w:val="auto"/>
        </w:rPr>
        <w:t>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1409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1409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106 promptly upon such execution.</w:t>
      </w:r>
    </w:p>
    <w:p>
      <w:pPr>
        <w:spacing w:after="0" w:line="8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05" w:right="1440" w:bottom="1440" w:gutter="0" w:footer="0" w:header="0"/>
        </w:sectPr>
      </w:pPr>
    </w:p>
    <w:bookmarkStart w:id="180" w:name="page181"/>
    <w:bookmarkEnd w:id="180"/>
    <w:p>
      <w:pPr>
        <w:ind w:right="3119" w:firstLine="444"/>
        <w:spacing w:after="0" w:line="253" w:lineRule="auto"/>
        <w:rPr>
          <w:sz w:val="20"/>
          <w:szCs w:val="20"/>
          <w:color w:val="auto"/>
        </w:rPr>
      </w:pPr>
      <w:r>
        <w:rPr>
          <w:rFonts w:ascii="Courier New" w:cs="Courier New" w:eastAsia="Courier New" w:hAnsi="Courier New"/>
          <w:sz w:val="15"/>
          <w:szCs w:val="15"/>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8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1410.</w:t>
      </w:r>
      <w:r>
        <w:rPr>
          <w:sz w:val="20"/>
          <w:szCs w:val="20"/>
          <w:color w:val="auto"/>
        </w:rPr>
        <w:tab/>
      </w:r>
      <w:r>
        <w:rPr>
          <w:rFonts w:ascii="Courier New" w:cs="Courier New" w:eastAsia="Courier New" w:hAnsi="Courier New"/>
          <w:sz w:val="14"/>
          <w:szCs w:val="14"/>
          <w:color w:val="auto"/>
        </w:rPr>
        <w:t>Duties of Trustee Regarding Conversion.</w:t>
      </w:r>
    </w:p>
    <w:p>
      <w:pPr>
        <w:spacing w:after="0" w:line="171" w:lineRule="exact"/>
        <w:rPr>
          <w:sz w:val="20"/>
          <w:szCs w:val="20"/>
          <w:color w:val="auto"/>
        </w:rPr>
      </w:pPr>
    </w:p>
    <w:p>
      <w:pPr>
        <w:ind w:right="3119" w:firstLine="444"/>
        <w:spacing w:after="0" w:line="265" w:lineRule="auto"/>
        <w:rPr>
          <w:sz w:val="20"/>
          <w:szCs w:val="20"/>
          <w:color w:val="auto"/>
        </w:rPr>
      </w:pPr>
      <w:r>
        <w:rPr>
          <w:rFonts w:ascii="Courier New" w:cs="Courier New" w:eastAsia="Courier New" w:hAnsi="Courier New"/>
          <w:sz w:val="14"/>
          <w:szCs w:val="14"/>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601,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Fourteen or in the applicable supplemental indenture, resolutions of the Board of Directors or written instrument executed by one or more duly authorized officers of the Company.</w:t>
      </w:r>
    </w:p>
    <w:p>
      <w:pPr>
        <w:spacing w:after="0" w:line="2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1411.</w:t>
      </w:r>
      <w:r>
        <w:rPr>
          <w:sz w:val="20"/>
          <w:szCs w:val="20"/>
          <w:color w:val="auto"/>
        </w:rPr>
        <w:tab/>
      </w:r>
      <w:r>
        <w:rPr>
          <w:rFonts w:ascii="Courier New" w:cs="Courier New" w:eastAsia="Courier New" w:hAnsi="Courier New"/>
          <w:sz w:val="14"/>
          <w:szCs w:val="14"/>
          <w:color w:val="auto"/>
        </w:rPr>
        <w:t>Repayment of Certain Funds Upon Conversion.</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Twelve hereof and funds deposited pursuant to Article Thirteen hereof) and which shall not be required for such purposes because of the conversion of such Securities as provided in this Article Fourteen shall after such conversion be repaid to the Company by the Trustee upon the Company's written request.</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05" w:right="1440" w:bottom="1440" w:gutter="0" w:footer="0" w:header="0"/>
        </w:sectPr>
      </w:pPr>
    </w:p>
    <w:bookmarkStart w:id="181" w:name="page182"/>
    <w:bookmarkEnd w:id="181"/>
    <w:p>
      <w:pPr>
        <w:jc w:val="center"/>
        <w:ind w:right="3219"/>
        <w:spacing w:after="0"/>
        <w:rPr>
          <w:sz w:val="20"/>
          <w:szCs w:val="20"/>
          <w:color w:val="auto"/>
        </w:rPr>
      </w:pPr>
      <w:r>
        <w:rPr>
          <w:rFonts w:ascii="Courier New" w:cs="Courier New" w:eastAsia="Courier New" w:hAnsi="Courier New"/>
          <w:sz w:val="15"/>
          <w:szCs w:val="15"/>
          <w:color w:val="auto"/>
        </w:rPr>
        <w:t>ARTICLE FIFTEEN</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SUBORDINATION OF SECURITIES</w:t>
      </w:r>
    </w:p>
    <w:p>
      <w:pPr>
        <w:spacing w:after="0" w:line="17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1501.</w:t>
      </w:r>
      <w:r>
        <w:rPr>
          <w:sz w:val="20"/>
          <w:szCs w:val="20"/>
          <w:color w:val="auto"/>
        </w:rPr>
        <w:tab/>
      </w:r>
      <w:r>
        <w:rPr>
          <w:rFonts w:ascii="Courier New" w:cs="Courier New" w:eastAsia="Courier New" w:hAnsi="Courier New"/>
          <w:sz w:val="14"/>
          <w:szCs w:val="14"/>
          <w:color w:val="auto"/>
        </w:rPr>
        <w:t>Securities Subordinate to Senior Indebtedness.</w:t>
      </w:r>
    </w:p>
    <w:p>
      <w:pPr>
        <w:spacing w:after="0" w:line="171"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Except as otherwise provided in a supplemental indenture or pursuant to Section 301, the Company covenants and agrees, and each Holder of a Security, by its acceptance thereof, likewise covenants and agrees, that, to the extent and in the manner hereinafter set forth in this Article, the indebtedness represented by the Securities and the payment of the principal of and any premium and interest on each and all of the Securities or on the account of the purchase, redemption or other acquisition of the Securities or constituting a sinking fund or defeasance payment by the Company to the Trustee or any Paying Agent, as the case may be, in accordance with Article Twelve or Article Thirteen, respectively, on the Securities are hereby expressly made subordinate and subject in right of payment to the prior payment in full of all Senior Indebtedness. Notwithstanding the foregoing, this Article Fifteen shall not apply to the application of any amounts deposited with the Trustee or any Paying Agent pursuant to any sinking fund requirement or defeasance which, at the time such amounts were deposited with the Trustee or Paying Agent, as the case may be, such deposits were not prohibited by the provisions of this Article Fifteen ("Previous Payments").</w:t>
      </w:r>
    </w:p>
    <w:p>
      <w:pPr>
        <w:spacing w:after="0" w:line="87" w:lineRule="exact"/>
        <w:rPr>
          <w:sz w:val="20"/>
          <w:szCs w:val="20"/>
          <w:color w:val="auto"/>
        </w:rPr>
      </w:pPr>
    </w:p>
    <w:p>
      <w:pPr>
        <w:ind w:right="3119" w:firstLine="444"/>
        <w:spacing w:after="0" w:line="249" w:lineRule="auto"/>
        <w:rPr>
          <w:sz w:val="20"/>
          <w:szCs w:val="20"/>
          <w:color w:val="auto"/>
        </w:rPr>
      </w:pPr>
      <w:r>
        <w:rPr>
          <w:rFonts w:ascii="Courier New" w:cs="Courier New" w:eastAsia="Courier New" w:hAnsi="Courier New"/>
          <w:sz w:val="15"/>
          <w:szCs w:val="15"/>
          <w:color w:val="auto"/>
        </w:rPr>
        <w:t>The expressions "prior payment in full," "payment in full" and "paid in full" and any other similar term or phrase when used in this Article Fifteen with respect to Senior Indebtedness shall mean in the case of Senior Indebtedness consisting of contingent obligations in respect of letters of credit (or local guaranties, as applicable), bankers' acceptances, interest rate protection agreements or currency exchange or purchase agreements, the setting apart of cash or other payment acceptable to holders of such Senior Indebtedness sufficient to discharge such portion of Senior Indebtedness in an account for the exclusive benefit of the holders thereof, in which account such holders shall be granted by the Company a first priority perfected security interest, which first priority perfected security interest shall have been retained by the holders of Senior Indebtedness for a period of time in excess of all applicable preference or other similar periods, if any, under applicable bankruptcy, insolvency or creditors' rights laws.</w:t>
      </w:r>
    </w:p>
    <w:p>
      <w:pPr>
        <w:spacing w:after="0" w:line="9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1502.</w:t>
      </w:r>
      <w:r>
        <w:rPr>
          <w:sz w:val="20"/>
          <w:szCs w:val="20"/>
          <w:color w:val="auto"/>
        </w:rPr>
        <w:tab/>
      </w:r>
      <w:r>
        <w:rPr>
          <w:rFonts w:ascii="Courier New" w:cs="Courier New" w:eastAsia="Courier New" w:hAnsi="Courier New"/>
          <w:sz w:val="14"/>
          <w:szCs w:val="14"/>
          <w:color w:val="auto"/>
        </w:rPr>
        <w:t>Payment Over of Proceeds Upon Dissolution, Etc.</w:t>
      </w:r>
    </w:p>
    <w:p>
      <w:pPr>
        <w:spacing w:after="0" w:line="171" w:lineRule="exact"/>
        <w:rPr>
          <w:sz w:val="20"/>
          <w:szCs w:val="20"/>
          <w:color w:val="auto"/>
        </w:rPr>
      </w:pPr>
    </w:p>
    <w:p>
      <w:pPr>
        <w:ind w:right="3119" w:firstLine="444"/>
        <w:spacing w:after="0" w:line="268" w:lineRule="auto"/>
        <w:rPr>
          <w:sz w:val="20"/>
          <w:szCs w:val="20"/>
          <w:color w:val="auto"/>
        </w:rPr>
      </w:pPr>
      <w:r>
        <w:rPr>
          <w:rFonts w:ascii="Courier New" w:cs="Courier New" w:eastAsia="Courier New" w:hAnsi="Courier New"/>
          <w:sz w:val="14"/>
          <w:szCs w:val="14"/>
          <w:color w:val="auto"/>
        </w:rPr>
        <w:t>In the event of (a) any insolvency or bankruptcy case or proceeding, or any receivership, liquidation, reorganization, debt restructuring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the holders of Senior Indebtedness shall be entitled to receive payment in full of all amounts due or to become due on or in respect of all Senior Indebtedness in cash or other payment satisfactory to the holders of Senior Indebtedness before the Holders of the Securities are entitled to receive any payment on account of principal of or any premium or interest on the Securities or on account of the purchase, redemption or other acquisition of Securities or constituting a sinking fund or defeasance payment</w:t>
      </w:r>
    </w:p>
    <w:p>
      <w:pPr>
        <w:spacing w:after="0" w:line="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05" w:right="1440" w:bottom="1440" w:gutter="0" w:footer="0" w:header="0"/>
        </w:sectPr>
      </w:pPr>
    </w:p>
    <w:bookmarkStart w:id="182" w:name="page183"/>
    <w:bookmarkEnd w:id="182"/>
    <w:p>
      <w:pPr>
        <w:ind w:right="3119"/>
        <w:spacing w:after="0" w:line="269" w:lineRule="auto"/>
        <w:rPr>
          <w:sz w:val="20"/>
          <w:szCs w:val="20"/>
          <w:color w:val="auto"/>
        </w:rPr>
      </w:pPr>
      <w:r>
        <w:rPr>
          <w:rFonts w:ascii="Courier New" w:cs="Courier New" w:eastAsia="Courier New" w:hAnsi="Courier New"/>
          <w:sz w:val="14"/>
          <w:szCs w:val="14"/>
          <w:color w:val="auto"/>
        </w:rPr>
        <w:t>by the Company to the Trustee or the Paying Agent, as the case may be, in accordance with Article Twelve or Article Thirteen, respectively, on the Securities (other than Previous Payments), and to that end the holders of Senior Indebtedness or their representative or representatives or the trustee or trustees under any indenture under which any instruments evidencing any of such Senior Indebtedness may have been issued shall be entitled to receive, for application to the payment thereof, any payment or distribution of any kind or character, whether in cash, property or securities, which may be payable or deliverable in respect of the Securities in any such case, proceeding, dissolution, liquidation or other winding up or event, to the extent necessary to pay all Senior Indebtedness in full in cash or other payment satisfactory to the holders of Senior Indebtedness, after giving effect to any concurrent payment or distribution to or for the holders of other Senior Indebtedness.</w:t>
      </w:r>
    </w:p>
    <w:p>
      <w:pPr>
        <w:spacing w:after="0" w:line="78" w:lineRule="exact"/>
        <w:rPr>
          <w:sz w:val="20"/>
          <w:szCs w:val="20"/>
          <w:color w:val="auto"/>
        </w:rPr>
      </w:pPr>
    </w:p>
    <w:p>
      <w:pPr>
        <w:ind w:right="3219" w:firstLine="444"/>
        <w:spacing w:after="0" w:line="251" w:lineRule="auto"/>
        <w:rPr>
          <w:sz w:val="20"/>
          <w:szCs w:val="20"/>
          <w:color w:val="auto"/>
        </w:rPr>
      </w:pPr>
      <w:r>
        <w:rPr>
          <w:rFonts w:ascii="Courier New" w:cs="Courier New" w:eastAsia="Courier New" w:hAnsi="Courier New"/>
          <w:sz w:val="15"/>
          <w:szCs w:val="15"/>
          <w:color w:val="auto"/>
        </w:rPr>
        <w:t>In the event that, notwithstanding the foregoing provisions of this Section, the Trustee or the Holder of any Security shall have received any payment or distribution of assets of the Company of any kind or character, whether in cash, property or securities, before all Senior Indebtedness is paid in full in cash or other payment satisfactory to the holders of Senior Indebtedness,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 Indebtedness remaining unpaid, to the extent necessary to pay all Senior Indebtedness in full, after giving effect to any concurrent payment or distribution to or for the holders of Senior Indebtedness.</w:t>
      </w:r>
    </w:p>
    <w:p>
      <w:pPr>
        <w:spacing w:after="0" w:line="86" w:lineRule="exact"/>
        <w:rPr>
          <w:sz w:val="20"/>
          <w:szCs w:val="20"/>
          <w:color w:val="auto"/>
        </w:rPr>
      </w:pPr>
    </w:p>
    <w:p>
      <w:pPr>
        <w:ind w:right="3119" w:firstLine="444"/>
        <w:spacing w:after="0" w:line="266" w:lineRule="auto"/>
        <w:rPr>
          <w:sz w:val="20"/>
          <w:szCs w:val="20"/>
          <w:color w:val="auto"/>
        </w:rPr>
      </w:pPr>
      <w:r>
        <w:rPr>
          <w:rFonts w:ascii="Courier New" w:cs="Courier New" w:eastAsia="Courier New" w:hAnsi="Courier New"/>
          <w:sz w:val="14"/>
          <w:szCs w:val="14"/>
          <w:color w:val="auto"/>
        </w:rPr>
        <w:t>For purposes of this Article only, the words "cash, property or securities" shall not be deemed to include shares of stock of the Company as reorganized or readjusted, or securities of the Company or any other corporation provided for by a plan of reorganization or readjustment which are subordinated in right of payment to all Senior Indebtedness which may at the time be outstanding to substantially the same extent as, or to a greater extent than, the Securities are so subordinated as provided in this Article. The consolidation of the Company with, or the merger of the Company into, another Person or the liquidation or dissolution of the Company following the conveyance or transfer of its properties and assets substantially as an entirety to another Person upon the terms and conditions set forth in Article Eight shall not be deemed a dissolution, winding up, liquidation, reorganization, assignment for the benefit of creditors or marshaling of assets and liabilities of the Company for the purposes of this Section if the Person formed by such consolidation or into which the Company is merged or which acquires by conveyance or transfer such properties and assets substantially as an entirety, as the case may be, shall, as a part of such consolidation, merger, conveyance or transfer, comply with the conditions set forth in Article Eight.</w:t>
      </w:r>
    </w:p>
    <w:p>
      <w:pPr>
        <w:spacing w:after="0" w:line="254" w:lineRule="exact"/>
        <w:rPr>
          <w:sz w:val="20"/>
          <w:szCs w:val="20"/>
          <w:color w:val="auto"/>
        </w:rPr>
      </w:pPr>
    </w:p>
    <w:p>
      <w:pPr>
        <w:ind w:right="3839"/>
        <w:spacing w:after="0" w:line="353" w:lineRule="auto"/>
        <w:rPr>
          <w:sz w:val="20"/>
          <w:szCs w:val="20"/>
          <w:color w:val="auto"/>
        </w:rPr>
      </w:pPr>
      <w:r>
        <w:rPr>
          <w:rFonts w:ascii="Courier New" w:cs="Courier New" w:eastAsia="Courier New" w:hAnsi="Courier New"/>
          <w:sz w:val="15"/>
          <w:szCs w:val="15"/>
          <w:color w:val="auto"/>
        </w:rPr>
        <w:t>SECTION 1503. Prior Payment to Senior Indebtedness Upon Acceleration of Securities.</w:t>
      </w:r>
    </w:p>
    <w:p>
      <w:pPr>
        <w:spacing w:after="0" w:line="1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In the event that any Securities are declared due and payable before their Stated Maturity, then and in such event the holders of the Senior Indebtedness outstanding at the time such Securities so become due and payable shall be entitled to receive payment in full in cash or other payment satisfactory to the holders of Senior Indebtedness of all amounts due or to become due on or in respect of all Senior Indebtedness before the Holders of the Securities are entitled to receive any</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05" w:right="1440" w:bottom="1440" w:gutter="0" w:footer="0" w:header="0"/>
        </w:sectPr>
      </w:pPr>
    </w:p>
    <w:bookmarkStart w:id="183" w:name="page184"/>
    <w:bookmarkEnd w:id="183"/>
    <w:p>
      <w:pPr>
        <w:ind w:left="9" w:right="3119"/>
        <w:spacing w:after="0" w:line="264" w:lineRule="auto"/>
        <w:rPr>
          <w:sz w:val="20"/>
          <w:szCs w:val="20"/>
          <w:color w:val="auto"/>
        </w:rPr>
      </w:pPr>
      <w:r>
        <w:rPr>
          <w:rFonts w:ascii="Courier New" w:cs="Courier New" w:eastAsia="Courier New" w:hAnsi="Courier New"/>
          <w:sz w:val="14"/>
          <w:szCs w:val="14"/>
          <w:color w:val="auto"/>
        </w:rPr>
        <w:t>payment by the Company on account of the principal of or any premium or interest on the Securities or on account of the purchase, redemption or other acquisition of Securities or constituting a any sinking fund or defeasance payment by the Company to the Trustee or the Paying Agent, as the case may be, in accordance with Article Twelve or Article Thirteen, respectively, on the Securities (other than Previous Payments); provided, however, that nothing in this Section shall</w:t>
      </w:r>
    </w:p>
    <w:p>
      <w:pPr>
        <w:spacing w:after="0" w:line="3" w:lineRule="exact"/>
        <w:rPr>
          <w:sz w:val="20"/>
          <w:szCs w:val="20"/>
          <w:color w:val="auto"/>
        </w:rPr>
      </w:pPr>
    </w:p>
    <w:p>
      <w:pPr>
        <w:ind w:left="2209"/>
        <w:spacing w:after="0"/>
        <w:tabs>
          <w:tab w:leader="none" w:pos="3089"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ind w:left="9" w:right="3119"/>
        <w:spacing w:after="0" w:line="253" w:lineRule="auto"/>
        <w:rPr>
          <w:sz w:val="20"/>
          <w:szCs w:val="20"/>
          <w:color w:val="auto"/>
        </w:rPr>
      </w:pPr>
      <w:r>
        <w:rPr>
          <w:rFonts w:ascii="Courier New" w:cs="Courier New" w:eastAsia="Courier New" w:hAnsi="Courier New"/>
          <w:sz w:val="15"/>
          <w:szCs w:val="15"/>
          <w:color w:val="auto"/>
        </w:rPr>
        <w:t>prevent the satisfaction of any sinking fund payment in accordance with Article Twelve by delivering and crediting pursuant to Section 1202 Securities which have been acquired (upon redemption or otherwise) prior to such declaration of acceleration or which have been converted pursuant to Article Fourteen. If the payment of Securities is accelerated because of an Event of Default, the Company and the Trustee shall promptly notify holders of Senior Indebtedness of the acceleration.</w:t>
      </w:r>
    </w:p>
    <w:p>
      <w:pPr>
        <w:spacing w:after="0" w:line="85" w:lineRule="exact"/>
        <w:rPr>
          <w:sz w:val="20"/>
          <w:szCs w:val="20"/>
          <w:color w:val="auto"/>
        </w:rPr>
      </w:pPr>
    </w:p>
    <w:p>
      <w:pPr>
        <w:ind w:left="9" w:right="3119" w:firstLine="444"/>
        <w:spacing w:after="0" w:line="263" w:lineRule="auto"/>
        <w:rPr>
          <w:sz w:val="20"/>
          <w:szCs w:val="20"/>
          <w:color w:val="auto"/>
        </w:rPr>
      </w:pPr>
      <w:r>
        <w:rPr>
          <w:rFonts w:ascii="Courier New" w:cs="Courier New" w:eastAsia="Courier New" w:hAnsi="Courier New"/>
          <w:sz w:val="15"/>
          <w:szCs w:val="15"/>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77" w:lineRule="exact"/>
        <w:rPr>
          <w:sz w:val="20"/>
          <w:szCs w:val="20"/>
          <w:color w:val="auto"/>
        </w:rPr>
      </w:pPr>
    </w:p>
    <w:p>
      <w:pPr>
        <w:ind w:left="9" w:right="3219" w:firstLine="444"/>
        <w:spacing w:after="0" w:line="353" w:lineRule="auto"/>
        <w:rPr>
          <w:sz w:val="20"/>
          <w:szCs w:val="20"/>
          <w:color w:val="auto"/>
        </w:rPr>
      </w:pPr>
      <w:r>
        <w:rPr>
          <w:rFonts w:ascii="Courier New" w:cs="Courier New" w:eastAsia="Courier New" w:hAnsi="Courier New"/>
          <w:sz w:val="15"/>
          <w:szCs w:val="15"/>
          <w:color w:val="auto"/>
        </w:rPr>
        <w:t>The provisions of this Section shall not apply to any payment with respect to which Section 1502 would be applicable.</w:t>
      </w:r>
    </w:p>
    <w:p>
      <w:pPr>
        <w:spacing w:after="0" w:line="12" w:lineRule="exact"/>
        <w:rPr>
          <w:sz w:val="20"/>
          <w:szCs w:val="20"/>
          <w:color w:val="auto"/>
        </w:rPr>
      </w:pPr>
    </w:p>
    <w:p>
      <w:pPr>
        <w:ind w:left="9"/>
        <w:spacing w:after="0"/>
        <w:tabs>
          <w:tab w:leader="none" w:pos="1309" w:val="left"/>
        </w:tabs>
        <w:rPr>
          <w:sz w:val="20"/>
          <w:szCs w:val="20"/>
          <w:color w:val="auto"/>
        </w:rPr>
      </w:pPr>
      <w:r>
        <w:rPr>
          <w:rFonts w:ascii="Courier New" w:cs="Courier New" w:eastAsia="Courier New" w:hAnsi="Courier New"/>
          <w:sz w:val="15"/>
          <w:szCs w:val="15"/>
          <w:color w:val="auto"/>
        </w:rPr>
        <w:t>SECTION 1504.</w:t>
      </w:r>
      <w:r>
        <w:rPr>
          <w:sz w:val="20"/>
          <w:szCs w:val="20"/>
          <w:color w:val="auto"/>
        </w:rPr>
        <w:tab/>
      </w:r>
      <w:r>
        <w:rPr>
          <w:rFonts w:ascii="Courier New" w:cs="Courier New" w:eastAsia="Courier New" w:hAnsi="Courier New"/>
          <w:sz w:val="14"/>
          <w:szCs w:val="14"/>
          <w:color w:val="auto"/>
        </w:rPr>
        <w:t>No Payment in Certain Circumstances.</w:t>
      </w:r>
    </w:p>
    <w:p>
      <w:pPr>
        <w:spacing w:after="0" w:line="171" w:lineRule="exact"/>
        <w:rPr>
          <w:sz w:val="20"/>
          <w:szCs w:val="20"/>
          <w:color w:val="auto"/>
        </w:rPr>
      </w:pPr>
    </w:p>
    <w:p>
      <w:pPr>
        <w:ind w:left="9" w:right="3119" w:firstLine="444"/>
        <w:spacing w:after="0" w:line="263" w:lineRule="auto"/>
        <w:rPr>
          <w:sz w:val="20"/>
          <w:szCs w:val="20"/>
          <w:color w:val="auto"/>
        </w:rPr>
      </w:pPr>
      <w:r>
        <w:rPr>
          <w:rFonts w:ascii="Courier New" w:cs="Courier New" w:eastAsia="Courier New" w:hAnsi="Courier New"/>
          <w:sz w:val="15"/>
          <w:szCs w:val="15"/>
          <w:color w:val="auto"/>
        </w:rPr>
        <w:t>The Company may not make any payment of principal of, or premium, if any, or interest on the Securities or on account of the purchase, redemption or other acquisition of Securities or constituting any sinking fund or defeasance payment by the Company to the Trustee or the Paying Agent, as the case may be, in accordance with Article Twelve or Article Thirteen, respectively, on the Securities (other than Previous Payments), if:</w:t>
      </w:r>
    </w:p>
    <w:p>
      <w:pPr>
        <w:spacing w:after="0" w:line="77" w:lineRule="exact"/>
        <w:rPr>
          <w:sz w:val="20"/>
          <w:szCs w:val="20"/>
          <w:color w:val="auto"/>
        </w:rPr>
      </w:pPr>
    </w:p>
    <w:p>
      <w:pPr>
        <w:ind w:left="9" w:right="3119" w:firstLine="878"/>
        <w:spacing w:after="0" w:line="257" w:lineRule="auto"/>
        <w:tabs>
          <w:tab w:leader="none" w:pos="1340"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principal, premium, if any, or interest (including a default under any redemption or repurchase obligation) or other amounts with respect to any Senior Indebtedness occurs and is continuing (or, in the case of Senior Indebtedness for which there is a period of grace, in the event of such a default that continues beyond the period of grace, if any, specified in the instrument or lease evidencing such Senior Indebtedness) unless and until such default shall have been cured or waived or shall have ceased to exist; or</w:t>
      </w:r>
    </w:p>
    <w:p>
      <w:pPr>
        <w:spacing w:after="0" w:line="80" w:lineRule="exact"/>
        <w:rPr>
          <w:rFonts w:ascii="Courier New" w:cs="Courier New" w:eastAsia="Courier New" w:hAnsi="Courier New"/>
          <w:sz w:val="15"/>
          <w:szCs w:val="15"/>
          <w:color w:val="auto"/>
        </w:rPr>
      </w:pPr>
    </w:p>
    <w:p>
      <w:pPr>
        <w:ind w:left="9" w:right="3119" w:firstLine="878"/>
        <w:spacing w:after="0" w:line="263" w:lineRule="auto"/>
        <w:tabs>
          <w:tab w:leader="none" w:pos="1340"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other than a payment default, on any Designated Senior Indebtedness occurs and is continuing that then permits holders of such Designated Senior Indebtedness to accelerate its maturity and the Trustee receives a notice of the default (a "Payment Blockage Notice") from the Company, a holder of such Designated Senior Indebtedness or a Representative of such Designated Senior Indebtedness.</w:t>
      </w:r>
    </w:p>
    <w:p>
      <w:pPr>
        <w:spacing w:after="0" w:line="77"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nothing in this Section shall prevent the satisfaction</w:t>
      </w:r>
    </w:p>
    <w:p>
      <w:pPr>
        <w:spacing w:after="0" w:line="38" w:lineRule="exact"/>
        <w:rPr>
          <w:sz w:val="20"/>
          <w:szCs w:val="20"/>
          <w:color w:val="auto"/>
        </w:rPr>
      </w:pPr>
    </w:p>
    <w:p>
      <w:pPr>
        <w:ind w:left="169"/>
        <w:spacing w:after="0"/>
        <w:tabs>
          <w:tab w:leader="none" w:pos="1049" w:val="left"/>
        </w:tabs>
        <w:rPr>
          <w:sz w:val="20"/>
          <w:szCs w:val="20"/>
          <w:color w:val="auto"/>
        </w:rPr>
      </w:pPr>
      <w:r>
        <w:rPr>
          <w:rFonts w:ascii="Courier New" w:cs="Courier New" w:eastAsia="Courier New" w:hAnsi="Courier New"/>
          <w:sz w:val="15"/>
          <w:szCs w:val="15"/>
          <w:color w:val="auto"/>
        </w:rPr>
        <w:t>--------</w:t>
        <w:tab/>
        <w:t>-------</w:t>
      </w:r>
    </w:p>
    <w:p>
      <w:pPr>
        <w:spacing w:after="0" w:line="1" w:lineRule="exact"/>
        <w:rPr>
          <w:sz w:val="20"/>
          <w:szCs w:val="20"/>
          <w:color w:val="auto"/>
        </w:rPr>
      </w:pPr>
    </w:p>
    <w:p>
      <w:pPr>
        <w:ind w:left="9" w:right="3219"/>
        <w:spacing w:after="0" w:line="316" w:lineRule="auto"/>
        <w:rPr>
          <w:sz w:val="20"/>
          <w:szCs w:val="20"/>
          <w:color w:val="auto"/>
        </w:rPr>
      </w:pPr>
      <w:r>
        <w:rPr>
          <w:rFonts w:ascii="Courier New" w:cs="Courier New" w:eastAsia="Courier New" w:hAnsi="Courier New"/>
          <w:sz w:val="15"/>
          <w:szCs w:val="15"/>
          <w:color w:val="auto"/>
        </w:rPr>
        <w:t>of any sinking fund payment in accordance with Article Twelve by delivering and crediting pursuant to Section 1202</w:t>
      </w:r>
    </w:p>
    <w:p>
      <w:pPr>
        <w:spacing w:after="0" w:line="3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8"/>
          </w:cols>
          <w:pgMar w:left="231" w:top="605" w:right="1440" w:bottom="1440" w:gutter="0" w:footer="0" w:header="0"/>
        </w:sectPr>
      </w:pPr>
    </w:p>
    <w:bookmarkStart w:id="184" w:name="page185"/>
    <w:bookmarkEnd w:id="184"/>
    <w:p>
      <w:pPr>
        <w:ind w:right="3119"/>
        <w:spacing w:after="0" w:line="297" w:lineRule="auto"/>
        <w:rPr>
          <w:sz w:val="20"/>
          <w:szCs w:val="20"/>
          <w:color w:val="auto"/>
        </w:rPr>
      </w:pPr>
      <w:r>
        <w:rPr>
          <w:rFonts w:ascii="Courier New" w:cs="Courier New" w:eastAsia="Courier New" w:hAnsi="Courier New"/>
          <w:sz w:val="15"/>
          <w:szCs w:val="15"/>
          <w:color w:val="auto"/>
        </w:rPr>
        <w:t>Securities which have been acquired (upon redemption or otherwise) prior to such declaration of acceleration or which have been converted pursuant to Article Fourteen.</w:t>
      </w:r>
    </w:p>
    <w:p>
      <w:pPr>
        <w:spacing w:after="0" w:line="5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82" w:lineRule="exact"/>
        <w:rPr>
          <w:sz w:val="20"/>
          <w:szCs w:val="20"/>
          <w:color w:val="auto"/>
        </w:rPr>
      </w:pPr>
    </w:p>
    <w:p>
      <w:pPr>
        <w:ind w:right="3299" w:firstLine="444"/>
        <w:spacing w:after="0" w:line="269" w:lineRule="auto"/>
        <w:rPr>
          <w:sz w:val="20"/>
          <w:szCs w:val="20"/>
          <w:color w:val="auto"/>
        </w:rPr>
      </w:pPr>
      <w:r>
        <w:rPr>
          <w:rFonts w:ascii="Courier New" w:cs="Courier New" w:eastAsia="Courier New" w:hAnsi="Courier New"/>
          <w:sz w:val="15"/>
          <w:szCs w:val="15"/>
          <w:color w:val="auto"/>
        </w:rPr>
        <w:t>The Company may and shall resume payments on and distributions in respect of the Securities and may purchase, redeem or otherwise acquire Securities and may make a sinking fund or defeasance payment to the Trustee or the Paying Agent, as the case may be, in accordance with Article Twelve or Article Thirteen, respectively, on the Securities, upon the earlier of:</w:t>
      </w:r>
    </w:p>
    <w:p>
      <w:pPr>
        <w:spacing w:after="0" w:line="72"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the date upon which the default is cured or waived or ceases to exist,</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w:t>
      </w:r>
    </w:p>
    <w:p>
      <w:pPr>
        <w:spacing w:after="0" w:line="145" w:lineRule="exact"/>
        <w:rPr>
          <w:sz w:val="20"/>
          <w:szCs w:val="20"/>
          <w:color w:val="auto"/>
        </w:rPr>
      </w:pPr>
    </w:p>
    <w:p>
      <w:pPr>
        <w:ind w:right="3399" w:firstLine="435"/>
        <w:spacing w:after="0" w:line="353" w:lineRule="auto"/>
        <w:tabs>
          <w:tab w:leader="none" w:pos="887"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default referred to in clause (ii) above, 179 days pass after the Payment Blockage Notice is received,</w:t>
      </w:r>
    </w:p>
    <w:p>
      <w:pPr>
        <w:spacing w:after="0" w:line="12"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5"/>
          <w:szCs w:val="15"/>
          <w:color w:val="auto"/>
        </w:rPr>
        <w:t>unless this Article Fifteen otherwise prohibits the payment, distribution, purchase, redemption, acquisition, sinking fund payment or defeasance payment at the time of such payment, distribution, purchase, redemption, acquisition, sinking fund payment or defeasance payment (including, without limitation, in the case of a default referred to in clause (ii) above, as a result of a payment default with respect to the applicable Senior Indebtedness as a consequence of the acceleration of the maturity thereof or otherwise).</w:t>
      </w:r>
    </w:p>
    <w:p>
      <w:pPr>
        <w:spacing w:after="0" w:line="82"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77" w:lineRule="exact"/>
        <w:rPr>
          <w:sz w:val="20"/>
          <w:szCs w:val="20"/>
          <w:color w:val="auto"/>
        </w:rPr>
      </w:pPr>
    </w:p>
    <w:p>
      <w:pPr>
        <w:ind w:right="3219" w:firstLine="444"/>
        <w:spacing w:after="0" w:line="353" w:lineRule="auto"/>
        <w:rPr>
          <w:sz w:val="20"/>
          <w:szCs w:val="20"/>
          <w:color w:val="auto"/>
        </w:rPr>
      </w:pPr>
      <w:r>
        <w:rPr>
          <w:rFonts w:ascii="Courier New" w:cs="Courier New" w:eastAsia="Courier New" w:hAnsi="Courier New"/>
          <w:sz w:val="15"/>
          <w:szCs w:val="15"/>
          <w:color w:val="auto"/>
        </w:rPr>
        <w:t>The provisions of this Section shall not apply to any payment with respect to which Section 1502 would be applicable.</w:t>
      </w:r>
    </w:p>
    <w:p>
      <w:pPr>
        <w:spacing w:after="0" w:line="1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1505.</w:t>
      </w:r>
      <w:r>
        <w:rPr>
          <w:sz w:val="20"/>
          <w:szCs w:val="20"/>
          <w:color w:val="auto"/>
        </w:rPr>
        <w:tab/>
      </w:r>
      <w:r>
        <w:rPr>
          <w:rFonts w:ascii="Courier New" w:cs="Courier New" w:eastAsia="Courier New" w:hAnsi="Courier New"/>
          <w:sz w:val="14"/>
          <w:szCs w:val="14"/>
          <w:color w:val="auto"/>
        </w:rPr>
        <w:t>Payment Permitted If No Default.</w:t>
      </w:r>
    </w:p>
    <w:p>
      <w:pPr>
        <w:spacing w:after="0" w:line="171" w:lineRule="exact"/>
        <w:rPr>
          <w:sz w:val="20"/>
          <w:szCs w:val="20"/>
          <w:color w:val="auto"/>
        </w:rPr>
      </w:pPr>
    </w:p>
    <w:p>
      <w:pPr>
        <w:ind w:right="3119" w:firstLine="444"/>
        <w:spacing w:after="0" w:line="255" w:lineRule="auto"/>
        <w:rPr>
          <w:sz w:val="20"/>
          <w:szCs w:val="20"/>
          <w:color w:val="auto"/>
        </w:rPr>
      </w:pPr>
      <w:r>
        <w:rPr>
          <w:rFonts w:ascii="Courier New" w:cs="Courier New" w:eastAsia="Courier New" w:hAnsi="Courier New"/>
          <w:sz w:val="15"/>
          <w:szCs w:val="15"/>
          <w:color w:val="auto"/>
        </w:rPr>
        <w:t>Nothing contained in this Article or elsewhere in this Indenture or in any of the Securities shall prevent (a) the Company, at any time except during the pendency of any case, proceeding, dissolution, liquidation or other winding up, debt restructuring, assignment for the benefit of creditors or other marshaling of assets and liabilities of the Company referred to in Section 1502 or under the conditions described in Section 1503 or 1504, from making payments at any time of principal of and any premium or interest on the Securities or on account of the purchase, redemption or other acquisition of Securities, or (b) the application by the Trustee of any money deposited with</w:t>
      </w:r>
    </w:p>
    <w:p>
      <w:pPr>
        <w:spacing w:after="0" w:line="8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05" w:right="1440" w:bottom="1440" w:gutter="0" w:footer="0" w:header="0"/>
        </w:sectPr>
      </w:pPr>
    </w:p>
    <w:bookmarkStart w:id="185" w:name="page186"/>
    <w:bookmarkEnd w:id="185"/>
    <w:p>
      <w:pPr>
        <w:ind w:right="3119"/>
        <w:spacing w:after="0" w:line="292" w:lineRule="auto"/>
        <w:rPr>
          <w:sz w:val="20"/>
          <w:szCs w:val="20"/>
          <w:color w:val="auto"/>
        </w:rPr>
      </w:pPr>
      <w:r>
        <w:rPr>
          <w:rFonts w:ascii="Courier New" w:cs="Courier New" w:eastAsia="Courier New" w:hAnsi="Courier New"/>
          <w:sz w:val="14"/>
          <w:szCs w:val="14"/>
          <w:color w:val="auto"/>
        </w:rPr>
        <w:t>it hereunder to the payment of or on account of the principal of and any premium or interest on the Securities or on account of the purchase, redemption or other acquisition of Securities or the retention of such payment by the Holders, if, at the time of such application by the Trustee, it did not have knowledge that such payment would have been prohibited by the provisions of this Article.</w:t>
      </w:r>
    </w:p>
    <w:p>
      <w:pPr>
        <w:spacing w:after="0" w:line="5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1506.</w:t>
      </w:r>
      <w:r>
        <w:rPr>
          <w:sz w:val="20"/>
          <w:szCs w:val="20"/>
          <w:color w:val="auto"/>
        </w:rPr>
        <w:tab/>
      </w:r>
      <w:r>
        <w:rPr>
          <w:rFonts w:ascii="Courier New" w:cs="Courier New" w:eastAsia="Courier New" w:hAnsi="Courier New"/>
          <w:sz w:val="14"/>
          <w:szCs w:val="14"/>
          <w:color w:val="auto"/>
        </w:rPr>
        <w:t>Subrogation to Rights of Holders of Senior Indebtedness.</w:t>
      </w:r>
    </w:p>
    <w:p>
      <w:pPr>
        <w:spacing w:after="0" w:line="171"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4"/>
          <w:szCs w:val="14"/>
          <w:color w:val="auto"/>
        </w:rPr>
        <w:t>Subject to the payment in full of all Senior Indebtedness, the Holders of the Securities shall be subrogated to the rights of the holders of such Senior Indebtedness to receive payments and distributions of cash, property and securities applicable to the Senior Indebtedness until the principal of and any premium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and no payments over pursuant to the provisions of this Article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1507.</w:t>
      </w:r>
      <w:r>
        <w:rPr>
          <w:sz w:val="20"/>
          <w:szCs w:val="20"/>
          <w:color w:val="auto"/>
        </w:rPr>
        <w:tab/>
      </w:r>
      <w:r>
        <w:rPr>
          <w:rFonts w:ascii="Courier New" w:cs="Courier New" w:eastAsia="Courier New" w:hAnsi="Courier New"/>
          <w:sz w:val="14"/>
          <w:szCs w:val="14"/>
          <w:color w:val="auto"/>
        </w:rPr>
        <w:t>Provisions Solely to Define Relative Rights.</w:t>
      </w:r>
    </w:p>
    <w:p>
      <w:pPr>
        <w:spacing w:after="0" w:line="171" w:lineRule="exact"/>
        <w:rPr>
          <w:sz w:val="20"/>
          <w:szCs w:val="20"/>
          <w:color w:val="auto"/>
        </w:rPr>
      </w:pPr>
    </w:p>
    <w:p>
      <w:pPr>
        <w:ind w:right="3119" w:firstLine="444"/>
        <w:spacing w:after="0" w:line="248" w:lineRule="auto"/>
        <w:rPr>
          <w:sz w:val="20"/>
          <w:szCs w:val="20"/>
          <w:color w:val="auto"/>
        </w:rPr>
      </w:pPr>
      <w:r>
        <w:rPr>
          <w:rFonts w:ascii="Courier New" w:cs="Courier New" w:eastAsia="Courier New" w:hAnsi="Courier New"/>
          <w:sz w:val="15"/>
          <w:szCs w:val="15"/>
          <w:color w:val="auto"/>
        </w:rPr>
        <w:t>The provisions of this Article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to pay to the Holders of the Securities the principal of and any premium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9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1508.</w:t>
      </w:r>
      <w:r>
        <w:rPr>
          <w:sz w:val="20"/>
          <w:szCs w:val="20"/>
          <w:color w:val="auto"/>
        </w:rPr>
        <w:tab/>
      </w:r>
      <w:r>
        <w:rPr>
          <w:rFonts w:ascii="Courier New" w:cs="Courier New" w:eastAsia="Courier New" w:hAnsi="Courier New"/>
          <w:sz w:val="14"/>
          <w:szCs w:val="14"/>
          <w:color w:val="auto"/>
        </w:rPr>
        <w:t>Trustee to Effectuate Subordination</w:t>
      </w:r>
    </w:p>
    <w:p>
      <w:pPr>
        <w:spacing w:after="0" w:line="171" w:lineRule="exact"/>
        <w:rPr>
          <w:sz w:val="20"/>
          <w:szCs w:val="20"/>
          <w:color w:val="auto"/>
        </w:rPr>
      </w:pPr>
    </w:p>
    <w:p>
      <w:pPr>
        <w:ind w:right="3119" w:firstLine="444"/>
        <w:spacing w:after="0" w:line="278" w:lineRule="auto"/>
        <w:rPr>
          <w:sz w:val="20"/>
          <w:szCs w:val="20"/>
          <w:color w:val="auto"/>
        </w:rPr>
      </w:pPr>
      <w:r>
        <w:rPr>
          <w:rFonts w:ascii="Courier New" w:cs="Courier New" w:eastAsia="Courier New" w:hAnsi="Courier New"/>
          <w:sz w:val="15"/>
          <w:szCs w:val="15"/>
          <w:color w:val="auto"/>
        </w:rPr>
        <w:t>Each Holder of a Security by its acceptance thereof authorizes and directs the Trustee on its behalf to take such action as may be necessary or appropriate to effectuate the subordination provided in this Article and appoints the Trustee its attorney-in-fact for any and all such purposes.</w:t>
      </w:r>
    </w:p>
    <w:p>
      <w:pPr>
        <w:spacing w:after="0" w:line="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1509.</w:t>
      </w:r>
      <w:r>
        <w:rPr>
          <w:sz w:val="20"/>
          <w:szCs w:val="20"/>
          <w:color w:val="auto"/>
        </w:rPr>
        <w:tab/>
      </w:r>
      <w:r>
        <w:rPr>
          <w:rFonts w:ascii="Courier New" w:cs="Courier New" w:eastAsia="Courier New" w:hAnsi="Courier New"/>
          <w:sz w:val="14"/>
          <w:szCs w:val="14"/>
          <w:color w:val="auto"/>
        </w:rPr>
        <w:t>No Waiver of Subordination Provisions.</w:t>
      </w:r>
    </w:p>
    <w:p>
      <w:pPr>
        <w:spacing w:after="0" w:line="171" w:lineRule="exact"/>
        <w:rPr>
          <w:sz w:val="20"/>
          <w:szCs w:val="20"/>
          <w:color w:val="auto"/>
        </w:rPr>
      </w:pPr>
    </w:p>
    <w:p>
      <w:pPr>
        <w:ind w:right="3579" w:firstLine="444"/>
        <w:spacing w:after="0" w:line="297" w:lineRule="auto"/>
        <w:rPr>
          <w:sz w:val="20"/>
          <w:szCs w:val="20"/>
          <w:color w:val="auto"/>
        </w:rPr>
      </w:pPr>
      <w:r>
        <w:rPr>
          <w:rFonts w:ascii="Courier New" w:cs="Courier New" w:eastAsia="Courier New" w:hAnsi="Courier New"/>
          <w:sz w:val="15"/>
          <w:szCs w:val="15"/>
          <w:color w:val="auto"/>
        </w:rPr>
        <w:t>No right of any present or future holder of any Senior Indebtedness to enforce subordination as herein provided shall at any time in any way be prejudiced or impaired by any act or failure to act</w:t>
      </w:r>
    </w:p>
    <w:p>
      <w:pPr>
        <w:spacing w:after="0" w:line="5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05" w:right="1440" w:bottom="1440" w:gutter="0" w:footer="0" w:header="0"/>
        </w:sectPr>
      </w:pPr>
    </w:p>
    <w:bookmarkStart w:id="186" w:name="page187"/>
    <w:bookmarkEnd w:id="186"/>
    <w:p>
      <w:pPr>
        <w:ind w:left="9" w:right="3219"/>
        <w:spacing w:after="0" w:line="278" w:lineRule="auto"/>
        <w:rPr>
          <w:sz w:val="20"/>
          <w:szCs w:val="20"/>
          <w:color w:val="auto"/>
        </w:rPr>
      </w:pPr>
      <w:r>
        <w:rPr>
          <w:rFonts w:ascii="Courier New" w:cs="Courier New" w:eastAsia="Courier New" w:hAnsi="Courier New"/>
          <w:sz w:val="15"/>
          <w:szCs w:val="15"/>
          <w:color w:val="auto"/>
        </w:rPr>
        <w:t>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66"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Without in any way limiting the generality of the foregoing paragraph, the holders of Senior Indebtedness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dispose of any property pledged, mortgaged or otherwise securing Senior Indebtedness;</w:t>
      </w:r>
    </w:p>
    <w:p>
      <w:pPr>
        <w:spacing w:after="0" w:line="4" w:lineRule="exact"/>
        <w:rPr>
          <w:sz w:val="20"/>
          <w:szCs w:val="20"/>
          <w:color w:val="auto"/>
        </w:rPr>
      </w:pPr>
    </w:p>
    <w:p>
      <w:pPr>
        <w:ind w:left="9" w:right="3399" w:hanging="9"/>
        <w:spacing w:after="0" w:line="278" w:lineRule="auto"/>
        <w:tabs>
          <w:tab w:leader="none" w:pos="541"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any Person liable in any manner for the collection of Senior Indebtedness; and (iv) exercise or refrain from exercising any rights against the Company and any other Person.</w:t>
      </w:r>
    </w:p>
    <w:p>
      <w:pPr>
        <w:spacing w:after="0" w:line="66" w:lineRule="exact"/>
        <w:rPr>
          <w:sz w:val="20"/>
          <w:szCs w:val="20"/>
          <w:color w:val="auto"/>
        </w:rPr>
      </w:pPr>
    </w:p>
    <w:p>
      <w:pPr>
        <w:ind w:left="9"/>
        <w:spacing w:after="0"/>
        <w:tabs>
          <w:tab w:leader="none" w:pos="1309" w:val="left"/>
        </w:tabs>
        <w:rPr>
          <w:sz w:val="20"/>
          <w:szCs w:val="20"/>
          <w:color w:val="auto"/>
        </w:rPr>
      </w:pPr>
      <w:r>
        <w:rPr>
          <w:rFonts w:ascii="Courier New" w:cs="Courier New" w:eastAsia="Courier New" w:hAnsi="Courier New"/>
          <w:sz w:val="15"/>
          <w:szCs w:val="15"/>
          <w:color w:val="auto"/>
        </w:rPr>
        <w:t>SECTION 1510.</w:t>
      </w:r>
      <w:r>
        <w:rPr>
          <w:sz w:val="20"/>
          <w:szCs w:val="20"/>
          <w:color w:val="auto"/>
        </w:rPr>
        <w:tab/>
      </w:r>
      <w:r>
        <w:rPr>
          <w:rFonts w:ascii="Courier New" w:cs="Courier New" w:eastAsia="Courier New" w:hAnsi="Courier New"/>
          <w:sz w:val="14"/>
          <w:szCs w:val="14"/>
          <w:color w:val="auto"/>
        </w:rPr>
        <w:t>Notice to Trustee.</w:t>
      </w:r>
    </w:p>
    <w:p>
      <w:pPr>
        <w:spacing w:after="0" w:line="171"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trustee or other Representative therefor; and, prior to the receipt of any such written notice, the Trustee, subject to the provisions of Section 601, shall be entitled in all respects to assume that no such facts exist; provided, however, that if the</w:t>
      </w:r>
    </w:p>
    <w:p>
      <w:pPr>
        <w:spacing w:after="0" w:line="6" w:lineRule="exact"/>
        <w:rPr>
          <w:sz w:val="20"/>
          <w:szCs w:val="20"/>
          <w:color w:val="auto"/>
        </w:rPr>
      </w:pPr>
    </w:p>
    <w:p>
      <w:pPr>
        <w:ind w:left="3989"/>
        <w:spacing w:after="0"/>
        <w:tabs>
          <w:tab w:leader="none" w:pos="48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9" w:right="3119"/>
        <w:spacing w:after="0" w:line="270" w:lineRule="auto"/>
        <w:rPr>
          <w:sz w:val="20"/>
          <w:szCs w:val="20"/>
          <w:color w:val="auto"/>
        </w:rPr>
      </w:pPr>
      <w:r>
        <w:rPr>
          <w:rFonts w:ascii="Courier New" w:cs="Courier New" w:eastAsia="Courier New" w:hAnsi="Courier New"/>
          <w:sz w:val="14"/>
          <w:szCs w:val="14"/>
          <w:color w:val="auto"/>
        </w:rPr>
        <w:t>Trustee shall not have received the notice provided for in this Section by at least 12:00 noon New York City time one Business Day prior to the date upon which by the terms hereof any money may become payable for any purpose (including, without limitation, the payment of the principal of and any premium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after 12:00 noon New York City time one Business Day prior to such date.</w:t>
      </w:r>
    </w:p>
    <w:p>
      <w:pPr>
        <w:spacing w:after="0" w:line="75" w:lineRule="exact"/>
        <w:rPr>
          <w:sz w:val="20"/>
          <w:szCs w:val="20"/>
          <w:color w:val="auto"/>
        </w:rPr>
      </w:pPr>
    </w:p>
    <w:p>
      <w:pPr>
        <w:ind w:left="9" w:right="3119" w:firstLine="444"/>
        <w:spacing w:after="0" w:line="252" w:lineRule="auto"/>
        <w:rPr>
          <w:sz w:val="20"/>
          <w:szCs w:val="20"/>
          <w:color w:val="auto"/>
        </w:rPr>
      </w:pPr>
      <w:r>
        <w:rPr>
          <w:rFonts w:ascii="Courier New" w:cs="Courier New" w:eastAsia="Courier New" w:hAnsi="Courier New"/>
          <w:sz w:val="15"/>
          <w:szCs w:val="15"/>
          <w:color w:val="auto"/>
        </w:rPr>
        <w:t>Subject to the provisions of Section 601, the Trustee shall be entitled to rely on the delivery to it of a written notice by a Person representing himself to be a holder of Senior Indebtedness (or a trustee or other Representative therefor) to establish that such notice has been given by a holder of Senior Indebtedness (or a trustee or other Representative therefor).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w:t>
      </w:r>
    </w:p>
    <w:p>
      <w:pPr>
        <w:spacing w:after="0" w:line="8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28"/>
          </w:cols>
          <w:pgMar w:left="231" w:top="605" w:right="1440" w:bottom="1440" w:gutter="0" w:footer="0" w:header="0"/>
        </w:sectPr>
      </w:pPr>
    </w:p>
    <w:bookmarkStart w:id="187" w:name="page188"/>
    <w:bookmarkEnd w:id="187"/>
    <w:p>
      <w:pPr>
        <w:ind w:right="3219"/>
        <w:spacing w:after="0" w:line="303" w:lineRule="auto"/>
        <w:rPr>
          <w:sz w:val="20"/>
          <w:szCs w:val="20"/>
          <w:color w:val="auto"/>
        </w:rPr>
      </w:pPr>
      <w:r>
        <w:rPr>
          <w:rFonts w:ascii="Courier New" w:cs="Courier New" w:eastAsia="Courier New" w:hAnsi="Courier New"/>
          <w:sz w:val="14"/>
          <w:szCs w:val="14"/>
          <w:color w:val="auto"/>
        </w:rPr>
        <w:t>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5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1511.</w:t>
      </w:r>
      <w:r>
        <w:rPr>
          <w:sz w:val="20"/>
          <w:szCs w:val="20"/>
          <w:color w:val="auto"/>
        </w:rPr>
        <w:tab/>
      </w:r>
      <w:r>
        <w:rPr>
          <w:rFonts w:ascii="Courier New" w:cs="Courier New" w:eastAsia="Courier New" w:hAnsi="Courier New"/>
          <w:sz w:val="14"/>
          <w:szCs w:val="14"/>
          <w:color w:val="auto"/>
        </w:rPr>
        <w:t>Reliance on Judicial Order or Certificate of Liquidating Agent.</w:t>
      </w:r>
    </w:p>
    <w:p>
      <w:pPr>
        <w:spacing w:after="0" w:line="171" w:lineRule="exact"/>
        <w:rPr>
          <w:sz w:val="20"/>
          <w:szCs w:val="20"/>
          <w:color w:val="auto"/>
        </w:rPr>
      </w:pPr>
    </w:p>
    <w:p>
      <w:pPr>
        <w:ind w:right="3119" w:firstLine="444"/>
        <w:spacing w:after="0" w:line="269" w:lineRule="auto"/>
        <w:rPr>
          <w:sz w:val="20"/>
          <w:szCs w:val="20"/>
          <w:color w:val="auto"/>
        </w:rPr>
      </w:pPr>
      <w:r>
        <w:rPr>
          <w:rFonts w:ascii="Courier New" w:cs="Courier New" w:eastAsia="Courier New" w:hAnsi="Courier New"/>
          <w:sz w:val="14"/>
          <w:szCs w:val="14"/>
          <w:color w:val="auto"/>
        </w:rPr>
        <w:t>Upon any payment or distribution of assets of the Company referred to in this Article, the Trustee, subject to the provisions of Section 601,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7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1512.</w:t>
      </w:r>
      <w:r>
        <w:rPr>
          <w:sz w:val="20"/>
          <w:szCs w:val="20"/>
          <w:color w:val="auto"/>
        </w:rPr>
        <w:tab/>
      </w:r>
      <w:r>
        <w:rPr>
          <w:rFonts w:ascii="Courier New" w:cs="Courier New" w:eastAsia="Courier New" w:hAnsi="Courier New"/>
          <w:sz w:val="14"/>
          <w:szCs w:val="14"/>
          <w:color w:val="auto"/>
        </w:rPr>
        <w:t>Trustee Not Fiduciary for Holders of Senior Indebtedness.</w:t>
      </w:r>
    </w:p>
    <w:p>
      <w:pPr>
        <w:spacing w:after="0" w:line="171" w:lineRule="exact"/>
        <w:rPr>
          <w:sz w:val="20"/>
          <w:szCs w:val="20"/>
          <w:color w:val="auto"/>
        </w:rPr>
      </w:pPr>
    </w:p>
    <w:p>
      <w:pPr>
        <w:ind w:right="3119" w:firstLine="444"/>
        <w:spacing w:after="0" w:line="263" w:lineRule="auto"/>
        <w:rPr>
          <w:sz w:val="20"/>
          <w:szCs w:val="20"/>
          <w:color w:val="auto"/>
        </w:rPr>
      </w:pPr>
      <w:r>
        <w:rPr>
          <w:rFonts w:ascii="Courier New" w:cs="Courier New" w:eastAsia="Courier New" w:hAnsi="Courier New"/>
          <w:sz w:val="15"/>
          <w:szCs w:val="15"/>
          <w:color w:val="auto"/>
        </w:rPr>
        <w:t>The Trustee, in its capacity as trustee under this Indenture, shall not be deemed to owe any fiduciary duty to the holders of Senior Indebtedness and shall not be liable to any such holders if it shall in good faith mistakenly pay over or distribute to Holders of Securities or to the Company or to any other Person cash, property or securities to which any holders of Senior Indebtedness shall be entitled by virtue of this Article or otherwise.</w:t>
      </w:r>
    </w:p>
    <w:p>
      <w:pPr>
        <w:spacing w:after="0" w:line="77" w:lineRule="exact"/>
        <w:rPr>
          <w:sz w:val="20"/>
          <w:szCs w:val="20"/>
          <w:color w:val="auto"/>
        </w:rPr>
      </w:pPr>
    </w:p>
    <w:p>
      <w:pPr>
        <w:ind w:right="3219"/>
        <w:spacing w:after="0" w:line="353" w:lineRule="auto"/>
        <w:rPr>
          <w:sz w:val="20"/>
          <w:szCs w:val="20"/>
          <w:color w:val="auto"/>
        </w:rPr>
      </w:pPr>
      <w:r>
        <w:rPr>
          <w:rFonts w:ascii="Courier New" w:cs="Courier New" w:eastAsia="Courier New" w:hAnsi="Courier New"/>
          <w:sz w:val="15"/>
          <w:szCs w:val="15"/>
          <w:color w:val="auto"/>
        </w:rPr>
        <w:t>SECTION 1513. Rights of Trustee as Holder of Senior Indebtedness; Preservation of Trustee's Rights.</w:t>
      </w:r>
    </w:p>
    <w:p>
      <w:pPr>
        <w:spacing w:after="0" w:line="12" w:lineRule="exact"/>
        <w:rPr>
          <w:sz w:val="20"/>
          <w:szCs w:val="20"/>
          <w:color w:val="auto"/>
        </w:rPr>
      </w:pPr>
    </w:p>
    <w:p>
      <w:pPr>
        <w:ind w:right="3219" w:firstLine="444"/>
        <w:spacing w:after="0" w:line="269" w:lineRule="auto"/>
        <w:rPr>
          <w:sz w:val="20"/>
          <w:szCs w:val="20"/>
          <w:color w:val="auto"/>
        </w:rPr>
      </w:pPr>
      <w:r>
        <w:rPr>
          <w:rFonts w:ascii="Courier New" w:cs="Courier New" w:eastAsia="Courier New" w:hAnsi="Courier New"/>
          <w:sz w:val="15"/>
          <w:szCs w:val="15"/>
          <w:color w:val="auto"/>
        </w:rPr>
        <w:t>The Trustee in its individual capacity shall be entitled to all the rights set forth in this Article with respect to any Senior Indebtedness which may at any time be held by it, to the same extent as any other holder of Senior Indebtedness, and nothing in this Indenture shall deprive the Trustee of any of its rights as such holder.</w:t>
      </w:r>
    </w:p>
    <w:p>
      <w:pPr>
        <w:spacing w:after="0" w:line="72" w:lineRule="exact"/>
        <w:rPr>
          <w:sz w:val="20"/>
          <w:szCs w:val="20"/>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Nothing in this Article shall apply to claims of, or payments to, the Trustee under or pursuant to Section 607.</w:t>
      </w:r>
    </w:p>
    <w:p>
      <w:pPr>
        <w:spacing w:after="0" w:line="1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1514.</w:t>
      </w:r>
      <w:r>
        <w:rPr>
          <w:sz w:val="20"/>
          <w:szCs w:val="20"/>
          <w:color w:val="auto"/>
        </w:rPr>
        <w:tab/>
      </w:r>
      <w:r>
        <w:rPr>
          <w:rFonts w:ascii="Courier New" w:cs="Courier New" w:eastAsia="Courier New" w:hAnsi="Courier New"/>
          <w:sz w:val="14"/>
          <w:szCs w:val="14"/>
          <w:color w:val="auto"/>
        </w:rPr>
        <w:t>Article Applicable to Paying Agents.</w:t>
      </w:r>
    </w:p>
    <w:p>
      <w:pPr>
        <w:spacing w:after="0" w:line="171" w:lineRule="exact"/>
        <w:rPr>
          <w:sz w:val="20"/>
          <w:szCs w:val="20"/>
          <w:color w:val="auto"/>
        </w:rPr>
      </w:pPr>
    </w:p>
    <w:p>
      <w:pPr>
        <w:ind w:right="3119" w:firstLine="444"/>
        <w:spacing w:after="0" w:line="292" w:lineRule="auto"/>
        <w:rPr>
          <w:sz w:val="20"/>
          <w:szCs w:val="20"/>
          <w:color w:val="auto"/>
        </w:rPr>
      </w:pPr>
      <w:r>
        <w:rPr>
          <w:rFonts w:ascii="Courier New" w:cs="Courier New" w:eastAsia="Courier New" w:hAnsi="Courier New"/>
          <w:sz w:val="14"/>
          <w:szCs w:val="14"/>
          <w:color w:val="auto"/>
        </w:rPr>
        <w:t>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w:t>
      </w:r>
    </w:p>
    <w:p>
      <w:pPr>
        <w:spacing w:after="0" w:line="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05" w:right="1440" w:bottom="1440" w:gutter="0" w:footer="0" w:header="0"/>
        </w:sectPr>
      </w:pPr>
    </w:p>
    <w:bookmarkStart w:id="188" w:name="page189"/>
    <w:bookmarkEnd w:id="188"/>
    <w:p>
      <w:pPr>
        <w:ind w:left="9"/>
        <w:spacing w:after="0"/>
        <w:rPr>
          <w:sz w:val="20"/>
          <w:szCs w:val="20"/>
          <w:color w:val="auto"/>
        </w:rPr>
      </w:pPr>
      <w:r>
        <w:rPr>
          <w:rFonts w:ascii="Courier New" w:cs="Courier New" w:eastAsia="Courier New" w:hAnsi="Courier New"/>
          <w:sz w:val="14"/>
          <w:szCs w:val="14"/>
          <w:color w:val="auto"/>
        </w:rPr>
        <w:t>this Article in addition to or in place of the Trustee; provided, however, that</w:t>
      </w:r>
    </w:p>
    <w:p>
      <w:pPr>
        <w:spacing w:after="0" w:line="38" w:lineRule="exact"/>
        <w:rPr>
          <w:sz w:val="20"/>
          <w:szCs w:val="20"/>
          <w:color w:val="auto"/>
        </w:rPr>
      </w:pPr>
    </w:p>
    <w:p>
      <w:pPr>
        <w:ind w:left="4969"/>
        <w:spacing w:after="0"/>
        <w:tabs>
          <w:tab w:leader="none" w:pos="58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9" w:right="3299"/>
        <w:spacing w:after="0" w:line="316" w:lineRule="auto"/>
        <w:rPr>
          <w:sz w:val="20"/>
          <w:szCs w:val="20"/>
          <w:color w:val="auto"/>
        </w:rPr>
      </w:pPr>
      <w:r>
        <w:rPr>
          <w:rFonts w:ascii="Courier New" w:cs="Courier New" w:eastAsia="Courier New" w:hAnsi="Courier New"/>
          <w:sz w:val="15"/>
          <w:szCs w:val="15"/>
          <w:color w:val="auto"/>
        </w:rPr>
        <w:t>Section 1512 shall not apply to the Company or any Affiliate of the Company if it or such Affiliate acts as Paying Agent.</w:t>
      </w:r>
    </w:p>
    <w:p>
      <w:pPr>
        <w:spacing w:after="0" w:line="39" w:lineRule="exact"/>
        <w:rPr>
          <w:sz w:val="20"/>
          <w:szCs w:val="20"/>
          <w:color w:val="auto"/>
        </w:rPr>
      </w:pPr>
    </w:p>
    <w:p>
      <w:pPr>
        <w:ind w:left="9"/>
        <w:spacing w:after="0"/>
        <w:tabs>
          <w:tab w:leader="none" w:pos="1489" w:val="left"/>
        </w:tabs>
        <w:rPr>
          <w:sz w:val="20"/>
          <w:szCs w:val="20"/>
          <w:color w:val="auto"/>
        </w:rPr>
      </w:pPr>
      <w:r>
        <w:rPr>
          <w:rFonts w:ascii="Courier New" w:cs="Courier New" w:eastAsia="Courier New" w:hAnsi="Courier New"/>
          <w:sz w:val="15"/>
          <w:szCs w:val="15"/>
          <w:color w:val="auto"/>
        </w:rPr>
        <w:t>SECTION 1515.</w:t>
      </w:r>
      <w:r>
        <w:rPr>
          <w:sz w:val="20"/>
          <w:szCs w:val="20"/>
          <w:color w:val="auto"/>
        </w:rPr>
        <w:tab/>
      </w:r>
      <w:r>
        <w:rPr>
          <w:rFonts w:ascii="Courier New" w:cs="Courier New" w:eastAsia="Courier New" w:hAnsi="Courier New"/>
          <w:sz w:val="14"/>
          <w:szCs w:val="14"/>
          <w:color w:val="auto"/>
        </w:rPr>
        <w:t>Certain Conversions Deemed Payment.</w:t>
      </w:r>
    </w:p>
    <w:p>
      <w:pPr>
        <w:spacing w:after="0" w:line="171"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For the purposes of this Article only, (1) the issuance and delivery of junior securities upon conversion of Securities in accordance with Article Fourteen shall not be deemed to constitute a payment or distribution on account of the principal of or any premium or interest on Securities or on account of the purchase, redemption or other acquisition of Securities, and (2) the payment, issuance or delivery of cash, property or securities (other than junior securities and cash paid for fractional shares) upon conversion of a Security shall be deemed to constitute payment on account of the principal of such Security. For the purposes of this Section, the term "junior securities" means</w:t>
      </w:r>
    </w:p>
    <w:p>
      <w:pPr>
        <w:spacing w:after="0" w:line="4" w:lineRule="exact"/>
        <w:rPr>
          <w:sz w:val="20"/>
          <w:szCs w:val="20"/>
          <w:color w:val="auto"/>
        </w:rPr>
      </w:pPr>
    </w:p>
    <w:p>
      <w:pPr>
        <w:ind w:left="9" w:right="3119" w:hanging="9"/>
        <w:spacing w:after="0" w:line="259" w:lineRule="auto"/>
        <w:tabs>
          <w:tab w:leader="none" w:pos="364"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any stock of any class of the Company and (b) securities of the Company which are subordinated in right of payment to all Senior Indebtedness which may be outstanding at the time of issuance or delivery of such securities to substantially the same extent as, or to a greater extent than, the Securities are so subordinated as provided in this Article.</w:t>
      </w:r>
    </w:p>
    <w:p>
      <w:pPr>
        <w:spacing w:after="0" w:line="81" w:lineRule="exact"/>
        <w:rPr>
          <w:sz w:val="20"/>
          <w:szCs w:val="20"/>
          <w:color w:val="auto"/>
        </w:rPr>
      </w:pPr>
    </w:p>
    <w:p>
      <w:pPr>
        <w:ind w:left="9"/>
        <w:spacing w:after="0"/>
        <w:tabs>
          <w:tab w:leader="none" w:pos="1489" w:val="left"/>
        </w:tabs>
        <w:rPr>
          <w:sz w:val="20"/>
          <w:szCs w:val="20"/>
          <w:color w:val="auto"/>
        </w:rPr>
      </w:pPr>
      <w:r>
        <w:rPr>
          <w:rFonts w:ascii="Courier New" w:cs="Courier New" w:eastAsia="Courier New" w:hAnsi="Courier New"/>
          <w:sz w:val="15"/>
          <w:szCs w:val="15"/>
          <w:color w:val="auto"/>
        </w:rPr>
        <w:t>SECTION 1516.</w:t>
      </w:r>
      <w:r>
        <w:rPr>
          <w:sz w:val="20"/>
          <w:szCs w:val="20"/>
          <w:color w:val="auto"/>
        </w:rPr>
        <w:tab/>
      </w:r>
      <w:r>
        <w:rPr>
          <w:rFonts w:ascii="Courier New" w:cs="Courier New" w:eastAsia="Courier New" w:hAnsi="Courier New"/>
          <w:sz w:val="14"/>
          <w:szCs w:val="14"/>
          <w:color w:val="auto"/>
        </w:rPr>
        <w:t>Obligations of Company and Right to Convert Unconditional.</w:t>
      </w:r>
    </w:p>
    <w:p>
      <w:pPr>
        <w:spacing w:after="0" w:line="171" w:lineRule="exact"/>
        <w:rPr>
          <w:sz w:val="20"/>
          <w:szCs w:val="20"/>
          <w:color w:val="auto"/>
        </w:rPr>
      </w:pPr>
    </w:p>
    <w:p>
      <w:pPr>
        <w:ind w:left="9" w:right="3119" w:firstLine="444"/>
        <w:spacing w:after="0" w:line="269" w:lineRule="auto"/>
        <w:rPr>
          <w:sz w:val="20"/>
          <w:szCs w:val="20"/>
          <w:color w:val="auto"/>
        </w:rPr>
      </w:pPr>
      <w:r>
        <w:rPr>
          <w:rFonts w:ascii="Courier New" w:cs="Courier New" w:eastAsia="Courier New" w:hAnsi="Courier New"/>
          <w:sz w:val="14"/>
          <w:szCs w:val="14"/>
          <w:color w:val="auto"/>
        </w:rPr>
        <w:t>Nothing contained in this Article or elsewhere in this Indenture or in the Securities is intended to or shall impair, as among the Company, its creditors other than holders of Senior Indebtedness and the Holders of the Securities, the obligation of the Company, which is absolute and unconditional, to pay to the Holders of the Securities the principal of and any premium and interest on the Securities as and when the same shall become due and payable in accordance with their terms, or affect the relative rights of the Holders of the Securities and creditors of the Company other than the holders of Senior Indebtedness, nor shall anything herein or therein prevent the Trustee or the Holder of any Securities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w:t>
      </w:r>
    </w:p>
    <w:p>
      <w:pPr>
        <w:spacing w:after="0" w:line="78" w:lineRule="exact"/>
        <w:rPr>
          <w:sz w:val="20"/>
          <w:szCs w:val="20"/>
          <w:color w:val="auto"/>
        </w:rPr>
      </w:pPr>
    </w:p>
    <w:p>
      <w:pPr>
        <w:ind w:left="9" w:right="3119" w:firstLine="444"/>
        <w:spacing w:after="0" w:line="292" w:lineRule="auto"/>
        <w:rPr>
          <w:sz w:val="20"/>
          <w:szCs w:val="20"/>
          <w:color w:val="auto"/>
        </w:rPr>
      </w:pPr>
      <w:r>
        <w:rPr>
          <w:rFonts w:ascii="Courier New" w:cs="Courier New" w:eastAsia="Courier New" w:hAnsi="Courier New"/>
          <w:sz w:val="14"/>
          <w:szCs w:val="14"/>
          <w:color w:val="auto"/>
        </w:rPr>
        <w:t>Nothing contained in this Article or elsewhere in this Indenture or in the Securities is intended to or shall impair, as among the Company, its creditors other than holders of Senior Indebtedness and the Holders of the Securities, the right, which is absolute and unconditional, of the Holder of any Security to convert such Security in accordance with Article Fourteen (if applicable).</w:t>
      </w:r>
    </w:p>
    <w:p>
      <w:pPr>
        <w:spacing w:after="0" w:line="59" w:lineRule="exact"/>
        <w:rPr>
          <w:sz w:val="20"/>
          <w:szCs w:val="20"/>
          <w:color w:val="auto"/>
        </w:rPr>
      </w:pPr>
    </w:p>
    <w:p>
      <w:pPr>
        <w:ind w:left="9" w:right="3479"/>
        <w:spacing w:after="0" w:line="353" w:lineRule="auto"/>
        <w:rPr>
          <w:sz w:val="20"/>
          <w:szCs w:val="20"/>
          <w:color w:val="auto"/>
        </w:rPr>
      </w:pPr>
      <w:r>
        <w:rPr>
          <w:rFonts w:ascii="Courier New" w:cs="Courier New" w:eastAsia="Courier New" w:hAnsi="Courier New"/>
          <w:sz w:val="15"/>
          <w:szCs w:val="15"/>
          <w:color w:val="auto"/>
        </w:rPr>
        <w:t>SECTION 1517. Reliance by Holders of Senior Indebtedness on Subordination Provisions.</w:t>
      </w:r>
    </w:p>
    <w:p>
      <w:pPr>
        <w:spacing w:after="0" w:line="12" w:lineRule="exact"/>
        <w:rPr>
          <w:sz w:val="20"/>
          <w:szCs w:val="20"/>
          <w:color w:val="auto"/>
        </w:rPr>
      </w:pPr>
    </w:p>
    <w:p>
      <w:pPr>
        <w:ind w:left="9" w:right="3119" w:firstLine="444"/>
        <w:spacing w:after="0" w:line="255" w:lineRule="auto"/>
        <w:rPr>
          <w:sz w:val="20"/>
          <w:szCs w:val="20"/>
          <w:color w:val="auto"/>
        </w:rPr>
      </w:pPr>
      <w:r>
        <w:rPr>
          <w:rFonts w:ascii="Courier New" w:cs="Courier New" w:eastAsia="Courier New" w:hAnsi="Courier New"/>
          <w:sz w:val="15"/>
          <w:szCs w:val="15"/>
          <w:color w:val="auto"/>
        </w:rPr>
        <w:t>Each Holder by accepting a Security acknowledges and agrees that the foregoing subordination provisions are, and are intended to be, an inducement and a consideration to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 and no amendment or modification of the provisions contained herein</w:t>
      </w:r>
    </w:p>
    <w:p>
      <w:pPr>
        <w:spacing w:after="0" w:line="8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8"/>
          </w:cols>
          <w:pgMar w:left="231" w:top="605" w:right="1440" w:bottom="1440" w:gutter="0" w:footer="0" w:header="0"/>
        </w:sectPr>
      </w:pPr>
    </w:p>
    <w:bookmarkStart w:id="189" w:name="page190"/>
    <w:bookmarkEnd w:id="189"/>
    <w:p>
      <w:pPr>
        <w:ind w:right="3479"/>
        <w:spacing w:after="0" w:line="353" w:lineRule="auto"/>
        <w:rPr>
          <w:sz w:val="20"/>
          <w:szCs w:val="20"/>
          <w:color w:val="auto"/>
        </w:rPr>
      </w:pPr>
      <w:r>
        <w:rPr>
          <w:rFonts w:ascii="Courier New" w:cs="Courier New" w:eastAsia="Courier New" w:hAnsi="Courier New"/>
          <w:sz w:val="15"/>
          <w:szCs w:val="15"/>
          <w:color w:val="auto"/>
        </w:rPr>
        <w:t>shall diminish the rights of such holders of Senior Indebtedness unless such holders shall have agreed in writing hereto.</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05" w:right="1440" w:bottom="1440" w:gutter="0" w:footer="0" w:header="0"/>
        </w:sectPr>
      </w:pPr>
    </w:p>
    <w:bookmarkStart w:id="190" w:name="page191"/>
    <w:bookmarkEnd w:id="190"/>
    <w:p>
      <w:pPr>
        <w:ind w:right="3479" w:firstLine="444"/>
        <w:spacing w:after="0" w:line="353"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as of the day and year first above written.</w:t>
      </w:r>
    </w:p>
    <w:p>
      <w:pPr>
        <w:spacing w:after="0" w:line="12"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MICRON TECHNOLOGY, INC.</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By: _____________________________________________________</w:t>
      </w:r>
    </w:p>
    <w:p>
      <w:pPr>
        <w:spacing w:after="0" w:line="3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14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NORWEST BANK MINNESOTA, NATIONAL ASSOCIATION, as Trustee</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By: _____________________________________________________</w:t>
      </w:r>
    </w:p>
    <w:p>
      <w:pPr>
        <w:spacing w:after="0" w:line="3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Title:</w:t>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05" w:right="1440" w:bottom="1440" w:gutter="0" w:footer="0" w:header="0"/>
        </w:sectPr>
      </w:pPr>
    </w:p>
    <w:bookmarkStart w:id="191" w:name="page192"/>
    <w:bookmarkEnd w:id="191"/>
    <w:p>
      <w:pPr>
        <w:jc w:val="right"/>
        <w:ind w:right="3119"/>
        <w:spacing w:after="0"/>
        <w:rPr>
          <w:sz w:val="20"/>
          <w:szCs w:val="20"/>
          <w:color w:val="auto"/>
        </w:rPr>
      </w:pPr>
      <w:r>
        <w:rPr>
          <w:rFonts w:ascii="Courier New" w:cs="Courier New" w:eastAsia="Courier New" w:hAnsi="Courier New"/>
          <w:sz w:val="15"/>
          <w:szCs w:val="15"/>
          <w:color w:val="auto"/>
        </w:rPr>
        <w:t>Exhibit 5.1</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April 7,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 S. Federal Way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Boise, Idaho 83707</w:t>
      </w:r>
    </w:p>
    <w:p>
      <w:pPr>
        <w:spacing w:after="0" w:line="145"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Micron Technology, Inc. -- Registration Statement on Form S-3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1" w:lineRule="exact"/>
        <w:rPr>
          <w:sz w:val="20"/>
          <w:szCs w:val="20"/>
          <w:color w:val="auto"/>
        </w:rPr>
      </w:pPr>
    </w:p>
    <w:p>
      <w:pPr>
        <w:ind w:right="3119" w:firstLine="444"/>
        <w:spacing w:after="0" w:line="275" w:lineRule="auto"/>
        <w:rPr>
          <w:sz w:val="20"/>
          <w:szCs w:val="20"/>
          <w:color w:val="auto"/>
        </w:rPr>
      </w:pPr>
      <w:r>
        <w:rPr>
          <w:rFonts w:ascii="Courier New" w:cs="Courier New" w:eastAsia="Courier New" w:hAnsi="Courier New"/>
          <w:sz w:val="14"/>
          <w:szCs w:val="14"/>
          <w:color w:val="auto"/>
        </w:rPr>
        <w:t>At your request, we have examined the Registration Statement on Form S-3 (No. 333-33050), including Amendment No. 1 thereto (the "Registration Statement"), filed or to be filed by Micron Technology, Inc., a Delaware corporation (the "Company"), with the Securities and Exchange Commission in connection with the registration pursuant to the Securities Act of 1933, as amended (the "Act"), of the Company's debt securities (the "Debt Securities") and shares of the Company's Common Stock, $0.10 par value per share (the "Common Stock"), with an aggregate offering price of up to $1,000,000,000 or the equivalent thereof in one or more foreign currencies or composite currencies.</w:t>
      </w:r>
    </w:p>
    <w:p>
      <w:pPr>
        <w:spacing w:after="0" w:line="71" w:lineRule="exact"/>
        <w:rPr>
          <w:sz w:val="20"/>
          <w:szCs w:val="20"/>
          <w:color w:val="auto"/>
        </w:rPr>
      </w:pPr>
    </w:p>
    <w:p>
      <w:pPr>
        <w:ind w:right="3119" w:firstLine="444"/>
        <w:spacing w:after="0" w:line="266" w:lineRule="auto"/>
        <w:rPr>
          <w:sz w:val="20"/>
          <w:szCs w:val="20"/>
          <w:color w:val="auto"/>
        </w:rPr>
      </w:pPr>
      <w:r>
        <w:rPr>
          <w:rFonts w:ascii="Courier New" w:cs="Courier New" w:eastAsia="Courier New" w:hAnsi="Courier New"/>
          <w:sz w:val="14"/>
          <w:szCs w:val="14"/>
          <w:color w:val="auto"/>
        </w:rPr>
        <w:t>The Debt Securities and the Common Stock are to be sold from time to time as set forth in the Registration Statement, the Prospectus contained therein (the "Prospectus") and the supplements to the Prospectus (the "Prospectus Supplements"). The Debt Securities may be either senior debt securities (the "Senior Debt Securities") or subordinated debt securities (the "Subordinated Debt Securities"). The Senior Debt Securities are to be issued pursuant to a Senior Indenture, which has been filed as an exhibit to the Registration Statement (the "Senior Indenture"), to be entered into between the Company and Norwest Bank Minnesota, National Association, as Trustee (the "Senior Trustee"). The Subordinated Debt Securities are to be issued pursuant to a Subordinated Indenture, which has been filed as an exhibit to the Registration Statement (the "Subordinated Indenture"), to be entered into between the Company and Norwest Bank Minnesota, National Association, as Trustee (the "Subordinated Trustee"). The shares of Common Stock and the Debt Securities are to be sold pursuant to an Underwriting Agreement (the "Underwriting Agreement") under a Current Report on Form 8-K. The Debt Securities are to be issued in the forms set forth in the Indentures filed as exhibits to the Registration Statement.</w:t>
      </w:r>
    </w:p>
    <w:p>
      <w:pPr>
        <w:spacing w:after="0" w:line="8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5"/>
          <w:szCs w:val="15"/>
          <w:color w:val="auto"/>
        </w:rPr>
        <w:t>We have examined instruments, documents and records which we deemed relevant and necessary for the basis of our opinion hereinafter expressed. In such examination, we have assumed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Based on such examination, we are of the opinion that:</w:t>
      </w:r>
    </w:p>
    <w:p>
      <w:pPr>
        <w:sectPr>
          <w:pgSz w:w="11900" w:h="16838" w:orient="portrait"/>
          <w:cols w:equalWidth="0" w:num="1">
            <w:col w:w="10219"/>
          </w:cols>
          <w:pgMar w:left="240" w:top="457" w:right="1440" w:bottom="1440" w:gutter="0" w:footer="0" w:header="0"/>
        </w:sectPr>
      </w:pPr>
    </w:p>
    <w:bookmarkStart w:id="192" w:name="page193"/>
    <w:bookmarkEnd w:id="192"/>
    <w:p>
      <w:pPr>
        <w:ind w:left="340" w:right="3119" w:hanging="260"/>
        <w:spacing w:after="0" w:line="253" w:lineRule="auto"/>
        <w:tabs>
          <w:tab w:leader="none" w:pos="3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issuance of Senior Debt Securities has been duly authorized by appropriate corporate action and the Senior Debt Securities, in the form set forth in the Subordinated Indenture filed as an exhibit to the Registration Statement, have been duly completed, executed, authenticated and delivered in accordance with the Senior Indenture and sold pursuant to the applicable definitive purchase, underwriting or similar agreement and as described in the Registration Statement, any amendment thereto, the Prospectus and any Prospectus Supplement relating thereto, the Senior Debt Securities will be legal, valid and binding obligations of the Company, entitled to the benefits of the Senior Indenture.</w:t>
      </w:r>
    </w:p>
    <w:p>
      <w:pPr>
        <w:spacing w:after="0" w:line="86" w:lineRule="exact"/>
        <w:rPr>
          <w:rFonts w:ascii="Courier New" w:cs="Courier New" w:eastAsia="Courier New" w:hAnsi="Courier New"/>
          <w:sz w:val="15"/>
          <w:szCs w:val="15"/>
          <w:color w:val="auto"/>
        </w:rPr>
      </w:pPr>
    </w:p>
    <w:p>
      <w:pPr>
        <w:ind w:left="340" w:right="3119" w:hanging="260"/>
        <w:spacing w:after="0" w:line="253" w:lineRule="auto"/>
        <w:tabs>
          <w:tab w:leader="none" w:pos="3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issuance of Subordinated Debt Securities has been duly authorized by appropriate corporate action and the Subordinated Debt Securities, in the form set forth in the Subordinated Indenture filed as an exhibit to the Registration Statement, have been duly completed, executed, authenticated and delivered in accordance with the Subordinated Indenture and sold pursuant to the applicable definitive purchase, underwriting or similar agreement and as described in the Registration Statement, any amendment thereto, the Prospectus and any Prospectus Supplement relating thereto, the Subordinated Debt Securities will be legal, valid and binding obligations of the Company, entitled to the benefits of the Subordinated Indenture.</w:t>
      </w:r>
    </w:p>
    <w:p>
      <w:pPr>
        <w:spacing w:after="0" w:line="86" w:lineRule="exact"/>
        <w:rPr>
          <w:rFonts w:ascii="Courier New" w:cs="Courier New" w:eastAsia="Courier New" w:hAnsi="Courier New"/>
          <w:sz w:val="15"/>
          <w:szCs w:val="15"/>
          <w:color w:val="auto"/>
        </w:rPr>
      </w:pPr>
    </w:p>
    <w:p>
      <w:pPr>
        <w:ind w:left="340" w:right="3219" w:hanging="260"/>
        <w:spacing w:after="0" w:line="259" w:lineRule="auto"/>
        <w:tabs>
          <w:tab w:leader="none" w:pos="3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issuance of the shares of Common Stock has been duly authorized by appropriate corporate action and the shares of Common Stock have been duly issued, sold and delivered in accordance with the applicable definitive purchase, underwriting or similar agreement and as described in the Registration Statement, any amendment thereto, the Prospectus and the Prospectus Supplement relating thereto, the shares of Common Stock will be legally issued, fully paid and nonassessable.</w:t>
      </w:r>
    </w:p>
    <w:p>
      <w:pPr>
        <w:spacing w:after="0" w:line="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opinion that any document is legal, valid and binding is qualified as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45" w:lineRule="exact"/>
        <w:rPr>
          <w:sz w:val="20"/>
          <w:szCs w:val="20"/>
          <w:color w:val="auto"/>
        </w:rPr>
      </w:pPr>
    </w:p>
    <w:p>
      <w:pPr>
        <w:ind w:right="3579" w:firstLine="435"/>
        <w:spacing w:after="0" w:line="297" w:lineRule="auto"/>
        <w:tabs>
          <w:tab w:leader="none" w:pos="7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imposed by bankruptcy, insolvency, reorganization, arrangement, fraudulent conveyance, moratorium or other laws relating to or affecting the rights of creditors generally;</w:t>
      </w:r>
    </w:p>
    <w:p>
      <w:pPr>
        <w:spacing w:after="0" w:line="51" w:lineRule="exact"/>
        <w:rPr>
          <w:rFonts w:ascii="Courier New" w:cs="Courier New" w:eastAsia="Courier New" w:hAnsi="Courier New"/>
          <w:sz w:val="15"/>
          <w:szCs w:val="15"/>
          <w:color w:val="auto"/>
        </w:rPr>
      </w:pPr>
    </w:p>
    <w:p>
      <w:pPr>
        <w:ind w:right="3579" w:firstLine="435"/>
        <w:spacing w:after="0" w:line="353" w:lineRule="auto"/>
        <w:tabs>
          <w:tab w:leader="none" w:pos="7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indemnification and contribution which may be limited by applicable law or equitable principles; and</w:t>
      </w:r>
    </w:p>
    <w:p>
      <w:pPr>
        <w:spacing w:after="0" w:line="12" w:lineRule="exact"/>
        <w:rPr>
          <w:rFonts w:ascii="Courier New" w:cs="Courier New" w:eastAsia="Courier New" w:hAnsi="Courier New"/>
          <w:sz w:val="15"/>
          <w:szCs w:val="15"/>
          <w:color w:val="auto"/>
        </w:rPr>
      </w:pPr>
    </w:p>
    <w:p>
      <w:pPr>
        <w:ind w:right="3219" w:firstLine="435"/>
        <w:spacing w:after="0" w:line="269" w:lineRule="auto"/>
        <w:tabs>
          <w:tab w:leader="none" w:pos="79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principles of equity, including without limitation concepts of materiality, reasonableness, good faith and fair dealing, and the possible unavailability of specific performance or injunctive relief, and limitations on rights of acceleration, regardless of whether such enforceability is considered in a proceeding in equity or at law.</w:t>
      </w:r>
    </w:p>
    <w:p>
      <w:pPr>
        <w:spacing w:after="0" w:line="72" w:lineRule="exact"/>
        <w:rPr>
          <w:sz w:val="20"/>
          <w:szCs w:val="20"/>
          <w:color w:val="auto"/>
        </w:rPr>
      </w:pPr>
    </w:p>
    <w:p>
      <w:pPr>
        <w:jc w:val="both"/>
        <w:ind w:right="3119" w:firstLine="444"/>
        <w:spacing w:after="0" w:line="292" w:lineRule="auto"/>
        <w:rPr>
          <w:sz w:val="20"/>
          <w:szCs w:val="20"/>
          <w:color w:val="auto"/>
        </w:rPr>
      </w:pPr>
      <w:r>
        <w:rPr>
          <w:rFonts w:ascii="Courier New" w:cs="Courier New" w:eastAsia="Courier New" w:hAnsi="Courier New"/>
          <w:sz w:val="14"/>
          <w:szCs w:val="14"/>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w:t>
      </w:r>
    </w:p>
    <w:p>
      <w:pPr>
        <w:spacing w:after="0" w:line="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5" w:right="1440" w:bottom="1440" w:gutter="0" w:footer="0" w:header="0"/>
        </w:sectPr>
      </w:pPr>
    </w:p>
    <w:bookmarkStart w:id="193" w:name="page194"/>
    <w:bookmarkEnd w:id="193"/>
    <w:p>
      <w:pPr>
        <w:ind w:right="3659"/>
        <w:spacing w:after="0" w:line="326" w:lineRule="auto"/>
        <w:rPr>
          <w:sz w:val="20"/>
          <w:szCs w:val="20"/>
          <w:color w:val="auto"/>
        </w:rPr>
      </w:pPr>
      <w:r>
        <w:rPr>
          <w:rFonts w:ascii="Courier New" w:cs="Courier New" w:eastAsia="Courier New" w:hAnsi="Courier New"/>
          <w:sz w:val="14"/>
          <w:szCs w:val="14"/>
          <w:color w:val="auto"/>
        </w:rPr>
        <w:t>Act or the rules and regulations of the Securities and Exchange Commission issued thereunder with respect to any part of the Registration Statement, including this opinion as an exhibit or otherwise.</w:t>
      </w:r>
    </w:p>
    <w:p>
      <w:pPr>
        <w:spacing w:after="0" w:line="20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 Wilson Sonsini Goodrich &amp; Rosati, P.C.</w:t>
      </w:r>
    </w:p>
    <w:p>
      <w:pPr>
        <w:spacing w:after="0" w:line="2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WILSON SONSINI GOODRICH &amp; ROSATI,</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Professional Corporation</w:t>
      </w: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05" w:right="1440" w:bottom="1440" w:gutter="0" w:footer="0" w:header="0"/>
        </w:sectPr>
      </w:pPr>
    </w:p>
    <w:bookmarkStart w:id="194" w:name="page195"/>
    <w:bookmarkEnd w:id="194"/>
    <w:p>
      <w:pPr>
        <w:ind w:left="5849"/>
        <w:spacing w:after="0"/>
        <w:rPr>
          <w:sz w:val="20"/>
          <w:szCs w:val="20"/>
          <w:color w:val="auto"/>
        </w:rPr>
      </w:pPr>
      <w:r>
        <w:rPr>
          <w:rFonts w:ascii="Courier New" w:cs="Courier New" w:eastAsia="Courier New" w:hAnsi="Courier New"/>
          <w:sz w:val="15"/>
          <w:szCs w:val="15"/>
          <w:color w:val="auto"/>
        </w:rPr>
        <w:t>EXHIBIT 12.1</w:t>
      </w:r>
    </w:p>
    <w:p>
      <w:pPr>
        <w:spacing w:after="0" w:line="171"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MICRON TECHNOLOGY, INC.</w:t>
      </w:r>
    </w:p>
    <w:p>
      <w:pPr>
        <w:spacing w:after="0" w:line="27" w:lineRule="exact"/>
        <w:rPr>
          <w:sz w:val="20"/>
          <w:szCs w:val="20"/>
          <w:color w:val="auto"/>
        </w:rPr>
      </w:pPr>
    </w:p>
    <w:p>
      <w:pPr>
        <w:jc w:val="center"/>
        <w:ind w:right="4511"/>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49"/>
        </w:trPr>
        <w:tc>
          <w:tcPr>
            <w:tcW w:w="4960" w:type="dxa"/>
            <w:vAlign w:val="bottom"/>
            <w:gridSpan w:val="2"/>
          </w:tcPr>
          <w:p>
            <w:pPr>
              <w:ind w:left="1940"/>
              <w:spacing w:after="0"/>
              <w:rPr>
                <w:sz w:val="20"/>
                <w:szCs w:val="20"/>
                <w:color w:val="auto"/>
              </w:rPr>
            </w:pPr>
            <w:r>
              <w:rPr>
                <w:rFonts w:ascii="Courier New" w:cs="Courier New" w:eastAsia="Courier New" w:hAnsi="Courier New"/>
                <w:sz w:val="15"/>
                <w:szCs w:val="15"/>
                <w:color w:val="auto"/>
                <w:w w:val="98"/>
              </w:rPr>
              <w:t>(in millions except ratio amounts)</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9"/>
        </w:trPr>
        <w:tc>
          <w:tcPr>
            <w:tcW w:w="4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Years ended</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380" w:type="dxa"/>
            <w:vAlign w:val="bottom"/>
          </w:tcPr>
          <w:p>
            <w:pPr>
              <w:spacing w:after="0"/>
              <w:rPr>
                <w:sz w:val="21"/>
                <w:szCs w:val="21"/>
                <w:color w:val="auto"/>
              </w:rPr>
            </w:pPr>
          </w:p>
        </w:tc>
        <w:tc>
          <w:tcPr>
            <w:tcW w:w="6260" w:type="dxa"/>
            <w:vAlign w:val="bottom"/>
            <w:gridSpan w:val="10"/>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w w:val="97"/>
              </w:rPr>
              <w:t>6 months</w:t>
            </w:r>
          </w:p>
        </w:tc>
        <w:tc>
          <w:tcPr>
            <w:tcW w:w="0" w:type="dxa"/>
            <w:vAlign w:val="bottom"/>
          </w:tcPr>
          <w:p>
            <w:pPr>
              <w:spacing w:after="0"/>
              <w:rPr>
                <w:sz w:val="1"/>
                <w:szCs w:val="1"/>
                <w:color w:val="auto"/>
              </w:rPr>
            </w:pPr>
          </w:p>
        </w:tc>
      </w:tr>
      <w:tr>
        <w:trPr>
          <w:trHeight w:val="92"/>
        </w:trPr>
        <w:tc>
          <w:tcPr>
            <w:tcW w:w="4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w w:val="97"/>
              </w:rPr>
              <w:t>Aug. 31,</w:t>
            </w:r>
          </w:p>
        </w:tc>
        <w:tc>
          <w:tcPr>
            <w:tcW w:w="102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Aug. 29,</w:t>
            </w:r>
          </w:p>
        </w:tc>
        <w:tc>
          <w:tcPr>
            <w:tcW w:w="142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Aug. 28,</w:t>
            </w:r>
          </w:p>
        </w:tc>
        <w:tc>
          <w:tcPr>
            <w:tcW w:w="1380" w:type="dxa"/>
            <w:vAlign w:val="bottom"/>
            <w:gridSpan w:val="2"/>
            <w:vMerge w:val="restart"/>
          </w:tcPr>
          <w:p>
            <w:pPr>
              <w:ind w:left="280"/>
              <w:spacing w:after="0"/>
              <w:rPr>
                <w:sz w:val="20"/>
                <w:szCs w:val="20"/>
                <w:color w:val="auto"/>
              </w:rPr>
            </w:pPr>
            <w:r>
              <w:rPr>
                <w:rFonts w:ascii="Courier New" w:cs="Courier New" w:eastAsia="Courier New" w:hAnsi="Courier New"/>
                <w:sz w:val="15"/>
                <w:szCs w:val="15"/>
                <w:color w:val="auto"/>
              </w:rPr>
              <w:t>Sept. 3,</w:t>
            </w:r>
          </w:p>
        </w:tc>
        <w:tc>
          <w:tcPr>
            <w:tcW w:w="102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Sept. 2,</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Mar. 2,</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1995</w:t>
            </w:r>
          </w:p>
        </w:tc>
        <w:tc>
          <w:tcPr>
            <w:tcW w:w="320" w:type="dxa"/>
            <w:vAlign w:val="bottom"/>
          </w:tcPr>
          <w:p>
            <w:pPr>
              <w:spacing w:after="0"/>
              <w:rPr>
                <w:sz w:val="14"/>
                <w:szCs w:val="1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1996</w:t>
            </w:r>
          </w:p>
        </w:tc>
        <w:tc>
          <w:tcPr>
            <w:tcW w:w="500" w:type="dxa"/>
            <w:vAlign w:val="bottom"/>
          </w:tcPr>
          <w:p>
            <w:pPr>
              <w:spacing w:after="0"/>
              <w:rPr>
                <w:sz w:val="14"/>
                <w:szCs w:val="14"/>
                <w:color w:val="auto"/>
              </w:rPr>
            </w:pPr>
          </w:p>
        </w:tc>
        <w:tc>
          <w:tcPr>
            <w:tcW w:w="9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9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9"/>
        </w:trPr>
        <w:tc>
          <w:tcPr>
            <w:tcW w:w="4380" w:type="dxa"/>
            <w:vAlign w:val="bottom"/>
          </w:tcPr>
          <w:p>
            <w:pPr>
              <w:spacing w:after="0"/>
              <w:rPr>
                <w:sz w:val="21"/>
                <w:szCs w:val="21"/>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Pre-tax income before adjustment for minority</w:t>
            </w:r>
          </w:p>
        </w:tc>
        <w:tc>
          <w:tcPr>
            <w:tcW w:w="142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$ 1,362.0</w:t>
            </w:r>
          </w:p>
        </w:tc>
        <w:tc>
          <w:tcPr>
            <w:tcW w:w="1020" w:type="dxa"/>
            <w:vAlign w:val="bottom"/>
            <w:gridSpan w:val="2"/>
            <w:vMerge w:val="restart"/>
          </w:tcPr>
          <w:p>
            <w:pPr>
              <w:jc w:val="right"/>
              <w:ind w:right="106"/>
              <w:spacing w:after="0"/>
              <w:rPr>
                <w:sz w:val="20"/>
                <w:szCs w:val="20"/>
                <w:color w:val="auto"/>
              </w:rPr>
            </w:pPr>
            <w:r>
              <w:rPr>
                <w:rFonts w:ascii="Courier New" w:cs="Courier New" w:eastAsia="Courier New" w:hAnsi="Courier New"/>
                <w:sz w:val="15"/>
                <w:szCs w:val="15"/>
                <w:color w:val="auto"/>
              </w:rPr>
              <w:t>$ 958.9</w:t>
            </w:r>
          </w:p>
        </w:tc>
        <w:tc>
          <w:tcPr>
            <w:tcW w:w="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590.4</w:t>
            </w:r>
          </w:p>
        </w:tc>
        <w:tc>
          <w:tcPr>
            <w:tcW w:w="4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(358.9)</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(87.2)</w:t>
            </w:r>
          </w:p>
        </w:tc>
        <w:tc>
          <w:tcPr>
            <w:tcW w:w="8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$783.1</w:t>
            </w:r>
          </w:p>
        </w:tc>
        <w:tc>
          <w:tcPr>
            <w:tcW w:w="0" w:type="dxa"/>
            <w:vAlign w:val="bottom"/>
          </w:tcPr>
          <w:p>
            <w:pPr>
              <w:spacing w:after="0"/>
              <w:rPr>
                <w:sz w:val="1"/>
                <w:szCs w:val="1"/>
                <w:color w:val="auto"/>
              </w:rPr>
            </w:pPr>
          </w:p>
        </w:tc>
      </w:tr>
      <w:tr>
        <w:trPr>
          <w:trHeight w:val="171"/>
        </w:trPr>
        <w:tc>
          <w:tcPr>
            <w:tcW w:w="4380" w:type="dxa"/>
            <w:vAlign w:val="bottom"/>
          </w:tcPr>
          <w:p>
            <w:pPr>
              <w:ind w:left="160"/>
              <w:spacing w:after="0"/>
              <w:rPr>
                <w:sz w:val="20"/>
                <w:szCs w:val="20"/>
                <w:color w:val="auto"/>
              </w:rPr>
            </w:pPr>
            <w:r>
              <w:rPr>
                <w:rFonts w:ascii="Courier New" w:cs="Courier New" w:eastAsia="Courier New" w:hAnsi="Courier New"/>
                <w:sz w:val="15"/>
                <w:szCs w:val="15"/>
                <w:color w:val="auto"/>
              </w:rPr>
              <w:t>interests or loss from equity investees</w:t>
            </w:r>
          </w:p>
        </w:tc>
        <w:tc>
          <w:tcPr>
            <w:tcW w:w="14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fixed charges</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w:t>
            </w:r>
          </w:p>
        </w:tc>
        <w:tc>
          <w:tcPr>
            <w:tcW w:w="32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w:t>
            </w:r>
          </w:p>
        </w:tc>
        <w:tc>
          <w:tcPr>
            <w:tcW w:w="50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41.2</w:t>
            </w:r>
          </w:p>
        </w:tc>
        <w:tc>
          <w:tcPr>
            <w:tcW w:w="40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69.9</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68.0</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Less:  Interest capitalized during the period</w:t>
            </w:r>
          </w:p>
        </w:tc>
        <w:tc>
          <w:tcPr>
            <w:tcW w:w="5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4"/>
                <w:szCs w:val="1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Total earnings (losses) before fixed charges</w:t>
            </w:r>
          </w:p>
        </w:tc>
        <w:tc>
          <w:tcPr>
            <w:tcW w:w="1420" w:type="dxa"/>
            <w:vAlign w:val="bottom"/>
            <w:gridSpan w:val="2"/>
            <w:vMerge w:val="restart"/>
          </w:tcPr>
          <w:p>
            <w:pPr>
              <w:jc w:val="right"/>
              <w:ind w:right="146"/>
              <w:spacing w:after="0"/>
              <w:rPr>
                <w:sz w:val="20"/>
                <w:szCs w:val="20"/>
                <w:color w:val="auto"/>
              </w:rPr>
            </w:pPr>
            <w:r>
              <w:rPr>
                <w:rFonts w:ascii="Courier New" w:cs="Courier New" w:eastAsia="Courier New" w:hAnsi="Courier New"/>
                <w:sz w:val="28"/>
                <w:szCs w:val="28"/>
                <w:color w:val="auto"/>
                <w:w w:val="71"/>
                <w:vertAlign w:val="subscript"/>
              </w:rPr>
              <w:t>$</w:t>
            </w: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1,370.0</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$ 969.0</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625.6</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(304.5)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$848.9</w:t>
            </w:r>
          </w:p>
        </w:tc>
        <w:tc>
          <w:tcPr>
            <w:tcW w:w="0" w:type="dxa"/>
            <w:vAlign w:val="bottom"/>
          </w:tcPr>
          <w:p>
            <w:pPr>
              <w:spacing w:after="0"/>
              <w:rPr>
                <w:sz w:val="1"/>
                <w:szCs w:val="1"/>
                <w:color w:val="auto"/>
              </w:rPr>
            </w:pPr>
          </w:p>
        </w:tc>
      </w:tr>
      <w:tr>
        <w:trPr>
          <w:trHeight w:val="249"/>
        </w:trPr>
        <w:tc>
          <w:tcPr>
            <w:tcW w:w="4380" w:type="dxa"/>
            <w:vAlign w:val="bottom"/>
          </w:tcPr>
          <w:p>
            <w:pPr>
              <w:spacing w:after="0"/>
              <w:rPr>
                <w:sz w:val="21"/>
                <w:szCs w:val="21"/>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32.9</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$ 62.4</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capitalized during the period</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w:t>
            </w:r>
          </w:p>
        </w:tc>
        <w:tc>
          <w:tcPr>
            <w:tcW w:w="50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15.5</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Interest attributable to rentals</w:t>
            </w:r>
          </w:p>
        </w:tc>
        <w:tc>
          <w:tcPr>
            <w:tcW w:w="5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spacing w:after="0"/>
              <w:rPr>
                <w:sz w:val="14"/>
                <w:szCs w:val="14"/>
                <w:color w:val="auto"/>
              </w:rPr>
            </w:pP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w:t>
            </w:r>
          </w:p>
        </w:tc>
        <w:tc>
          <w:tcPr>
            <w:tcW w:w="3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Total fixed charges</w:t>
            </w:r>
          </w:p>
        </w:tc>
        <w:tc>
          <w:tcPr>
            <w:tcW w:w="580" w:type="dxa"/>
            <w:vAlign w:val="bottom"/>
            <w:vMerge w:val="restart"/>
          </w:tcPr>
          <w:p>
            <w:pPr>
              <w:ind w:left="400"/>
              <w:spacing w:after="0"/>
              <w:rPr>
                <w:sz w:val="20"/>
                <w:szCs w:val="20"/>
                <w:color w:val="auto"/>
              </w:rPr>
            </w:pPr>
            <w:r>
              <w:rPr>
                <w:rFonts w:ascii="Courier New" w:cs="Courier New" w:eastAsia="Courier New" w:hAnsi="Courier New"/>
                <w:sz w:val="6"/>
                <w:szCs w:val="6"/>
                <w:color w:val="auto"/>
                <w:w w:val="85"/>
                <w:vertAlign w:val="subscript"/>
              </w:rPr>
              <w:t>$</w:t>
            </w:r>
            <w:r>
              <w:rPr>
                <w:rFonts w:ascii="Courier New" w:cs="Courier New" w:eastAsia="Courier New" w:hAnsi="Courier New"/>
                <w:sz w:val="3"/>
                <w:szCs w:val="3"/>
                <w:color w:val="auto"/>
                <w:w w:val="85"/>
              </w:rPr>
              <w:t>---------</w:t>
            </w:r>
          </w:p>
        </w:tc>
        <w:tc>
          <w:tcPr>
            <w:tcW w:w="84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13.0</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41.2</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$ 68.0</w:t>
            </w:r>
          </w:p>
        </w:tc>
        <w:tc>
          <w:tcPr>
            <w:tcW w:w="0" w:type="dxa"/>
            <w:vAlign w:val="bottom"/>
          </w:tcPr>
          <w:p>
            <w:pPr>
              <w:spacing w:after="0"/>
              <w:rPr>
                <w:sz w:val="1"/>
                <w:szCs w:val="1"/>
                <w:color w:val="auto"/>
              </w:rPr>
            </w:pPr>
          </w:p>
        </w:tc>
      </w:tr>
      <w:tr>
        <w:trPr>
          <w:trHeight w:val="249"/>
        </w:trPr>
        <w:tc>
          <w:tcPr>
            <w:tcW w:w="4380" w:type="dxa"/>
            <w:vAlign w:val="bottom"/>
          </w:tcPr>
          <w:p>
            <w:pPr>
              <w:spacing w:after="0"/>
              <w:rPr>
                <w:sz w:val="21"/>
                <w:szCs w:val="21"/>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(1)</w:t>
            </w:r>
          </w:p>
        </w:tc>
        <w:tc>
          <w:tcPr>
            <w:tcW w:w="580" w:type="dxa"/>
            <w:vAlign w:val="bottom"/>
          </w:tcPr>
          <w:p>
            <w:pPr>
              <w:spacing w:after="0"/>
              <w:rPr>
                <w:sz w:val="24"/>
                <w:szCs w:val="2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105.3x</w:t>
            </w:r>
          </w:p>
        </w:tc>
        <w:tc>
          <w:tcPr>
            <w:tcW w:w="32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54.0x</w:t>
            </w:r>
          </w:p>
        </w:tc>
        <w:tc>
          <w:tcPr>
            <w:tcW w:w="500" w:type="dxa"/>
            <w:vAlign w:val="bottom"/>
          </w:tcPr>
          <w:p>
            <w:pPr>
              <w:spacing w:after="0"/>
              <w:rPr>
                <w:sz w:val="24"/>
                <w:szCs w:val="2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15.2x</w:t>
            </w:r>
          </w:p>
        </w:tc>
        <w:tc>
          <w:tcPr>
            <w:tcW w:w="400" w:type="dxa"/>
            <w:vAlign w:val="bottom"/>
          </w:tcPr>
          <w:p>
            <w:pPr>
              <w:spacing w:after="0"/>
              <w:rPr>
                <w:sz w:val="24"/>
                <w:szCs w:val="24"/>
                <w:color w:val="auto"/>
              </w:rPr>
            </w:pP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12.5x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449" w:right="4520" w:hanging="449"/>
        <w:spacing w:after="0" w:line="297" w:lineRule="auto"/>
        <w:tabs>
          <w:tab w:leader="none" w:pos="449"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fixed charges were inadequate to cover total fixed charges by $374.4 million and $89.4 million for the years ended September 3, 1998 and September 2, 1999, respectively.</w:t>
      </w:r>
    </w:p>
    <w:p>
      <w:pPr>
        <w:sectPr>
          <w:pgSz w:w="11900" w:h="16838" w:orient="portrait"/>
          <w:cols w:equalWidth="0" w:num="1">
            <w:col w:w="11529"/>
          </w:cols>
          <w:pgMar w:left="231" w:top="286" w:right="139" w:bottom="1440" w:gutter="0" w:footer="0" w:header="0"/>
        </w:sectPr>
      </w:pPr>
    </w:p>
    <w:bookmarkStart w:id="195" w:name="page196"/>
    <w:bookmarkEnd w:id="195"/>
    <w:p>
      <w:pPr>
        <w:ind w:left="584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1" w:lineRule="exact"/>
        <w:rPr>
          <w:sz w:val="20"/>
          <w:szCs w:val="20"/>
          <w:color w:val="auto"/>
        </w:rPr>
      </w:pPr>
    </w:p>
    <w:p>
      <w:pPr>
        <w:ind w:left="9" w:right="3219" w:firstLine="444"/>
        <w:spacing w:after="0" w:line="263"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Amendment No. 1 to this Form S-3 of our report dated October 4, 1999 relating to the financial statements and the financial statement schedule, which appears in Micron Technology Inc.'s Annual Report on Form 10-K for the year ended September 2, 1999. We also consent to the references to us under the headings "Experts" in such Registration Statement.</w:t>
      </w:r>
    </w:p>
    <w:p>
      <w:pPr>
        <w:spacing w:after="0" w:line="24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PricewaterhouseCoopers LLP</w:t>
      </w:r>
    </w:p>
    <w:p>
      <w:pPr>
        <w:spacing w:after="0" w:line="27" w:lineRule="exact"/>
        <w:rPr>
          <w:sz w:val="20"/>
          <w:szCs w:val="20"/>
          <w:color w:val="auto"/>
        </w:rPr>
      </w:pPr>
    </w:p>
    <w:p>
      <w:pPr>
        <w:ind w:left="169" w:hanging="169"/>
        <w:spacing w:after="0"/>
        <w:tabs>
          <w:tab w:leader="none" w:pos="169"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5" w:lineRule="exact"/>
        <w:rPr>
          <w:rFonts w:ascii="Courier New" w:cs="Courier New" w:eastAsia="Courier New" w:hAnsi="Courier New"/>
          <w:sz w:val="15"/>
          <w:szCs w:val="15"/>
          <w:color w:val="auto"/>
        </w:rPr>
      </w:pPr>
    </w:p>
    <w:p>
      <w:pPr>
        <w:ind w:left="9" w:right="8979"/>
        <w:spacing w:after="0" w:line="65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Boise, ID April 10, 2000</w:t>
      </w:r>
    </w:p>
    <w:p>
      <w:pPr>
        <w:sectPr>
          <w:pgSz w:w="11900" w:h="16838" w:orient="portrait"/>
          <w:cols w:equalWidth="0" w:num="1">
            <w:col w:w="10228"/>
          </w:cols>
          <w:pgMar w:left="231" w:top="286" w:right="1440" w:bottom="1440" w:gutter="0" w:footer="0" w:header="0"/>
        </w:sectPr>
      </w:pPr>
    </w:p>
    <w:bookmarkStart w:id="196" w:name="page197"/>
    <w:bookmarkEnd w:id="196"/>
    <w:p>
      <w:pPr>
        <w:jc w:val="right"/>
        <w:ind w:right="3119"/>
        <w:spacing w:after="0"/>
        <w:rPr>
          <w:sz w:val="20"/>
          <w:szCs w:val="20"/>
          <w:color w:val="auto"/>
        </w:rPr>
      </w:pPr>
      <w:r>
        <w:rPr>
          <w:rFonts w:ascii="Courier New" w:cs="Courier New" w:eastAsia="Courier New" w:hAnsi="Courier New"/>
          <w:sz w:val="15"/>
          <w:szCs w:val="15"/>
          <w:color w:val="auto"/>
        </w:rPr>
        <w:t>EXHIBIT 25.1</w:t>
      </w:r>
    </w:p>
    <w:p>
      <w:pPr>
        <w:spacing w:after="0" w:line="27"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0"/>
          <w:szCs w:val="20"/>
          <w:color w:val="auto"/>
        </w:rPr>
      </w:pP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2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w:t>
      </w:r>
    </w:p>
    <w:p>
      <w:pPr>
        <w:spacing w:after="0" w:line="14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FORM T-1</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STATEMENT OF ELIGIBILITY</w:t>
      </w:r>
    </w:p>
    <w:p>
      <w:pPr>
        <w:spacing w:after="0" w:line="2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 CHECK IF AN APPLICATION TO DETERMINE ELIGIBILITY OF A TRUSTEE PURSUANT TO</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340" w:type="dxa"/>
            <w:vAlign w:val="bottom"/>
          </w:tcPr>
          <w:p>
            <w:pPr>
              <w:ind w:left="2660"/>
              <w:spacing w:after="0"/>
              <w:rPr>
                <w:sz w:val="20"/>
                <w:szCs w:val="20"/>
                <w:color w:val="auto"/>
              </w:rPr>
            </w:pPr>
            <w:r>
              <w:rPr>
                <w:rFonts w:ascii="Courier New" w:cs="Courier New" w:eastAsia="Courier New" w:hAnsi="Courier New"/>
                <w:sz w:val="15"/>
                <w:szCs w:val="15"/>
                <w:color w:val="auto"/>
              </w:rPr>
              <w:t>SECTION 305(b) (2)</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rPr>
              <w:t>NORWEST BANK MINNESOTA, NATIONAL</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ASSOCIATION</w:t>
            </w:r>
          </w:p>
        </w:tc>
        <w:tc>
          <w:tcPr>
            <w:tcW w:w="0" w:type="dxa"/>
            <w:vAlign w:val="bottom"/>
          </w:tcPr>
          <w:p>
            <w:pPr>
              <w:spacing w:after="0"/>
              <w:rPr>
                <w:sz w:val="1"/>
                <w:szCs w:val="1"/>
                <w:color w:val="auto"/>
              </w:rPr>
            </w:pPr>
          </w:p>
        </w:tc>
      </w:tr>
      <w:tr>
        <w:trPr>
          <w:trHeight w:val="249"/>
        </w:trPr>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rPr>
              <w:t>(Exact name of trustee as specified</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in its charter)</w:t>
            </w: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0"/>
                <w:szCs w:val="20"/>
                <w:color w:val="auto"/>
              </w:rPr>
            </w:pPr>
            <w:r>
              <w:rPr>
                <w:rFonts w:ascii="Courier New" w:cs="Courier New" w:eastAsia="Courier New" w:hAnsi="Courier New"/>
                <w:sz w:val="15"/>
                <w:szCs w:val="15"/>
                <w:color w:val="auto"/>
              </w:rPr>
              <w:t>A U.S. National Banking Association</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41-1592157</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(Jurisdiction of incorporation or</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organization if not a U.S. national</w:t>
            </w:r>
          </w:p>
        </w:tc>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Identification No.)</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0"/>
                <w:szCs w:val="20"/>
                <w:color w:val="auto"/>
              </w:rPr>
            </w:pPr>
            <w:r>
              <w:rPr>
                <w:rFonts w:ascii="Courier New" w:cs="Courier New" w:eastAsia="Courier New" w:hAnsi="Courier New"/>
                <w:sz w:val="15"/>
                <w:szCs w:val="15"/>
                <w:color w:val="auto"/>
              </w:rPr>
              <w:t>Sixth Street and Marquette Avenue</w:t>
            </w:r>
          </w:p>
        </w:tc>
        <w:tc>
          <w:tcPr>
            <w:tcW w:w="16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55479</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Minneapolis, Minnesota</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Stanley S. Stroup, General Counsel</w:t>
      </w:r>
    </w:p>
    <w:p>
      <w:pPr>
        <w:spacing w:after="0" w:line="2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Minneapolis, Minnesota 55479</w:t>
      </w:r>
    </w:p>
    <w:p>
      <w:pPr>
        <w:spacing w:after="0" w:line="1" w:lineRule="exact"/>
        <w:rPr>
          <w:sz w:val="20"/>
          <w:szCs w:val="20"/>
          <w:color w:val="auto"/>
        </w:rPr>
      </w:pPr>
    </w:p>
    <w:p>
      <w:pPr>
        <w:ind w:left="3360" w:hanging="529"/>
        <w:spacing w:after="0"/>
        <w:tabs>
          <w:tab w:leader="none" w:pos="336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667-1234</w:t>
      </w:r>
    </w:p>
    <w:p>
      <w:pPr>
        <w:ind w:left="2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Service)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w:t>
      </w:r>
    </w:p>
    <w:p>
      <w:pPr>
        <w:spacing w:after="0" w:line="14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75-1618004</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9"/>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w w:val="98"/>
              </w:rPr>
              <w:t>Identification No.)</w:t>
            </w:r>
          </w:p>
        </w:tc>
        <w:tc>
          <w:tcPr>
            <w:tcW w:w="0" w:type="dxa"/>
            <w:vAlign w:val="bottom"/>
          </w:tcPr>
          <w:p>
            <w:pPr>
              <w:spacing w:after="0"/>
              <w:rPr>
                <w:sz w:val="1"/>
                <w:szCs w:val="1"/>
                <w:color w:val="auto"/>
              </w:rPr>
            </w:pPr>
          </w:p>
        </w:tc>
      </w:tr>
      <w:tr>
        <w:trPr>
          <w:trHeight w:val="263"/>
        </w:trPr>
        <w:tc>
          <w:tcPr>
            <w:tcW w:w="3980" w:type="dxa"/>
            <w:vAlign w:val="bottom"/>
          </w:tcPr>
          <w:p>
            <w:pPr>
              <w:spacing w:after="0"/>
              <w:rPr>
                <w:sz w:val="20"/>
                <w:szCs w:val="20"/>
                <w:color w:val="auto"/>
              </w:rPr>
            </w:pPr>
            <w:r>
              <w:rPr>
                <w:rFonts w:ascii="Courier New" w:cs="Courier New" w:eastAsia="Courier New" w:hAnsi="Courier New"/>
                <w:sz w:val="15"/>
                <w:szCs w:val="15"/>
                <w:color w:val="auto"/>
              </w:rPr>
              <w:t>8000 South Federal Way</w:t>
            </w:r>
          </w:p>
        </w:tc>
        <w:tc>
          <w:tcPr>
            <w:tcW w:w="21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83707-0006</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Boise, Idaho</w:t>
            </w: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w:t>
      </w:r>
    </w:p>
    <w:p>
      <w:pPr>
        <w:spacing w:after="0" w:line="27"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Senior Debt Securities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7" w:right="1440" w:bottom="1440" w:gutter="0" w:footer="0" w:header="0"/>
        </w:sectPr>
      </w:pPr>
    </w:p>
    <w:bookmarkStart w:id="197" w:name="page198"/>
    <w:bookmarkEnd w:id="197"/>
    <w:p>
      <w:pPr>
        <w:spacing w:after="0"/>
        <w:tabs>
          <w:tab w:leader="none" w:pos="760" w:val="left"/>
          <w:tab w:leader="none" w:pos="2720" w:val="left"/>
        </w:tabs>
        <w:rPr>
          <w:sz w:val="20"/>
          <w:szCs w:val="20"/>
          <w:color w:val="auto"/>
        </w:rPr>
      </w:pPr>
      <w:r>
        <w:rPr>
          <w:rFonts w:ascii="Courier New" w:cs="Courier New" w:eastAsia="Courier New" w:hAnsi="Courier New"/>
          <w:sz w:val="15"/>
          <w:szCs w:val="15"/>
          <w:color w:val="auto"/>
        </w:rPr>
        <w:t>Item 1.</w:t>
        <w:tab/>
        <w:t>General Information.</w:t>
      </w:r>
      <w:r>
        <w:rPr>
          <w:sz w:val="20"/>
          <w:szCs w:val="20"/>
          <w:color w:val="auto"/>
        </w:rPr>
        <w:tab/>
      </w:r>
      <w:r>
        <w:rPr>
          <w:rFonts w:ascii="Courier New" w:cs="Courier New" w:eastAsia="Courier New" w:hAnsi="Courier New"/>
          <w:sz w:val="14"/>
          <w:szCs w:val="14"/>
          <w:color w:val="auto"/>
        </w:rPr>
        <w:t>Furnish the following information as to the</w:t>
      </w:r>
    </w:p>
    <w:p>
      <w:pPr>
        <w:spacing w:after="0" w:line="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w:t>
      </w:r>
    </w:p>
    <w:p>
      <w:pPr>
        <w:spacing w:after="0" w:line="145" w:lineRule="exact"/>
        <w:rPr>
          <w:sz w:val="20"/>
          <w:szCs w:val="20"/>
          <w:color w:val="auto"/>
        </w:rPr>
      </w:pPr>
    </w:p>
    <w:p>
      <w:pPr>
        <w:ind w:left="1760" w:right="3219" w:hanging="438"/>
        <w:spacing w:after="0" w:line="353" w:lineRule="auto"/>
        <w:tabs>
          <w:tab w:leader="none" w:pos="176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2" w:lineRule="exact"/>
        <w:rPr>
          <w:rFonts w:ascii="Courier New" w:cs="Courier New" w:eastAsia="Courier New" w:hAnsi="Courier New"/>
          <w:sz w:val="15"/>
          <w:szCs w:val="15"/>
          <w:color w:val="auto"/>
        </w:rPr>
      </w:pPr>
    </w:p>
    <w:p>
      <w:pPr>
        <w:ind w:left="1760" w:right="6059"/>
        <w:spacing w:after="0" w:line="32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Comptroller of the Currency Treasury Department Washington, D.C.</w:t>
      </w:r>
    </w:p>
    <w:p>
      <w:pPr>
        <w:spacing w:after="0" w:line="36" w:lineRule="exact"/>
        <w:rPr>
          <w:rFonts w:ascii="Courier New" w:cs="Courier New" w:eastAsia="Courier New" w:hAnsi="Courier New"/>
          <w:sz w:val="15"/>
          <w:szCs w:val="15"/>
          <w:color w:val="auto"/>
        </w:rPr>
      </w:pPr>
    </w:p>
    <w:p>
      <w:pPr>
        <w:ind w:left="1760" w:right="5179"/>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spacing w:after="0" w:line="12" w:lineRule="exact"/>
        <w:rPr>
          <w:rFonts w:ascii="Courier New" w:cs="Courier New" w:eastAsia="Courier New" w:hAnsi="Courier New"/>
          <w:sz w:val="15"/>
          <w:szCs w:val="15"/>
          <w:color w:val="auto"/>
        </w:rPr>
      </w:pPr>
    </w:p>
    <w:p>
      <w:pPr>
        <w:ind w:left="1760" w:right="3839"/>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Governors of the Federal Reserve System Washington, D.C.</w:t>
      </w:r>
    </w:p>
    <w:p>
      <w:pPr>
        <w:spacing w:after="0" w:line="12"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trustee is authorized to exercise corporate trust</w:t>
      </w:r>
    </w:p>
    <w:p>
      <w:pPr>
        <w:spacing w:after="0" w:line="2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powers.</w:t>
      </w:r>
    </w:p>
    <w:p>
      <w:pPr>
        <w:spacing w:after="0" w:line="145" w:lineRule="exact"/>
        <w:rPr>
          <w:sz w:val="20"/>
          <w:szCs w:val="20"/>
          <w:color w:val="auto"/>
        </w:rPr>
      </w:pPr>
    </w:p>
    <w:p>
      <w:pPr>
        <w:spacing w:after="0"/>
        <w:tabs>
          <w:tab w:leader="none" w:pos="760" w:val="left"/>
          <w:tab w:leader="none" w:pos="3260" w:val="left"/>
        </w:tabs>
        <w:rPr>
          <w:sz w:val="20"/>
          <w:szCs w:val="20"/>
          <w:color w:val="auto"/>
        </w:rPr>
      </w:pPr>
      <w:r>
        <w:rPr>
          <w:rFonts w:ascii="Courier New" w:cs="Courier New" w:eastAsia="Courier New" w:hAnsi="Courier New"/>
          <w:sz w:val="15"/>
          <w:szCs w:val="15"/>
          <w:color w:val="auto"/>
        </w:rPr>
        <w:t>Item 2.</w:t>
        <w:tab/>
        <w:t>Affiliations with Obligor.</w:t>
      </w:r>
      <w:r>
        <w:rPr>
          <w:sz w:val="20"/>
          <w:szCs w:val="20"/>
          <w:color w:val="auto"/>
        </w:rPr>
        <w:tab/>
      </w:r>
      <w:r>
        <w:rPr>
          <w:rFonts w:ascii="Courier New" w:cs="Courier New" w:eastAsia="Courier New" w:hAnsi="Courier New"/>
          <w:sz w:val="14"/>
          <w:szCs w:val="14"/>
          <w:color w:val="auto"/>
        </w:rPr>
        <w:t>If the obligor is an affiliate of the</w:t>
      </w:r>
    </w:p>
    <w:p>
      <w:pPr>
        <w:spacing w:after="0" w:line="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describe each such affiliation.</w:t>
      </w:r>
    </w:p>
    <w:p>
      <w:pPr>
        <w:spacing w:after="0" w:line="14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None with respect to the trustee.</w:t>
      </w:r>
    </w:p>
    <w:p>
      <w:pPr>
        <w:spacing w:after="0" w:line="171"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No responses are included for Items 3-14 of this Form T-1 because the obligor is not in default as provided under Item 13.</w:t>
      </w:r>
    </w:p>
    <w:p>
      <w:pPr>
        <w:spacing w:after="0" w:line="12"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5"/>
          <w:szCs w:val="15"/>
          <w:color w:val="auto"/>
        </w:rPr>
        <w:t>Item 15. Foreign Trustee.</w:t>
      </w:r>
      <w:r>
        <w:rPr>
          <w:sz w:val="20"/>
          <w:szCs w:val="20"/>
          <w:color w:val="auto"/>
        </w:rPr>
        <w:tab/>
      </w:r>
      <w:r>
        <w:rPr>
          <w:rFonts w:ascii="Courier New" w:cs="Courier New" w:eastAsia="Courier New" w:hAnsi="Courier New"/>
          <w:sz w:val="14"/>
          <w:szCs w:val="14"/>
          <w:color w:val="auto"/>
        </w:rPr>
        <w:t>Not applicable.</w:t>
      </w:r>
    </w:p>
    <w:p>
      <w:pPr>
        <w:spacing w:after="0" w:line="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5"/>
          <w:szCs w:val="15"/>
          <w:color w:val="auto"/>
        </w:rPr>
        <w:t>Item 16. List of Exhibits.</w:t>
      </w:r>
      <w:r>
        <w:rPr>
          <w:sz w:val="20"/>
          <w:szCs w:val="20"/>
          <w:color w:val="auto"/>
        </w:rPr>
        <w:tab/>
      </w:r>
      <w:r>
        <w:rPr>
          <w:rFonts w:ascii="Courier New" w:cs="Courier New" w:eastAsia="Courier New" w:hAnsi="Courier New"/>
          <w:sz w:val="14"/>
          <w:szCs w:val="14"/>
          <w:color w:val="auto"/>
        </w:rPr>
        <w:t>List below all exhibits filed as a part of this</w:t>
      </w:r>
    </w:p>
    <w:p>
      <w:pPr>
        <w:spacing w:after="0" w:line="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Statement of Eligibility. Norwest Bank</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incorporates by reference into this Form T-1 the</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exhibits attached hereto.</w:t>
      </w:r>
    </w:p>
    <w:p>
      <w:pPr>
        <w:spacing w:after="0" w:line="145" w:lineRule="exact"/>
        <w:rPr>
          <w:sz w:val="20"/>
          <w:szCs w:val="20"/>
          <w:color w:val="auto"/>
        </w:rPr>
      </w:pPr>
    </w:p>
    <w:p>
      <w:pPr>
        <w:ind w:left="1760" w:right="3659" w:hanging="2129"/>
        <w:spacing w:after="0" w:line="353" w:lineRule="auto"/>
        <w:tabs>
          <w:tab w:leader="none" w:pos="1740" w:val="left"/>
        </w:tabs>
        <w:rPr>
          <w:sz w:val="20"/>
          <w:szCs w:val="20"/>
          <w:color w:val="auto"/>
        </w:rPr>
      </w:pPr>
      <w:r>
        <w:rPr>
          <w:rFonts w:ascii="Courier New" w:cs="Courier New" w:eastAsia="Courier New" w:hAnsi="Courier New"/>
          <w:sz w:val="15"/>
          <w:szCs w:val="15"/>
          <w:color w:val="auto"/>
        </w:rPr>
        <w:t>Exhibit 1.</w:t>
      </w:r>
      <w:r>
        <w:rPr>
          <w:sz w:val="20"/>
          <w:szCs w:val="20"/>
          <w:color w:val="auto"/>
        </w:rPr>
        <w:tab/>
      </w:r>
      <w:r>
        <w:rPr>
          <w:rFonts w:ascii="Courier New" w:cs="Courier New" w:eastAsia="Courier New" w:hAnsi="Courier New"/>
          <w:sz w:val="15"/>
          <w:szCs w:val="15"/>
          <w:color w:val="auto"/>
        </w:rPr>
        <w:t>a. A copy of the Articles of Association of the trustee now in effect.*</w:t>
      </w:r>
    </w:p>
    <w:p>
      <w:pPr>
        <w:spacing w:after="0" w:line="12" w:lineRule="exact"/>
        <w:rPr>
          <w:sz w:val="20"/>
          <w:szCs w:val="20"/>
          <w:color w:val="auto"/>
        </w:rPr>
      </w:pPr>
    </w:p>
    <w:p>
      <w:pPr>
        <w:ind w:left="1760" w:right="3119" w:hanging="2129"/>
        <w:spacing w:after="0" w:line="278" w:lineRule="auto"/>
        <w:tabs>
          <w:tab w:leader="none" w:pos="1740" w:val="left"/>
        </w:tabs>
        <w:rPr>
          <w:sz w:val="20"/>
          <w:szCs w:val="20"/>
          <w:color w:val="auto"/>
        </w:rPr>
      </w:pPr>
      <w:r>
        <w:rPr>
          <w:rFonts w:ascii="Courier New" w:cs="Courier New" w:eastAsia="Courier New" w:hAnsi="Courier New"/>
          <w:sz w:val="15"/>
          <w:szCs w:val="15"/>
          <w:color w:val="auto"/>
        </w:rPr>
        <w:t>Exhibit 2.</w:t>
      </w:r>
      <w:r>
        <w:rPr>
          <w:sz w:val="20"/>
          <w:szCs w:val="20"/>
          <w:color w:val="auto"/>
        </w:rPr>
        <w:tab/>
      </w:r>
      <w:r>
        <w:rPr>
          <w:rFonts w:ascii="Courier New" w:cs="Courier New" w:eastAsia="Courier New" w:hAnsi="Courier New"/>
          <w:sz w:val="15"/>
          <w:szCs w:val="15"/>
          <w:color w:val="auto"/>
        </w:rPr>
        <w:t>a. A copy of the certificate of authority of the trustee to commence business issued June 28, 1872, by the Comptroller of the Currency to The Northwestern National Bank of Minneapolis.*</w:t>
      </w:r>
    </w:p>
    <w:p>
      <w:pPr>
        <w:spacing w:after="0" w:line="66" w:lineRule="exact"/>
        <w:rPr>
          <w:sz w:val="20"/>
          <w:szCs w:val="20"/>
          <w:color w:val="auto"/>
        </w:rPr>
      </w:pPr>
    </w:p>
    <w:p>
      <w:pPr>
        <w:ind w:left="2660" w:right="3119" w:hanging="894"/>
        <w:spacing w:after="0" w:line="259" w:lineRule="auto"/>
        <w:tabs>
          <w:tab w:leader="none" w:pos="266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the Comptroller of the Currency dated January 2, 1934, approving the consolidation of The Northwestern National Bank of Minneapolis and The Minnesota Loan and Trust Company of Minneapolis, with the surviving entity being titled Northwestern National Bank and Trust Company of Minneapolis.*</w:t>
      </w:r>
    </w:p>
    <w:p>
      <w:pPr>
        <w:spacing w:after="0" w:line="81" w:lineRule="exact"/>
        <w:rPr>
          <w:rFonts w:ascii="Courier New" w:cs="Courier New" w:eastAsia="Courier New" w:hAnsi="Courier New"/>
          <w:sz w:val="15"/>
          <w:szCs w:val="15"/>
          <w:color w:val="auto"/>
        </w:rPr>
      </w:pPr>
    </w:p>
    <w:p>
      <w:pPr>
        <w:ind w:left="2660" w:right="3399" w:hanging="894"/>
        <w:spacing w:after="0" w:line="263" w:lineRule="auto"/>
        <w:tabs>
          <w:tab w:leader="none" w:pos="266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the Acting Comptroller of the Currency dated January 12, 1943, as to change of corporate title of Northwestern National Bank and Trust Company of Minneapolis to Northwestern National Bank of Minneapolis.*</w:t>
      </w:r>
    </w:p>
    <w:p>
      <w:pPr>
        <w:sectPr>
          <w:pgSz w:w="11900" w:h="16838" w:orient="portrait"/>
          <w:cols w:equalWidth="0" w:num="1">
            <w:col w:w="10219"/>
          </w:cols>
          <w:pgMar w:left="240" w:top="605" w:right="1440" w:bottom="1440" w:gutter="0" w:footer="0" w:header="0"/>
        </w:sectPr>
      </w:pPr>
    </w:p>
    <w:bookmarkStart w:id="198" w:name="page199"/>
    <w:bookmarkEnd w:id="198"/>
    <w:p>
      <w:pPr>
        <w:ind w:left="2225" w:right="3299" w:hanging="894"/>
        <w:spacing w:after="0" w:line="285" w:lineRule="auto"/>
        <w:tabs>
          <w:tab w:leader="none" w:pos="2225"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letter dated May 12, 1983 from the Regional Counsel, Comptroller of the Currency, acknowledging receipt of notice of name change effective May 1, 1983 from Northwestern National Bank of Minneapolis to Norwest Bank Minneapolis, National Association.*</w:t>
      </w:r>
    </w:p>
    <w:p>
      <w:pPr>
        <w:spacing w:after="0" w:line="64" w:lineRule="exact"/>
        <w:rPr>
          <w:rFonts w:ascii="Courier New" w:cs="Courier New" w:eastAsia="Courier New" w:hAnsi="Courier New"/>
          <w:sz w:val="14"/>
          <w:szCs w:val="14"/>
          <w:color w:val="auto"/>
        </w:rPr>
      </w:pPr>
    </w:p>
    <w:p>
      <w:pPr>
        <w:ind w:left="2225" w:right="3119" w:hanging="894"/>
        <w:spacing w:after="0" w:line="281" w:lineRule="auto"/>
        <w:tabs>
          <w:tab w:leader="none" w:pos="2225"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letter dated January 4, 1988 from the Administrator of National Banks for the Comptroller of the Currency certifying approval of consolidation and merger effective January 1, 1988 of Norwest Bank Minneapolis, National Association with various other banks under the title of "Norwest Bank Minnesota, National Association."*</w:t>
      </w:r>
    </w:p>
    <w:p>
      <w:pPr>
        <w:spacing w:after="0" w:line="65" w:lineRule="exact"/>
        <w:rPr>
          <w:sz w:val="20"/>
          <w:szCs w:val="20"/>
          <w:color w:val="auto"/>
        </w:rPr>
      </w:pPr>
    </w:p>
    <w:p>
      <w:pPr>
        <w:ind w:left="1325" w:right="3659" w:hanging="1242"/>
        <w:spacing w:after="0" w:line="297" w:lineRule="auto"/>
        <w:tabs>
          <w:tab w:leader="none" w:pos="1305" w:val="left"/>
        </w:tabs>
        <w:rPr>
          <w:sz w:val="20"/>
          <w:szCs w:val="20"/>
          <w:color w:val="auto"/>
        </w:rPr>
      </w:pPr>
      <w:r>
        <w:rPr>
          <w:rFonts w:ascii="Courier New" w:cs="Courier New" w:eastAsia="Courier New" w:hAnsi="Courier New"/>
          <w:sz w:val="15"/>
          <w:szCs w:val="15"/>
          <w:color w:val="auto"/>
        </w:rPr>
        <w:t>Exhibit 3.</w:t>
      </w:r>
      <w:r>
        <w:rPr>
          <w:sz w:val="20"/>
          <w:szCs w:val="20"/>
          <w:color w:val="auto"/>
        </w:rPr>
        <w:tab/>
      </w:r>
      <w:r>
        <w:rPr>
          <w:rFonts w:ascii="Courier New" w:cs="Courier New" w:eastAsia="Courier New" w:hAnsi="Courier New"/>
          <w:sz w:val="15"/>
          <w:szCs w:val="15"/>
          <w:color w:val="auto"/>
        </w:rPr>
        <w:t>A copy of the authorization of the trustee to exercise corporate trust powers issued January 2, 1934, by the Federal Reserve Board.*</w:t>
      </w:r>
    </w:p>
    <w:p>
      <w:pPr>
        <w:spacing w:after="0" w:line="52" w:lineRule="exact"/>
        <w:rPr>
          <w:sz w:val="20"/>
          <w:szCs w:val="20"/>
          <w:color w:val="auto"/>
        </w:rPr>
      </w:pPr>
    </w:p>
    <w:p>
      <w:pPr>
        <w:ind w:left="85"/>
        <w:spacing w:after="0"/>
        <w:tabs>
          <w:tab w:leader="none" w:pos="1305" w:val="left"/>
        </w:tabs>
        <w:rPr>
          <w:sz w:val="20"/>
          <w:szCs w:val="20"/>
          <w:color w:val="auto"/>
        </w:rPr>
      </w:pPr>
      <w:r>
        <w:rPr>
          <w:rFonts w:ascii="Courier New" w:cs="Courier New" w:eastAsia="Courier New" w:hAnsi="Courier New"/>
          <w:sz w:val="15"/>
          <w:szCs w:val="15"/>
          <w:color w:val="auto"/>
        </w:rPr>
        <w:t>Exhibit 4.</w:t>
      </w:r>
      <w:r>
        <w:rPr>
          <w:sz w:val="20"/>
          <w:szCs w:val="20"/>
          <w:color w:val="auto"/>
        </w:rPr>
        <w:tab/>
      </w:r>
      <w:r>
        <w:rPr>
          <w:rFonts w:ascii="Courier New" w:cs="Courier New" w:eastAsia="Courier New" w:hAnsi="Courier New"/>
          <w:sz w:val="14"/>
          <w:szCs w:val="14"/>
          <w:color w:val="auto"/>
        </w:rPr>
        <w:t>Copy of By-laws of the trustee as now in effect.*</w:t>
      </w:r>
    </w:p>
    <w:p>
      <w:pPr>
        <w:spacing w:after="0" w:line="171" w:lineRule="exact"/>
        <w:rPr>
          <w:sz w:val="20"/>
          <w:szCs w:val="20"/>
          <w:color w:val="auto"/>
        </w:rPr>
      </w:pPr>
    </w:p>
    <w:p>
      <w:pPr>
        <w:ind w:left="85"/>
        <w:spacing w:after="0"/>
        <w:tabs>
          <w:tab w:leader="none" w:pos="1305" w:val="left"/>
        </w:tabs>
        <w:rPr>
          <w:sz w:val="20"/>
          <w:szCs w:val="20"/>
          <w:color w:val="auto"/>
        </w:rPr>
      </w:pPr>
      <w:r>
        <w:rPr>
          <w:rFonts w:ascii="Courier New" w:cs="Courier New" w:eastAsia="Courier New" w:hAnsi="Courier New"/>
          <w:sz w:val="15"/>
          <w:szCs w:val="15"/>
          <w:color w:val="auto"/>
        </w:rPr>
        <w:t>Exhibit 5.</w:t>
      </w:r>
      <w:r>
        <w:rPr>
          <w:sz w:val="20"/>
          <w:szCs w:val="20"/>
          <w:color w:val="auto"/>
        </w:rPr>
        <w:tab/>
      </w:r>
      <w:r>
        <w:rPr>
          <w:rFonts w:ascii="Courier New" w:cs="Courier New" w:eastAsia="Courier New" w:hAnsi="Courier New"/>
          <w:sz w:val="14"/>
          <w:szCs w:val="14"/>
          <w:color w:val="auto"/>
        </w:rPr>
        <w:t>Not applicable.</w:t>
      </w:r>
    </w:p>
    <w:p>
      <w:pPr>
        <w:spacing w:after="0" w:line="171" w:lineRule="exact"/>
        <w:rPr>
          <w:sz w:val="20"/>
          <w:szCs w:val="20"/>
          <w:color w:val="auto"/>
        </w:rPr>
      </w:pPr>
    </w:p>
    <w:p>
      <w:pPr>
        <w:ind w:left="1325" w:right="3119" w:hanging="1242"/>
        <w:spacing w:after="0" w:line="353" w:lineRule="auto"/>
        <w:tabs>
          <w:tab w:leader="none" w:pos="1305" w:val="left"/>
        </w:tabs>
        <w:rPr>
          <w:sz w:val="20"/>
          <w:szCs w:val="20"/>
          <w:color w:val="auto"/>
        </w:rPr>
      </w:pPr>
      <w:r>
        <w:rPr>
          <w:rFonts w:ascii="Courier New" w:cs="Courier New" w:eastAsia="Courier New" w:hAnsi="Courier New"/>
          <w:sz w:val="15"/>
          <w:szCs w:val="15"/>
          <w:color w:val="auto"/>
        </w:rPr>
        <w:t>Exhibit 6.</w:t>
      </w:r>
      <w:r>
        <w:rPr>
          <w:sz w:val="20"/>
          <w:szCs w:val="20"/>
          <w:color w:val="auto"/>
        </w:rPr>
        <w:tab/>
      </w:r>
      <w:r>
        <w:rPr>
          <w:rFonts w:ascii="Courier New" w:cs="Courier New" w:eastAsia="Courier New" w:hAnsi="Courier New"/>
          <w:sz w:val="15"/>
          <w:szCs w:val="15"/>
          <w:color w:val="auto"/>
        </w:rPr>
        <w:t>The consent of the trustee required by Section 321(b) of the Act.</w:t>
      </w:r>
    </w:p>
    <w:p>
      <w:pPr>
        <w:spacing w:after="0" w:line="12" w:lineRule="exact"/>
        <w:rPr>
          <w:sz w:val="20"/>
          <w:szCs w:val="20"/>
          <w:color w:val="auto"/>
        </w:rPr>
      </w:pPr>
    </w:p>
    <w:p>
      <w:pPr>
        <w:ind w:left="1325" w:right="3579" w:hanging="1242"/>
        <w:spacing w:after="0" w:line="297" w:lineRule="auto"/>
        <w:tabs>
          <w:tab w:leader="none" w:pos="1305" w:val="left"/>
        </w:tabs>
        <w:rPr>
          <w:sz w:val="20"/>
          <w:szCs w:val="20"/>
          <w:color w:val="auto"/>
        </w:rPr>
      </w:pPr>
      <w:r>
        <w:rPr>
          <w:rFonts w:ascii="Courier New" w:cs="Courier New" w:eastAsia="Courier New" w:hAnsi="Courier New"/>
          <w:sz w:val="15"/>
          <w:szCs w:val="15"/>
          <w:color w:val="auto"/>
        </w:rPr>
        <w:t>Exhibit 7.</w:t>
      </w:r>
      <w:r>
        <w:rPr>
          <w:sz w:val="20"/>
          <w:szCs w:val="20"/>
          <w:color w:val="auto"/>
        </w:rPr>
        <w:tab/>
      </w: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52" w:lineRule="exact"/>
        <w:rPr>
          <w:sz w:val="20"/>
          <w:szCs w:val="20"/>
          <w:color w:val="auto"/>
        </w:rPr>
      </w:pPr>
    </w:p>
    <w:p>
      <w:pPr>
        <w:ind w:left="85"/>
        <w:spacing w:after="0"/>
        <w:tabs>
          <w:tab w:leader="none" w:pos="1305" w:val="left"/>
        </w:tabs>
        <w:rPr>
          <w:sz w:val="20"/>
          <w:szCs w:val="20"/>
          <w:color w:val="auto"/>
        </w:rPr>
      </w:pPr>
      <w:r>
        <w:rPr>
          <w:rFonts w:ascii="Courier New" w:cs="Courier New" w:eastAsia="Courier New" w:hAnsi="Courier New"/>
          <w:sz w:val="15"/>
          <w:szCs w:val="15"/>
          <w:color w:val="auto"/>
        </w:rPr>
        <w:t>Exhibit 8.</w:t>
      </w:r>
      <w:r>
        <w:rPr>
          <w:sz w:val="20"/>
          <w:szCs w:val="20"/>
          <w:color w:val="auto"/>
        </w:rPr>
        <w:tab/>
      </w:r>
      <w:r>
        <w:rPr>
          <w:rFonts w:ascii="Courier New" w:cs="Courier New" w:eastAsia="Courier New" w:hAnsi="Courier New"/>
          <w:sz w:val="14"/>
          <w:szCs w:val="14"/>
          <w:color w:val="auto"/>
        </w:rPr>
        <w:t>Not applicable.</w:t>
      </w:r>
    </w:p>
    <w:p>
      <w:pPr>
        <w:spacing w:after="0" w:line="171" w:lineRule="exact"/>
        <w:rPr>
          <w:sz w:val="20"/>
          <w:szCs w:val="20"/>
          <w:color w:val="auto"/>
        </w:rPr>
      </w:pPr>
    </w:p>
    <w:p>
      <w:pPr>
        <w:ind w:left="85"/>
        <w:spacing w:after="0"/>
        <w:tabs>
          <w:tab w:leader="none" w:pos="1305" w:val="left"/>
        </w:tabs>
        <w:rPr>
          <w:sz w:val="20"/>
          <w:szCs w:val="20"/>
          <w:color w:val="auto"/>
        </w:rPr>
      </w:pPr>
      <w:r>
        <w:rPr>
          <w:rFonts w:ascii="Courier New" w:cs="Courier New" w:eastAsia="Courier New" w:hAnsi="Courier New"/>
          <w:sz w:val="15"/>
          <w:szCs w:val="15"/>
          <w:color w:val="auto"/>
        </w:rPr>
        <w:t>Exhibit 9.</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313" w:lineRule="exact"/>
        <w:rPr>
          <w:sz w:val="20"/>
          <w:szCs w:val="20"/>
          <w:color w:val="auto"/>
        </w:rPr>
      </w:pPr>
    </w:p>
    <w:p>
      <w:pPr>
        <w:ind w:left="445" w:right="3119" w:hanging="445"/>
        <w:spacing w:after="0" w:line="353" w:lineRule="auto"/>
        <w:tabs>
          <w:tab w:leader="none" w:pos="445"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33-66026.</w:t>
      </w:r>
    </w:p>
    <w:p>
      <w:pPr>
        <w:spacing w:after="0" w:line="12" w:lineRule="exact"/>
        <w:rPr>
          <w:sz w:val="20"/>
          <w:szCs w:val="20"/>
          <w:color w:val="auto"/>
        </w:rPr>
      </w:pPr>
    </w:p>
    <w:p>
      <w:pPr>
        <w:ind w:left="445" w:right="3119" w:hanging="445"/>
        <w:spacing w:after="0" w:line="353" w:lineRule="auto"/>
        <w:tabs>
          <w:tab w:leader="none" w:pos="445"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333-32992.</w:t>
      </w:r>
    </w:p>
    <w:p>
      <w:pPr>
        <w:sectPr>
          <w:pgSz w:w="11900" w:h="16838" w:orient="portrait"/>
          <w:cols w:equalWidth="0" w:num="1">
            <w:col w:w="9784"/>
          </w:cols>
          <w:pgMar w:left="675" w:top="605" w:right="1440" w:bottom="1440" w:gutter="0" w:footer="0" w:header="0"/>
        </w:sectPr>
      </w:pPr>
    </w:p>
    <w:bookmarkStart w:id="199" w:name="page200"/>
    <w:bookmarkEnd w:id="199"/>
    <w:p>
      <w:pPr>
        <w:ind w:left="3100"/>
        <w:spacing w:after="0"/>
        <w:rPr>
          <w:sz w:val="20"/>
          <w:szCs w:val="20"/>
          <w:color w:val="auto"/>
        </w:rPr>
      </w:pPr>
      <w:r>
        <w:rPr>
          <w:rFonts w:ascii="Courier New" w:cs="Courier New" w:eastAsia="Courier New" w:hAnsi="Courier New"/>
          <w:sz w:val="15"/>
          <w:szCs w:val="15"/>
          <w:color w:val="auto"/>
        </w:rPr>
        <w:t>SIGNATURE</w:t>
      </w:r>
    </w:p>
    <w:p>
      <w:pPr>
        <w:spacing w:after="0" w:line="342" w:lineRule="exact"/>
        <w:rPr>
          <w:sz w:val="20"/>
          <w:szCs w:val="20"/>
          <w:color w:val="auto"/>
        </w:rPr>
      </w:pPr>
    </w:p>
    <w:p>
      <w:pPr>
        <w:ind w:right="3119"/>
        <w:spacing w:after="0" w:line="263" w:lineRule="auto"/>
        <w:rPr>
          <w:sz w:val="20"/>
          <w:szCs w:val="20"/>
          <w:color w:val="auto"/>
        </w:rPr>
      </w:pPr>
      <w:r>
        <w:rPr>
          <w:rFonts w:ascii="Courier New" w:cs="Courier New" w:eastAsia="Courier New" w:hAnsi="Courier New"/>
          <w:sz w:val="15"/>
          <w:szCs w:val="15"/>
          <w:color w:val="auto"/>
        </w:rPr>
        <w:t>Pursuant to the requirements of the Trust Indenture Act of 1939, as amended, the trustee, Norwest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4th day of April 2000.</w:t>
      </w:r>
    </w:p>
    <w:p>
      <w:pPr>
        <w:spacing w:after="0" w:line="200" w:lineRule="exact"/>
        <w:rPr>
          <w:sz w:val="20"/>
          <w:szCs w:val="20"/>
          <w:color w:val="auto"/>
        </w:rPr>
      </w:pPr>
    </w:p>
    <w:p>
      <w:pPr>
        <w:spacing w:after="0" w:line="21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NORWEST BANK MINNESOTA,</w:t>
      </w:r>
    </w:p>
    <w:p>
      <w:pPr>
        <w:spacing w:after="0" w:line="2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NATIONAL ASSOCIATION</w:t>
      </w:r>
    </w:p>
    <w:p>
      <w:pPr>
        <w:spacing w:after="0" w:line="14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 Timothy P. Mowdy</w:t>
      </w:r>
    </w:p>
    <w:p>
      <w:pPr>
        <w:spacing w:after="0" w:line="2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Timothy P. Mowdy</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05" w:right="1440" w:bottom="1440" w:gutter="0" w:footer="0" w:header="0"/>
        </w:sectPr>
      </w:pPr>
    </w:p>
    <w:bookmarkStart w:id="200" w:name="page201"/>
    <w:bookmarkEnd w:id="200"/>
    <w:p>
      <w:pPr>
        <w:ind w:left="3100"/>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4, 2000</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 20549</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1" w:lineRule="exact"/>
        <w:rPr>
          <w:sz w:val="20"/>
          <w:szCs w:val="20"/>
          <w:color w:val="auto"/>
        </w:rPr>
      </w:pPr>
    </w:p>
    <w:p>
      <w:pPr>
        <w:ind w:right="3219"/>
        <w:spacing w:after="0" w:line="269" w:lineRule="auto"/>
        <w:rPr>
          <w:sz w:val="20"/>
          <w:szCs w:val="20"/>
          <w:color w:val="auto"/>
        </w:rPr>
      </w:pPr>
      <w:r>
        <w:rPr>
          <w:rFonts w:ascii="Courier New" w:cs="Courier New" w:eastAsia="Courier New" w:hAnsi="Courier New"/>
          <w:sz w:val="15"/>
          <w:szCs w:val="15"/>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21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NORWEST BANK MINNESOTA,</w:t>
      </w:r>
    </w:p>
    <w:p>
      <w:pPr>
        <w:spacing w:after="0" w:line="2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NATIONAL ASSOCIATION</w:t>
      </w:r>
    </w:p>
    <w:p>
      <w:pPr>
        <w:spacing w:after="0" w:line="14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 Timothy P. Mowdy</w:t>
      </w:r>
    </w:p>
    <w:p>
      <w:pPr>
        <w:spacing w:after="0" w:line="2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Timothy P. Mowdy</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05" w:right="1440" w:bottom="1440" w:gutter="0" w:footer="0" w:header="0"/>
        </w:sectPr>
      </w:pPr>
    </w:p>
    <w:bookmarkStart w:id="201" w:name="page202"/>
    <w:bookmarkEnd w:id="201"/>
    <w:p>
      <w:pPr>
        <w:jc w:val="right"/>
        <w:ind w:right="3119"/>
        <w:spacing w:after="0"/>
        <w:rPr>
          <w:sz w:val="20"/>
          <w:szCs w:val="20"/>
          <w:color w:val="auto"/>
        </w:rPr>
      </w:pPr>
      <w:r>
        <w:rPr>
          <w:rFonts w:ascii="Courier New" w:cs="Courier New" w:eastAsia="Courier New" w:hAnsi="Courier New"/>
          <w:sz w:val="15"/>
          <w:szCs w:val="15"/>
          <w:color w:val="auto"/>
        </w:rPr>
        <w:t>EXHIBIT 25.2</w:t>
      </w:r>
    </w:p>
    <w:p>
      <w:pPr>
        <w:spacing w:after="0" w:line="27"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5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0"/>
          <w:szCs w:val="20"/>
          <w:color w:val="auto"/>
        </w:rPr>
      </w:pP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2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w:t>
      </w:r>
    </w:p>
    <w:p>
      <w:pPr>
        <w:spacing w:after="0" w:line="14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FORM T-1</w:t>
      </w:r>
    </w:p>
    <w:p>
      <w:pPr>
        <w:spacing w:after="0" w:line="17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STATEMENT OF ELIGIBILITY</w:t>
      </w:r>
    </w:p>
    <w:p>
      <w:pPr>
        <w:spacing w:after="0" w:line="2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UNDER THE TRUST INDENTURE ACT OF 1939 OF A</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 CHECK IF AN APPLICATION TO DETERMINE ELIGIBILITY OF A TRUSTEE PURSUANT TO</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340" w:type="dxa"/>
            <w:vAlign w:val="bottom"/>
          </w:tcPr>
          <w:p>
            <w:pPr>
              <w:ind w:left="2660"/>
              <w:spacing w:after="0"/>
              <w:rPr>
                <w:sz w:val="20"/>
                <w:szCs w:val="20"/>
                <w:color w:val="auto"/>
              </w:rPr>
            </w:pPr>
            <w:r>
              <w:rPr>
                <w:rFonts w:ascii="Courier New" w:cs="Courier New" w:eastAsia="Courier New" w:hAnsi="Courier New"/>
                <w:sz w:val="15"/>
                <w:szCs w:val="15"/>
                <w:color w:val="auto"/>
              </w:rPr>
              <w:t>SECTION 305(b) (2)</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rPr>
              <w:t>NORWEST BANK MINNESOTA, NATIONAL</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ASSOCIATION</w:t>
            </w:r>
          </w:p>
        </w:tc>
        <w:tc>
          <w:tcPr>
            <w:tcW w:w="0" w:type="dxa"/>
            <w:vAlign w:val="bottom"/>
          </w:tcPr>
          <w:p>
            <w:pPr>
              <w:spacing w:after="0"/>
              <w:rPr>
                <w:sz w:val="1"/>
                <w:szCs w:val="1"/>
                <w:color w:val="auto"/>
              </w:rPr>
            </w:pPr>
          </w:p>
        </w:tc>
      </w:tr>
      <w:tr>
        <w:trPr>
          <w:trHeight w:val="249"/>
        </w:trPr>
        <w:tc>
          <w:tcPr>
            <w:tcW w:w="4340" w:type="dxa"/>
            <w:vAlign w:val="bottom"/>
          </w:tcPr>
          <w:p>
            <w:pPr>
              <w:jc w:val="right"/>
              <w:spacing w:after="0"/>
              <w:rPr>
                <w:sz w:val="20"/>
                <w:szCs w:val="20"/>
                <w:color w:val="auto"/>
              </w:rPr>
            </w:pPr>
            <w:r>
              <w:rPr>
                <w:rFonts w:ascii="Courier New" w:cs="Courier New" w:eastAsia="Courier New" w:hAnsi="Courier New"/>
                <w:sz w:val="15"/>
                <w:szCs w:val="15"/>
                <w:color w:val="auto"/>
              </w:rPr>
              <w:t>(Exact name of trustee as specified</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in its charter)</w:t>
            </w: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0"/>
                <w:szCs w:val="20"/>
                <w:color w:val="auto"/>
              </w:rPr>
            </w:pPr>
            <w:r>
              <w:rPr>
                <w:rFonts w:ascii="Courier New" w:cs="Courier New" w:eastAsia="Courier New" w:hAnsi="Courier New"/>
                <w:sz w:val="15"/>
                <w:szCs w:val="15"/>
                <w:color w:val="auto"/>
              </w:rPr>
              <w:t>A U.S. National Banking Association</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41-1592157</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(Jurisdiction of incorporation or</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organization if not a U.S. national</w:t>
            </w:r>
          </w:p>
        </w:tc>
        <w:tc>
          <w:tcPr>
            <w:tcW w:w="1680" w:type="dxa"/>
            <w:vAlign w:val="bottom"/>
          </w:tcPr>
          <w:p>
            <w:pPr>
              <w:spacing w:after="0"/>
              <w:rPr>
                <w:sz w:val="20"/>
                <w:szCs w:val="20"/>
                <w:color w:val="auto"/>
              </w:rPr>
            </w:pPr>
            <w:r>
              <w:rPr>
                <w:rFonts w:ascii="Courier New" w:cs="Courier New" w:eastAsia="Courier New" w:hAnsi="Courier New"/>
                <w:sz w:val="15"/>
                <w:szCs w:val="15"/>
                <w:color w:val="auto"/>
                <w:w w:val="97"/>
              </w:rPr>
              <w:t>Identification No.)</w:t>
            </w: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bank)</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0"/>
                <w:szCs w:val="20"/>
                <w:color w:val="auto"/>
              </w:rPr>
            </w:pPr>
            <w:r>
              <w:rPr>
                <w:rFonts w:ascii="Courier New" w:cs="Courier New" w:eastAsia="Courier New" w:hAnsi="Courier New"/>
                <w:sz w:val="15"/>
                <w:szCs w:val="15"/>
                <w:color w:val="auto"/>
              </w:rPr>
              <w:t>Sixth Street and Marquette Avenue</w:t>
            </w:r>
          </w:p>
        </w:tc>
        <w:tc>
          <w:tcPr>
            <w:tcW w:w="16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55479</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Minneapolis, Minnesota</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34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1680" w:type="dxa"/>
            <w:vAlign w:val="bottom"/>
          </w:tcPr>
          <w:p>
            <w:pPr>
              <w:ind w:left="8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Stanley S. Stroup, General Counsel</w:t>
      </w:r>
    </w:p>
    <w:p>
      <w:pPr>
        <w:spacing w:after="0" w:line="2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Sixth Street and Marquette Avenue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Minneapolis, Minnesota 55479</w:t>
      </w:r>
    </w:p>
    <w:p>
      <w:pPr>
        <w:spacing w:after="0" w:line="1" w:lineRule="exact"/>
        <w:rPr>
          <w:sz w:val="20"/>
          <w:szCs w:val="20"/>
          <w:color w:val="auto"/>
        </w:rPr>
      </w:pPr>
    </w:p>
    <w:p>
      <w:pPr>
        <w:ind w:left="3360" w:hanging="529"/>
        <w:spacing w:after="0"/>
        <w:tabs>
          <w:tab w:leader="none" w:pos="336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667-1234</w:t>
      </w:r>
    </w:p>
    <w:p>
      <w:pPr>
        <w:ind w:left="26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(Agent for Service)</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w:t>
      </w:r>
    </w:p>
    <w:p>
      <w:pPr>
        <w:spacing w:after="0" w:line="14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MICRON TECHNOLOGY, INC.</w:t>
      </w:r>
    </w:p>
    <w:p>
      <w:pPr>
        <w:spacing w:after="0" w:line="2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(Exact name of obligor as specified in its charter)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75-1618004</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49"/>
        </w:trPr>
        <w:tc>
          <w:tcPr>
            <w:tcW w:w="398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w w:val="98"/>
              </w:rPr>
              <w:t>Identification No.)</w:t>
            </w:r>
          </w:p>
        </w:tc>
        <w:tc>
          <w:tcPr>
            <w:tcW w:w="0" w:type="dxa"/>
            <w:vAlign w:val="bottom"/>
          </w:tcPr>
          <w:p>
            <w:pPr>
              <w:spacing w:after="0"/>
              <w:rPr>
                <w:sz w:val="1"/>
                <w:szCs w:val="1"/>
                <w:color w:val="auto"/>
              </w:rPr>
            </w:pPr>
          </w:p>
        </w:tc>
      </w:tr>
      <w:tr>
        <w:trPr>
          <w:trHeight w:val="263"/>
        </w:trPr>
        <w:tc>
          <w:tcPr>
            <w:tcW w:w="3980" w:type="dxa"/>
            <w:vAlign w:val="bottom"/>
          </w:tcPr>
          <w:p>
            <w:pPr>
              <w:spacing w:after="0"/>
              <w:rPr>
                <w:sz w:val="20"/>
                <w:szCs w:val="20"/>
                <w:color w:val="auto"/>
              </w:rPr>
            </w:pPr>
            <w:r>
              <w:rPr>
                <w:rFonts w:ascii="Courier New" w:cs="Courier New" w:eastAsia="Courier New" w:hAnsi="Courier New"/>
                <w:sz w:val="15"/>
                <w:szCs w:val="15"/>
                <w:color w:val="auto"/>
              </w:rPr>
              <w:t>8000 South Federal Way</w:t>
            </w:r>
          </w:p>
        </w:tc>
        <w:tc>
          <w:tcPr>
            <w:tcW w:w="214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83707-0006</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Boise, Idaho</w:t>
            </w:r>
          </w:p>
        </w:tc>
        <w:tc>
          <w:tcPr>
            <w:tcW w:w="2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w:t>
      </w:r>
    </w:p>
    <w:p>
      <w:pPr>
        <w:spacing w:after="0" w:line="2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Subordinated Debt Securities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57" w:right="1440" w:bottom="1440" w:gutter="0" w:footer="0" w:header="0"/>
        </w:sectPr>
      </w:pPr>
    </w:p>
    <w:bookmarkStart w:id="202" w:name="page203"/>
    <w:bookmarkEnd w:id="202"/>
    <w:p>
      <w:pPr>
        <w:spacing w:after="0"/>
        <w:tabs>
          <w:tab w:leader="none" w:pos="760" w:val="left"/>
          <w:tab w:leader="none" w:pos="2720" w:val="left"/>
        </w:tabs>
        <w:rPr>
          <w:sz w:val="20"/>
          <w:szCs w:val="20"/>
          <w:color w:val="auto"/>
        </w:rPr>
      </w:pPr>
      <w:r>
        <w:rPr>
          <w:rFonts w:ascii="Courier New" w:cs="Courier New" w:eastAsia="Courier New" w:hAnsi="Courier New"/>
          <w:sz w:val="15"/>
          <w:szCs w:val="15"/>
          <w:color w:val="auto"/>
        </w:rPr>
        <w:t>Item 1.</w:t>
        <w:tab/>
        <w:t>General Information.</w:t>
      </w:r>
      <w:r>
        <w:rPr>
          <w:sz w:val="20"/>
          <w:szCs w:val="20"/>
          <w:color w:val="auto"/>
        </w:rPr>
        <w:tab/>
      </w:r>
      <w:r>
        <w:rPr>
          <w:rFonts w:ascii="Courier New" w:cs="Courier New" w:eastAsia="Courier New" w:hAnsi="Courier New"/>
          <w:sz w:val="14"/>
          <w:szCs w:val="14"/>
          <w:color w:val="auto"/>
        </w:rPr>
        <w:t>Furnish the following information as to the</w:t>
      </w:r>
    </w:p>
    <w:p>
      <w:pPr>
        <w:spacing w:after="0" w:line="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w:t>
      </w:r>
    </w:p>
    <w:p>
      <w:pPr>
        <w:spacing w:after="0" w:line="145" w:lineRule="exact"/>
        <w:rPr>
          <w:sz w:val="20"/>
          <w:szCs w:val="20"/>
          <w:color w:val="auto"/>
        </w:rPr>
      </w:pPr>
    </w:p>
    <w:p>
      <w:pPr>
        <w:ind w:left="1760" w:right="3219" w:hanging="438"/>
        <w:spacing w:after="0" w:line="353" w:lineRule="auto"/>
        <w:tabs>
          <w:tab w:leader="none" w:pos="176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12" w:lineRule="exact"/>
        <w:rPr>
          <w:rFonts w:ascii="Courier New" w:cs="Courier New" w:eastAsia="Courier New" w:hAnsi="Courier New"/>
          <w:sz w:val="15"/>
          <w:szCs w:val="15"/>
          <w:color w:val="auto"/>
        </w:rPr>
      </w:pPr>
    </w:p>
    <w:p>
      <w:pPr>
        <w:ind w:left="1760" w:right="6059"/>
        <w:spacing w:after="0" w:line="32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Comptroller of the Currency Treasury Department Washington, D.C.</w:t>
      </w:r>
    </w:p>
    <w:p>
      <w:pPr>
        <w:spacing w:after="0" w:line="36" w:lineRule="exact"/>
        <w:rPr>
          <w:rFonts w:ascii="Courier New" w:cs="Courier New" w:eastAsia="Courier New" w:hAnsi="Courier New"/>
          <w:sz w:val="15"/>
          <w:szCs w:val="15"/>
          <w:color w:val="auto"/>
        </w:rPr>
      </w:pPr>
    </w:p>
    <w:p>
      <w:pPr>
        <w:ind w:left="1760" w:right="5179"/>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Deposit Insurance Corporation Washington, D.C.</w:t>
      </w:r>
    </w:p>
    <w:p>
      <w:pPr>
        <w:spacing w:after="0" w:line="12" w:lineRule="exact"/>
        <w:rPr>
          <w:rFonts w:ascii="Courier New" w:cs="Courier New" w:eastAsia="Courier New" w:hAnsi="Courier New"/>
          <w:sz w:val="15"/>
          <w:szCs w:val="15"/>
          <w:color w:val="auto"/>
        </w:rPr>
      </w:pPr>
    </w:p>
    <w:p>
      <w:pPr>
        <w:ind w:left="1760" w:right="3839"/>
        <w:spacing w:after="0" w:line="3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Governors of the Federal Reserve System Washington, D.C.</w:t>
      </w:r>
    </w:p>
    <w:p>
      <w:pPr>
        <w:spacing w:after="0" w:line="12" w:lineRule="exact"/>
        <w:rPr>
          <w:rFonts w:ascii="Courier New" w:cs="Courier New" w:eastAsia="Courier New" w:hAnsi="Courier New"/>
          <w:sz w:val="15"/>
          <w:szCs w:val="15"/>
          <w:color w:val="auto"/>
        </w:rPr>
      </w:pPr>
    </w:p>
    <w:p>
      <w:pPr>
        <w:ind w:left="1760" w:hanging="438"/>
        <w:spacing w:after="0"/>
        <w:tabs>
          <w:tab w:leader="none" w:pos="176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it is authorized to exercise corporate trust powers.</w:t>
      </w:r>
    </w:p>
    <w:p>
      <w:pPr>
        <w:spacing w:after="0" w:line="18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trustee is authorized to exercise corporate trust</w:t>
      </w:r>
    </w:p>
    <w:p>
      <w:pPr>
        <w:spacing w:after="0" w:line="2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powers.</w:t>
      </w:r>
    </w:p>
    <w:p>
      <w:pPr>
        <w:spacing w:after="0" w:line="145" w:lineRule="exact"/>
        <w:rPr>
          <w:sz w:val="20"/>
          <w:szCs w:val="20"/>
          <w:color w:val="auto"/>
        </w:rPr>
      </w:pPr>
    </w:p>
    <w:p>
      <w:pPr>
        <w:spacing w:after="0"/>
        <w:tabs>
          <w:tab w:leader="none" w:pos="760" w:val="left"/>
          <w:tab w:leader="none" w:pos="3260" w:val="left"/>
        </w:tabs>
        <w:rPr>
          <w:sz w:val="20"/>
          <w:szCs w:val="20"/>
          <w:color w:val="auto"/>
        </w:rPr>
      </w:pPr>
      <w:r>
        <w:rPr>
          <w:rFonts w:ascii="Courier New" w:cs="Courier New" w:eastAsia="Courier New" w:hAnsi="Courier New"/>
          <w:sz w:val="15"/>
          <w:szCs w:val="15"/>
          <w:color w:val="auto"/>
        </w:rPr>
        <w:t>Item 2.</w:t>
        <w:tab/>
        <w:t>Affiliations with Obligor.</w:t>
      </w:r>
      <w:r>
        <w:rPr>
          <w:sz w:val="20"/>
          <w:szCs w:val="20"/>
          <w:color w:val="auto"/>
        </w:rPr>
        <w:tab/>
      </w:r>
      <w:r>
        <w:rPr>
          <w:rFonts w:ascii="Courier New" w:cs="Courier New" w:eastAsia="Courier New" w:hAnsi="Courier New"/>
          <w:sz w:val="14"/>
          <w:szCs w:val="14"/>
          <w:color w:val="auto"/>
        </w:rPr>
        <w:t>If the obligor is an affiliate of the</w:t>
      </w:r>
    </w:p>
    <w:p>
      <w:pPr>
        <w:spacing w:after="0" w:line="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 describe each such affiliation.</w:t>
      </w:r>
    </w:p>
    <w:p>
      <w:pPr>
        <w:spacing w:after="0" w:line="14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None with respect to the trustee.</w:t>
      </w:r>
    </w:p>
    <w:p>
      <w:pPr>
        <w:spacing w:after="0" w:line="171" w:lineRule="exact"/>
        <w:rPr>
          <w:sz w:val="20"/>
          <w:szCs w:val="20"/>
          <w:color w:val="auto"/>
        </w:rPr>
      </w:pPr>
    </w:p>
    <w:p>
      <w:pPr>
        <w:ind w:right="3119"/>
        <w:spacing w:after="0" w:line="353" w:lineRule="auto"/>
        <w:rPr>
          <w:sz w:val="20"/>
          <w:szCs w:val="20"/>
          <w:color w:val="auto"/>
        </w:rPr>
      </w:pPr>
      <w:r>
        <w:rPr>
          <w:rFonts w:ascii="Courier New" w:cs="Courier New" w:eastAsia="Courier New" w:hAnsi="Courier New"/>
          <w:sz w:val="15"/>
          <w:szCs w:val="15"/>
          <w:color w:val="auto"/>
        </w:rPr>
        <w:t>No responses are included for Items 3-14 of this Form T-1 because the obligor is not in default as provided under Item 13.</w:t>
      </w:r>
    </w:p>
    <w:p>
      <w:pPr>
        <w:spacing w:after="0" w:line="12"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5"/>
          <w:szCs w:val="15"/>
          <w:color w:val="auto"/>
        </w:rPr>
        <w:t>Item 15. Foreign Trustee.</w:t>
      </w:r>
      <w:r>
        <w:rPr>
          <w:sz w:val="20"/>
          <w:szCs w:val="20"/>
          <w:color w:val="auto"/>
        </w:rPr>
        <w:tab/>
      </w:r>
      <w:r>
        <w:rPr>
          <w:rFonts w:ascii="Courier New" w:cs="Courier New" w:eastAsia="Courier New" w:hAnsi="Courier New"/>
          <w:sz w:val="14"/>
          <w:szCs w:val="14"/>
          <w:color w:val="auto"/>
        </w:rPr>
        <w:t>Not applicable.</w:t>
      </w:r>
    </w:p>
    <w:p>
      <w:pPr>
        <w:spacing w:after="0" w:line="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45"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5"/>
          <w:szCs w:val="15"/>
          <w:color w:val="auto"/>
        </w:rPr>
        <w:t>Item 16. List of Exhibits.</w:t>
      </w:r>
      <w:r>
        <w:rPr>
          <w:sz w:val="20"/>
          <w:szCs w:val="20"/>
          <w:color w:val="auto"/>
        </w:rPr>
        <w:tab/>
      </w:r>
      <w:r>
        <w:rPr>
          <w:rFonts w:ascii="Courier New" w:cs="Courier New" w:eastAsia="Courier New" w:hAnsi="Courier New"/>
          <w:sz w:val="14"/>
          <w:szCs w:val="14"/>
          <w:color w:val="auto"/>
        </w:rPr>
        <w:t>List below all exhibits filed as a part of this</w:t>
      </w:r>
    </w:p>
    <w:p>
      <w:pPr>
        <w:spacing w:after="0" w:line="2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Statement of Eligibility. Norwest Bank</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incorporates by reference into this Form T-1 the</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exhibits attached hereto.</w:t>
      </w:r>
    </w:p>
    <w:p>
      <w:pPr>
        <w:spacing w:after="0" w:line="145" w:lineRule="exact"/>
        <w:rPr>
          <w:sz w:val="20"/>
          <w:szCs w:val="20"/>
          <w:color w:val="auto"/>
        </w:rPr>
      </w:pPr>
    </w:p>
    <w:p>
      <w:pPr>
        <w:jc w:val="center"/>
        <w:ind w:right="3039"/>
        <w:spacing w:after="0"/>
        <w:tabs>
          <w:tab w:leader="none" w:pos="340" w:val="left"/>
          <w:tab w:leader="none" w:pos="600" w:val="left"/>
        </w:tabs>
        <w:rPr>
          <w:sz w:val="20"/>
          <w:szCs w:val="20"/>
          <w:color w:val="auto"/>
        </w:rPr>
      </w:pPr>
      <w:r>
        <w:rPr>
          <w:rFonts w:ascii="Courier New" w:cs="Courier New" w:eastAsia="Courier New" w:hAnsi="Courier New"/>
          <w:sz w:val="15"/>
          <w:szCs w:val="15"/>
          <w:color w:val="auto"/>
        </w:rPr>
        <w:t>Exhibit 1.</w:t>
      </w:r>
      <w:r>
        <w:rPr>
          <w:sz w:val="20"/>
          <w:szCs w:val="20"/>
          <w:color w:val="auto"/>
        </w:rPr>
        <w:tab/>
      </w: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4"/>
          <w:szCs w:val="14"/>
          <w:color w:val="auto"/>
        </w:rPr>
        <w:t>A copy of the Articles of Association of the</w:t>
      </w:r>
    </w:p>
    <w:p>
      <w:pPr>
        <w:spacing w:after="0" w:line="2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trustee now in effect.*</w:t>
      </w:r>
    </w:p>
    <w:p>
      <w:pPr>
        <w:spacing w:after="0" w:line="145" w:lineRule="exact"/>
        <w:rPr>
          <w:sz w:val="20"/>
          <w:szCs w:val="20"/>
          <w:color w:val="auto"/>
        </w:rPr>
      </w:pPr>
    </w:p>
    <w:p>
      <w:pPr>
        <w:ind w:left="1860" w:right="3119" w:hanging="2040"/>
        <w:spacing w:after="0" w:line="278" w:lineRule="auto"/>
        <w:tabs>
          <w:tab w:leader="none" w:pos="1840" w:val="left"/>
        </w:tabs>
        <w:rPr>
          <w:sz w:val="20"/>
          <w:szCs w:val="20"/>
          <w:color w:val="auto"/>
        </w:rPr>
      </w:pPr>
      <w:r>
        <w:rPr>
          <w:rFonts w:ascii="Courier New" w:cs="Courier New" w:eastAsia="Courier New" w:hAnsi="Courier New"/>
          <w:sz w:val="15"/>
          <w:szCs w:val="15"/>
          <w:color w:val="auto"/>
        </w:rPr>
        <w:t>Exhibit 2.</w:t>
      </w:r>
      <w:r>
        <w:rPr>
          <w:sz w:val="20"/>
          <w:szCs w:val="20"/>
          <w:color w:val="auto"/>
        </w:rPr>
        <w:tab/>
      </w:r>
      <w:r>
        <w:rPr>
          <w:rFonts w:ascii="Courier New" w:cs="Courier New" w:eastAsia="Courier New" w:hAnsi="Courier New"/>
          <w:sz w:val="15"/>
          <w:szCs w:val="15"/>
          <w:color w:val="auto"/>
        </w:rPr>
        <w:t>a. A copy of the certificate of authority of the trustee to commence business issued June 28, 1872, by the Comptroller of the Currency to The Northwestern National Bank of Minneapolis.*</w:t>
      </w:r>
    </w:p>
    <w:p>
      <w:pPr>
        <w:spacing w:after="0" w:line="66" w:lineRule="exact"/>
        <w:rPr>
          <w:sz w:val="20"/>
          <w:szCs w:val="20"/>
          <w:color w:val="auto"/>
        </w:rPr>
      </w:pPr>
    </w:p>
    <w:p>
      <w:pPr>
        <w:ind w:left="2660" w:right="3119" w:hanging="805"/>
        <w:spacing w:after="0" w:line="259" w:lineRule="auto"/>
        <w:tabs>
          <w:tab w:leader="none" w:pos="266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the Comptroller of the Currency dated January 2, 1934, approving the consolidation of The Northwestern National Bank of Minneapolis and The Minnesota Loan and Trust Company of Minneapolis, with the surviving entity being titled Northwestern National Bank and Trust Company of Minneapolis.*</w:t>
      </w:r>
    </w:p>
    <w:p>
      <w:pPr>
        <w:spacing w:after="0" w:line="81" w:lineRule="exact"/>
        <w:rPr>
          <w:rFonts w:ascii="Courier New" w:cs="Courier New" w:eastAsia="Courier New" w:hAnsi="Courier New"/>
          <w:sz w:val="15"/>
          <w:szCs w:val="15"/>
          <w:color w:val="auto"/>
        </w:rPr>
      </w:pPr>
    </w:p>
    <w:p>
      <w:pPr>
        <w:ind w:left="2660" w:right="3399" w:hanging="805"/>
        <w:spacing w:after="0" w:line="263" w:lineRule="auto"/>
        <w:tabs>
          <w:tab w:leader="none" w:pos="266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the Acting Comptroller of the Currency dated January 12, 1943, as to change of corporate title of Northwestern National Bank and Trust Company of Minneapolis to Northwestern National Bank of Minneapolis.*</w:t>
      </w:r>
    </w:p>
    <w:p>
      <w:pPr>
        <w:sectPr>
          <w:pgSz w:w="11900" w:h="16838" w:orient="portrait"/>
          <w:cols w:equalWidth="0" w:num="1">
            <w:col w:w="10219"/>
          </w:cols>
          <w:pgMar w:left="240" w:top="605" w:right="1440" w:bottom="1440" w:gutter="0" w:footer="0" w:header="0"/>
        </w:sectPr>
      </w:pPr>
    </w:p>
    <w:bookmarkStart w:id="203" w:name="page204"/>
    <w:bookmarkEnd w:id="203"/>
    <w:p>
      <w:pPr>
        <w:ind w:left="2225" w:right="3299" w:hanging="805"/>
        <w:spacing w:after="0" w:line="285" w:lineRule="auto"/>
        <w:tabs>
          <w:tab w:leader="none" w:pos="2225"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letter dated May 12, 1983 from the Regional Counsel, Comptroller of the Currency, acknowledging receipt of notice of name change effective May 1, 1983 from Northwestern National Bank of Minneapolis to Norwest Bank Minneapolis, National Association.*</w:t>
      </w:r>
    </w:p>
    <w:p>
      <w:pPr>
        <w:spacing w:after="0" w:line="64" w:lineRule="exact"/>
        <w:rPr>
          <w:rFonts w:ascii="Courier New" w:cs="Courier New" w:eastAsia="Courier New" w:hAnsi="Courier New"/>
          <w:sz w:val="14"/>
          <w:szCs w:val="14"/>
          <w:color w:val="auto"/>
        </w:rPr>
      </w:pPr>
    </w:p>
    <w:p>
      <w:pPr>
        <w:ind w:left="2225" w:right="3119" w:hanging="805"/>
        <w:spacing w:after="0" w:line="281" w:lineRule="auto"/>
        <w:tabs>
          <w:tab w:leader="none" w:pos="2225"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letter dated January 4, 1988 from the Administrator of National Banks for the Comptroller of the Currency certifying approval of consolidation and merger effective January 1, 1988 of Norwest Bank Minneapolis, National Association with various other banks under the title of "Norwest Bank Minnesota, National Association."*</w:t>
      </w:r>
    </w:p>
    <w:p>
      <w:pPr>
        <w:spacing w:after="0" w:line="65" w:lineRule="exact"/>
        <w:rPr>
          <w:sz w:val="20"/>
          <w:szCs w:val="20"/>
          <w:color w:val="auto"/>
        </w:rPr>
      </w:pPr>
    </w:p>
    <w:p>
      <w:pPr>
        <w:ind w:left="1325" w:right="3659" w:hanging="1330"/>
        <w:spacing w:after="0" w:line="297" w:lineRule="auto"/>
        <w:tabs>
          <w:tab w:leader="none" w:pos="1305" w:val="left"/>
        </w:tabs>
        <w:rPr>
          <w:sz w:val="20"/>
          <w:szCs w:val="20"/>
          <w:color w:val="auto"/>
        </w:rPr>
      </w:pPr>
      <w:r>
        <w:rPr>
          <w:rFonts w:ascii="Courier New" w:cs="Courier New" w:eastAsia="Courier New" w:hAnsi="Courier New"/>
          <w:sz w:val="15"/>
          <w:szCs w:val="15"/>
          <w:color w:val="auto"/>
        </w:rPr>
        <w:t>Exhibit 3.</w:t>
      </w:r>
      <w:r>
        <w:rPr>
          <w:sz w:val="20"/>
          <w:szCs w:val="20"/>
          <w:color w:val="auto"/>
        </w:rPr>
        <w:tab/>
      </w:r>
      <w:r>
        <w:rPr>
          <w:rFonts w:ascii="Courier New" w:cs="Courier New" w:eastAsia="Courier New" w:hAnsi="Courier New"/>
          <w:sz w:val="15"/>
          <w:szCs w:val="15"/>
          <w:color w:val="auto"/>
        </w:rPr>
        <w:t>A copy of the authorization of the trustee to exercise corporate trust powers issued January 2, 1934, by the Federal Reserve Board.*</w:t>
      </w:r>
    </w:p>
    <w:p>
      <w:pPr>
        <w:spacing w:after="0" w:line="52" w:lineRule="exact"/>
        <w:rPr>
          <w:sz w:val="20"/>
          <w:szCs w:val="20"/>
          <w:color w:val="auto"/>
        </w:rPr>
      </w:pPr>
    </w:p>
    <w:p>
      <w:pPr>
        <w:ind w:left="5"/>
        <w:spacing w:after="0"/>
        <w:tabs>
          <w:tab w:leader="none" w:pos="1305" w:val="left"/>
        </w:tabs>
        <w:rPr>
          <w:sz w:val="20"/>
          <w:szCs w:val="20"/>
          <w:color w:val="auto"/>
        </w:rPr>
      </w:pPr>
      <w:r>
        <w:rPr>
          <w:rFonts w:ascii="Courier New" w:cs="Courier New" w:eastAsia="Courier New" w:hAnsi="Courier New"/>
          <w:sz w:val="15"/>
          <w:szCs w:val="15"/>
          <w:color w:val="auto"/>
        </w:rPr>
        <w:t>Exhibit 4.</w:t>
      </w:r>
      <w:r>
        <w:rPr>
          <w:sz w:val="20"/>
          <w:szCs w:val="20"/>
          <w:color w:val="auto"/>
        </w:rPr>
        <w:tab/>
      </w:r>
      <w:r>
        <w:rPr>
          <w:rFonts w:ascii="Courier New" w:cs="Courier New" w:eastAsia="Courier New" w:hAnsi="Courier New"/>
          <w:sz w:val="14"/>
          <w:szCs w:val="14"/>
          <w:color w:val="auto"/>
        </w:rPr>
        <w:t>Copy of By-laws of the trustee as now in effect.*</w:t>
      </w:r>
    </w:p>
    <w:p>
      <w:pPr>
        <w:spacing w:after="0" w:line="171" w:lineRule="exact"/>
        <w:rPr>
          <w:sz w:val="20"/>
          <w:szCs w:val="20"/>
          <w:color w:val="auto"/>
        </w:rPr>
      </w:pPr>
    </w:p>
    <w:p>
      <w:pPr>
        <w:ind w:left="5"/>
        <w:spacing w:after="0"/>
        <w:tabs>
          <w:tab w:leader="none" w:pos="1305" w:val="left"/>
        </w:tabs>
        <w:rPr>
          <w:sz w:val="20"/>
          <w:szCs w:val="20"/>
          <w:color w:val="auto"/>
        </w:rPr>
      </w:pPr>
      <w:r>
        <w:rPr>
          <w:rFonts w:ascii="Courier New" w:cs="Courier New" w:eastAsia="Courier New" w:hAnsi="Courier New"/>
          <w:sz w:val="15"/>
          <w:szCs w:val="15"/>
          <w:color w:val="auto"/>
        </w:rPr>
        <w:t>Exhibit 5.</w:t>
      </w:r>
      <w:r>
        <w:rPr>
          <w:sz w:val="20"/>
          <w:szCs w:val="20"/>
          <w:color w:val="auto"/>
        </w:rPr>
        <w:tab/>
      </w:r>
      <w:r>
        <w:rPr>
          <w:rFonts w:ascii="Courier New" w:cs="Courier New" w:eastAsia="Courier New" w:hAnsi="Courier New"/>
          <w:sz w:val="14"/>
          <w:szCs w:val="14"/>
          <w:color w:val="auto"/>
        </w:rPr>
        <w:t>Not applicable.</w:t>
      </w:r>
    </w:p>
    <w:p>
      <w:pPr>
        <w:spacing w:after="0" w:line="171" w:lineRule="exact"/>
        <w:rPr>
          <w:sz w:val="20"/>
          <w:szCs w:val="20"/>
          <w:color w:val="auto"/>
        </w:rPr>
      </w:pPr>
    </w:p>
    <w:p>
      <w:pPr>
        <w:ind w:left="1325" w:right="3119" w:hanging="1330"/>
        <w:spacing w:after="0" w:line="353" w:lineRule="auto"/>
        <w:tabs>
          <w:tab w:leader="none" w:pos="1305" w:val="left"/>
        </w:tabs>
        <w:rPr>
          <w:sz w:val="20"/>
          <w:szCs w:val="20"/>
          <w:color w:val="auto"/>
        </w:rPr>
      </w:pPr>
      <w:r>
        <w:rPr>
          <w:rFonts w:ascii="Courier New" w:cs="Courier New" w:eastAsia="Courier New" w:hAnsi="Courier New"/>
          <w:sz w:val="15"/>
          <w:szCs w:val="15"/>
          <w:color w:val="auto"/>
        </w:rPr>
        <w:t>Exhibit 6.</w:t>
      </w:r>
      <w:r>
        <w:rPr>
          <w:sz w:val="20"/>
          <w:szCs w:val="20"/>
          <w:color w:val="auto"/>
        </w:rPr>
        <w:tab/>
      </w:r>
      <w:r>
        <w:rPr>
          <w:rFonts w:ascii="Courier New" w:cs="Courier New" w:eastAsia="Courier New" w:hAnsi="Courier New"/>
          <w:sz w:val="15"/>
          <w:szCs w:val="15"/>
          <w:color w:val="auto"/>
        </w:rPr>
        <w:t>The consent of the trustee required by Section 321(b) of the Act.</w:t>
      </w:r>
    </w:p>
    <w:p>
      <w:pPr>
        <w:spacing w:after="0" w:line="12" w:lineRule="exact"/>
        <w:rPr>
          <w:sz w:val="20"/>
          <w:szCs w:val="20"/>
          <w:color w:val="auto"/>
        </w:rPr>
      </w:pPr>
    </w:p>
    <w:p>
      <w:pPr>
        <w:ind w:left="1325" w:right="3579" w:hanging="1330"/>
        <w:spacing w:after="0" w:line="297" w:lineRule="auto"/>
        <w:tabs>
          <w:tab w:leader="none" w:pos="1305" w:val="left"/>
        </w:tabs>
        <w:rPr>
          <w:sz w:val="20"/>
          <w:szCs w:val="20"/>
          <w:color w:val="auto"/>
        </w:rPr>
      </w:pPr>
      <w:r>
        <w:rPr>
          <w:rFonts w:ascii="Courier New" w:cs="Courier New" w:eastAsia="Courier New" w:hAnsi="Courier New"/>
          <w:sz w:val="15"/>
          <w:szCs w:val="15"/>
          <w:color w:val="auto"/>
        </w:rPr>
        <w:t>Exhibit 7.</w:t>
      </w:r>
      <w:r>
        <w:rPr>
          <w:sz w:val="20"/>
          <w:szCs w:val="20"/>
          <w:color w:val="auto"/>
        </w:rPr>
        <w:tab/>
      </w: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w:t>
      </w:r>
    </w:p>
    <w:p>
      <w:pPr>
        <w:spacing w:after="0" w:line="52" w:lineRule="exact"/>
        <w:rPr>
          <w:sz w:val="20"/>
          <w:szCs w:val="20"/>
          <w:color w:val="auto"/>
        </w:rPr>
      </w:pPr>
    </w:p>
    <w:p>
      <w:pPr>
        <w:ind w:left="5"/>
        <w:spacing w:after="0"/>
        <w:tabs>
          <w:tab w:leader="none" w:pos="1305" w:val="left"/>
        </w:tabs>
        <w:rPr>
          <w:sz w:val="20"/>
          <w:szCs w:val="20"/>
          <w:color w:val="auto"/>
        </w:rPr>
      </w:pPr>
      <w:r>
        <w:rPr>
          <w:rFonts w:ascii="Courier New" w:cs="Courier New" w:eastAsia="Courier New" w:hAnsi="Courier New"/>
          <w:sz w:val="15"/>
          <w:szCs w:val="15"/>
          <w:color w:val="auto"/>
        </w:rPr>
        <w:t>Exhibit 8.</w:t>
      </w:r>
      <w:r>
        <w:rPr>
          <w:sz w:val="20"/>
          <w:szCs w:val="20"/>
          <w:color w:val="auto"/>
        </w:rPr>
        <w:tab/>
      </w:r>
      <w:r>
        <w:rPr>
          <w:rFonts w:ascii="Courier New" w:cs="Courier New" w:eastAsia="Courier New" w:hAnsi="Courier New"/>
          <w:sz w:val="14"/>
          <w:szCs w:val="14"/>
          <w:color w:val="auto"/>
        </w:rPr>
        <w:t>Not applicable.</w:t>
      </w:r>
    </w:p>
    <w:p>
      <w:pPr>
        <w:spacing w:after="0" w:line="171" w:lineRule="exact"/>
        <w:rPr>
          <w:sz w:val="20"/>
          <w:szCs w:val="20"/>
          <w:color w:val="auto"/>
        </w:rPr>
      </w:pPr>
    </w:p>
    <w:p>
      <w:pPr>
        <w:ind w:left="5"/>
        <w:spacing w:after="0"/>
        <w:tabs>
          <w:tab w:leader="none" w:pos="1305" w:val="left"/>
        </w:tabs>
        <w:rPr>
          <w:sz w:val="20"/>
          <w:szCs w:val="20"/>
          <w:color w:val="auto"/>
        </w:rPr>
      </w:pPr>
      <w:r>
        <w:rPr>
          <w:rFonts w:ascii="Courier New" w:cs="Courier New" w:eastAsia="Courier New" w:hAnsi="Courier New"/>
          <w:sz w:val="15"/>
          <w:szCs w:val="15"/>
          <w:color w:val="auto"/>
        </w:rPr>
        <w:t>Exhibit 9.</w:t>
      </w:r>
      <w:r>
        <w:rPr>
          <w:sz w:val="20"/>
          <w:szCs w:val="20"/>
          <w:color w:val="auto"/>
        </w:rPr>
        <w:tab/>
      </w: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313" w:lineRule="exact"/>
        <w:rPr>
          <w:sz w:val="20"/>
          <w:szCs w:val="20"/>
          <w:color w:val="auto"/>
        </w:rPr>
      </w:pPr>
    </w:p>
    <w:p>
      <w:pPr>
        <w:ind w:left="445" w:right="3119" w:hanging="445"/>
        <w:spacing w:after="0" w:line="353" w:lineRule="auto"/>
        <w:tabs>
          <w:tab w:leader="none" w:pos="44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33-66026.</w:t>
      </w:r>
    </w:p>
    <w:p>
      <w:pPr>
        <w:spacing w:after="0" w:line="183" w:lineRule="exact"/>
        <w:rPr>
          <w:sz w:val="20"/>
          <w:szCs w:val="20"/>
          <w:color w:val="auto"/>
        </w:rPr>
      </w:pPr>
    </w:p>
    <w:p>
      <w:pPr>
        <w:ind w:left="445" w:right="3119" w:hanging="445"/>
        <w:spacing w:after="0" w:line="353" w:lineRule="auto"/>
        <w:tabs>
          <w:tab w:leader="none" w:pos="445"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25 filed with registration statement number 333-32992.</w:t>
      </w:r>
    </w:p>
    <w:p>
      <w:pPr>
        <w:sectPr>
          <w:pgSz w:w="11900" w:h="16838" w:orient="portrait"/>
          <w:cols w:equalWidth="0" w:num="1">
            <w:col w:w="9784"/>
          </w:cols>
          <w:pgMar w:left="675" w:top="605" w:right="1440" w:bottom="1440" w:gutter="0" w:footer="0" w:header="0"/>
        </w:sectPr>
      </w:pPr>
    </w:p>
    <w:bookmarkStart w:id="204" w:name="page205"/>
    <w:bookmarkEnd w:id="204"/>
    <w:p>
      <w:pPr>
        <w:ind w:left="3100"/>
        <w:spacing w:after="0"/>
        <w:rPr>
          <w:sz w:val="20"/>
          <w:szCs w:val="20"/>
          <w:color w:val="auto"/>
        </w:rPr>
      </w:pPr>
      <w:r>
        <w:rPr>
          <w:rFonts w:ascii="Courier New" w:cs="Courier New" w:eastAsia="Courier New" w:hAnsi="Courier New"/>
          <w:sz w:val="15"/>
          <w:szCs w:val="15"/>
          <w:color w:val="auto"/>
        </w:rPr>
        <w:t>SIGNATURE</w:t>
      </w:r>
    </w:p>
    <w:p>
      <w:pPr>
        <w:spacing w:after="0" w:line="342" w:lineRule="exact"/>
        <w:rPr>
          <w:sz w:val="20"/>
          <w:szCs w:val="20"/>
          <w:color w:val="auto"/>
        </w:rPr>
      </w:pPr>
    </w:p>
    <w:p>
      <w:pPr>
        <w:ind w:right="3119"/>
        <w:spacing w:after="0" w:line="263" w:lineRule="auto"/>
        <w:rPr>
          <w:sz w:val="20"/>
          <w:szCs w:val="20"/>
          <w:color w:val="auto"/>
        </w:rPr>
      </w:pPr>
      <w:r>
        <w:rPr>
          <w:rFonts w:ascii="Courier New" w:cs="Courier New" w:eastAsia="Courier New" w:hAnsi="Courier New"/>
          <w:sz w:val="15"/>
          <w:szCs w:val="15"/>
          <w:color w:val="auto"/>
        </w:rPr>
        <w:t>Pursuant to the requirements of the Trust Indenture Act of 1939, as amended, the trustee, Norwest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4th day of April 2000.</w:t>
      </w:r>
    </w:p>
    <w:p>
      <w:pPr>
        <w:spacing w:after="0" w:line="200" w:lineRule="exact"/>
        <w:rPr>
          <w:sz w:val="20"/>
          <w:szCs w:val="20"/>
          <w:color w:val="auto"/>
        </w:rPr>
      </w:pPr>
    </w:p>
    <w:p>
      <w:pPr>
        <w:spacing w:after="0" w:line="219"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NORWEST BANK MINNESOTA,</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NATIONAL ASSOCIATION</w:t>
      </w:r>
    </w:p>
    <w:p>
      <w:pPr>
        <w:spacing w:after="0" w:line="14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 Timothy P. Mowdy</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Timothy P. Mowdy</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Corporate Trust Officer</w:t>
      </w:r>
    </w:p>
    <w:p>
      <w:pPr>
        <w:sectPr>
          <w:pgSz w:w="11900" w:h="16838" w:orient="portrait"/>
          <w:cols w:equalWidth="0" w:num="1">
            <w:col w:w="10219"/>
          </w:cols>
          <w:pgMar w:left="240" w:top="605" w:right="1440" w:bottom="1440" w:gutter="0" w:footer="0" w:header="0"/>
        </w:sectPr>
      </w:pPr>
    </w:p>
    <w:bookmarkStart w:id="205" w:name="page206"/>
    <w:bookmarkEnd w:id="205"/>
    <w:p>
      <w:pPr>
        <w:ind w:left="3100"/>
        <w:spacing w:after="0"/>
        <w:rPr>
          <w:sz w:val="20"/>
          <w:szCs w:val="20"/>
          <w:color w:val="auto"/>
        </w:rPr>
      </w:pPr>
      <w:r>
        <w:rPr>
          <w:rFonts w:ascii="Courier New" w:cs="Courier New" w:eastAsia="Courier New" w:hAnsi="Courier New"/>
          <w:sz w:val="15"/>
          <w:szCs w:val="15"/>
          <w:color w:val="auto"/>
        </w:rPr>
        <w:t>EXHIBIT 6</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4, 2000</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 20549</w:t>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1" w:lineRule="exact"/>
        <w:rPr>
          <w:sz w:val="20"/>
          <w:szCs w:val="20"/>
          <w:color w:val="auto"/>
        </w:rPr>
      </w:pPr>
    </w:p>
    <w:p>
      <w:pPr>
        <w:ind w:right="3219"/>
        <w:spacing w:after="0" w:line="269" w:lineRule="auto"/>
        <w:rPr>
          <w:sz w:val="20"/>
          <w:szCs w:val="20"/>
          <w:color w:val="auto"/>
        </w:rPr>
      </w:pPr>
      <w:r>
        <w:rPr>
          <w:rFonts w:ascii="Courier New" w:cs="Courier New" w:eastAsia="Courier New" w:hAnsi="Courier New"/>
          <w:sz w:val="15"/>
          <w:szCs w:val="15"/>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2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NORWEST BANK MINNESOTA,</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NATIONAL ASSOCIATION</w:t>
      </w:r>
    </w:p>
    <w:p>
      <w:pPr>
        <w:spacing w:after="0" w:line="14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 Timothy P. Mowdy</w:t>
      </w:r>
    </w:p>
    <w:p>
      <w:pPr>
        <w:spacing w:after="0" w:line="27"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Timothy P. Mowdy</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Corporate Trust Officer</w:t>
      </w:r>
    </w:p>
    <w:sectPr>
      <w:pgSz w:w="11900" w:h="16838" w:orient="portrait"/>
      <w:cols w:equalWidth="0" w:num="1">
        <w:col w:w="10219"/>
      </w:cols>
      <w:pgMar w:left="240" w:top="6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D15094"/>
    <w:multiLevelType w:val="hybridMultilevel"/>
    <w:lvl w:ilvl="0">
      <w:lvlJc w:val="left"/>
      <w:lvlText w:val="."/>
      <w:numFmt w:val="bullet"/>
      <w:start w:val="1"/>
    </w:lvl>
  </w:abstractNum>
  <w:abstractNum w:abstractNumId="1">
    <w:nsid w:val="3DB012B3"/>
    <w:multiLevelType w:val="hybridMultilevel"/>
    <w:lvl w:ilvl="0">
      <w:lvlJc w:val="left"/>
      <w:lvlText w:val="."/>
      <w:numFmt w:val="bullet"/>
      <w:start w:val="1"/>
    </w:lvl>
  </w:abstractNum>
  <w:abstractNum w:abstractNumId="2">
    <w:nsid w:val="2708C9AF"/>
    <w:multiLevelType w:val="hybridMultilevel"/>
    <w:lvl w:ilvl="0">
      <w:lvlJc w:val="left"/>
      <w:lvlText w:val="."/>
      <w:numFmt w:val="bullet"/>
      <w:start w:val="1"/>
    </w:lvl>
  </w:abstractNum>
  <w:abstractNum w:abstractNumId="3">
    <w:nsid w:val="5B25ACE2"/>
    <w:multiLevelType w:val="hybridMultilevel"/>
    <w:lvl w:ilvl="0">
      <w:lvlJc w:val="left"/>
      <w:lvlText w:val="."/>
      <w:numFmt w:val="bullet"/>
      <w:start w:val="1"/>
    </w:lvl>
  </w:abstractNum>
  <w:abstractNum w:abstractNumId="4">
    <w:nsid w:val="175DFCF0"/>
    <w:multiLevelType w:val="hybridMultilevel"/>
    <w:lvl w:ilvl="0">
      <w:lvlJc w:val="left"/>
      <w:lvlText w:val="."/>
      <w:numFmt w:val="bullet"/>
      <w:start w:val="1"/>
    </w:lvl>
  </w:abstractNum>
  <w:abstractNum w:abstractNumId="5">
    <w:nsid w:val="4F97E3E4"/>
    <w:multiLevelType w:val="hybridMultilevel"/>
    <w:lvl w:ilvl="0">
      <w:lvlJc w:val="left"/>
      <w:lvlText w:val="."/>
      <w:numFmt w:val="bullet"/>
      <w:start w:val="1"/>
    </w:lvl>
  </w:abstractNum>
  <w:abstractNum w:abstractNumId="6">
    <w:nsid w:val="53B0A9E"/>
    <w:multiLevelType w:val="hybridMultilevel"/>
    <w:lvl w:ilvl="0">
      <w:lvlJc w:val="left"/>
      <w:lvlText w:val="."/>
      <w:numFmt w:val="bullet"/>
      <w:start w:val="1"/>
    </w:lvl>
  </w:abstractNum>
  <w:abstractNum w:abstractNumId="7">
    <w:nsid w:val="34FD6B4F"/>
    <w:multiLevelType w:val="hybridMultilevel"/>
    <w:lvl w:ilvl="0">
      <w:lvlJc w:val="left"/>
      <w:lvlText w:val="."/>
      <w:numFmt w:val="bullet"/>
      <w:start w:val="1"/>
    </w:lvl>
  </w:abstractNum>
  <w:abstractNum w:abstractNumId="8">
    <w:nsid w:val="5915FF32"/>
    <w:multiLevelType w:val="hybridMultilevel"/>
    <w:lvl w:ilvl="0">
      <w:lvlJc w:val="left"/>
      <w:lvlText w:val="."/>
      <w:numFmt w:val="bullet"/>
      <w:start w:val="1"/>
    </w:lvl>
  </w:abstractNum>
  <w:abstractNum w:abstractNumId="9">
    <w:nsid w:val="56438D15"/>
    <w:multiLevelType w:val="hybridMultilevel"/>
    <w:lvl w:ilvl="0">
      <w:lvlJc w:val="left"/>
      <w:lvlText w:val="."/>
      <w:numFmt w:val="bullet"/>
      <w:start w:val="1"/>
    </w:lvl>
  </w:abstractNum>
  <w:abstractNum w:abstractNumId="10">
    <w:nsid w:val="519E3149"/>
    <w:multiLevelType w:val="hybridMultilevel"/>
    <w:lvl w:ilvl="0">
      <w:lvlJc w:val="left"/>
      <w:lvlText w:val="."/>
      <w:numFmt w:val="bullet"/>
      <w:start w:val="1"/>
    </w:lvl>
  </w:abstractNum>
  <w:abstractNum w:abstractNumId="11">
    <w:nsid w:val="2C6E4AFD"/>
    <w:multiLevelType w:val="hybridMultilevel"/>
    <w:lvl w:ilvl="0">
      <w:lvlJc w:val="left"/>
      <w:lvlText w:val="."/>
      <w:numFmt w:val="bullet"/>
      <w:start w:val="1"/>
    </w:lvl>
  </w:abstractNum>
  <w:abstractNum w:abstractNumId="12">
    <w:nsid w:val="17A1B582"/>
    <w:multiLevelType w:val="hybridMultilevel"/>
    <w:lvl w:ilvl="0">
      <w:lvlJc w:val="left"/>
      <w:lvlText w:val="."/>
      <w:numFmt w:val="bullet"/>
      <w:start w:val="1"/>
    </w:lvl>
  </w:abstractNum>
  <w:abstractNum w:abstractNumId="13">
    <w:nsid w:val="4DF72E4E"/>
    <w:multiLevelType w:val="hybridMultilevel"/>
    <w:lvl w:ilvl="0">
      <w:lvlJc w:val="left"/>
      <w:lvlText w:val="."/>
      <w:numFmt w:val="bullet"/>
      <w:start w:val="1"/>
    </w:lvl>
  </w:abstractNum>
  <w:abstractNum w:abstractNumId="14">
    <w:nsid w:val="5046B5A9"/>
    <w:multiLevelType w:val="hybridMultilevel"/>
    <w:lvl w:ilvl="0">
      <w:lvlJc w:val="left"/>
      <w:lvlText w:val="."/>
      <w:numFmt w:val="bullet"/>
      <w:start w:val="1"/>
    </w:lvl>
  </w:abstractNum>
  <w:abstractNum w:abstractNumId="15">
    <w:nsid w:val="5D888A08"/>
    <w:multiLevelType w:val="hybridMultilevel"/>
    <w:lvl w:ilvl="0">
      <w:lvlJc w:val="left"/>
      <w:lvlText w:val="."/>
      <w:numFmt w:val="bullet"/>
      <w:start w:val="1"/>
    </w:lvl>
  </w:abstractNum>
  <w:abstractNum w:abstractNumId="16">
    <w:nsid w:val="2A082C70"/>
    <w:multiLevelType w:val="hybridMultilevel"/>
    <w:lvl w:ilvl="0">
      <w:lvlJc w:val="left"/>
      <w:lvlText w:val="."/>
      <w:numFmt w:val="bullet"/>
      <w:start w:val="1"/>
    </w:lvl>
  </w:abstractNum>
  <w:abstractNum w:abstractNumId="17">
    <w:nsid w:val="5EC6AFD4"/>
    <w:multiLevelType w:val="hybridMultilevel"/>
    <w:lvl w:ilvl="0">
      <w:lvlJc w:val="left"/>
      <w:lvlText w:val="."/>
      <w:numFmt w:val="bullet"/>
      <w:start w:val="1"/>
    </w:lvl>
  </w:abstractNum>
  <w:abstractNum w:abstractNumId="18">
    <w:nsid w:val="19E21BB2"/>
    <w:multiLevelType w:val="hybridMultilevel"/>
    <w:lvl w:ilvl="0">
      <w:lvlJc w:val="left"/>
      <w:lvlText w:val="."/>
      <w:numFmt w:val="bullet"/>
      <w:start w:val="1"/>
    </w:lvl>
  </w:abstractNum>
  <w:abstractNum w:abstractNumId="19">
    <w:nsid w:val="75E0858A"/>
    <w:multiLevelType w:val="hybridMultilevel"/>
    <w:lvl w:ilvl="0">
      <w:lvlJc w:val="left"/>
      <w:lvlText w:val="."/>
      <w:numFmt w:val="bullet"/>
      <w:start w:val="1"/>
    </w:lvl>
  </w:abstractNum>
  <w:abstractNum w:abstractNumId="20">
    <w:nsid w:val="57A61A29"/>
    <w:multiLevelType w:val="hybridMultilevel"/>
    <w:lvl w:ilvl="0">
      <w:lvlJc w:val="left"/>
      <w:lvlText w:val="."/>
      <w:numFmt w:val="bullet"/>
      <w:start w:val="1"/>
    </w:lvl>
  </w:abstractNum>
  <w:abstractNum w:abstractNumId="21">
    <w:nsid w:val="5399C654"/>
    <w:multiLevelType w:val="hybridMultilevel"/>
    <w:lvl w:ilvl="0">
      <w:lvlJc w:val="left"/>
      <w:lvlText w:val="."/>
      <w:numFmt w:val="bullet"/>
      <w:start w:val="1"/>
    </w:lvl>
  </w:abstractNum>
  <w:abstractNum w:abstractNumId="22">
    <w:nsid w:val="20EE1348"/>
    <w:multiLevelType w:val="hybridMultilevel"/>
    <w:lvl w:ilvl="0">
      <w:lvlJc w:val="left"/>
      <w:lvlText w:val="."/>
      <w:numFmt w:val="bullet"/>
      <w:start w:val="1"/>
    </w:lvl>
  </w:abstractNum>
  <w:abstractNum w:abstractNumId="23">
    <w:nsid w:val="4427069A"/>
    <w:multiLevelType w:val="hybridMultilevel"/>
    <w:lvl w:ilvl="0">
      <w:lvlJc w:val="left"/>
      <w:lvlText w:val="."/>
      <w:numFmt w:val="bullet"/>
      <w:start w:val="1"/>
    </w:lvl>
  </w:abstractNum>
  <w:abstractNum w:abstractNumId="24">
    <w:nsid w:val="B37E80A"/>
    <w:multiLevelType w:val="hybridMultilevel"/>
    <w:lvl w:ilvl="0">
      <w:lvlJc w:val="left"/>
      <w:lvlText w:val="."/>
      <w:numFmt w:val="bullet"/>
      <w:start w:val="1"/>
    </w:lvl>
  </w:abstractNum>
  <w:abstractNum w:abstractNumId="25">
    <w:nsid w:val="2157F6BC"/>
    <w:multiLevelType w:val="hybridMultilevel"/>
    <w:lvl w:ilvl="0">
      <w:lvlJc w:val="left"/>
      <w:lvlText w:val="."/>
      <w:numFmt w:val="bullet"/>
      <w:start w:val="1"/>
    </w:lvl>
  </w:abstractNum>
  <w:abstractNum w:abstractNumId="26">
    <w:nsid w:val="704E1DD5"/>
    <w:multiLevelType w:val="hybridMultilevel"/>
    <w:lvl w:ilvl="0">
      <w:lvlJc w:val="left"/>
      <w:lvlText w:val="."/>
      <w:numFmt w:val="bullet"/>
      <w:start w:val="1"/>
    </w:lvl>
  </w:abstractNum>
  <w:abstractNum w:abstractNumId="27">
    <w:nsid w:val="57D2F10E"/>
    <w:multiLevelType w:val="hybridMultilevel"/>
    <w:lvl w:ilvl="0">
      <w:lvlJc w:val="left"/>
      <w:lvlText w:val="."/>
      <w:numFmt w:val="bullet"/>
      <w:start w:val="1"/>
    </w:lvl>
  </w:abstractNum>
  <w:abstractNum w:abstractNumId="28">
    <w:nsid w:val="BFFAE18"/>
    <w:multiLevelType w:val="hybridMultilevel"/>
    <w:lvl w:ilvl="0">
      <w:lvlJc w:val="left"/>
      <w:lvlText w:val="."/>
      <w:numFmt w:val="bullet"/>
      <w:start w:val="1"/>
    </w:lvl>
  </w:abstractNum>
  <w:abstractNum w:abstractNumId="29">
    <w:nsid w:val="E3E47A8"/>
    <w:multiLevelType w:val="hybridMultilevel"/>
    <w:lvl w:ilvl="0">
      <w:lvlJc w:val="left"/>
      <w:lvlText w:val="."/>
      <w:numFmt w:val="bullet"/>
      <w:start w:val="1"/>
    </w:lvl>
  </w:abstractNum>
  <w:abstractNum w:abstractNumId="30">
    <w:nsid w:val="2E48F044"/>
    <w:multiLevelType w:val="hybridMultilevel"/>
    <w:lvl w:ilvl="0">
      <w:lvlJc w:val="left"/>
      <w:lvlText w:val="."/>
      <w:numFmt w:val="bullet"/>
      <w:start w:val="1"/>
    </w:lvl>
  </w:abstractNum>
  <w:abstractNum w:abstractNumId="31">
    <w:nsid w:val="49D0FEAC"/>
    <w:multiLevelType w:val="hybridMultilevel"/>
    <w:lvl w:ilvl="0">
      <w:lvlJc w:val="left"/>
      <w:lvlText w:val="."/>
      <w:numFmt w:val="bullet"/>
      <w:start w:val="1"/>
    </w:lvl>
  </w:abstractNum>
  <w:abstractNum w:abstractNumId="32">
    <w:nsid w:val="4BEE5A5B"/>
    <w:multiLevelType w:val="hybridMultilevel"/>
    <w:lvl w:ilvl="0">
      <w:lvlJc w:val="left"/>
      <w:lvlText w:val="."/>
      <w:numFmt w:val="bullet"/>
      <w:start w:val="1"/>
    </w:lvl>
  </w:abstractNum>
  <w:abstractNum w:abstractNumId="33">
    <w:nsid w:val="5551B9F3"/>
    <w:multiLevelType w:val="hybridMultilevel"/>
    <w:lvl w:ilvl="0">
      <w:lvlJc w:val="left"/>
      <w:lvlText w:val="."/>
      <w:numFmt w:val="bullet"/>
      <w:start w:val="1"/>
    </w:lvl>
  </w:abstractNum>
  <w:abstractNum w:abstractNumId="34">
    <w:nsid w:val="24F6AB8E"/>
    <w:multiLevelType w:val="hybridMultilevel"/>
    <w:lvl w:ilvl="0">
      <w:lvlJc w:val="left"/>
      <w:lvlText w:val="."/>
      <w:numFmt w:val="bullet"/>
      <w:start w:val="1"/>
    </w:lvl>
  </w:abstractNum>
  <w:abstractNum w:abstractNumId="35">
    <w:nsid w:val="634C574C"/>
    <w:multiLevelType w:val="hybridMultilevel"/>
    <w:lvl w:ilvl="0">
      <w:lvlJc w:val="left"/>
      <w:lvlText w:val="."/>
      <w:numFmt w:val="bullet"/>
      <w:start w:val="1"/>
    </w:lvl>
  </w:abstractNum>
  <w:abstractNum w:abstractNumId="36">
    <w:nsid w:val="24E99DD7"/>
    <w:multiLevelType w:val="hybridMultilevel"/>
    <w:lvl w:ilvl="0">
      <w:lvlJc w:val="left"/>
      <w:lvlText w:val="."/>
      <w:numFmt w:val="bullet"/>
      <w:start w:val="1"/>
    </w:lvl>
  </w:abstractNum>
  <w:abstractNum w:abstractNumId="37">
    <w:nsid w:val="2A31B62D"/>
    <w:multiLevelType w:val="hybridMultilevel"/>
    <w:lvl w:ilvl="0">
      <w:lvlJc w:val="left"/>
      <w:lvlText w:val="."/>
      <w:numFmt w:val="bullet"/>
      <w:start w:val="1"/>
    </w:lvl>
  </w:abstractNum>
  <w:abstractNum w:abstractNumId="38">
    <w:nsid w:val="1849C29B"/>
    <w:multiLevelType w:val="hybridMultilevel"/>
    <w:lvl w:ilvl="0">
      <w:lvlJc w:val="left"/>
      <w:lvlText w:val="."/>
      <w:numFmt w:val="bullet"/>
      <w:start w:val="1"/>
    </w:lvl>
  </w:abstractNum>
  <w:abstractNum w:abstractNumId="39">
    <w:nsid w:val="7DFF9D09"/>
    <w:multiLevelType w:val="hybridMultilevel"/>
    <w:lvl w:ilvl="0">
      <w:lvlJc w:val="left"/>
      <w:lvlText w:val="."/>
      <w:numFmt w:val="bullet"/>
      <w:start w:val="1"/>
    </w:lvl>
  </w:abstractNum>
  <w:abstractNum w:abstractNumId="40">
    <w:nsid w:val="754342"/>
    <w:multiLevelType w:val="hybridMultilevel"/>
    <w:lvl w:ilvl="0">
      <w:lvlJc w:val="left"/>
      <w:lvlText w:val="."/>
      <w:numFmt w:val="bullet"/>
      <w:start w:val="1"/>
    </w:lvl>
  </w:abstractNum>
  <w:abstractNum w:abstractNumId="41">
    <w:nsid w:val="69E7F3E5"/>
    <w:multiLevelType w:val="hybridMultilevel"/>
    <w:lvl w:ilvl="0">
      <w:lvlJc w:val="left"/>
      <w:lvlText w:val="."/>
      <w:numFmt w:val="bullet"/>
      <w:start w:val="1"/>
    </w:lvl>
  </w:abstractNum>
  <w:abstractNum w:abstractNumId="42">
    <w:nsid w:val="2A6DE806"/>
    <w:multiLevelType w:val="hybridMultilevel"/>
    <w:lvl w:ilvl="0">
      <w:lvlJc w:val="left"/>
      <w:lvlText w:val="."/>
      <w:numFmt w:val="bullet"/>
      <w:start w:val="1"/>
    </w:lvl>
  </w:abstractNum>
  <w:abstractNum w:abstractNumId="43">
    <w:nsid w:val="1816F8C4"/>
    <w:multiLevelType w:val="hybridMultilevel"/>
    <w:lvl w:ilvl="0">
      <w:lvlJc w:val="left"/>
      <w:lvlText w:val="."/>
      <w:numFmt w:val="bullet"/>
      <w:start w:val="1"/>
    </w:lvl>
  </w:abstractNum>
  <w:abstractNum w:abstractNumId="44">
    <w:nsid w:val="37DF2233"/>
    <w:multiLevelType w:val="hybridMultilevel"/>
    <w:lvl w:ilvl="0">
      <w:lvlJc w:val="left"/>
      <w:lvlText w:val="."/>
      <w:numFmt w:val="bullet"/>
      <w:start w:val="1"/>
    </w:lvl>
  </w:abstractNum>
  <w:abstractNum w:abstractNumId="45">
    <w:nsid w:val="7AB49DAF"/>
    <w:multiLevelType w:val="hybridMultilevel"/>
    <w:lvl w:ilvl="0">
      <w:lvlJc w:val="left"/>
      <w:lvlText w:val="."/>
      <w:numFmt w:val="bullet"/>
      <w:start w:val="1"/>
    </w:lvl>
  </w:abstractNum>
  <w:abstractNum w:abstractNumId="46">
    <w:nsid w:val="759F82CD"/>
    <w:multiLevelType w:val="hybridMultilevel"/>
    <w:lvl w:ilvl="0">
      <w:lvlJc w:val="left"/>
      <w:lvlText w:val="."/>
      <w:numFmt w:val="bullet"/>
      <w:start w:val="1"/>
    </w:lvl>
  </w:abstractNum>
  <w:abstractNum w:abstractNumId="47">
    <w:nsid w:val="61E74EA3"/>
    <w:multiLevelType w:val="hybridMultilevel"/>
    <w:lvl w:ilvl="0">
      <w:lvlJc w:val="left"/>
      <w:lvlText w:val="."/>
      <w:numFmt w:val="bullet"/>
      <w:start w:val="1"/>
    </w:lvl>
  </w:abstractNum>
  <w:abstractNum w:abstractNumId="48">
    <w:nsid w:val="597B4D84"/>
    <w:multiLevelType w:val="hybridMultilevel"/>
    <w:lvl w:ilvl="0">
      <w:lvlJc w:val="left"/>
      <w:lvlText w:val="."/>
      <w:numFmt w:val="bullet"/>
      <w:start w:val="1"/>
    </w:lvl>
  </w:abstractNum>
  <w:abstractNum w:abstractNumId="49">
    <w:nsid w:val="F819E7F"/>
    <w:multiLevelType w:val="hybridMultilevel"/>
    <w:lvl w:ilvl="0">
      <w:lvlJc w:val="left"/>
      <w:lvlText w:val="."/>
      <w:numFmt w:val="bullet"/>
      <w:start w:val="1"/>
    </w:lvl>
  </w:abstractNum>
  <w:abstractNum w:abstractNumId="50">
    <w:nsid w:val="57C7D42D"/>
    <w:multiLevelType w:val="hybridMultilevel"/>
    <w:lvl w:ilvl="0">
      <w:lvlJc w:val="left"/>
      <w:lvlText w:val="."/>
      <w:numFmt w:val="bullet"/>
      <w:start w:val="1"/>
    </w:lvl>
  </w:abstractNum>
  <w:abstractNum w:abstractNumId="51">
    <w:nsid w:val="312167AD"/>
    <w:multiLevelType w:val="hybridMultilevel"/>
    <w:lvl w:ilvl="0">
      <w:lvlJc w:val="left"/>
      <w:lvlText w:val="."/>
      <w:numFmt w:val="bullet"/>
      <w:start w:val="1"/>
    </w:lvl>
  </w:abstractNum>
  <w:abstractNum w:abstractNumId="52">
    <w:nsid w:val="631B64D4"/>
    <w:multiLevelType w:val="hybridMultilevel"/>
    <w:lvl w:ilvl="0">
      <w:lvlJc w:val="left"/>
      <w:lvlText w:val="."/>
      <w:numFmt w:val="bullet"/>
      <w:start w:val="1"/>
    </w:lvl>
  </w:abstractNum>
  <w:abstractNum w:abstractNumId="53">
    <w:nsid w:val="78B5E776"/>
    <w:multiLevelType w:val="hybridMultilevel"/>
    <w:lvl w:ilvl="0">
      <w:lvlJc w:val="left"/>
      <w:lvlText w:val="."/>
      <w:numFmt w:val="bullet"/>
      <w:start w:val="1"/>
    </w:lvl>
  </w:abstractNum>
  <w:abstractNum w:abstractNumId="54">
    <w:nsid w:val="75486E47"/>
    <w:multiLevelType w:val="hybridMultilevel"/>
    <w:lvl w:ilvl="0">
      <w:lvlJc w:val="left"/>
      <w:lvlText w:val="."/>
      <w:numFmt w:val="bullet"/>
      <w:start w:val="1"/>
    </w:lvl>
  </w:abstractNum>
  <w:abstractNum w:abstractNumId="55">
    <w:nsid w:val="6E534CDE"/>
    <w:multiLevelType w:val="hybridMultilevel"/>
    <w:lvl w:ilvl="0">
      <w:lvlJc w:val="left"/>
      <w:lvlText w:val="."/>
      <w:numFmt w:val="bullet"/>
      <w:start w:val="1"/>
    </w:lvl>
  </w:abstractNum>
  <w:abstractNum w:abstractNumId="56">
    <w:nsid w:val="1A0DDE32"/>
    <w:multiLevelType w:val="hybridMultilevel"/>
    <w:lvl w:ilvl="0">
      <w:lvlJc w:val="left"/>
      <w:lvlText w:val="."/>
      <w:numFmt w:val="bullet"/>
      <w:start w:val="1"/>
    </w:lvl>
  </w:abstractNum>
  <w:abstractNum w:abstractNumId="57">
    <w:nsid w:val="65968C1C"/>
    <w:multiLevelType w:val="hybridMultilevel"/>
    <w:lvl w:ilvl="0">
      <w:lvlJc w:val="left"/>
      <w:lvlText w:val="."/>
      <w:numFmt w:val="bullet"/>
      <w:start w:val="1"/>
    </w:lvl>
  </w:abstractNum>
  <w:abstractNum w:abstractNumId="58">
    <w:nsid w:val="46263DEC"/>
    <w:multiLevelType w:val="hybridMultilevel"/>
    <w:lvl w:ilvl="0">
      <w:lvlJc w:val="left"/>
      <w:lvlText w:val="."/>
      <w:numFmt w:val="bullet"/>
      <w:start w:val="1"/>
    </w:lvl>
  </w:abstractNum>
  <w:abstractNum w:abstractNumId="59">
    <w:nsid w:val="260D8C4A"/>
    <w:multiLevelType w:val="hybridMultilevel"/>
    <w:lvl w:ilvl="0">
      <w:lvlJc w:val="left"/>
      <w:lvlText w:val="."/>
      <w:numFmt w:val="bullet"/>
      <w:start w:val="1"/>
    </w:lvl>
  </w:abstractNum>
  <w:abstractNum w:abstractNumId="60">
    <w:nsid w:val="73D4D3C4"/>
    <w:multiLevelType w:val="hybridMultilevel"/>
    <w:lvl w:ilvl="0">
      <w:lvlJc w:val="left"/>
      <w:lvlText w:val="(%1)"/>
      <w:numFmt w:val="decimal"/>
      <w:start w:val="1"/>
    </w:lvl>
  </w:abstractNum>
  <w:abstractNum w:abstractNumId="61">
    <w:nsid w:val="746F2E30"/>
    <w:multiLevelType w:val="hybridMultilevel"/>
    <w:lvl w:ilvl="0">
      <w:lvlJc w:val="left"/>
      <w:lvlText w:val="(%1)"/>
      <w:numFmt w:val="decimal"/>
      <w:start w:val="5"/>
    </w:lvl>
  </w:abstractNum>
  <w:abstractNum w:abstractNumId="62">
    <w:nsid w:val="6FDE8AF6"/>
    <w:multiLevelType w:val="hybridMultilevel"/>
    <w:lvl w:ilvl="0">
      <w:lvlJc w:val="left"/>
      <w:lvlText w:val="(%1)"/>
      <w:numFmt w:val="decimal"/>
      <w:start w:val="1"/>
    </w:lvl>
  </w:abstractNum>
  <w:abstractNum w:abstractNumId="63">
    <w:nsid w:val="3FC32E20"/>
    <w:multiLevelType w:val="hybridMultilevel"/>
    <w:lvl w:ilvl="0">
      <w:lvlJc w:val="left"/>
      <w:lvlText w:val="."/>
      <w:numFmt w:val="bullet"/>
      <w:start w:val="1"/>
    </w:lvl>
  </w:abstractNum>
  <w:abstractNum w:abstractNumId="64">
    <w:nsid w:val="49C0E823"/>
    <w:multiLevelType w:val="hybridMultilevel"/>
    <w:lvl w:ilvl="0">
      <w:lvlJc w:val="left"/>
      <w:lvlText w:val="."/>
      <w:numFmt w:val="bullet"/>
      <w:start w:val="1"/>
    </w:lvl>
  </w:abstractNum>
  <w:abstractNum w:abstractNumId="65">
    <w:nsid w:val="14D53685"/>
    <w:multiLevelType w:val="hybridMultilevel"/>
    <w:lvl w:ilvl="0">
      <w:lvlJc w:val="left"/>
      <w:lvlText w:val="."/>
      <w:numFmt w:val="bullet"/>
      <w:start w:val="1"/>
    </w:lvl>
  </w:abstractNum>
  <w:abstractNum w:abstractNumId="66">
    <w:nsid w:val="230F856C"/>
    <w:multiLevelType w:val="hybridMultilevel"/>
    <w:lvl w:ilvl="0">
      <w:lvlJc w:val="left"/>
      <w:lvlText w:val="."/>
      <w:numFmt w:val="bullet"/>
      <w:start w:val="1"/>
    </w:lvl>
  </w:abstractNum>
  <w:abstractNum w:abstractNumId="67">
    <w:nsid w:val="6EAA85FB"/>
    <w:multiLevelType w:val="hybridMultilevel"/>
    <w:lvl w:ilvl="0">
      <w:lvlJc w:val="left"/>
      <w:lvlText w:val="."/>
      <w:numFmt w:val="bullet"/>
      <w:start w:val="1"/>
    </w:lvl>
  </w:abstractNum>
  <w:abstractNum w:abstractNumId="68">
    <w:nsid w:val="3F06ECB2"/>
    <w:multiLevelType w:val="hybridMultilevel"/>
    <w:lvl w:ilvl="0">
      <w:lvlJc w:val="left"/>
      <w:lvlText w:val="."/>
      <w:numFmt w:val="bullet"/>
      <w:start w:val="1"/>
    </w:lvl>
  </w:abstractNum>
  <w:abstractNum w:abstractNumId="69">
    <w:nsid w:val="3B594807"/>
    <w:multiLevelType w:val="hybridMultilevel"/>
    <w:lvl w:ilvl="0">
      <w:lvlJc w:val="left"/>
      <w:lvlText w:val="."/>
      <w:numFmt w:val="bullet"/>
      <w:start w:val="1"/>
    </w:lvl>
  </w:abstractNum>
  <w:abstractNum w:abstractNumId="70">
    <w:nsid w:val="6CAA2304"/>
    <w:multiLevelType w:val="hybridMultilevel"/>
    <w:lvl w:ilvl="0">
      <w:lvlJc w:val="left"/>
      <w:lvlText w:val="."/>
      <w:numFmt w:val="bullet"/>
      <w:start w:val="1"/>
    </w:lvl>
  </w:abstractNum>
  <w:abstractNum w:abstractNumId="71">
    <w:nsid w:val="3F7C2FF4"/>
    <w:multiLevelType w:val="hybridMultilevel"/>
    <w:lvl w:ilvl="0">
      <w:lvlJc w:val="left"/>
      <w:lvlText w:val="."/>
      <w:numFmt w:val="bullet"/>
      <w:start w:val="1"/>
    </w:lvl>
    <w:lvl w:ilvl="1">
      <w:lvlJc w:val="left"/>
      <w:lvlText w:val="(%2)"/>
      <w:numFmt w:val="decimal"/>
      <w:start w:val="1"/>
    </w:lvl>
  </w:abstractNum>
  <w:abstractNum w:abstractNumId="72">
    <w:nsid w:val="25413BEC"/>
    <w:multiLevelType w:val="hybridMultilevel"/>
    <w:lvl w:ilvl="0">
      <w:lvlJc w:val="left"/>
      <w:lvlText w:val="(%1)"/>
      <w:numFmt w:val="decimal"/>
      <w:start w:val="1"/>
    </w:lvl>
  </w:abstractNum>
  <w:abstractNum w:abstractNumId="73">
    <w:nsid w:val="17180B0B"/>
    <w:multiLevelType w:val="hybridMultilevel"/>
    <w:lvl w:ilvl="0">
      <w:lvlJc w:val="left"/>
      <w:lvlText w:val="."/>
      <w:numFmt w:val="bullet"/>
      <w:start w:val="1"/>
    </w:lvl>
  </w:abstractNum>
  <w:abstractNum w:abstractNumId="74">
    <w:nsid w:val="579328B9"/>
    <w:multiLevelType w:val="hybridMultilevel"/>
    <w:lvl w:ilvl="0">
      <w:lvlJc w:val="left"/>
      <w:lvlText w:val="."/>
      <w:numFmt w:val="bullet"/>
      <w:start w:val="1"/>
    </w:lvl>
  </w:abstractNum>
  <w:abstractNum w:abstractNumId="75">
    <w:nsid w:val="5D205E20"/>
    <w:multiLevelType w:val="hybridMultilevel"/>
    <w:lvl w:ilvl="0">
      <w:lvlJc w:val="left"/>
      <w:lvlText w:val="."/>
      <w:numFmt w:val="bullet"/>
      <w:start w:val="1"/>
    </w:lvl>
  </w:abstractNum>
  <w:abstractNum w:abstractNumId="76">
    <w:nsid w:val="11CCA8BA"/>
    <w:multiLevelType w:val="hybridMultilevel"/>
    <w:lvl w:ilvl="0">
      <w:lvlJc w:val="left"/>
      <w:lvlText w:val="(%1)"/>
      <w:numFmt w:val="decimal"/>
      <w:start w:val="1"/>
    </w:lvl>
  </w:abstractNum>
  <w:abstractNum w:abstractNumId="77">
    <w:nsid w:val="4D32AB86"/>
    <w:multiLevelType w:val="hybridMultilevel"/>
    <w:lvl w:ilvl="0">
      <w:lvlJc w:val="left"/>
      <w:lvlText w:val="(%1)"/>
      <w:numFmt w:val="decimal"/>
      <w:start w:val="1"/>
    </w:lvl>
  </w:abstractNum>
  <w:abstractNum w:abstractNumId="78">
    <w:nsid w:val="3F07ACC3"/>
    <w:multiLevelType w:val="hybridMultilevel"/>
    <w:lvl w:ilvl="0">
      <w:lvlJc w:val="left"/>
      <w:lvlText w:val="."/>
      <w:numFmt w:val="bullet"/>
      <w:start w:val="1"/>
    </w:lvl>
  </w:abstractNum>
  <w:abstractNum w:abstractNumId="79">
    <w:nsid w:val="6B47F63E"/>
    <w:multiLevelType w:val="hybridMultilevel"/>
    <w:lvl w:ilvl="0">
      <w:lvlJc w:val="left"/>
      <w:lvlText w:val="."/>
      <w:numFmt w:val="bullet"/>
      <w:start w:val="1"/>
    </w:lvl>
  </w:abstractNum>
  <w:abstractNum w:abstractNumId="80">
    <w:nsid w:val="5CB44A05"/>
    <w:multiLevelType w:val="hybridMultilevel"/>
    <w:lvl w:ilvl="0">
      <w:lvlJc w:val="left"/>
      <w:lvlText w:val="."/>
      <w:numFmt w:val="bullet"/>
      <w:start w:val="1"/>
    </w:lvl>
  </w:abstractNum>
  <w:abstractNum w:abstractNumId="81">
    <w:nsid w:val="16CF80F1"/>
    <w:multiLevelType w:val="hybridMultilevel"/>
    <w:lvl w:ilvl="0">
      <w:lvlJc w:val="left"/>
      <w:lvlText w:val="."/>
      <w:numFmt w:val="bullet"/>
      <w:start w:val="1"/>
    </w:lvl>
  </w:abstractNum>
  <w:abstractNum w:abstractNumId="82">
    <w:nsid w:val="1C695DEC"/>
    <w:multiLevelType w:val="hybridMultilevel"/>
    <w:lvl w:ilvl="0">
      <w:lvlJc w:val="left"/>
      <w:lvlText w:val="."/>
      <w:numFmt w:val="bullet"/>
      <w:start w:val="1"/>
    </w:lvl>
  </w:abstractNum>
  <w:abstractNum w:abstractNumId="83">
    <w:nsid w:val="3FCFAED9"/>
    <w:multiLevelType w:val="hybridMultilevel"/>
    <w:lvl w:ilvl="0">
      <w:lvlJc w:val="left"/>
      <w:lvlText w:val="."/>
      <w:numFmt w:val="bullet"/>
      <w:start w:val="1"/>
    </w:lvl>
  </w:abstractNum>
  <w:abstractNum w:abstractNumId="84">
    <w:nsid w:val="F856867"/>
    <w:multiLevelType w:val="hybridMultilevel"/>
    <w:lvl w:ilvl="0">
      <w:lvlJc w:val="left"/>
      <w:lvlText w:val="."/>
      <w:numFmt w:val="bullet"/>
      <w:start w:val="1"/>
    </w:lvl>
  </w:abstractNum>
  <w:abstractNum w:abstractNumId="85">
    <w:nsid w:val="11B1CC33"/>
    <w:multiLevelType w:val="hybridMultilevel"/>
    <w:lvl w:ilvl="0">
      <w:lvlJc w:val="left"/>
      <w:lvlText w:val="."/>
      <w:numFmt w:val="bullet"/>
      <w:start w:val="1"/>
    </w:lvl>
  </w:abstractNum>
  <w:abstractNum w:abstractNumId="86">
    <w:nsid w:val="2E22FBB7"/>
    <w:multiLevelType w:val="hybridMultilevel"/>
    <w:lvl w:ilvl="0">
      <w:lvlJc w:val="left"/>
      <w:lvlText w:val="."/>
      <w:numFmt w:val="bullet"/>
      <w:start w:val="1"/>
    </w:lvl>
  </w:abstractNum>
  <w:abstractNum w:abstractNumId="87">
    <w:nsid w:val="29934699"/>
    <w:multiLevelType w:val="hybridMultilevel"/>
    <w:lvl w:ilvl="0">
      <w:lvlJc w:val="left"/>
      <w:lvlText w:val="."/>
      <w:numFmt w:val="bullet"/>
      <w:start w:val="1"/>
    </w:lvl>
  </w:abstractNum>
  <w:abstractNum w:abstractNumId="88">
    <w:nsid w:val="77485850"/>
    <w:multiLevelType w:val="hybridMultilevel"/>
    <w:lvl w:ilvl="0">
      <w:lvlJc w:val="left"/>
      <w:lvlText w:val="."/>
      <w:numFmt w:val="bullet"/>
      <w:start w:val="1"/>
    </w:lvl>
  </w:abstractNum>
  <w:abstractNum w:abstractNumId="89">
    <w:nsid w:val="744939A3"/>
    <w:multiLevelType w:val="hybridMultilevel"/>
    <w:lvl w:ilvl="0">
      <w:lvlJc w:val="left"/>
      <w:lvlText w:val="."/>
      <w:numFmt w:val="bullet"/>
      <w:start w:val="1"/>
    </w:lvl>
  </w:abstractNum>
  <w:abstractNum w:abstractNumId="90">
    <w:nsid w:val="4FA0D2E3"/>
    <w:multiLevelType w:val="hybridMultilevel"/>
    <w:lvl w:ilvl="0">
      <w:lvlJc w:val="left"/>
      <w:lvlText w:val="."/>
      <w:numFmt w:val="bullet"/>
      <w:start w:val="1"/>
    </w:lvl>
  </w:abstractNum>
  <w:abstractNum w:abstractNumId="91">
    <w:nsid w:val="6B1D2C14"/>
    <w:multiLevelType w:val="hybridMultilevel"/>
    <w:lvl w:ilvl="0">
      <w:lvlJc w:val="left"/>
      <w:lvlText w:val="."/>
      <w:numFmt w:val="bullet"/>
      <w:start w:val="1"/>
    </w:lvl>
  </w:abstractNum>
  <w:abstractNum w:abstractNumId="92">
    <w:nsid w:val="68B867D3"/>
    <w:multiLevelType w:val="hybridMultilevel"/>
    <w:lvl w:ilvl="0">
      <w:lvlJc w:val="left"/>
      <w:lvlText w:val="."/>
      <w:numFmt w:val="bullet"/>
      <w:start w:val="1"/>
    </w:lvl>
  </w:abstractNum>
  <w:abstractNum w:abstractNumId="93">
    <w:nsid w:val="3F7F5DD9"/>
    <w:multiLevelType w:val="hybridMultilevel"/>
    <w:lvl w:ilvl="0">
      <w:lvlJc w:val="left"/>
      <w:lvlText w:val="."/>
      <w:numFmt w:val="bullet"/>
      <w:start w:val="1"/>
    </w:lvl>
  </w:abstractNum>
  <w:abstractNum w:abstractNumId="94">
    <w:nsid w:val="2AE05A34"/>
    <w:multiLevelType w:val="hybridMultilevel"/>
    <w:lvl w:ilvl="0">
      <w:lvlJc w:val="left"/>
      <w:lvlText w:val="."/>
      <w:numFmt w:val="bullet"/>
      <w:start w:val="1"/>
    </w:lvl>
  </w:abstractNum>
  <w:abstractNum w:abstractNumId="95">
    <w:nsid w:val="32794FF7"/>
    <w:multiLevelType w:val="hybridMultilevel"/>
    <w:lvl w:ilvl="0">
      <w:lvlJc w:val="left"/>
      <w:lvlText w:val="."/>
      <w:numFmt w:val="bullet"/>
      <w:start w:val="1"/>
    </w:lvl>
  </w:abstractNum>
  <w:abstractNum w:abstractNumId="96">
    <w:nsid w:val="5454945E"/>
    <w:multiLevelType w:val="hybridMultilevel"/>
    <w:lvl w:ilvl="0">
      <w:lvlJc w:val="left"/>
      <w:lvlText w:val="."/>
      <w:numFmt w:val="bullet"/>
      <w:start w:val="1"/>
    </w:lvl>
  </w:abstractNum>
  <w:abstractNum w:abstractNumId="97">
    <w:nsid w:val="4DEFDFA0"/>
    <w:multiLevelType w:val="hybridMultilevel"/>
    <w:lvl w:ilvl="0">
      <w:lvlJc w:val="left"/>
      <w:lvlText w:val="."/>
      <w:numFmt w:val="bullet"/>
      <w:start w:val="1"/>
    </w:lvl>
  </w:abstractNum>
  <w:abstractNum w:abstractNumId="98">
    <w:nsid w:val="2123D5F2"/>
    <w:multiLevelType w:val="hybridMultilevel"/>
    <w:lvl w:ilvl="0">
      <w:lvlJc w:val="left"/>
      <w:lvlText w:val="."/>
      <w:numFmt w:val="bullet"/>
      <w:start w:val="1"/>
    </w:lvl>
  </w:abstractNum>
  <w:abstractNum w:abstractNumId="99">
    <w:nsid w:val="135B8110"/>
    <w:multiLevelType w:val="hybridMultilevel"/>
    <w:lvl w:ilvl="0">
      <w:lvlJc w:val="left"/>
      <w:lvlText w:val="."/>
      <w:numFmt w:val="bullet"/>
      <w:start w:val="1"/>
    </w:lvl>
  </w:abstractNum>
  <w:abstractNum w:abstractNumId="100">
    <w:nsid w:val="94927A8"/>
    <w:multiLevelType w:val="hybridMultilevel"/>
    <w:lvl w:ilvl="0">
      <w:lvlJc w:val="left"/>
      <w:lvlText w:val="."/>
      <w:numFmt w:val="bullet"/>
      <w:start w:val="1"/>
    </w:lvl>
  </w:abstractNum>
  <w:abstractNum w:abstractNumId="101">
    <w:nsid w:val="DCDF8F6"/>
    <w:multiLevelType w:val="hybridMultilevel"/>
    <w:lvl w:ilvl="0">
      <w:lvlJc w:val="left"/>
      <w:lvlText w:val="."/>
      <w:numFmt w:val="bullet"/>
      <w:start w:val="1"/>
    </w:lvl>
  </w:abstractNum>
  <w:abstractNum w:abstractNumId="102">
    <w:nsid w:val="52D7B105"/>
    <w:multiLevelType w:val="hybridMultilevel"/>
    <w:lvl w:ilvl="0">
      <w:lvlJc w:val="left"/>
      <w:lvlText w:val="."/>
      <w:numFmt w:val="bullet"/>
      <w:start w:val="1"/>
    </w:lvl>
  </w:abstractNum>
  <w:abstractNum w:abstractNumId="103">
    <w:nsid w:val="2E8A6394"/>
    <w:multiLevelType w:val="hybridMultilevel"/>
    <w:lvl w:ilvl="0">
      <w:lvlJc w:val="left"/>
      <w:lvlText w:val="."/>
      <w:numFmt w:val="bullet"/>
      <w:start w:val="1"/>
    </w:lvl>
  </w:abstractNum>
  <w:abstractNum w:abstractNumId="104">
    <w:nsid w:val="24E60401"/>
    <w:multiLevelType w:val="hybridMultilevel"/>
    <w:lvl w:ilvl="0">
      <w:lvlJc w:val="left"/>
      <w:lvlText w:val="."/>
      <w:numFmt w:val="bullet"/>
      <w:start w:val="1"/>
    </w:lvl>
  </w:abstractNum>
  <w:abstractNum w:abstractNumId="105">
    <w:nsid w:val="2A6AD9BE"/>
    <w:multiLevelType w:val="hybridMultilevel"/>
    <w:lvl w:ilvl="0">
      <w:lvlJc w:val="left"/>
      <w:lvlText w:val="."/>
      <w:numFmt w:val="bullet"/>
      <w:start w:val="1"/>
    </w:lvl>
  </w:abstractNum>
  <w:abstractNum w:abstractNumId="106">
    <w:nsid w:val="BAAC1B4"/>
    <w:multiLevelType w:val="hybridMultilevel"/>
    <w:lvl w:ilvl="0">
      <w:lvlJc w:val="left"/>
      <w:lvlText w:val="."/>
      <w:numFmt w:val="bullet"/>
      <w:start w:val="1"/>
    </w:lvl>
  </w:abstractNum>
  <w:abstractNum w:abstractNumId="107">
    <w:nsid w:val="36B2ACBC"/>
    <w:multiLevelType w:val="hybridMultilevel"/>
    <w:lvl w:ilvl="0">
      <w:lvlJc w:val="left"/>
      <w:lvlText w:val="."/>
      <w:numFmt w:val="bullet"/>
      <w:start w:val="1"/>
    </w:lvl>
  </w:abstractNum>
  <w:abstractNum w:abstractNumId="108">
    <w:nsid w:val="779D8544"/>
    <w:multiLevelType w:val="hybridMultilevel"/>
    <w:lvl w:ilvl="0">
      <w:lvlJc w:val="left"/>
      <w:lvlText w:val="."/>
      <w:numFmt w:val="bullet"/>
      <w:start w:val="1"/>
    </w:lvl>
  </w:abstractNum>
  <w:abstractNum w:abstractNumId="109">
    <w:nsid w:val="4AB26E78"/>
    <w:multiLevelType w:val="hybridMultilevel"/>
    <w:lvl w:ilvl="0">
      <w:lvlJc w:val="left"/>
      <w:lvlText w:val="."/>
      <w:numFmt w:val="bullet"/>
      <w:start w:val="1"/>
    </w:lvl>
  </w:abstractNum>
  <w:abstractNum w:abstractNumId="110">
    <w:nsid w:val="21FAA2FA"/>
    <w:multiLevelType w:val="hybridMultilevel"/>
    <w:lvl w:ilvl="0">
      <w:lvlJc w:val="left"/>
      <w:lvlText w:val="."/>
      <w:numFmt w:val="bullet"/>
      <w:start w:val="1"/>
    </w:lvl>
  </w:abstractNum>
  <w:abstractNum w:abstractNumId="111">
    <w:nsid w:val="5451CF49"/>
    <w:multiLevelType w:val="hybridMultilevel"/>
    <w:lvl w:ilvl="0">
      <w:lvlJc w:val="left"/>
      <w:lvlText w:val="."/>
      <w:numFmt w:val="bullet"/>
      <w:start w:val="1"/>
    </w:lvl>
  </w:abstractNum>
  <w:abstractNum w:abstractNumId="112">
    <w:nsid w:val="6181EF69"/>
    <w:multiLevelType w:val="hybridMultilevel"/>
    <w:lvl w:ilvl="0">
      <w:lvlJc w:val="left"/>
      <w:lvlText w:val="."/>
      <w:numFmt w:val="bullet"/>
      <w:start w:val="1"/>
    </w:lvl>
  </w:abstractNum>
  <w:abstractNum w:abstractNumId="113">
    <w:nsid w:val="3E6400E6"/>
    <w:multiLevelType w:val="hybridMultilevel"/>
    <w:lvl w:ilvl="0">
      <w:lvlJc w:val="left"/>
      <w:lvlText w:val="."/>
      <w:numFmt w:val="bullet"/>
      <w:start w:val="1"/>
    </w:lvl>
  </w:abstractNum>
  <w:abstractNum w:abstractNumId="114">
    <w:nsid w:val="14217E23"/>
    <w:multiLevelType w:val="hybridMultilevel"/>
    <w:lvl w:ilvl="0">
      <w:lvlJc w:val="left"/>
      <w:lvlText w:val="(%1)"/>
      <w:numFmt w:val="decimal"/>
      <w:start w:val="1"/>
    </w:lvl>
  </w:abstractNum>
  <w:abstractNum w:abstractNumId="115">
    <w:nsid w:val="710757D0"/>
    <w:multiLevelType w:val="hybridMultilevel"/>
    <w:lvl w:ilvl="0">
      <w:lvlJc w:val="left"/>
      <w:lvlText w:val="(%1)"/>
      <w:numFmt w:val="decimal"/>
      <w:start w:val="1"/>
    </w:lvl>
  </w:abstractNum>
  <w:abstractNum w:abstractNumId="116">
    <w:nsid w:val="5015CD1A"/>
    <w:multiLevelType w:val="hybridMultilevel"/>
    <w:lvl w:ilvl="0">
      <w:lvlJc w:val="left"/>
      <w:lvlText w:val="."/>
      <w:numFmt w:val="bullet"/>
      <w:start w:val="1"/>
    </w:lvl>
  </w:abstractNum>
  <w:abstractNum w:abstractNumId="117">
    <w:nsid w:val="424479DA"/>
    <w:multiLevelType w:val="hybridMultilevel"/>
    <w:lvl w:ilvl="0">
      <w:lvlJc w:val="left"/>
      <w:lvlText w:val="."/>
      <w:numFmt w:val="bullet"/>
      <w:start w:val="1"/>
    </w:lvl>
  </w:abstractNum>
  <w:abstractNum w:abstractNumId="118">
    <w:nsid w:val="1A9A9E69"/>
    <w:multiLevelType w:val="hybridMultilevel"/>
    <w:lvl w:ilvl="0">
      <w:lvlJc w:val="left"/>
      <w:lvlText w:val="."/>
      <w:numFmt w:val="bullet"/>
      <w:start w:val="1"/>
    </w:lvl>
  </w:abstractNum>
  <w:abstractNum w:abstractNumId="119">
    <w:nsid w:val="475E256A"/>
    <w:multiLevelType w:val="hybridMultilevel"/>
    <w:lvl w:ilvl="0">
      <w:lvlJc w:val="left"/>
      <w:lvlText w:val="."/>
      <w:numFmt w:val="bullet"/>
      <w:start w:val="1"/>
    </w:lvl>
  </w:abstractNum>
  <w:abstractNum w:abstractNumId="120">
    <w:nsid w:val="368DB37E"/>
    <w:multiLevelType w:val="hybridMultilevel"/>
    <w:lvl w:ilvl="0">
      <w:lvlJc w:val="left"/>
      <w:lvlText w:val="$"/>
      <w:numFmt w:val="bullet"/>
      <w:start w:val="1"/>
    </w:lvl>
  </w:abstractNum>
  <w:abstractNum w:abstractNumId="121">
    <w:nsid w:val="6A3B714C"/>
    <w:multiLevelType w:val="hybridMultilevel"/>
    <w:lvl w:ilvl="0">
      <w:lvlJc w:val="left"/>
      <w:lvlText w:val="$"/>
      <w:numFmt w:val="bullet"/>
      <w:start w:val="1"/>
    </w:lvl>
  </w:abstractNum>
  <w:abstractNum w:abstractNumId="122">
    <w:nsid w:val="327B517E"/>
    <w:multiLevelType w:val="hybridMultilevel"/>
    <w:lvl w:ilvl="0">
      <w:lvlJc w:val="left"/>
      <w:lvlText w:val="*"/>
      <w:numFmt w:val="bullet"/>
      <w:start w:val="1"/>
    </w:lvl>
  </w:abstractNum>
  <w:abstractNum w:abstractNumId="123">
    <w:nsid w:val="1F461B51"/>
    <w:multiLevelType w:val="hybridMultilevel"/>
    <w:lvl w:ilvl="0">
      <w:lvlJc w:val="left"/>
      <w:lvlText w:val="**"/>
      <w:numFmt w:val="bullet"/>
      <w:start w:val="1"/>
    </w:lvl>
  </w:abstractNum>
  <w:abstractNum w:abstractNumId="124">
    <w:nsid w:val="29BACF25"/>
    <w:multiLevelType w:val="hybridMultilevel"/>
    <w:lvl w:ilvl="0">
      <w:lvlJc w:val="left"/>
      <w:lvlText w:val="(%1)"/>
      <w:numFmt w:val="decimal"/>
      <w:start w:val="1"/>
    </w:lvl>
  </w:abstractNum>
  <w:abstractNum w:abstractNumId="125">
    <w:nsid w:val="5D5BABB3"/>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126">
    <w:nsid w:val="51BF6B48"/>
    <w:multiLevelType w:val="hybridMultilevel"/>
    <w:lvl w:ilvl="0">
      <w:lvlJc w:val="left"/>
      <w:lvlText w:val="%1"/>
      <w:numFmt w:val="decimal"/>
      <w:start w:val="1"/>
    </w:lvl>
    <w:lvl w:ilvl="1">
      <w:lvlJc w:val="left"/>
      <w:lvlText w:val="(%2)"/>
      <w:numFmt w:val="decimal"/>
      <w:start w:val="2"/>
    </w:lvl>
  </w:abstractNum>
  <w:abstractNum w:abstractNumId="127">
    <w:nsid w:val="7E0F6384"/>
    <w:multiLevelType w:val="hybridMultilevel"/>
    <w:lvl w:ilvl="0">
      <w:lvlJc w:val="left"/>
      <w:lvlText w:val="%1."/>
      <w:numFmt w:val="decimal"/>
      <w:start w:val="2"/>
    </w:lvl>
    <w:lvl w:ilvl="1">
      <w:lvlJc w:val="left"/>
      <w:lvlText w:val="%2"/>
      <w:numFmt w:val="decimal"/>
      <w:start w:val="1"/>
    </w:lvl>
  </w:abstractNum>
  <w:abstractNum w:abstractNumId="128">
    <w:nsid w:val="2B4B8B53"/>
    <w:multiLevelType w:val="hybridMultilevel"/>
    <w:lvl w:ilvl="0">
      <w:lvlJc w:val="left"/>
      <w:lvlText w:val="%1."/>
      <w:numFmt w:val="decimal"/>
      <w:start w:val="4"/>
    </w:lvl>
    <w:lvl w:ilvl="1">
      <w:lvlJc w:val="left"/>
      <w:lvlText w:val="(%2)"/>
      <w:numFmt w:val="lowerLetter"/>
      <w:start w:val="1"/>
    </w:lvl>
  </w:abstractNum>
  <w:abstractNum w:abstractNumId="129">
    <w:nsid w:val="72E3413A"/>
    <w:multiLevelType w:val="hybridMultilevel"/>
    <w:lvl w:ilvl="0">
      <w:lvlJc w:val="left"/>
      <w:lvlText w:val="-"/>
      <w:numFmt w:val="bullet"/>
      <w:start w:val="1"/>
    </w:lvl>
  </w:abstractNum>
  <w:abstractNum w:abstractNumId="130">
    <w:nsid w:val="116AE494"/>
    <w:multiLevelType w:val="hybridMultilevel"/>
    <w:lvl w:ilvl="0">
      <w:lvlJc w:val="left"/>
      <w:lvlText w:val="*"/>
      <w:numFmt w:val="bullet"/>
      <w:start w:val="1"/>
    </w:lvl>
  </w:abstractNum>
  <w:abstractNum w:abstractNumId="131">
    <w:nsid w:val="3494B2FB"/>
    <w:multiLevelType w:val="hybridMultilevel"/>
    <w:lvl w:ilvl="0">
      <w:lvlJc w:val="left"/>
      <w:lvlText w:val="**"/>
      <w:numFmt w:val="bullet"/>
      <w:start w:val="1"/>
    </w:lvl>
  </w:abstractNum>
  <w:abstractNum w:abstractNumId="132">
    <w:nsid w:val="B13A31"/>
    <w:multiLevelType w:val="hybridMultilevel"/>
    <w:lvl w:ilvl="0">
      <w:lvlJc w:val="left"/>
      <w:lvlText w:val="(%1)"/>
      <w:numFmt w:val="decimal"/>
      <w:start w:val="1"/>
    </w:lvl>
  </w:abstractNum>
  <w:abstractNum w:abstractNumId="133">
    <w:nsid w:val="64429599"/>
    <w:multiLevelType w:val="hybridMultilevel"/>
    <w:lvl w:ilvl="0">
      <w:lvlJc w:val="left"/>
      <w:lvlText w:val="(%1)"/>
      <w:numFmt w:val="decimal"/>
      <w:start w:val="1"/>
    </w:lvl>
  </w:abstractNum>
  <w:abstractNum w:abstractNumId="134">
    <w:nsid w:val="631F1690"/>
    <w:multiLevelType w:val="hybridMultilevel"/>
    <w:lvl w:ilvl="0">
      <w:lvlJc w:val="left"/>
      <w:lvlText w:val="(%1)"/>
      <w:numFmt w:val="decimal"/>
      <w:start w:val="5"/>
    </w:lvl>
  </w:abstractNum>
  <w:abstractNum w:abstractNumId="135">
    <w:nsid w:val="25973E32"/>
    <w:multiLevelType w:val="hybridMultilevel"/>
    <w:lvl w:ilvl="0">
      <w:lvlJc w:val="left"/>
      <w:lvlText w:val="(%1)"/>
      <w:numFmt w:val="decimal"/>
      <w:start w:val="1"/>
    </w:lvl>
  </w:abstractNum>
  <w:abstractNum w:abstractNumId="136">
    <w:nsid w:val="EAD6F57"/>
    <w:multiLevelType w:val="hybridMultilevel"/>
    <w:lvl w:ilvl="0">
      <w:lvlJc w:val="left"/>
      <w:lvlText w:val="(%1)"/>
      <w:numFmt w:val="decimal"/>
      <w:start w:val="3"/>
    </w:lvl>
  </w:abstractNum>
  <w:abstractNum w:abstractNumId="137">
    <w:nsid w:val="6EC9D844"/>
    <w:multiLevelType w:val="hybridMultilevel"/>
    <w:lvl w:ilvl="0">
      <w:lvlJc w:val="left"/>
      <w:lvlText w:val="(%1)"/>
      <w:numFmt w:val="decimal"/>
      <w:start w:val="1"/>
    </w:lvl>
  </w:abstractNum>
  <w:abstractNum w:abstractNumId="138">
    <w:nsid w:val="5C49EAEE"/>
    <w:multiLevelType w:val="hybridMultilevel"/>
    <w:lvl w:ilvl="0">
      <w:lvlJc w:val="left"/>
      <w:lvlText w:val="(%1)"/>
      <w:numFmt w:val="decimal"/>
      <w:start w:val="1"/>
    </w:lvl>
  </w:abstractNum>
  <w:abstractNum w:abstractNumId="139">
    <w:nsid w:val="64AF49B"/>
    <w:multiLevelType w:val="hybridMultilevel"/>
    <w:lvl w:ilvl="0">
      <w:lvlJc w:val="left"/>
      <w:lvlText w:val="(%1)"/>
      <w:numFmt w:val="decimal"/>
      <w:start w:val="2"/>
    </w:lvl>
  </w:abstractNum>
  <w:abstractNum w:abstractNumId="140">
    <w:nsid w:val="397C46BC"/>
    <w:multiLevelType w:val="hybridMultilevel"/>
    <w:lvl w:ilvl="0">
      <w:lvlJc w:val="left"/>
      <w:lvlText w:val="(%1)"/>
      <w:numFmt w:val="decimal"/>
      <w:start w:val="1"/>
    </w:lvl>
  </w:abstractNum>
  <w:abstractNum w:abstractNumId="141">
    <w:nsid w:val="7E448DE9"/>
    <w:multiLevelType w:val="hybridMultilevel"/>
    <w:lvl w:ilvl="0">
      <w:lvlJc w:val="left"/>
      <w:lvlText w:val="(%1)"/>
      <w:numFmt w:val="decimal"/>
      <w:start w:val="1"/>
    </w:lvl>
  </w:abstractNum>
  <w:abstractNum w:abstractNumId="142">
    <w:nsid w:val="5A9CC3E5"/>
    <w:multiLevelType w:val="hybridMultilevel"/>
    <w:lvl w:ilvl="0">
      <w:lvlJc w:val="left"/>
      <w:lvlText w:val="(%1)"/>
      <w:numFmt w:val="decimal"/>
      <w:start w:val="9"/>
    </w:lvl>
  </w:abstractNum>
  <w:abstractNum w:abstractNumId="143">
    <w:nsid w:val="1AFE3625"/>
    <w:multiLevelType w:val="hybridMultilevel"/>
    <w:lvl w:ilvl="0">
      <w:lvlJc w:val="left"/>
      <w:lvlText w:val="(%1)"/>
      <w:numFmt w:val="decimal"/>
      <w:start w:val="16"/>
    </w:lvl>
  </w:abstractNum>
  <w:abstractNum w:abstractNumId="144">
    <w:nsid w:val="3CA88ECF"/>
    <w:multiLevelType w:val="hybridMultilevel"/>
    <w:lvl w:ilvl="0">
      <w:lvlJc w:val="left"/>
      <w:lvlText w:val="(%1)"/>
      <w:numFmt w:val="decimal"/>
      <w:start w:val="1"/>
    </w:lvl>
  </w:abstractNum>
  <w:abstractNum w:abstractNumId="145">
    <w:nsid w:val="6EBE4208"/>
    <w:multiLevelType w:val="hybridMultilevel"/>
    <w:lvl w:ilvl="0">
      <w:lvlJc w:val="left"/>
      <w:lvlText w:val="(%1)"/>
      <w:numFmt w:val="decimal"/>
      <w:start w:val="1"/>
    </w:lvl>
  </w:abstractNum>
  <w:abstractNum w:abstractNumId="146">
    <w:nsid w:val="C058DF5"/>
    <w:multiLevelType w:val="hybridMultilevel"/>
    <w:lvl w:ilvl="0">
      <w:lvlJc w:val="left"/>
      <w:lvlText w:val="(%1)"/>
      <w:numFmt w:val="decimal"/>
      <w:start w:val="4"/>
    </w:lvl>
  </w:abstractNum>
  <w:abstractNum w:abstractNumId="147">
    <w:nsid w:val="CBE5BE9"/>
    <w:multiLevelType w:val="hybridMultilevel"/>
    <w:lvl w:ilvl="0">
      <w:lvlJc w:val="left"/>
      <w:lvlText w:val="(%1)"/>
      <w:numFmt w:val="decimal"/>
      <w:start w:val="1"/>
    </w:lvl>
    <w:lvl w:ilvl="1">
      <w:lvlJc w:val="left"/>
      <w:lvlText w:val="(%2)"/>
      <w:numFmt w:val="decimal"/>
      <w:start w:val="3"/>
    </w:lvl>
  </w:abstractNum>
  <w:abstractNum w:abstractNumId="148">
    <w:nsid w:val="3102BBE2"/>
    <w:multiLevelType w:val="hybridMultilevel"/>
    <w:lvl w:ilvl="0">
      <w:lvlJc w:val="left"/>
      <w:lvlText w:val="(%1)"/>
      <w:numFmt w:val="decimal"/>
      <w:start w:val="4"/>
    </w:lvl>
  </w:abstractNum>
  <w:abstractNum w:abstractNumId="149">
    <w:nsid w:val="26A02C5E"/>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50">
    <w:nsid w:val="541C8153"/>
    <w:multiLevelType w:val="hybridMultilevel"/>
    <w:lvl w:ilvl="0">
      <w:lvlJc w:val="left"/>
      <w:lvlText w:val="(%1)"/>
      <w:numFmt w:val="decimal"/>
      <w:start w:val="2"/>
    </w:lvl>
  </w:abstractNum>
  <w:abstractNum w:abstractNumId="151">
    <w:nsid w:val="67906F60"/>
    <w:multiLevelType w:val="hybridMultilevel"/>
    <w:lvl w:ilvl="0">
      <w:lvlJc w:val="left"/>
      <w:lvlText w:val="(%1)"/>
      <w:numFmt w:val="decimal"/>
      <w:start w:val="1"/>
    </w:lvl>
  </w:abstractNum>
  <w:abstractNum w:abstractNumId="152">
    <w:nsid w:val="10DB9DAA"/>
    <w:multiLevelType w:val="hybridMultilevel"/>
    <w:lvl w:ilvl="0">
      <w:lvlJc w:val="left"/>
      <w:lvlText w:val="(%1)"/>
      <w:numFmt w:val="decimal"/>
      <w:start w:val="6"/>
    </w:lvl>
  </w:abstractNum>
  <w:abstractNum w:abstractNumId="153">
    <w:nsid w:val="697D2D2"/>
    <w:multiLevelType w:val="hybridMultilevel"/>
    <w:lvl w:ilvl="0">
      <w:lvlJc w:val="left"/>
      <w:lvlText w:val="%1"/>
      <w:numFmt w:val="decimal"/>
      <w:start w:val="1"/>
    </w:lvl>
    <w:lvl w:ilvl="1">
      <w:lvlJc w:val="left"/>
      <w:lvlText w:val="(%2)"/>
      <w:numFmt w:val="upperLetter"/>
      <w:start w:val="1"/>
    </w:lvl>
  </w:abstractNum>
  <w:abstractNum w:abstractNumId="154">
    <w:nsid w:val="6D68AB2"/>
    <w:multiLevelType w:val="hybridMultilevel"/>
    <w:lvl w:ilvl="0">
      <w:lvlJc w:val="left"/>
      <w:lvlText w:val="(%1)"/>
      <w:numFmt w:val="decimal"/>
      <w:start w:val="2"/>
    </w:lvl>
    <w:lvl w:ilvl="1">
      <w:lvlJc w:val="left"/>
      <w:lvlText w:val="%2"/>
      <w:numFmt w:val="upperLetter"/>
      <w:start w:val="1"/>
    </w:lvl>
  </w:abstractNum>
  <w:abstractNum w:abstractNumId="155">
    <w:nsid w:val="3A966CD0"/>
    <w:multiLevelType w:val="hybridMultilevel"/>
    <w:lvl w:ilvl="0">
      <w:lvlJc w:val="left"/>
      <w:lvlText w:val="(%1)"/>
      <w:numFmt w:val="decimal"/>
      <w:start w:val="1"/>
    </w:lvl>
  </w:abstractNum>
  <w:abstractNum w:abstractNumId="156">
    <w:nsid w:val="63F37E85"/>
    <w:multiLevelType w:val="hybridMultilevel"/>
    <w:lvl w:ilvl="0">
      <w:lvlJc w:val="left"/>
      <w:lvlText w:val="(%1)"/>
      <w:numFmt w:val="decimal"/>
      <w:start w:val="1"/>
    </w:lvl>
  </w:abstractNum>
  <w:abstractNum w:abstractNumId="157">
    <w:nsid w:val="5895F5FA"/>
    <w:multiLevelType w:val="hybridMultilevel"/>
    <w:lvl w:ilvl="0">
      <w:lvlJc w:val="left"/>
      <w:lvlText w:val="(%1)"/>
      <w:numFmt w:val="decimal"/>
      <w:start w:val="1"/>
    </w:lvl>
  </w:abstractNum>
  <w:abstractNum w:abstractNumId="158">
    <w:nsid w:val="38A5D054"/>
    <w:multiLevelType w:val="hybridMultilevel"/>
    <w:lvl w:ilvl="0">
      <w:lvlJc w:val="left"/>
      <w:lvlText w:val="(%1)"/>
      <w:numFmt w:val="decimal"/>
      <w:start w:val="1"/>
    </w:lvl>
  </w:abstractNum>
  <w:abstractNum w:abstractNumId="159">
    <w:nsid w:val="F3F09D8"/>
    <w:multiLevelType w:val="hybridMultilevel"/>
    <w:lvl w:ilvl="0">
      <w:lvlJc w:val="left"/>
      <w:lvlText w:val="(%1)"/>
      <w:numFmt w:val="decimal"/>
      <w:start w:val="1"/>
    </w:lvl>
  </w:abstractNum>
  <w:abstractNum w:abstractNumId="160">
    <w:nsid w:val="4B793735"/>
    <w:multiLevelType w:val="hybridMultilevel"/>
    <w:lvl w:ilvl="0">
      <w:lvlJc w:val="left"/>
      <w:lvlText w:val="(%1)"/>
      <w:numFmt w:val="decimal"/>
      <w:start w:val="4"/>
    </w:lvl>
  </w:abstractNum>
  <w:abstractNum w:abstractNumId="161">
    <w:nsid w:val="4A10B4E8"/>
    <w:multiLevelType w:val="hybridMultilevel"/>
    <w:lvl w:ilvl="0">
      <w:lvlJc w:val="left"/>
      <w:lvlText w:val="(%1)"/>
      <w:numFmt w:val="decimal"/>
      <w:start w:val="1"/>
    </w:lvl>
  </w:abstractNum>
  <w:abstractNum w:abstractNumId="162">
    <w:nsid w:val="43D3BCD4"/>
    <w:multiLevelType w:val="hybridMultilevel"/>
    <w:lvl w:ilvl="0">
      <w:lvlJc w:val="left"/>
      <w:lvlText w:val="(%1)"/>
      <w:numFmt w:val="decimal"/>
      <w:start w:val="1"/>
    </w:lvl>
  </w:abstractNum>
  <w:abstractNum w:abstractNumId="163">
    <w:nsid w:val="4C2A7166"/>
    <w:multiLevelType w:val="hybridMultilevel"/>
    <w:lvl w:ilvl="0">
      <w:lvlJc w:val="left"/>
      <w:lvlText w:val="(%1)"/>
      <w:numFmt w:val="decimal"/>
      <w:start w:val="1"/>
    </w:lvl>
  </w:abstractNum>
  <w:abstractNum w:abstractNumId="164">
    <w:nsid w:val="2E534A82"/>
    <w:multiLevelType w:val="hybridMultilevel"/>
    <w:lvl w:ilvl="0">
      <w:lvlJc w:val="left"/>
      <w:lvlText w:val="(%1)"/>
      <w:numFmt w:val="decimal"/>
      <w:start w:val="2"/>
    </w:lvl>
  </w:abstractNum>
  <w:abstractNum w:abstractNumId="165">
    <w:nsid w:val="26F2D364"/>
    <w:multiLevelType w:val="hybridMultilevel"/>
    <w:lvl w:ilvl="0">
      <w:lvlJc w:val="left"/>
      <w:lvlText w:val="(%1)"/>
      <w:numFmt w:val="decimal"/>
      <w:start w:val="1"/>
    </w:lvl>
  </w:abstractNum>
  <w:abstractNum w:abstractNumId="166">
    <w:nsid w:val="71C1AF98"/>
    <w:multiLevelType w:val="hybridMultilevel"/>
    <w:lvl w:ilvl="0">
      <w:lvlJc w:val="left"/>
      <w:lvlText w:val="(%1)"/>
      <w:numFmt w:val="decimal"/>
      <w:start w:val="9"/>
    </w:lvl>
  </w:abstractNum>
  <w:abstractNum w:abstractNumId="167">
    <w:nsid w:val="3D00B9D9"/>
    <w:multiLevelType w:val="hybridMultilevel"/>
    <w:lvl w:ilvl="0">
      <w:lvlJc w:val="left"/>
      <w:lvlText w:val="(%1)"/>
      <w:numFmt w:val="decimal"/>
      <w:start w:val="1"/>
    </w:lvl>
  </w:abstractNum>
  <w:abstractNum w:abstractNumId="168">
    <w:nsid w:val="15BCABA8"/>
    <w:multiLevelType w:val="hybridMultilevel"/>
    <w:lvl w:ilvl="0">
      <w:lvlJc w:val="left"/>
      <w:lvlText w:val="(%1)"/>
      <w:numFmt w:val="decimal"/>
      <w:start w:val="4"/>
    </w:lvl>
  </w:abstractNum>
  <w:abstractNum w:abstractNumId="169">
    <w:nsid w:val="4E0B9A87"/>
    <w:multiLevelType w:val="hybridMultilevel"/>
    <w:lvl w:ilvl="0">
      <w:lvlJc w:val="left"/>
      <w:lvlText w:val="(%1)"/>
      <w:numFmt w:val="decimal"/>
      <w:start w:val="1"/>
    </w:lvl>
  </w:abstractNum>
  <w:abstractNum w:abstractNumId="170">
    <w:nsid w:val="434BAE75"/>
    <w:multiLevelType w:val="hybridMultilevel"/>
    <w:lvl w:ilvl="0">
      <w:lvlJc w:val="left"/>
      <w:lvlText w:val="(%1)"/>
      <w:numFmt w:val="decimal"/>
      <w:start w:val="3"/>
    </w:lvl>
  </w:abstractNum>
  <w:abstractNum w:abstractNumId="171">
    <w:nsid w:val="4F38F265"/>
    <w:multiLevelType w:val="hybridMultilevel"/>
    <w:lvl w:ilvl="0">
      <w:lvlJc w:val="left"/>
      <w:lvlText w:val="(%1)"/>
      <w:numFmt w:val="decimal"/>
      <w:start w:val="1"/>
    </w:lvl>
  </w:abstractNum>
  <w:abstractNum w:abstractNumId="172">
    <w:nsid w:val="4C502870"/>
    <w:multiLevelType w:val="hybridMultilevel"/>
    <w:lvl w:ilvl="0">
      <w:lvlJc w:val="left"/>
      <w:lvlText w:val="%1)"/>
      <w:numFmt w:val="decimal"/>
      <w:start w:val="307"/>
    </w:lvl>
  </w:abstractNum>
  <w:abstractNum w:abstractNumId="173">
    <w:nsid w:val="1DE8725A"/>
    <w:multiLevelType w:val="hybridMultilevel"/>
    <w:lvl w:ilvl="0">
      <w:lvlJc w:val="left"/>
      <w:lvlText w:val="%1"/>
      <w:numFmt w:val="upperLetter"/>
      <w:start w:val="1"/>
    </w:lvl>
    <w:lvl w:ilvl="1">
      <w:lvlJc w:val="left"/>
      <w:lvlText w:val="(%2)"/>
      <w:numFmt w:val="decimal"/>
      <w:start w:val="1"/>
    </w:lvl>
  </w:abstractNum>
  <w:abstractNum w:abstractNumId="174">
    <w:nsid w:val="6A37288A"/>
    <w:multiLevelType w:val="hybridMultilevel"/>
    <w:lvl w:ilvl="0">
      <w:lvlJc w:val="left"/>
      <w:lvlText w:val="(%1)"/>
      <w:numFmt w:val="upperLetter"/>
      <w:start w:val="2"/>
    </w:lvl>
    <w:lvl w:ilvl="1">
      <w:lvlJc w:val="left"/>
      <w:lvlText w:val="(%2)"/>
      <w:numFmt w:val="decimal"/>
      <w:start w:val="2"/>
    </w:lvl>
  </w:abstractNum>
  <w:abstractNum w:abstractNumId="175">
    <w:nsid w:val="8F8B73F"/>
    <w:multiLevelType w:val="hybridMultilevel"/>
    <w:lvl w:ilvl="0">
      <w:lvlJc w:val="left"/>
      <w:lvlText w:val="(%1)"/>
      <w:numFmt w:val="decimal"/>
      <w:start w:val="3"/>
    </w:lvl>
  </w:abstractNum>
  <w:abstractNum w:abstractNumId="176">
    <w:nsid w:val="CA6B462"/>
    <w:multiLevelType w:val="hybridMultilevel"/>
    <w:lvl w:ilvl="0">
      <w:lvlJc w:val="left"/>
      <w:lvlText w:val="(%1)"/>
      <w:numFmt w:val="decimal"/>
      <w:start w:val="1"/>
    </w:lvl>
  </w:abstractNum>
  <w:abstractNum w:abstractNumId="177">
    <w:nsid w:val="763CB680"/>
    <w:multiLevelType w:val="hybridMultilevel"/>
    <w:lvl w:ilvl="0">
      <w:lvlJc w:val="left"/>
      <w:lvlText w:val="(%1)"/>
      <w:numFmt w:val="decimal"/>
      <w:start w:val="1"/>
    </w:lvl>
  </w:abstractNum>
  <w:abstractNum w:abstractNumId="178">
    <w:nsid w:val="15B71329"/>
    <w:multiLevelType w:val="hybridMultilevel"/>
    <w:lvl w:ilvl="0">
      <w:lvlJc w:val="left"/>
      <w:lvlText w:val="(%1)"/>
      <w:numFmt w:val="decimal"/>
      <w:start w:val="5"/>
    </w:lvl>
  </w:abstractNum>
  <w:abstractNum w:abstractNumId="179">
    <w:nsid w:val="3DA97044"/>
    <w:multiLevelType w:val="hybridMultilevel"/>
    <w:lvl w:ilvl="0">
      <w:lvlJc w:val="left"/>
      <w:lvlText w:val="(%1)"/>
      <w:numFmt w:val="decimal"/>
      <w:start w:val="1"/>
    </w:lvl>
  </w:abstractNum>
  <w:abstractNum w:abstractNumId="180">
    <w:nsid w:val="1CDCE2DE"/>
    <w:multiLevelType w:val="hybridMultilevel"/>
    <w:lvl w:ilvl="0">
      <w:lvlJc w:val="left"/>
      <w:lvlText w:val="(%1)"/>
      <w:numFmt w:val="lowerRoman"/>
      <w:start w:val="1"/>
    </w:lvl>
  </w:abstractNum>
  <w:abstractNum w:abstractNumId="181">
    <w:nsid w:val="69D3947C"/>
    <w:multiLevelType w:val="hybridMultilevel"/>
    <w:lvl w:ilvl="0">
      <w:lvlJc w:val="left"/>
      <w:lvlText w:val="(%1)"/>
      <w:numFmt w:val="lowerLetter"/>
      <w:start w:val="1"/>
    </w:lvl>
  </w:abstractNum>
  <w:abstractNum w:abstractNumId="182">
    <w:nsid w:val="2539DFA5"/>
    <w:multiLevelType w:val="hybridMultilevel"/>
    <w:lvl w:ilvl="0">
      <w:lvlJc w:val="left"/>
      <w:lvlText w:val="(%1)"/>
      <w:numFmt w:val="decimal"/>
      <w:start w:val="1"/>
    </w:lvl>
  </w:abstractNum>
  <w:abstractNum w:abstractNumId="183">
    <w:nsid w:val="2DB88089"/>
    <w:multiLevelType w:val="hybridMultilevel"/>
    <w:lvl w:ilvl="0">
      <w:lvlJc w:val="left"/>
      <w:lvlText w:val="(%1)"/>
      <w:numFmt w:val="decimal"/>
      <w:start w:val="2"/>
    </w:lvl>
  </w:abstractNum>
  <w:abstractNum w:abstractNumId="184">
    <w:nsid w:val="706B674E"/>
    <w:multiLevelType w:val="hybridMultilevel"/>
    <w:lvl w:ilvl="0">
      <w:lvlJc w:val="left"/>
      <w:lvlText w:val="(%1)"/>
      <w:numFmt w:val="decimal"/>
      <w:start w:val="1"/>
    </w:lvl>
  </w:abstractNum>
  <w:abstractNum w:abstractNumId="185">
    <w:nsid w:val="2C106A57"/>
    <w:multiLevelType w:val="hybridMultilevel"/>
    <w:lvl w:ilvl="0">
      <w:lvlJc w:val="left"/>
      <w:lvlText w:val="(%1)"/>
      <w:numFmt w:val="decimal"/>
      <w:start w:val="1"/>
    </w:lvl>
  </w:abstractNum>
  <w:abstractNum w:abstractNumId="186">
    <w:nsid w:val="684EED59"/>
    <w:multiLevelType w:val="hybridMultilevel"/>
    <w:lvl w:ilvl="0">
      <w:lvlJc w:val="left"/>
      <w:lvlText w:val="(%1)"/>
      <w:numFmt w:val="decimal"/>
      <w:start w:val="11"/>
    </w:lvl>
  </w:abstractNum>
  <w:abstractNum w:abstractNumId="187">
    <w:nsid w:val="545EE5D3"/>
    <w:multiLevelType w:val="hybridMultilevel"/>
    <w:lvl w:ilvl="0">
      <w:lvlJc w:val="left"/>
      <w:lvlText w:val="(%1)"/>
      <w:numFmt w:val="decimal"/>
      <w:start w:val="18"/>
    </w:lvl>
  </w:abstractNum>
  <w:abstractNum w:abstractNumId="188">
    <w:nsid w:val="4A66051"/>
    <w:multiLevelType w:val="hybridMultilevel"/>
    <w:lvl w:ilvl="0">
      <w:lvlJc w:val="left"/>
      <w:lvlText w:val="(%1)"/>
      <w:numFmt w:val="decimal"/>
      <w:start w:val="1"/>
    </w:lvl>
  </w:abstractNum>
  <w:abstractNum w:abstractNumId="189">
    <w:nsid w:val="20F4BDAD"/>
    <w:multiLevelType w:val="hybridMultilevel"/>
    <w:lvl w:ilvl="0">
      <w:lvlJc w:val="left"/>
      <w:lvlText w:val="(%1)"/>
      <w:numFmt w:val="decimal"/>
      <w:start w:val="1"/>
    </w:lvl>
  </w:abstractNum>
  <w:abstractNum w:abstractNumId="190">
    <w:nsid w:val="639DEFAC"/>
    <w:multiLevelType w:val="hybridMultilevel"/>
    <w:lvl w:ilvl="0">
      <w:lvlJc w:val="left"/>
      <w:lvlText w:val="(%1)"/>
      <w:numFmt w:val="decimal"/>
      <w:start w:val="4"/>
    </w:lvl>
  </w:abstractNum>
  <w:abstractNum w:abstractNumId="191">
    <w:nsid w:val="501F9786"/>
    <w:multiLevelType w:val="hybridMultilevel"/>
    <w:lvl w:ilvl="0">
      <w:lvlJc w:val="left"/>
      <w:lvlText w:val="(%1)"/>
      <w:numFmt w:val="decimal"/>
      <w:start w:val="1"/>
    </w:lvl>
  </w:abstractNum>
  <w:abstractNum w:abstractNumId="192">
    <w:nsid w:val="6B05729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93">
    <w:nsid w:val="2771AC80"/>
    <w:multiLevelType w:val="hybridMultilevel"/>
    <w:lvl w:ilvl="0">
      <w:lvlJc w:val="left"/>
      <w:lvlText w:val="(%1)"/>
      <w:numFmt w:val="decimal"/>
      <w:start w:val="2"/>
    </w:lvl>
  </w:abstractNum>
  <w:abstractNum w:abstractNumId="194">
    <w:nsid w:val="1C4A08EC"/>
    <w:multiLevelType w:val="hybridMultilevel"/>
    <w:lvl w:ilvl="0">
      <w:lvlJc w:val="left"/>
      <w:lvlText w:val="(%1)"/>
      <w:numFmt w:val="decimal"/>
      <w:start w:val="1"/>
    </w:lvl>
  </w:abstractNum>
  <w:abstractNum w:abstractNumId="195">
    <w:nsid w:val="1958BD17"/>
    <w:multiLevelType w:val="hybridMultilevel"/>
    <w:lvl w:ilvl="0">
      <w:lvlJc w:val="left"/>
      <w:lvlText w:val="(%1)"/>
      <w:numFmt w:val="decimal"/>
      <w:start w:val="5"/>
    </w:lvl>
  </w:abstractNum>
  <w:abstractNum w:abstractNumId="196">
    <w:nsid w:val="4E647FE4"/>
    <w:multiLevelType w:val="hybridMultilevel"/>
    <w:lvl w:ilvl="0">
      <w:lvlJc w:val="left"/>
      <w:lvlText w:val="%1"/>
      <w:numFmt w:val="decimal"/>
      <w:start w:val="1"/>
    </w:lvl>
    <w:lvl w:ilvl="1">
      <w:lvlJc w:val="left"/>
      <w:lvlText w:val="(%2)"/>
      <w:numFmt w:val="upperLetter"/>
      <w:start w:val="1"/>
    </w:lvl>
  </w:abstractNum>
  <w:abstractNum w:abstractNumId="197">
    <w:nsid w:val="E0BB885"/>
    <w:multiLevelType w:val="hybridMultilevel"/>
    <w:lvl w:ilvl="0">
      <w:lvlJc w:val="left"/>
      <w:lvlText w:val="(%1)"/>
      <w:numFmt w:val="decimal"/>
      <w:start w:val="2"/>
    </w:lvl>
    <w:lvl w:ilvl="1">
      <w:lvlJc w:val="left"/>
      <w:lvlText w:val="%2"/>
      <w:numFmt w:val="upperLetter"/>
      <w:start w:val="1"/>
    </w:lvl>
  </w:abstractNum>
  <w:abstractNum w:abstractNumId="198">
    <w:nsid w:val="565976F1"/>
    <w:multiLevelType w:val="hybridMultilevel"/>
    <w:lvl w:ilvl="0">
      <w:lvlJc w:val="left"/>
      <w:lvlText w:val="(%1)"/>
      <w:numFmt w:val="decimal"/>
      <w:start w:val="1"/>
    </w:lvl>
  </w:abstractNum>
  <w:abstractNum w:abstractNumId="199">
    <w:nsid w:val="64212B8C"/>
    <w:multiLevelType w:val="hybridMultilevel"/>
    <w:lvl w:ilvl="0">
      <w:lvlJc w:val="left"/>
      <w:lvlText w:val="(%1)"/>
      <w:numFmt w:val="decimal"/>
      <w:start w:val="1"/>
    </w:lvl>
  </w:abstractNum>
  <w:abstractNum w:abstractNumId="200">
    <w:nsid w:val="5C17530C"/>
    <w:multiLevelType w:val="hybridMultilevel"/>
    <w:lvl w:ilvl="0">
      <w:lvlJc w:val="left"/>
      <w:lvlText w:val="(%1)"/>
      <w:numFmt w:val="decimal"/>
      <w:start w:val="1"/>
    </w:lvl>
  </w:abstractNum>
  <w:abstractNum w:abstractNumId="201">
    <w:nsid w:val="19A52566"/>
    <w:multiLevelType w:val="hybridMultilevel"/>
    <w:lvl w:ilvl="0">
      <w:lvlJc w:val="left"/>
      <w:lvlText w:val="(%1)"/>
      <w:numFmt w:val="decimal"/>
      <w:start w:val="1"/>
    </w:lvl>
  </w:abstractNum>
  <w:abstractNum w:abstractNumId="202">
    <w:nsid w:val="335A1DF1"/>
    <w:multiLevelType w:val="hybridMultilevel"/>
    <w:lvl w:ilvl="0">
      <w:lvlJc w:val="left"/>
      <w:lvlText w:val="(%1)"/>
      <w:numFmt w:val="decimal"/>
      <w:start w:val="1"/>
    </w:lvl>
  </w:abstractNum>
  <w:abstractNum w:abstractNumId="203">
    <w:nsid w:val="28677B7C"/>
    <w:multiLevelType w:val="hybridMultilevel"/>
    <w:lvl w:ilvl="0">
      <w:lvlJc w:val="left"/>
      <w:lvlText w:val="(%1)"/>
      <w:numFmt w:val="decimal"/>
      <w:start w:val="4"/>
    </w:lvl>
  </w:abstractNum>
  <w:abstractNum w:abstractNumId="204">
    <w:nsid w:val="378D97C0"/>
    <w:multiLevelType w:val="hybridMultilevel"/>
    <w:lvl w:ilvl="0">
      <w:lvlJc w:val="left"/>
      <w:lvlText w:val="(%1)"/>
      <w:numFmt w:val="decimal"/>
      <w:start w:val="1"/>
    </w:lvl>
  </w:abstractNum>
  <w:abstractNum w:abstractNumId="205">
    <w:nsid w:val="1D91467C"/>
    <w:multiLevelType w:val="hybridMultilevel"/>
    <w:lvl w:ilvl="0">
      <w:lvlJc w:val="left"/>
      <w:lvlText w:val="(%1)"/>
      <w:numFmt w:val="decimal"/>
      <w:start w:val="1"/>
    </w:lvl>
  </w:abstractNum>
  <w:abstractNum w:abstractNumId="206">
    <w:nsid w:val="316032BB"/>
    <w:multiLevelType w:val="hybridMultilevel"/>
    <w:lvl w:ilvl="0">
      <w:lvlJc w:val="left"/>
      <w:lvlText w:val="(%1)"/>
      <w:numFmt w:val="decimal"/>
      <w:start w:val="1"/>
    </w:lvl>
  </w:abstractNum>
  <w:abstractNum w:abstractNumId="207">
    <w:nsid w:val="44344C22"/>
    <w:multiLevelType w:val="hybridMultilevel"/>
    <w:lvl w:ilvl="0">
      <w:lvlJc w:val="left"/>
      <w:lvlText w:val="(%1)"/>
      <w:numFmt w:val="decimal"/>
      <w:start w:val="1"/>
    </w:lvl>
  </w:abstractNum>
  <w:abstractNum w:abstractNumId="208">
    <w:nsid w:val="13CDFCFC"/>
    <w:multiLevelType w:val="hybridMultilevel"/>
    <w:lvl w:ilvl="0">
      <w:lvlJc w:val="left"/>
      <w:lvlText w:val="(%1)"/>
      <w:numFmt w:val="decimal"/>
      <w:start w:val="9"/>
    </w:lvl>
  </w:abstractNum>
  <w:abstractNum w:abstractNumId="209">
    <w:nsid w:val="471745E4"/>
    <w:multiLevelType w:val="hybridMultilevel"/>
    <w:lvl w:ilvl="0">
      <w:lvlJc w:val="left"/>
      <w:lvlText w:val="(%1)"/>
      <w:numFmt w:val="decimal"/>
      <w:start w:val="1"/>
    </w:lvl>
  </w:abstractNum>
  <w:abstractNum w:abstractNumId="210">
    <w:nsid w:val="1DDBC66"/>
    <w:multiLevelType w:val="hybridMultilevel"/>
    <w:lvl w:ilvl="0">
      <w:lvlJc w:val="left"/>
      <w:lvlText w:val="(%1)"/>
      <w:numFmt w:val="decimal"/>
      <w:start w:val="4"/>
    </w:lvl>
  </w:abstractNum>
  <w:abstractNum w:abstractNumId="211">
    <w:nsid w:val="30AADFDA"/>
    <w:multiLevelType w:val="hybridMultilevel"/>
    <w:lvl w:ilvl="0">
      <w:lvlJc w:val="left"/>
      <w:lvlText w:val="(%1)"/>
      <w:numFmt w:val="decimal"/>
      <w:start w:val="1"/>
    </w:lvl>
  </w:abstractNum>
  <w:abstractNum w:abstractNumId="212">
    <w:nsid w:val="30EADA61"/>
    <w:multiLevelType w:val="hybridMultilevel"/>
    <w:lvl w:ilvl="0">
      <w:lvlJc w:val="left"/>
      <w:lvlText w:val="(%1)"/>
      <w:numFmt w:val="decimal"/>
      <w:start w:val="6"/>
    </w:lvl>
  </w:abstractNum>
  <w:abstractNum w:abstractNumId="213">
    <w:nsid w:val="27179C0B"/>
    <w:multiLevelType w:val="hybridMultilevel"/>
    <w:lvl w:ilvl="0">
      <w:lvlJc w:val="left"/>
      <w:lvlText w:val="%1)"/>
      <w:numFmt w:val="decimal"/>
      <w:start w:val="307"/>
    </w:lvl>
  </w:abstractNum>
  <w:abstractNum w:abstractNumId="214">
    <w:nsid w:val="5E636063"/>
    <w:multiLevelType w:val="hybridMultilevel"/>
    <w:lvl w:ilvl="0">
      <w:lvlJc w:val="left"/>
      <w:lvlText w:val="%1"/>
      <w:numFmt w:val="upperLetter"/>
      <w:start w:val="1"/>
    </w:lvl>
    <w:lvl w:ilvl="1">
      <w:lvlJc w:val="left"/>
      <w:lvlText w:val="(%2)"/>
      <w:numFmt w:val="decimal"/>
      <w:start w:val="1"/>
    </w:lvl>
  </w:abstractNum>
  <w:abstractNum w:abstractNumId="215">
    <w:nsid w:val="215641AF"/>
    <w:multiLevelType w:val="hybridMultilevel"/>
    <w:lvl w:ilvl="0">
      <w:lvlJc w:val="left"/>
      <w:lvlText w:val="(%1)"/>
      <w:numFmt w:val="upperLetter"/>
      <w:start w:val="2"/>
    </w:lvl>
    <w:lvl w:ilvl="1">
      <w:lvlJc w:val="left"/>
      <w:lvlText w:val="%2"/>
      <w:numFmt w:val="decimal"/>
      <w:start w:val="1"/>
    </w:lvl>
  </w:abstractNum>
  <w:abstractNum w:abstractNumId="216">
    <w:nsid w:val="53280662"/>
    <w:multiLevelType w:val="hybridMultilevel"/>
    <w:lvl w:ilvl="0">
      <w:lvlJc w:val="left"/>
      <w:lvlText w:val="(%1)"/>
      <w:numFmt w:val="decimal"/>
      <w:start w:val="2"/>
    </w:lvl>
  </w:abstractNum>
  <w:abstractNum w:abstractNumId="217">
    <w:nsid w:val="46B24DBC"/>
    <w:multiLevelType w:val="hybridMultilevel"/>
    <w:lvl w:ilvl="0">
      <w:lvlJc w:val="left"/>
      <w:lvlText w:val="(%1)"/>
      <w:numFmt w:val="decimal"/>
      <w:start w:val="8"/>
    </w:lvl>
  </w:abstractNum>
  <w:abstractNum w:abstractNumId="218">
    <w:nsid w:val="75B52783"/>
    <w:multiLevelType w:val="hybridMultilevel"/>
    <w:lvl w:ilvl="0">
      <w:lvlJc w:val="left"/>
      <w:lvlText w:val="(%1)"/>
      <w:numFmt w:val="decimal"/>
      <w:start w:val="1"/>
    </w:lvl>
  </w:abstractNum>
  <w:abstractNum w:abstractNumId="219">
    <w:nsid w:val="57CE66B4"/>
    <w:multiLevelType w:val="hybridMultilevel"/>
    <w:lvl w:ilvl="0">
      <w:lvlJc w:val="left"/>
      <w:lvlText w:val="(%1)"/>
      <w:numFmt w:val="decimal"/>
      <w:start w:val="3"/>
    </w:lvl>
  </w:abstractNum>
  <w:abstractNum w:abstractNumId="220">
    <w:nsid w:val="67A70B69"/>
    <w:multiLevelType w:val="hybridMultilevel"/>
    <w:lvl w:ilvl="0">
      <w:lvlJc w:val="left"/>
      <w:lvlText w:val="(%1)"/>
      <w:numFmt w:val="decimal"/>
      <w:start w:val="1"/>
    </w:lvl>
  </w:abstractNum>
  <w:abstractNum w:abstractNumId="221">
    <w:nsid w:val="5953172F"/>
    <w:multiLevelType w:val="hybridMultilevel"/>
    <w:lvl w:ilvl="0">
      <w:lvlJc w:val="left"/>
      <w:lvlText w:val=";"/>
      <w:numFmt w:val="bullet"/>
      <w:start w:val="1"/>
    </w:lvl>
    <w:lvl w:ilvl="1">
      <w:lvlJc w:val="left"/>
      <w:lvlText w:val="(%2)"/>
      <w:numFmt w:val="lowerRoman"/>
      <w:start w:val="1"/>
    </w:lvl>
  </w:abstractNum>
  <w:abstractNum w:abstractNumId="222">
    <w:nsid w:val="27EDFE3A"/>
    <w:multiLevelType w:val="hybridMultilevel"/>
    <w:lvl w:ilvl="0">
      <w:lvlJc w:val="left"/>
      <w:lvlText w:val="(%1)"/>
      <w:numFmt w:val="decimal"/>
      <w:start w:val="2"/>
    </w:lvl>
  </w:abstractNum>
  <w:abstractNum w:abstractNumId="223">
    <w:nsid w:val="52AC7DFF"/>
    <w:multiLevelType w:val="hybridMultilevel"/>
    <w:lvl w:ilvl="0">
      <w:lvlJc w:val="left"/>
      <w:lvlText w:val="(%1)"/>
      <w:numFmt w:val="lowerRoman"/>
      <w:start w:val="3"/>
    </w:lvl>
  </w:abstractNum>
  <w:abstractNum w:abstractNumId="224">
    <w:nsid w:val="C4C3AF"/>
    <w:multiLevelType w:val="hybridMultilevel"/>
    <w:lvl w:ilvl="0">
      <w:lvlJc w:val="left"/>
      <w:lvlText w:val="(%1)"/>
      <w:numFmt w:val="lowerLetter"/>
      <w:start w:val="1"/>
    </w:lvl>
  </w:abstractNum>
  <w:abstractNum w:abstractNumId="225">
    <w:nsid w:val="44380727"/>
    <w:multiLevelType w:val="hybridMultilevel"/>
    <w:lvl w:ilvl="0">
      <w:lvlJc w:val="left"/>
      <w:lvlText w:val="%1."/>
      <w:numFmt w:val="decimal"/>
      <w:start w:val="1"/>
    </w:lvl>
  </w:abstractNum>
  <w:abstractNum w:abstractNumId="226">
    <w:nsid w:val="6C053B16"/>
    <w:multiLevelType w:val="hybridMultilevel"/>
    <w:lvl w:ilvl="0">
      <w:lvlJc w:val="left"/>
      <w:lvlText w:val="(%1)"/>
      <w:numFmt w:val="lowerLetter"/>
      <w:start w:val="1"/>
    </w:lvl>
  </w:abstractNum>
  <w:abstractNum w:abstractNumId="227">
    <w:nsid w:val="4F294393"/>
    <w:multiLevelType w:val="hybridMultilevel"/>
    <w:lvl w:ilvl="0">
      <w:lvlJc w:val="left"/>
      <w:lvlText w:val="(%1)"/>
      <w:numFmt w:val="decimal"/>
      <w:start w:val="1"/>
    </w:lvl>
  </w:abstractNum>
  <w:abstractNum w:abstractNumId="228">
    <w:nsid w:val="5243BFAC"/>
    <w:multiLevelType w:val="hybridMultilevel"/>
    <w:lvl w:ilvl="0">
      <w:lvlJc w:val="left"/>
      <w:lvlText w:val="-"/>
      <w:numFmt w:val="bullet"/>
      <w:start w:val="1"/>
    </w:lvl>
  </w:abstractNum>
  <w:abstractNum w:abstractNumId="229">
    <w:nsid w:val="425EB207"/>
    <w:multiLevelType w:val="hybridMultilevel"/>
    <w:lvl w:ilvl="0">
      <w:lvlJc w:val="left"/>
      <w:lvlText w:val="(%1)"/>
      <w:numFmt w:val="decimal"/>
      <w:start w:val="612"/>
    </w:lvl>
  </w:abstractNum>
  <w:abstractNum w:abstractNumId="230">
    <w:nsid w:val="334A6F1F"/>
    <w:multiLevelType w:val="hybridMultilevel"/>
    <w:lvl w:ilvl="0">
      <w:lvlJc w:val="left"/>
      <w:lvlText w:val="(%1)"/>
      <w:numFmt w:val="lowerLetter"/>
      <w:start w:val="1"/>
    </w:lvl>
  </w:abstractNum>
  <w:abstractNum w:abstractNumId="231">
    <w:nsid w:val="2E5B12B8"/>
    <w:multiLevelType w:val="hybridMultilevel"/>
    <w:lvl w:ilvl="0">
      <w:lvlJc w:val="left"/>
      <w:lvlText w:val="%1."/>
      <w:numFmt w:val="lowerLetter"/>
      <w:start w:val="2"/>
    </w:lvl>
  </w:abstractNum>
  <w:abstractNum w:abstractNumId="232">
    <w:nsid w:val="5C03D76D"/>
    <w:multiLevelType w:val="hybridMultilevel"/>
    <w:lvl w:ilvl="0">
      <w:lvlJc w:val="left"/>
      <w:lvlText w:val="%1."/>
      <w:numFmt w:val="lowerLetter"/>
      <w:start w:val="4"/>
    </w:lvl>
  </w:abstractNum>
  <w:abstractNum w:abstractNumId="233">
    <w:nsid w:val="66A48D11"/>
    <w:multiLevelType w:val="hybridMultilevel"/>
    <w:lvl w:ilvl="0">
      <w:lvlJc w:val="left"/>
      <w:lvlText w:val="*"/>
      <w:numFmt w:val="bullet"/>
      <w:start w:val="1"/>
    </w:lvl>
  </w:abstractNum>
  <w:abstractNum w:abstractNumId="234">
    <w:nsid w:val="56C28E34"/>
    <w:multiLevelType w:val="hybridMultilevel"/>
    <w:lvl w:ilvl="0">
      <w:lvlJc w:val="left"/>
      <w:lvlText w:val="**"/>
      <w:numFmt w:val="bullet"/>
      <w:start w:val="1"/>
    </w:lvl>
  </w:abstractNum>
  <w:abstractNum w:abstractNumId="235">
    <w:nsid w:val="13916F2D"/>
    <w:multiLevelType w:val="hybridMultilevel"/>
    <w:lvl w:ilvl="0">
      <w:lvlJc w:val="left"/>
      <w:lvlText w:val="(%1)"/>
      <w:numFmt w:val="decimal"/>
      <w:start w:val="612"/>
    </w:lvl>
  </w:abstractNum>
  <w:abstractNum w:abstractNumId="236">
    <w:nsid w:val="435D38D"/>
    <w:multiLevelType w:val="hybridMultilevel"/>
    <w:lvl w:ilvl="0">
      <w:lvlJc w:val="left"/>
      <w:lvlText w:val="(%1)"/>
      <w:numFmt w:val="lowerLetter"/>
      <w:start w:val="1"/>
    </w:lvl>
  </w:abstractNum>
  <w:abstractNum w:abstractNumId="237">
    <w:nsid w:val="822C0EF"/>
    <w:multiLevelType w:val="hybridMultilevel"/>
    <w:lvl w:ilvl="0">
      <w:lvlJc w:val="left"/>
      <w:lvlText w:val="%1."/>
      <w:numFmt w:val="lowerLetter"/>
      <w:start w:val="2"/>
    </w:lvl>
  </w:abstractNum>
  <w:abstractNum w:abstractNumId="238">
    <w:nsid w:val="57C5BB4F"/>
    <w:multiLevelType w:val="hybridMultilevel"/>
    <w:lvl w:ilvl="0">
      <w:lvlJc w:val="left"/>
      <w:lvlText w:val="%1."/>
      <w:numFmt w:val="lowerLetter"/>
      <w:start w:val="4"/>
    </w:lvl>
  </w:abstractNum>
  <w:abstractNum w:abstractNumId="239">
    <w:nsid w:val="1803D089"/>
    <w:multiLevelType w:val="hybridMultilevel"/>
    <w:lvl w:ilvl="0">
      <w:lvlJc w:val="left"/>
      <w:lvlText w:val="*"/>
      <w:numFmt w:val="bullet"/>
      <w:start w:val="1"/>
    </w:lvl>
  </w:abstractNum>
  <w:abstractNum w:abstractNumId="240">
    <w:nsid w:val="4F3A06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2019-12-13T13:20:15Z</dcterms:created>
  <dcterms:modified xsi:type="dcterms:W3CDTF">2019-12-13T13:20:15Z</dcterms:modified>
</cp:coreProperties>
</file>