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March 8, 2006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LEXAR MEDIA,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6700" w:type="dxa"/>
            <w:vAlign w:val="bottom"/>
          </w:tcPr>
          <w:p>
            <w:pPr>
              <w:jc w:val="center"/>
              <w:ind w:right="3150"/>
              <w:spacing w:after="0"/>
              <w:rPr>
                <w:sz w:val="20"/>
                <w:szCs w:val="20"/>
                <w:color w:val="auto"/>
              </w:rPr>
            </w:pPr>
            <w:r>
              <w:rPr>
                <w:rFonts w:ascii="Arial" w:cs="Arial" w:eastAsia="Arial" w:hAnsi="Arial"/>
                <w:sz w:val="18"/>
                <w:szCs w:val="18"/>
                <w:b w:val="1"/>
                <w:bCs w:val="1"/>
                <w:color w:val="auto"/>
                <w:w w:val="90"/>
              </w:rPr>
              <w:t>000-31103</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33-0723123</w:t>
            </w:r>
          </w:p>
        </w:tc>
      </w:tr>
      <w:tr>
        <w:trPr>
          <w:trHeight w:val="216"/>
        </w:trPr>
        <w:tc>
          <w:tcPr>
            <w:tcW w:w="6700" w:type="dxa"/>
            <w:vAlign w:val="bottom"/>
          </w:tcPr>
          <w:p>
            <w:pPr>
              <w:jc w:val="center"/>
              <w:ind w:right="3150"/>
              <w:spacing w:after="0"/>
              <w:rPr>
                <w:sz w:val="20"/>
                <w:szCs w:val="20"/>
                <w:color w:val="auto"/>
              </w:rPr>
            </w:pPr>
            <w:r>
              <w:rPr>
                <w:rFonts w:ascii="Arial" w:cs="Arial" w:eastAsia="Arial" w:hAnsi="Arial"/>
                <w:sz w:val="18"/>
                <w:szCs w:val="18"/>
                <w:color w:val="auto"/>
                <w:w w:val="92"/>
              </w:rPr>
              <w:t>(Commission File Number)</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700" w:type="dxa"/>
            <w:vAlign w:val="bottom"/>
          </w:tcPr>
          <w:p>
            <w:pPr>
              <w:spacing w:after="0"/>
              <w:rPr>
                <w:sz w:val="20"/>
                <w:szCs w:val="20"/>
                <w:color w:val="auto"/>
              </w:rPr>
            </w:pP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700" w:type="dxa"/>
            <w:vAlign w:val="bottom"/>
          </w:tcPr>
          <w:p>
            <w:pPr>
              <w:jc w:val="center"/>
              <w:ind w:right="3150"/>
              <w:spacing w:after="0"/>
              <w:rPr>
                <w:sz w:val="20"/>
                <w:szCs w:val="20"/>
                <w:color w:val="auto"/>
              </w:rPr>
            </w:pPr>
            <w:r>
              <w:rPr>
                <w:rFonts w:ascii="Arial" w:cs="Arial" w:eastAsia="Arial" w:hAnsi="Arial"/>
                <w:sz w:val="18"/>
                <w:szCs w:val="18"/>
                <w:b w:val="1"/>
                <w:bCs w:val="1"/>
                <w:color w:val="auto"/>
                <w:w w:val="91"/>
              </w:rPr>
              <w:t>47300 Bayside Parkway, Fremont, California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94538</w:t>
            </w:r>
          </w:p>
        </w:tc>
      </w:tr>
      <w:tr>
        <w:trPr>
          <w:trHeight w:val="230"/>
        </w:trPr>
        <w:tc>
          <w:tcPr>
            <w:tcW w:w="6700" w:type="dxa"/>
            <w:vAlign w:val="bottom"/>
          </w:tcPr>
          <w:p>
            <w:pPr>
              <w:jc w:val="center"/>
              <w:ind w:right="31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700" w:type="dxa"/>
            <w:vAlign w:val="bottom"/>
          </w:tcPr>
          <w:p>
            <w:pPr>
              <w:jc w:val="right"/>
              <w:ind w:right="1410"/>
              <w:spacing w:after="0"/>
              <w:rPr>
                <w:sz w:val="20"/>
                <w:szCs w:val="20"/>
                <w:color w:val="auto"/>
              </w:rPr>
            </w:pPr>
            <w:r>
              <w:rPr>
                <w:rFonts w:ascii="Arial" w:cs="Arial" w:eastAsia="Arial" w:hAnsi="Arial"/>
                <w:sz w:val="18"/>
                <w:szCs w:val="18"/>
                <w:b w:val="1"/>
                <w:bCs w:val="1"/>
                <w:color w:val="auto"/>
              </w:rPr>
              <w:t>(510) 413-1200</w:t>
            </w:r>
          </w:p>
        </w:tc>
        <w:tc>
          <w:tcPr>
            <w:tcW w:w="1520" w:type="dxa"/>
            <w:vAlign w:val="bottom"/>
          </w:tcPr>
          <w:p>
            <w:pPr>
              <w:spacing w:after="0"/>
              <w:rPr>
                <w:sz w:val="24"/>
                <w:szCs w:val="24"/>
                <w:color w:val="auto"/>
              </w:rPr>
            </w:pPr>
          </w:p>
        </w:tc>
      </w:tr>
      <w:tr>
        <w:trPr>
          <w:trHeight w:val="230"/>
        </w:trPr>
        <w:tc>
          <w:tcPr>
            <w:tcW w:w="6700" w:type="dxa"/>
            <w:vAlign w:val="bottom"/>
          </w:tcPr>
          <w:p>
            <w:pPr>
              <w:jc w:val="center"/>
              <w:ind w:left="24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660" w:firstLine="8"/>
        <w:spacing w:after="0" w:line="563" w:lineRule="auto"/>
        <w:tabs>
          <w:tab w:leader="none" w:pos="2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MS PGothic" w:cs="MS PGothic" w:eastAsia="MS PGothic" w:hAnsi="MS PGothic"/>
          <w:sz w:val="16"/>
          <w:szCs w:val="16"/>
          <w:color w:val="auto"/>
        </w:rPr>
      </w:pPr>
    </w:p>
    <w:p>
      <w:pPr>
        <w:jc w:val="both"/>
        <w:ind w:right="3100"/>
        <w:spacing w:after="0" w:line="624" w:lineRule="auto"/>
        <w:rPr>
          <w:rFonts w:ascii="MS PGothic" w:cs="MS PGothic" w:eastAsia="MS PGothic" w:hAnsi="MS PGothic"/>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On March 8, 2006, Lexar Media, Inc. (the “Company”) entered into a definitive Agreement and Plan of Merger (the “Merger Agreement”) with Micron Technology, Inc. (“Micron”) and a wholly-owned subsidiary of Micron. The Merger Agreement provides that, upon the terms and subject to the conditions provided in the Merger Agreement, Micron’s subsidiary will merge with and into the Company, with the Company being the surviving corporation of the merger (the “Merger”). As a result of the Merger: (i) the Company will become a wholly-owned subsidiary of Micron; and (ii) each outstanding share of the Company’s common stock will be converted into the right to receive 0.5625 shares of Micron common stock and Micron will assume stock options held by employees of the Company at the Closing Date with a per share exercise price of $9.00 or lower. A copy of the Merger Agreement is filed herewith as Exhibit 1.1 and is incorporated herein by reference.</w:t>
      </w:r>
    </w:p>
    <w:p>
      <w:pPr>
        <w:spacing w:after="0" w:line="189" w:lineRule="exact"/>
        <w:rPr>
          <w:sz w:val="24"/>
          <w:szCs w:val="24"/>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In connection with the entry into the Merger Agreement, each of the directors and executive officers of the Company have entered into Voting Agreements with Micron by which they have granted proxies to Micron, and otherwise agreed, to vote for the approval of the Merger Agreement. The Company and Micron also entered into a cross license agreement providing for a non-exclusive license to specified patented technology of the other.</w:t>
      </w:r>
    </w:p>
    <w:p>
      <w:pPr>
        <w:spacing w:after="0" w:line="147" w:lineRule="exact"/>
        <w:rPr>
          <w:sz w:val="24"/>
          <w:szCs w:val="24"/>
          <w:color w:val="auto"/>
        </w:rPr>
      </w:pPr>
    </w:p>
    <w:p>
      <w:pPr>
        <w:ind w:right="40" w:firstLine="648"/>
        <w:spacing w:after="0" w:line="272" w:lineRule="auto"/>
        <w:rPr>
          <w:sz w:val="20"/>
          <w:szCs w:val="20"/>
          <w:color w:val="auto"/>
        </w:rPr>
      </w:pPr>
      <w:r>
        <w:rPr>
          <w:rFonts w:ascii="Arial" w:cs="Arial" w:eastAsia="Arial" w:hAnsi="Arial"/>
          <w:sz w:val="17"/>
          <w:szCs w:val="17"/>
          <w:color w:val="auto"/>
        </w:rPr>
        <w:t>The Merger Agreement contains representations and warranties of each of the parties to the Merger Agreement and the assertions embodied in those representations and warranties are qualified by information in confidential disclosure schedules that the parties delivered in connection with the execution of the Merger Agreement. The parties reserve the right to, but are not obligated to, amend or revise the Merger Agreement or the disclosure schedules. In addition, certain representations and warranties may not be accurate or complete as of any specified date because they are subject to a contractual standard of materiality different from those generally applicable to stockholders or were used for the purpose of allocating risk between the parties rather than establishing matters as facts. Accordingly, investors should not rely on the representations and warranties as characterizations of the actual state of facts, or for any other purpose, at the time they were made or otherwise.</w:t>
      </w:r>
    </w:p>
    <w:p>
      <w:pPr>
        <w:spacing w:after="0" w:line="178" w:lineRule="exact"/>
        <w:rPr>
          <w:sz w:val="24"/>
          <w:szCs w:val="24"/>
          <w:color w:val="auto"/>
        </w:rPr>
      </w:pPr>
    </w:p>
    <w:p>
      <w:pPr>
        <w:ind w:right="180" w:firstLine="648"/>
        <w:spacing w:after="0" w:line="342" w:lineRule="auto"/>
        <w:rPr>
          <w:sz w:val="20"/>
          <w:szCs w:val="20"/>
          <w:color w:val="auto"/>
        </w:rPr>
      </w:pPr>
      <w:r>
        <w:rPr>
          <w:rFonts w:ascii="Arial" w:cs="Arial" w:eastAsia="Arial" w:hAnsi="Arial"/>
          <w:sz w:val="16"/>
          <w:szCs w:val="16"/>
          <w:color w:val="auto"/>
        </w:rPr>
        <w:t>The foregoing description of the Merger Agreement is qualified in its entirety by reference to the full text of the Merger Agreement. A copy of the press release issued by the Company and Micron on March 8, 2006 concerning the Merger is filed herewith as Exhibit 99.1 and is incorporated herein by</w:t>
      </w:r>
    </w:p>
    <w:p>
      <w:pPr>
        <w:sectPr>
          <w:pgSz w:w="11900" w:h="16921" w:orient="portrait"/>
          <w:cols w:equalWidth="0" w:num="1">
            <w:col w:w="11380"/>
          </w:cols>
          <w:pgMar w:left="240" w:top="585" w:right="2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Micron intends to file a registration statement on Form S-4, and the Company intends to file a proxy statement/prospectus, in connection with the Merger. </w:t>
      </w:r>
      <w:r>
        <w:rPr>
          <w:rFonts w:ascii="Arial" w:cs="Arial" w:eastAsia="Arial" w:hAnsi="Arial"/>
          <w:sz w:val="18"/>
          <w:szCs w:val="18"/>
          <w:b w:val="1"/>
          <w:bCs w:val="1"/>
          <w:color w:val="auto"/>
        </w:rPr>
        <w:t>Investors and security holders are urged to read the registration statement on Form S-4 and the related proxy/prospectus when they become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available because they will contain important information about the Merger. </w:t>
      </w:r>
      <w:r>
        <w:rPr>
          <w:rFonts w:ascii="Arial" w:cs="Arial" w:eastAsia="Arial" w:hAnsi="Arial"/>
          <w:sz w:val="18"/>
          <w:szCs w:val="18"/>
          <w:color w:val="auto"/>
        </w:rPr>
        <w:t>Investors and security holders may obtain free copies of these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they are available) and other documents filed with the SEC at the SEC’s web site at www.sec.gov. In addition, investors and security holders may obtain free copies of the documents filed with the SEC by the Company by contacting Lexar Public Relations, Diane Carlini, (510) 580-5604. Investors and security holders may obtain free copies of the documents filed with the SEC by Micron by contacting Micron Investor Relations, Kipp Bedard at (208) 368-4465.</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Eric Stang, the Company’s Chairman, Chief Executive Officer and President, and the Company’s other directors and executive officers may be deemed to be participants in the solicitation of proxies of the Company’s stockholders in connection with the proposed merger. Such individuals may have interests in the proposed merger, including as a result of holding the Company’s common stock or stock options. Investors and security holders may obtain more detailed information regarding the names, affiliations and interests of Mr. Stang and the company’s other directors and executive officers in the solicitation by reading the prospectus/proxy statement when it becomes available.</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the Company’s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Form 8-K contains forward-looking statements that involve risks and uncertainties concerning Micron's proposed acquisition of the Company. Actual events or results may differ materially from those described in this Form 8-K due to a number of risks and uncertainties. The potential risks and uncertainties include, among others, the possibility that the transaction will not close or that the closing may be delayed. In addition, please refer to the documents that the Company and Micron file with the Securities and Exchange Commission on Forms 10-K, 10-Q and 8-K. The filings by each of the Company and Micron identify and address other important factors that could cause their respective financial and operational results to differ materially from those contained in the forward-looking statements set forth in this Form 8-K. The Company is under no duty to update any of the forward-looking statements after the date of this Form 8-K to conform to actual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9840" w:type="dxa"/>
            <w:vAlign w:val="bottom"/>
            <w:tcBorders>
              <w:bottom w:val="single" w:sz="8" w:color="auto"/>
            </w:tcBorders>
          </w:tcPr>
          <w:p>
            <w:pPr>
              <w:jc w:val="right"/>
              <w:ind w:right="4168"/>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4"/>
                <w:szCs w:val="14"/>
                <w:color w:val="auto"/>
              </w:rPr>
            </w:pPr>
          </w:p>
        </w:tc>
      </w:tr>
      <w:tr>
        <w:trPr>
          <w:trHeight w:val="411"/>
        </w:trPr>
        <w:tc>
          <w:tcPr>
            <w:tcW w:w="1340" w:type="dxa"/>
            <w:vAlign w:val="bottom"/>
          </w:tcPr>
          <w:p>
            <w:pPr>
              <w:spacing w:after="0"/>
              <w:rPr>
                <w:sz w:val="20"/>
                <w:szCs w:val="20"/>
                <w:color w:val="auto"/>
              </w:rPr>
            </w:pPr>
            <w:r>
              <w:rPr>
                <w:rFonts w:ascii="Arial" w:cs="Arial" w:eastAsia="Arial" w:hAnsi="Arial"/>
                <w:sz w:val="18"/>
                <w:szCs w:val="18"/>
                <w:color w:val="auto"/>
              </w:rPr>
              <w:t>1.1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Agreement and Plan of Merger dated as of March 8, 2006 by and among Micron Technology, Inc., March 2006 Merger Corp. and Lexar</w:t>
            </w:r>
          </w:p>
        </w:tc>
        <w:tc>
          <w:tcPr>
            <w:tcW w:w="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Media, Inc.</w:t>
            </w:r>
          </w:p>
        </w:tc>
        <w:tc>
          <w:tcPr>
            <w:tcW w:w="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Lexar Media, Inc. and Micron Technology, Inc. on March 8, 2006</w:t>
            </w:r>
          </w:p>
        </w:tc>
        <w:tc>
          <w:tcPr>
            <w:tcW w:w="2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10080" w:type="dxa"/>
            <w:vAlign w:val="bottom"/>
            <w:gridSpan w:val="2"/>
          </w:tcPr>
          <w:p>
            <w:pPr>
              <w:jc w:val="right"/>
              <w:ind w:right="5588"/>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118"/>
        </w:trPr>
        <w:tc>
          <w:tcPr>
            <w:tcW w:w="1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360" w:type="dxa"/>
            <w:vAlign w:val="bottom"/>
            <w:gridSpan w:val="3"/>
          </w:tcPr>
          <w:p>
            <w:pPr>
              <w:ind w:left="440"/>
              <w:spacing w:after="0"/>
              <w:rPr>
                <w:sz w:val="20"/>
                <w:szCs w:val="20"/>
                <w:color w:val="auto"/>
              </w:rPr>
            </w:pPr>
            <w:r>
              <w:rPr>
                <w:rFonts w:ascii="Arial" w:cs="Arial" w:eastAsia="Arial" w:hAnsi="Arial"/>
                <w:sz w:val="18"/>
                <w:szCs w:val="18"/>
                <w:b w:val="1"/>
                <w:bCs w:val="1"/>
                <w:color w:val="auto"/>
              </w:rPr>
              <w:t>LEXAR MEDIA, INC.</w:t>
            </w:r>
          </w:p>
        </w:tc>
        <w:tc>
          <w:tcPr>
            <w:tcW w:w="20" w:type="dxa"/>
            <w:vAlign w:val="bottom"/>
          </w:tcPr>
          <w:p>
            <w:pPr>
              <w:spacing w:after="0"/>
              <w:rPr>
                <w:sz w:val="20"/>
                <w:szCs w:val="20"/>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w w:val="93"/>
              </w:rPr>
              <w:t>Date: March 8, 2006</w:t>
            </w:r>
          </w:p>
        </w:tc>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60" w:type="dxa"/>
            <w:vAlign w:val="bottom"/>
            <w:gridSpan w:val="3"/>
          </w:tcPr>
          <w:p>
            <w:pPr>
              <w:ind w:left="440"/>
              <w:spacing w:after="0"/>
              <w:rPr>
                <w:sz w:val="20"/>
                <w:szCs w:val="20"/>
                <w:color w:val="auto"/>
              </w:rPr>
            </w:pPr>
            <w:r>
              <w:rPr>
                <w:rFonts w:ascii="Arial" w:cs="Arial" w:eastAsia="Arial" w:hAnsi="Arial"/>
                <w:sz w:val="18"/>
                <w:szCs w:val="18"/>
                <w:color w:val="auto"/>
              </w:rPr>
              <w:t>By:   /s/ Eric B. Stang</w:t>
            </w:r>
          </w:p>
        </w:tc>
        <w:tc>
          <w:tcPr>
            <w:tcW w:w="20" w:type="dxa"/>
            <w:vAlign w:val="bottom"/>
          </w:tcPr>
          <w:p>
            <w:pPr>
              <w:spacing w:after="0"/>
              <w:rPr>
                <w:sz w:val="24"/>
                <w:szCs w:val="24"/>
                <w:color w:val="auto"/>
              </w:rPr>
            </w:pPr>
          </w:p>
        </w:tc>
      </w:tr>
      <w:tr>
        <w:trPr>
          <w:trHeight w:val="195"/>
        </w:trPr>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3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Eric B. Stang</w:t>
            </w:r>
          </w:p>
        </w:tc>
        <w:tc>
          <w:tcPr>
            <w:tcW w:w="2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Chairman, Chief Executive</w:t>
            </w:r>
          </w:p>
        </w:tc>
        <w:tc>
          <w:tcPr>
            <w:tcW w:w="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Officer and President</w:t>
            </w:r>
          </w:p>
        </w:tc>
        <w:tc>
          <w:tcPr>
            <w:tcW w:w="2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3"/>
          </w:tcPr>
          <w:p>
            <w:pPr>
              <w:jc w:val="right"/>
              <w:ind w:right="19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gridSpan w:val="2"/>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40"/>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gridSpan w:val="4"/>
          </w:tcPr>
          <w:p>
            <w:pPr>
              <w:jc w:val="center"/>
              <w:ind w:right="156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24"/>
                <w:szCs w:val="24"/>
                <w:color w:val="auto"/>
              </w:rPr>
            </w:pPr>
          </w:p>
        </w:tc>
      </w:tr>
      <w:tr>
        <w:trPr>
          <w:trHeight w:val="20"/>
        </w:trPr>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11"/>
        </w:trPr>
        <w:tc>
          <w:tcPr>
            <w:tcW w:w="1340" w:type="dxa"/>
            <w:vAlign w:val="bottom"/>
          </w:tcPr>
          <w:p>
            <w:pPr>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Arial" w:cs="Arial" w:eastAsia="Arial" w:hAnsi="Arial"/>
                <w:sz w:val="18"/>
                <w:szCs w:val="18"/>
                <w:color w:val="auto"/>
                <w:w w:val="91"/>
              </w:rPr>
              <w:t>Agreement and Plan of Merger dated as of March 8, 2006 by and among Micron Technology, Inc., March 2006 Merger Corp. and Lexar</w:t>
            </w:r>
          </w:p>
        </w:tc>
        <w:tc>
          <w:tcPr>
            <w:tcW w:w="2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80" w:type="dxa"/>
            <w:vAlign w:val="bottom"/>
            <w:gridSpan w:val="5"/>
          </w:tcPr>
          <w:p>
            <w:pPr>
              <w:ind w:left="40"/>
              <w:spacing w:after="0"/>
              <w:rPr>
                <w:sz w:val="20"/>
                <w:szCs w:val="20"/>
                <w:color w:val="auto"/>
              </w:rPr>
            </w:pPr>
            <w:r>
              <w:rPr>
                <w:rFonts w:ascii="Arial" w:cs="Arial" w:eastAsia="Arial" w:hAnsi="Arial"/>
                <w:sz w:val="18"/>
                <w:szCs w:val="18"/>
                <w:color w:val="auto"/>
              </w:rPr>
              <w:t>Media, Inc.</w:t>
            </w:r>
          </w:p>
        </w:tc>
        <w:tc>
          <w:tcPr>
            <w:tcW w:w="2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Arial" w:cs="Arial" w:eastAsia="Arial" w:hAnsi="Arial"/>
                <w:sz w:val="18"/>
                <w:szCs w:val="18"/>
                <w:color w:val="auto"/>
              </w:rPr>
              <w:t>Press Release issued by Lexar Media, Inc. and Micron Technology, Inc. on March 8, 2006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-1435735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-1435735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10580"/>
        <w:spacing w:after="0"/>
        <w:rPr>
          <w:sz w:val="20"/>
          <w:szCs w:val="20"/>
          <w:color w:val="auto"/>
        </w:rPr>
      </w:pPr>
      <w:r>
        <w:rPr>
          <w:rFonts w:ascii="Arial" w:cs="Arial" w:eastAsia="Arial" w:hAnsi="Arial"/>
          <w:sz w:val="17"/>
          <w:szCs w:val="17"/>
          <w:b w:val="1"/>
          <w:bCs w:val="1"/>
          <w:color w:val="auto"/>
        </w:rPr>
        <w:t>Exhibit 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AGREEMENT AND PLAN OF MERGER</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BY AND AMONG</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MICRON TECHNOLOGY,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MARCH 2006 MERGER CORP.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AND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LEXAR MEDIA,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color w:val="auto"/>
                <w:w w:val="90"/>
              </w:rPr>
              <w:t>Dated as of March 8, 2006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106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780"/>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 THE MERGER</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1.10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 REPRESENTATIONS AND WARRANTIES OF THE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2.23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ind w:left="560"/>
              <w:spacing w:after="0"/>
              <w:rPr>
                <w:sz w:val="20"/>
                <w:szCs w:val="20"/>
                <w:color w:val="auto"/>
              </w:rPr>
            </w:pPr>
            <w:r>
              <w:rPr>
                <w:rFonts w:ascii="Arial" w:cs="Arial" w:eastAsia="Arial" w:hAnsi="Arial"/>
                <w:sz w:val="18"/>
                <w:szCs w:val="18"/>
                <w:color w:val="auto"/>
              </w:rPr>
              <w:t>3.1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98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66"/>
        </w:trPr>
        <w:tc>
          <w:tcPr>
            <w:tcW w:w="1060" w:type="dxa"/>
            <w:vAlign w:val="bottom"/>
          </w:tcPr>
          <w:p>
            <w:pPr>
              <w:ind w:left="560"/>
              <w:spacing w:after="0"/>
              <w:rPr>
                <w:sz w:val="20"/>
                <w:szCs w:val="20"/>
                <w:color w:val="auto"/>
              </w:rPr>
            </w:pPr>
            <w:r>
              <w:rPr>
                <w:rFonts w:ascii="Arial" w:cs="Arial" w:eastAsia="Arial" w:hAnsi="Arial"/>
                <w:sz w:val="18"/>
                <w:szCs w:val="18"/>
                <w:color w:val="auto"/>
              </w:rPr>
              <w:t>3.2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3.7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-8193405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-8193405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-1195705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-1195705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3.8</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8"/>
              </w:rPr>
              <w:t>Compliance with Laws</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4.1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 ADDITIONAL AGREEMENTS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9"/>
              </w:rPr>
              <w:t>Acquisition Proposals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5.4</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w w:val="92"/>
              </w:rPr>
              <w:t>Confidentiality; Access to Information; No Modification of Representations, Warranties or Covenants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5.7</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2"/>
              </w:rPr>
              <w:t>Third-Party Consents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 CONDITIONS TO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 TERMINATION, AMENDMENT AND WAIVER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Borders>
              <w:bottom w:val="single" w:sz="8" w:color="808080"/>
            </w:tcBorders>
            <w:gridSpan w:val="3"/>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VIII GENERAL PROVISIONS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Interpretation; Knowledge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Counterparts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8.6</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Severability</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8.7</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Other Remedies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Governing Law</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8.9</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0"/>
              </w:rPr>
              <w:t>Rules of Construction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Assignment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Waiver of Jury Trial</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Voting Agreements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License Agreement</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Affiliate Agreement</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INDEX OF DEFINED TERMS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9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2"/>
          </w:tcPr>
          <w:p>
            <w:pPr>
              <w:ind w:left="88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Acquisition</w:t>
            </w:r>
          </w:p>
        </w:tc>
        <w:tc>
          <w:tcPr>
            <w:tcW w:w="19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7.3(b)(iii)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Action of Divestiture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5.6(d)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-4625975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-4625975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Assumed Option</w:t>
            </w:r>
          </w:p>
        </w:tc>
        <w:tc>
          <w:tcPr>
            <w:tcW w:w="7080" w:type="dxa"/>
            <w:vAlign w:val="bottom"/>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Business Day</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080" w:type="dxa"/>
            <w:vAlign w:val="bottom"/>
          </w:tcPr>
          <w:p>
            <w:pPr>
              <w:ind w:left="4860"/>
              <w:spacing w:after="0"/>
              <w:rPr>
                <w:sz w:val="20"/>
                <w:szCs w:val="20"/>
                <w:color w:val="auto"/>
              </w:rPr>
            </w:pPr>
            <w:r>
              <w:rPr>
                <w:rFonts w:ascii="Arial" w:cs="Arial" w:eastAsia="Arial" w:hAnsi="Arial"/>
                <w:sz w:val="18"/>
                <w:szCs w:val="18"/>
                <w:color w:val="auto"/>
              </w:rPr>
              <w:t>5.3(d)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5.3(d)(iii)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Closing</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COBRA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w:t>
            </w:r>
          </w:p>
        </w:tc>
        <w:tc>
          <w:tcPr>
            <w:tcW w:w="7080" w:type="dxa"/>
            <w:vAlign w:val="bottom"/>
          </w:tcPr>
          <w:p>
            <w:pPr>
              <w:ind w:left="486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7080" w:type="dxa"/>
            <w:vAlign w:val="bottom"/>
          </w:tcPr>
          <w:p>
            <w:pPr>
              <w:ind w:left="4860"/>
              <w:spacing w:after="0"/>
              <w:rPr>
                <w:sz w:val="20"/>
                <w:szCs w:val="20"/>
                <w:color w:val="auto"/>
              </w:rPr>
            </w:pPr>
            <w:r>
              <w:rPr>
                <w:rFonts w:ascii="Arial" w:cs="Arial" w:eastAsia="Arial" w:hAnsi="Arial"/>
                <w:sz w:val="18"/>
                <w:szCs w:val="18"/>
                <w:color w:val="auto"/>
              </w:rPr>
              <w:t>Article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Financials</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7080" w:type="dxa"/>
            <w:vAlign w:val="bottom"/>
          </w:tcPr>
          <w:p>
            <w:pPr>
              <w:ind w:left="4860"/>
              <w:spacing w:after="0"/>
              <w:rPr>
                <w:sz w:val="20"/>
                <w:szCs w:val="20"/>
                <w:color w:val="auto"/>
              </w:rPr>
            </w:pPr>
            <w:r>
              <w:rPr>
                <w:rFonts w:ascii="Arial" w:cs="Arial" w:eastAsia="Arial" w:hAnsi="Arial"/>
                <w:sz w:val="18"/>
                <w:szCs w:val="18"/>
                <w:color w:val="auto"/>
              </w:rPr>
              <w:t>2.17(a)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7080" w:type="dxa"/>
            <w:vAlign w:val="bottom"/>
          </w:tcPr>
          <w:p>
            <w:pPr>
              <w:ind w:left="4860"/>
              <w:spacing w:after="0"/>
              <w:rPr>
                <w:sz w:val="20"/>
                <w:szCs w:val="20"/>
                <w:color w:val="auto"/>
              </w:rPr>
            </w:pPr>
            <w:r>
              <w:rPr>
                <w:rFonts w:ascii="Arial" w:cs="Arial" w:eastAsia="Arial" w:hAnsi="Arial"/>
                <w:sz w:val="18"/>
                <w:szCs w:val="18"/>
                <w:color w:val="auto"/>
              </w:rPr>
              <w:t>2.2(a)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5.4(a)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Continuing Employees</w:t>
            </w:r>
          </w:p>
        </w:tc>
        <w:tc>
          <w:tcPr>
            <w:tcW w:w="7080" w:type="dxa"/>
            <w:vAlign w:val="bottom"/>
          </w:tcPr>
          <w:p>
            <w:pPr>
              <w:ind w:left="486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Debt Payoffs</w:t>
            </w:r>
          </w:p>
        </w:tc>
        <w:tc>
          <w:tcPr>
            <w:tcW w:w="7080" w:type="dxa"/>
            <w:vAlign w:val="bottom"/>
          </w:tcPr>
          <w:p>
            <w:pPr>
              <w:ind w:left="486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DOJ</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080" w:type="dxa"/>
            <w:vAlign w:val="bottom"/>
          </w:tcPr>
          <w:p>
            <w:pPr>
              <w:ind w:left="130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40" w:type="dxa"/>
            <w:vAlign w:val="bottom"/>
            <w:gridSpan w:val="2"/>
          </w:tcPr>
          <w:p>
            <w:pPr>
              <w:spacing w:after="0"/>
              <w:rPr>
                <w:sz w:val="10"/>
                <w:szCs w:val="10"/>
                <w:color w:val="auto"/>
              </w:rPr>
            </w:pPr>
          </w:p>
        </w:tc>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320" w:type="dxa"/>
            <w:vAlign w:val="bottom"/>
            <w:tcBorders>
              <w:top w:val="single" w:sz="8" w:color="808080"/>
            </w:tcBorders>
          </w:tcPr>
          <w:p>
            <w:pPr>
              <w:spacing w:after="0"/>
              <w:rPr>
                <w:sz w:val="24"/>
                <w:szCs w:val="24"/>
                <w:color w:val="auto"/>
              </w:rPr>
            </w:pPr>
          </w:p>
        </w:tc>
        <w:tc>
          <w:tcPr>
            <w:tcW w:w="70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Effective Time</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Employee/Service Provider</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Employee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7.1(b)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Environmental Claim</w:t>
            </w:r>
          </w:p>
        </w:tc>
        <w:tc>
          <w:tcPr>
            <w:tcW w:w="7080" w:type="dxa"/>
            <w:vAlign w:val="bottom"/>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ERISA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ESPP</w:t>
            </w:r>
          </w:p>
        </w:tc>
        <w:tc>
          <w:tcPr>
            <w:tcW w:w="7080" w:type="dxa"/>
            <w:vAlign w:val="bottom"/>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Agent</w:t>
            </w:r>
          </w:p>
        </w:tc>
        <w:tc>
          <w:tcPr>
            <w:tcW w:w="7080" w:type="dxa"/>
            <w:vAlign w:val="bottom"/>
          </w:tcPr>
          <w:p>
            <w:pPr>
              <w:ind w:left="4860"/>
              <w:spacing w:after="0"/>
              <w:rPr>
                <w:sz w:val="20"/>
                <w:szCs w:val="20"/>
                <w:color w:val="auto"/>
              </w:rPr>
            </w:pPr>
            <w:r>
              <w:rPr>
                <w:rFonts w:ascii="Arial" w:cs="Arial" w:eastAsia="Arial" w:hAnsi="Arial"/>
                <w:sz w:val="18"/>
                <w:szCs w:val="18"/>
                <w:color w:val="auto"/>
              </w:rPr>
              <w:t>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Ratio</w:t>
            </w:r>
          </w:p>
        </w:tc>
        <w:tc>
          <w:tcPr>
            <w:tcW w:w="7080" w:type="dxa"/>
            <w:vAlign w:val="bottom"/>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2.19(a)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FCPA</w:t>
            </w:r>
          </w:p>
        </w:tc>
        <w:tc>
          <w:tcPr>
            <w:tcW w:w="7080" w:type="dxa"/>
            <w:vAlign w:val="bottom"/>
          </w:tcPr>
          <w:p>
            <w:pPr>
              <w:ind w:left="48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GAAP</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Governmental Entity</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HIPAA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Indebtedness</w:t>
            </w:r>
          </w:p>
        </w:tc>
        <w:tc>
          <w:tcPr>
            <w:tcW w:w="7080" w:type="dxa"/>
            <w:vAlign w:val="bottom"/>
          </w:tcPr>
          <w:p>
            <w:pPr>
              <w:ind w:left="486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5.10(a)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IP LLC</w:t>
            </w:r>
          </w:p>
        </w:tc>
        <w:tc>
          <w:tcPr>
            <w:tcW w:w="7080" w:type="dxa"/>
            <w:vAlign w:val="bottom"/>
          </w:tcPr>
          <w:p>
            <w:pPr>
              <w:ind w:left="486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Knowledge</w:t>
            </w:r>
          </w:p>
        </w:tc>
        <w:tc>
          <w:tcPr>
            <w:tcW w:w="7080" w:type="dxa"/>
            <w:vAlign w:val="bottom"/>
          </w:tcPr>
          <w:p>
            <w:pPr>
              <w:ind w:left="4860"/>
              <w:spacing w:after="0"/>
              <w:rPr>
                <w:sz w:val="20"/>
                <w:szCs w:val="20"/>
                <w:color w:val="auto"/>
              </w:rPr>
            </w:pPr>
            <w:r>
              <w:rPr>
                <w:rFonts w:ascii="Arial" w:cs="Arial" w:eastAsia="Arial" w:hAnsi="Arial"/>
                <w:sz w:val="18"/>
                <w:szCs w:val="18"/>
                <w:color w:val="auto"/>
              </w:rPr>
              <w:t>8.3(b)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Leased Real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-5449570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-5449570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6" w:name="page7"/>
    <w:bookmarkEnd w:id="6"/>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Made Available</w:t>
            </w:r>
          </w:p>
        </w:tc>
        <w:tc>
          <w:tcPr>
            <w:tcW w:w="7260" w:type="dxa"/>
            <w:vAlign w:val="bottom"/>
          </w:tcPr>
          <w:p>
            <w:pPr>
              <w:ind w:left="5040"/>
              <w:spacing w:after="0"/>
              <w:rPr>
                <w:sz w:val="20"/>
                <w:szCs w:val="20"/>
                <w:color w:val="auto"/>
              </w:rPr>
            </w:pPr>
            <w:r>
              <w:rPr>
                <w:rFonts w:ascii="Arial" w:cs="Arial" w:eastAsia="Arial" w:hAnsi="Arial"/>
                <w:sz w:val="18"/>
                <w:szCs w:val="18"/>
                <w:color w:val="auto"/>
              </w:rPr>
              <w:t>8.3(c)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260" w:type="dxa"/>
            <w:vAlign w:val="bottom"/>
          </w:tcPr>
          <w:p>
            <w:pPr>
              <w:ind w:left="504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w:t>
            </w:r>
          </w:p>
        </w:tc>
        <w:tc>
          <w:tcPr>
            <w:tcW w:w="7260" w:type="dxa"/>
            <w:vAlign w:val="bottom"/>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60" w:type="dxa"/>
            <w:vAlign w:val="bottom"/>
          </w:tcPr>
          <w:p>
            <w:pPr>
              <w:ind w:left="1500"/>
              <w:spacing w:after="0"/>
              <w:rPr>
                <w:sz w:val="20"/>
                <w:szCs w:val="20"/>
                <w:color w:val="auto"/>
              </w:rPr>
            </w:pPr>
            <w:r>
              <w:rPr>
                <w:rFonts w:ascii="Arial" w:cs="Arial" w:eastAsia="Arial" w:hAnsi="Arial"/>
                <w:sz w:val="18"/>
                <w:szCs w:val="18"/>
                <w:color w:val="auto"/>
              </w:rPr>
              <w:t>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10"/>
                <w:szCs w:val="10"/>
                <w:color w:val="auto"/>
              </w:rPr>
            </w:pPr>
          </w:p>
        </w:tc>
        <w:tc>
          <w:tcPr>
            <w:tcW w:w="7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140" w:type="dxa"/>
            <w:vAlign w:val="bottom"/>
            <w:tcBorders>
              <w:top w:val="single" w:sz="8" w:color="808080"/>
            </w:tcBorders>
          </w:tcPr>
          <w:p>
            <w:pPr>
              <w:spacing w:after="0"/>
              <w:rPr>
                <w:sz w:val="24"/>
                <w:szCs w:val="24"/>
                <w:color w:val="auto"/>
              </w:rPr>
            </w:pPr>
          </w:p>
        </w:tc>
        <w:tc>
          <w:tcPr>
            <w:tcW w:w="726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Non-Employee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Open Source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Out-of-the-Money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Benefit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Common Stock</w:t>
            </w:r>
          </w:p>
        </w:tc>
        <w:tc>
          <w:tcPr>
            <w:tcW w:w="7260" w:type="dxa"/>
            <w:vAlign w:val="bottom"/>
          </w:tcPr>
          <w:p>
            <w:pPr>
              <w:ind w:left="504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Article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Financials</w:t>
            </w:r>
          </w:p>
        </w:tc>
        <w:tc>
          <w:tcPr>
            <w:tcW w:w="7260" w:type="dxa"/>
            <w:vAlign w:val="bottom"/>
          </w:tcPr>
          <w:p>
            <w:pPr>
              <w:ind w:left="5040"/>
              <w:spacing w:after="0"/>
              <w:rPr>
                <w:sz w:val="20"/>
                <w:szCs w:val="20"/>
                <w:color w:val="auto"/>
              </w:rPr>
            </w:pPr>
            <w:r>
              <w:rPr>
                <w:rFonts w:ascii="Arial" w:cs="Arial" w:eastAsia="Arial" w:hAnsi="Arial"/>
                <w:sz w:val="18"/>
                <w:szCs w:val="18"/>
                <w:color w:val="auto"/>
              </w:rPr>
              <w:t>3.5(b)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260" w:type="dxa"/>
            <w:vAlign w:val="bottom"/>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SEC Reports</w:t>
            </w:r>
          </w:p>
        </w:tc>
        <w:tc>
          <w:tcPr>
            <w:tcW w:w="7260" w:type="dxa"/>
            <w:vAlign w:val="bottom"/>
          </w:tcPr>
          <w:p>
            <w:pPr>
              <w:ind w:left="5040"/>
              <w:spacing w:after="0"/>
              <w:rPr>
                <w:sz w:val="20"/>
                <w:szCs w:val="20"/>
                <w:color w:val="auto"/>
              </w:rPr>
            </w:pPr>
            <w:r>
              <w:rPr>
                <w:rFonts w:ascii="Arial" w:cs="Arial" w:eastAsia="Arial" w:hAnsi="Arial"/>
                <w:sz w:val="18"/>
                <w:szCs w:val="18"/>
                <w:color w:val="auto"/>
              </w:rPr>
              <w:t>3.5(a)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5.9(e)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Pension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Permitted Liens</w:t>
            </w:r>
          </w:p>
        </w:tc>
        <w:tc>
          <w:tcPr>
            <w:tcW w:w="7260" w:type="dxa"/>
            <w:vAlign w:val="bottom"/>
          </w:tcPr>
          <w:p>
            <w:pPr>
              <w:ind w:left="5040"/>
              <w:spacing w:after="0"/>
              <w:rPr>
                <w:sz w:val="20"/>
                <w:szCs w:val="20"/>
                <w:color w:val="auto"/>
              </w:rPr>
            </w:pPr>
            <w:r>
              <w:rPr>
                <w:rFonts w:ascii="Arial" w:cs="Arial" w:eastAsia="Arial" w:hAnsi="Arial"/>
                <w:sz w:val="18"/>
                <w:szCs w:val="18"/>
                <w:color w:val="auto"/>
              </w:rPr>
              <w:t>2.7(c)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260" w:type="dxa"/>
            <w:vAlign w:val="bottom"/>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w:t>
            </w:r>
          </w:p>
        </w:tc>
        <w:tc>
          <w:tcPr>
            <w:tcW w:w="7260" w:type="dxa"/>
            <w:vAlign w:val="bottom"/>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Shrink-Wrapped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Source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Subsidiary</w:t>
            </w:r>
          </w:p>
        </w:tc>
        <w:tc>
          <w:tcPr>
            <w:tcW w:w="7260" w:type="dxa"/>
            <w:vAlign w:val="bottom"/>
          </w:tcPr>
          <w:p>
            <w:pPr>
              <w:ind w:left="504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Superior Offer</w:t>
            </w:r>
          </w:p>
        </w:tc>
        <w:tc>
          <w:tcPr>
            <w:tcW w:w="7260" w:type="dxa"/>
            <w:vAlign w:val="bottom"/>
          </w:tcPr>
          <w:p>
            <w:pPr>
              <w:ind w:left="5040"/>
              <w:spacing w:after="0"/>
              <w:rPr>
                <w:sz w:val="20"/>
                <w:szCs w:val="20"/>
                <w:color w:val="auto"/>
              </w:rPr>
            </w:pPr>
            <w:r>
              <w:rPr>
                <w:rFonts w:ascii="Arial" w:cs="Arial" w:eastAsia="Arial" w:hAnsi="Arial"/>
                <w:sz w:val="18"/>
                <w:szCs w:val="18"/>
                <w:color w:val="auto"/>
              </w:rPr>
              <w:t>5.3(h)(ii)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 Opinions</w:t>
            </w:r>
          </w:p>
        </w:tc>
        <w:tc>
          <w:tcPr>
            <w:tcW w:w="7260" w:type="dxa"/>
            <w:vAlign w:val="bottom"/>
          </w:tcPr>
          <w:p>
            <w:pPr>
              <w:ind w:left="50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Taxes</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Termination Fee</w:t>
            </w:r>
          </w:p>
        </w:tc>
        <w:tc>
          <w:tcPr>
            <w:tcW w:w="7260" w:type="dxa"/>
            <w:vAlign w:val="bottom"/>
          </w:tcPr>
          <w:p>
            <w:pPr>
              <w:ind w:left="5040"/>
              <w:spacing w:after="0"/>
              <w:rPr>
                <w:sz w:val="20"/>
                <w:szCs w:val="20"/>
                <w:color w:val="auto"/>
              </w:rPr>
            </w:pPr>
            <w:r>
              <w:rPr>
                <w:rFonts w:ascii="Arial" w:cs="Arial" w:eastAsia="Arial" w:hAnsi="Arial"/>
                <w:sz w:val="18"/>
                <w:szCs w:val="18"/>
                <w:color w:val="auto"/>
              </w:rPr>
              <w:t>7.3(b)(i)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Triggering Event</w:t>
            </w:r>
          </w:p>
        </w:tc>
        <w:tc>
          <w:tcPr>
            <w:tcW w:w="7260" w:type="dxa"/>
            <w:vAlign w:val="bottom"/>
          </w:tcPr>
          <w:p>
            <w:pPr>
              <w:ind w:left="50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Voting Agreements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WARN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-6693535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-6693535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40" w:firstLine="656"/>
        <w:spacing w:after="0" w:line="342" w:lineRule="auto"/>
        <w:tabs>
          <w:tab w:leader="none" w:pos="128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23" w:lineRule="exact"/>
        <w:rPr>
          <w:rFonts w:ascii="Arial" w:cs="Arial" w:eastAsia="Arial" w:hAnsi="Arial"/>
          <w:sz w:val="16"/>
          <w:szCs w:val="16"/>
          <w:color w:val="auto"/>
        </w:rPr>
      </w:pPr>
    </w:p>
    <w:p>
      <w:pPr>
        <w:ind w:right="520" w:firstLine="656"/>
        <w:spacing w:after="0" w:line="277" w:lineRule="auto"/>
        <w:tabs>
          <w:tab w:leader="none" w:pos="127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ectPr>
          <w:pgSz w:w="11900" w:h="16902" w:orient="portrait"/>
          <w:cols w:equalWidth="0" w:num="1">
            <w:col w:w="11440"/>
          </w:cols>
          <w:pgMar w:left="240" w:top="125" w:right="219" w:bottom="0" w:gutter="0" w:footer="0" w:header="0"/>
        </w:sectPr>
      </w:pPr>
    </w:p>
    <w:bookmarkStart w:id="7" w:name="page8"/>
    <w:bookmarkEnd w:id="7"/>
    <w:p>
      <w:pPr>
        <w:spacing w:after="0" w:line="114" w:lineRule="exact"/>
        <w:rPr>
          <w:sz w:val="20"/>
          <w:szCs w:val="20"/>
          <w:color w:val="auto"/>
        </w:rPr>
      </w:pPr>
    </w:p>
    <w:p>
      <w:pPr>
        <w:ind w:right="80" w:firstLine="656"/>
        <w:spacing w:after="0" w:line="264" w:lineRule="auto"/>
        <w:tabs>
          <w:tab w:leader="none" w:pos="1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40" w:firstLine="656"/>
        <w:spacing w:after="0" w:line="277" w:lineRule="auto"/>
        <w:tabs>
          <w:tab w:leader="none" w:pos="1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60" w:firstLine="656"/>
        <w:spacing w:after="0" w:line="277" w:lineRule="auto"/>
        <w:tabs>
          <w:tab w:leader="none" w:pos="1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70" w:lineRule="exact"/>
        <w:rPr>
          <w:rFonts w:ascii="Arial" w:cs="Arial" w:eastAsia="Arial" w:hAnsi="Arial"/>
          <w:sz w:val="18"/>
          <w:szCs w:val="18"/>
          <w:color w:val="auto"/>
        </w:rPr>
      </w:pPr>
    </w:p>
    <w:p>
      <w:pPr>
        <w:ind w:right="220" w:firstLine="656"/>
        <w:spacing w:after="0" w:line="264" w:lineRule="auto"/>
        <w:tabs>
          <w:tab w:leader="none" w:pos="1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Subject to the provisions of this Agreement, the parties hereto shall cause the Merger to be consummated by filing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the offices of Skadden, Arps, Slate, Meagher &amp; Flom, LLP, located at 525 University Avenue, Suite 1100, Palo Alto,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 time and date to be specified by the parties, which shall be no later than the third Business Day after the satisfaction or waiver of the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 in writing.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shall mean each day that is not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Saturday, Sunday or other day on which banking institutions located in San Francisco, California are authorized or obligated by law or executive order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87"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 in effect immediately prior to the Effective Time, until thereafter amended in accordance with Delaware Law and as provided in such bylaws.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6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20" w:lineRule="exact"/>
        <w:rPr>
          <w:sz w:val="20"/>
          <w:szCs w:val="20"/>
          <w:color w:val="auto"/>
        </w:rPr>
      </w:pPr>
    </w:p>
    <w:p>
      <w:pPr>
        <w:ind w:left="420" w:right="100" w:firstLine="1290"/>
        <w:spacing w:after="0" w:line="347" w:lineRule="auto"/>
        <w:tabs>
          <w:tab w:leader="none" w:pos="195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Company Common Stock</w:t>
      </w:r>
      <w:r>
        <w:rPr>
          <w:rFonts w:ascii="Arial" w:cs="Arial" w:eastAsia="Arial" w:hAnsi="Arial"/>
          <w:sz w:val="16"/>
          <w:szCs w:val="16"/>
          <w:color w:val="auto"/>
        </w:rPr>
        <w:t>. Each share of the common stock, par value $0.0001 per share, of the Company (“</w:t>
      </w:r>
      <w:r>
        <w:rPr>
          <w:rFonts w:ascii="Arial" w:cs="Arial" w:eastAsia="Arial" w:hAnsi="Arial"/>
          <w:sz w:val="16"/>
          <w:szCs w:val="16"/>
          <w:b w:val="1"/>
          <w:bCs w:val="1"/>
          <w:color w:val="auto"/>
        </w:rPr>
        <w:t>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issued and outstanding immediately prior to the Effective Time, other than any shares of Company Common Stock to be canceled pursuant to</w:t>
      </w:r>
    </w:p>
    <w:p>
      <w:pPr>
        <w:sectPr>
          <w:pgSz w:w="11900" w:h="16952" w:orient="portrait"/>
          <w:cols w:equalWidth="0" w:num="1">
            <w:col w:w="11400"/>
          </w:cols>
          <w:pgMar w:left="240" w:top="341" w:right="259" w:bottom="0" w:gutter="0" w:footer="0" w:header="0"/>
        </w:sectPr>
      </w:pPr>
    </w:p>
    <w:bookmarkStart w:id="8" w:name="page9"/>
    <w:bookmarkEnd w:id="8"/>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 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80" w:lineRule="exact"/>
        <w:rPr>
          <w:sz w:val="20"/>
          <w:szCs w:val="20"/>
          <w:color w:val="auto"/>
        </w:rPr>
      </w:pPr>
    </w:p>
    <w:p>
      <w:pPr>
        <w:ind w:right="40" w:firstLine="1290"/>
        <w:spacing w:after="0" w:line="254" w:lineRule="auto"/>
        <w:tabs>
          <w:tab w:leader="none" w:pos="154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 Rights</w:t>
      </w:r>
      <w:r>
        <w:rPr>
          <w:rFonts w:ascii="Arial" w:cs="Arial" w:eastAsia="Arial" w:hAnsi="Arial"/>
          <w:sz w:val="18"/>
          <w:szCs w:val="18"/>
          <w:color w:val="auto"/>
        </w:rPr>
        <w:t>. If any shares of Company Common Stock outstanding immediately prior to the Effective Time are unvested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are 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92" w:lineRule="exact"/>
        <w:rPr>
          <w:rFonts w:ascii="Arial" w:cs="Arial" w:eastAsia="Arial" w:hAnsi="Arial"/>
          <w:sz w:val="18"/>
          <w:szCs w:val="18"/>
          <w:color w:val="auto"/>
        </w:rPr>
      </w:pPr>
    </w:p>
    <w:p>
      <w:pPr>
        <w:ind w:right="80" w:firstLine="1290"/>
        <w:spacing w:after="0" w:line="264" w:lineRule="auto"/>
        <w:tabs>
          <w:tab w:leader="none" w:pos="153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Cancellation of Treasury and Parent Owned Stock</w:t>
      </w:r>
      <w:r>
        <w:rPr>
          <w:rFonts w:ascii="Arial" w:cs="Arial" w:eastAsia="Arial" w:hAnsi="Arial"/>
          <w:sz w:val="18"/>
          <w:szCs w:val="18"/>
          <w:color w:val="auto"/>
        </w:rPr>
        <w:t>. Each share of Company Common Stock held by the Company or Parent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direct or indirect wholly-owned subsidiary of the Company or of Parent immediately prior to the Effective Time shall be canceled and extinguished without any conversion thereof.</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60" w:firstLine="1290"/>
        <w:spacing w:after="0" w:line="266" w:lineRule="auto"/>
        <w:tabs>
          <w:tab w:leader="none" w:pos="154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Capital Stock of Merger Sub</w:t>
      </w:r>
      <w:r>
        <w:rPr>
          <w:rFonts w:ascii="Arial" w:cs="Arial" w:eastAsia="Arial" w:hAnsi="Arial"/>
          <w:sz w:val="18"/>
          <w:szCs w:val="18"/>
          <w:color w:val="auto"/>
        </w:rPr>
        <w:t>. Each share of common stock, par value $0.001 per share, of Merger Sub (the “</w:t>
      </w:r>
      <w:r>
        <w:rPr>
          <w:rFonts w:ascii="Arial" w:cs="Arial" w:eastAsia="Arial" w:hAnsi="Arial"/>
          <w:sz w:val="18"/>
          <w:szCs w:val="18"/>
          <w:b w:val="1"/>
          <w:bCs w:val="1"/>
          <w:color w:val="auto"/>
        </w:rPr>
        <w:t>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issued and outstanding immediately prior to the Effective Time shall be converted into one validly issued,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 of common stock, par value $0.001 per share, of the Surviving Corporation.</w:t>
      </w:r>
    </w:p>
    <w:p>
      <w:pPr>
        <w:spacing w:after="0" w:line="180" w:lineRule="exact"/>
        <w:rPr>
          <w:rFonts w:ascii="Arial" w:cs="Arial" w:eastAsia="Arial" w:hAnsi="Arial"/>
          <w:sz w:val="18"/>
          <w:szCs w:val="18"/>
          <w:color w:val="auto"/>
        </w:rPr>
      </w:pPr>
    </w:p>
    <w:p>
      <w:pPr>
        <w:ind w:right="20" w:firstLine="1290"/>
        <w:spacing w:after="0" w:line="268" w:lineRule="auto"/>
        <w:tabs>
          <w:tab w:leader="none" w:pos="1534"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Stock Options; Employee Stock Purchase Plan</w:t>
      </w:r>
      <w:r>
        <w:rPr>
          <w:rFonts w:ascii="Arial" w:cs="Arial" w:eastAsia="Arial" w:hAnsi="Arial"/>
          <w:sz w:val="17"/>
          <w:szCs w:val="17"/>
          <w:color w:val="auto"/>
        </w:rPr>
        <w:t>. At the Effective Time, all Assumed Options outstanding under the Option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shall be assumed by Parent in accordance with </w:t>
      </w:r>
      <w:r>
        <w:rPr>
          <w:rFonts w:ascii="Arial" w:cs="Arial" w:eastAsia="Arial" w:hAnsi="Arial"/>
          <w:sz w:val="17"/>
          <w:szCs w:val="17"/>
          <w:b w:val="1"/>
          <w:bCs w:val="1"/>
          <w:color w:val="auto"/>
        </w:rPr>
        <w:t>Section 5.9(a)</w:t>
      </w:r>
      <w:r>
        <w:rPr>
          <w:rFonts w:ascii="Arial" w:cs="Arial" w:eastAsia="Arial" w:hAnsi="Arial"/>
          <w:sz w:val="17"/>
          <w:szCs w:val="17"/>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7"/>
          <w:szCs w:val="17"/>
          <w:b w:val="1"/>
          <w:bCs w:val="1"/>
          <w:color w:val="auto"/>
        </w:rPr>
        <w:t>Non-Employee Option</w:t>
      </w:r>
      <w:r>
        <w:rPr>
          <w:rFonts w:ascii="Arial" w:cs="Arial" w:eastAsia="Arial" w:hAnsi="Arial"/>
          <w:sz w:val="17"/>
          <w:szCs w:val="17"/>
          <w:color w:val="auto"/>
        </w:rPr>
        <w:t>”) or (B) has a per share exercise price greater than $9.00 (the “</w:t>
      </w:r>
      <w:r>
        <w:rPr>
          <w:rFonts w:ascii="Arial" w:cs="Arial" w:eastAsia="Arial" w:hAnsi="Arial"/>
          <w:sz w:val="17"/>
          <w:szCs w:val="17"/>
          <w:b w:val="1"/>
          <w:bCs w:val="1"/>
          <w:color w:val="auto"/>
        </w:rPr>
        <w:t>Per Share Merger Consideration</w:t>
      </w:r>
      <w:r>
        <w:rPr>
          <w:rFonts w:ascii="Arial" w:cs="Arial" w:eastAsia="Arial" w:hAnsi="Arial"/>
          <w:sz w:val="17"/>
          <w:szCs w:val="17"/>
          <w:color w:val="auto"/>
        </w:rPr>
        <w:t>”), (each, an “</w:t>
      </w:r>
      <w:r>
        <w:rPr>
          <w:rFonts w:ascii="Arial" w:cs="Arial" w:eastAsia="Arial" w:hAnsi="Arial"/>
          <w:sz w:val="17"/>
          <w:szCs w:val="17"/>
          <w:b w:val="1"/>
          <w:bCs w:val="1"/>
          <w:color w:val="auto"/>
        </w:rPr>
        <w:t>Out-of-the-Money Option</w:t>
      </w:r>
      <w:r>
        <w:rPr>
          <w:rFonts w:ascii="Arial" w:cs="Arial" w:eastAsia="Arial" w:hAnsi="Arial"/>
          <w:sz w:val="17"/>
          <w:szCs w:val="17"/>
          <w:color w:val="auto"/>
        </w:rPr>
        <w:t>,” and together with the Non-Employee Options, the “</w:t>
      </w:r>
      <w:r>
        <w:rPr>
          <w:rFonts w:ascii="Arial" w:cs="Arial" w:eastAsia="Arial" w:hAnsi="Arial"/>
          <w:sz w:val="17"/>
          <w:szCs w:val="17"/>
          <w:b w:val="1"/>
          <w:bCs w:val="1"/>
          <w:color w:val="auto"/>
        </w:rPr>
        <w:t>Cashed-Out</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in each case, that is unexpired, unexercised and outstanding immediately prior to the Effective Time shall, on the terms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7"/>
          <w:szCs w:val="17"/>
          <w:b w:val="1"/>
          <w:bCs w:val="1"/>
          <w:color w:val="auto"/>
        </w:rPr>
        <w:t>Assumed Option</w:t>
      </w:r>
      <w:r>
        <w:rPr>
          <w:rFonts w:ascii="Arial" w:cs="Arial" w:eastAsia="Arial" w:hAnsi="Arial"/>
          <w:sz w:val="17"/>
          <w:szCs w:val="17"/>
          <w:color w:val="auto"/>
        </w:rPr>
        <w:t xml:space="preserve">.” Rights outstanding under the ESPP and any other employee stock purchase plan of the Company shall be treated as set forth in </w:t>
      </w:r>
      <w:r>
        <w:rPr>
          <w:rFonts w:ascii="Arial" w:cs="Arial" w:eastAsia="Arial" w:hAnsi="Arial"/>
          <w:sz w:val="17"/>
          <w:szCs w:val="17"/>
          <w:b w:val="1"/>
          <w:bCs w:val="1"/>
          <w:color w:val="auto"/>
        </w:rPr>
        <w:t>Section 5.9(c)</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right="40" w:firstLine="1290"/>
        <w:spacing w:after="0" w:line="272" w:lineRule="auto"/>
        <w:tabs>
          <w:tab w:leader="none" w:pos="1553"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Fractional Shares</w:t>
      </w:r>
      <w:r>
        <w:rPr>
          <w:rFonts w:ascii="Arial" w:cs="Arial" w:eastAsia="Arial" w:hAnsi="Arial"/>
          <w:sz w:val="17"/>
          <w:szCs w:val="17"/>
          <w:color w:val="auto"/>
        </w:rPr>
        <w:t>. No fraction of a share of Parent Common Stock will be issued by virtue of the Merger, but in lieu thereof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holder of 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 </w:t>
      </w:r>
      <w:r>
        <w:rPr>
          <w:rFonts w:ascii="Arial" w:cs="Arial" w:eastAsia="Arial" w:hAnsi="Arial"/>
          <w:sz w:val="17"/>
          <w:szCs w:val="17"/>
          <w:b w:val="1"/>
          <w:bCs w:val="1"/>
          <w:color w:val="auto"/>
        </w:rPr>
        <w:t>Section 1.7(f)</w:t>
      </w:r>
      <w:r>
        <w:rPr>
          <w:rFonts w:ascii="Arial" w:cs="Arial" w:eastAsia="Arial" w:hAnsi="Arial"/>
          <w:sz w:val="17"/>
          <w:szCs w:val="17"/>
          <w:color w:val="auto"/>
        </w:rPr>
        <w:t>, which are required to be withheld with respect thereto, equal to the product of: (i) such fraction, multiplied by (ii) the average closing price of one share of Parent Common Stock for the ten (10) most recent trading days that Parent Common Stock has traded ending on the trading day one day prior to the Effective Time, as reported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290"/>
        <w:spacing w:after="0" w:line="259" w:lineRule="auto"/>
        <w:tabs>
          <w:tab w:leader="none" w:pos="154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Exchange Ratio</w:t>
      </w:r>
      <w:r>
        <w:rPr>
          <w:rFonts w:ascii="Arial" w:cs="Arial" w:eastAsia="Arial" w:hAnsi="Arial"/>
          <w:sz w:val="18"/>
          <w:szCs w:val="18"/>
          <w:color w:val="auto"/>
        </w:rPr>
        <w:t>. The Exchange Ratio shall be adjusted to reflect fully the appropriate effect of any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stock 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Surrender of Certificates.</w:t>
      </w:r>
    </w:p>
    <w:p>
      <w:pPr>
        <w:spacing w:after="0" w:line="225" w:lineRule="exact"/>
        <w:rPr>
          <w:sz w:val="20"/>
          <w:szCs w:val="20"/>
          <w:color w:val="auto"/>
        </w:rPr>
      </w:pPr>
    </w:p>
    <w:p>
      <w:pPr>
        <w:ind w:right="280" w:firstLine="1290"/>
        <w:spacing w:after="0" w:line="277" w:lineRule="auto"/>
        <w:tabs>
          <w:tab w:leader="none" w:pos="153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Parent shall designate a bank or trust company reasonably satisfactory to the Company to act as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70" w:lineRule="exact"/>
        <w:rPr>
          <w:rFonts w:ascii="Arial" w:cs="Arial" w:eastAsia="Arial" w:hAnsi="Arial"/>
          <w:sz w:val="18"/>
          <w:szCs w:val="18"/>
          <w:color w:val="auto"/>
        </w:rPr>
      </w:pPr>
    </w:p>
    <w:p>
      <w:pPr>
        <w:ind w:right="60" w:firstLine="1290"/>
        <w:spacing w:after="0" w:line="293" w:lineRule="auto"/>
        <w:tabs>
          <w:tab w:leader="none" w:pos="1544"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Parent to Provide Common Stock</w:t>
      </w:r>
      <w:r>
        <w:rPr>
          <w:rFonts w:ascii="Arial" w:cs="Arial" w:eastAsia="Arial" w:hAnsi="Arial"/>
          <w:sz w:val="16"/>
          <w:szCs w:val="16"/>
          <w:color w:val="auto"/>
        </w:rPr>
        <w:t>. Prior to the Effective Time, Parent shall enter into an agreement with the Exchange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reasonably 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firstLine="1290"/>
        <w:spacing w:after="0" w:line="290" w:lineRule="auto"/>
        <w:tabs>
          <w:tab w:leader="none" w:pos="1534"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Exchange Procedures</w:t>
      </w:r>
      <w:r>
        <w:rPr>
          <w:rFonts w:ascii="Arial" w:cs="Arial" w:eastAsia="Arial" w:hAnsi="Arial"/>
          <w:sz w:val="16"/>
          <w:szCs w:val="16"/>
          <w:color w:val="auto"/>
        </w:rPr>
        <w:t>. As promptly as practicable after the Effective Time, Parent shall cause the Exchange Agent to mail 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record (as of the Effective Time) of a certificate or certificates (the “</w:t>
      </w:r>
      <w:r>
        <w:rPr>
          <w:rFonts w:ascii="Arial" w:cs="Arial" w:eastAsia="Arial" w:hAnsi="Arial"/>
          <w:sz w:val="16"/>
          <w:szCs w:val="16"/>
          <w:b w:val="1"/>
          <w:bCs w:val="1"/>
          <w:color w:val="auto"/>
        </w:rPr>
        <w:t>Certificates</w:t>
      </w:r>
      <w:r>
        <w:rPr>
          <w:rFonts w:ascii="Arial" w:cs="Arial" w:eastAsia="Arial" w:hAnsi="Arial"/>
          <w:sz w:val="16"/>
          <w:szCs w:val="16"/>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6"/>
          <w:szCs w:val="16"/>
          <w:b w:val="1"/>
          <w:bCs w:val="1"/>
          <w:color w:val="auto"/>
        </w:rPr>
        <w:t>Section 1.6(a)</w:t>
      </w:r>
      <w:r>
        <w:rPr>
          <w:rFonts w:ascii="Arial" w:cs="Arial" w:eastAsia="Arial" w:hAnsi="Arial"/>
          <w:sz w:val="16"/>
          <w:szCs w:val="16"/>
          <w:color w:val="auto"/>
        </w:rPr>
        <w:t>, cash in lieu of any fractional shares pursuant to</w:t>
      </w:r>
      <w:r>
        <w:rPr>
          <w:rFonts w:ascii="Arial" w:cs="Arial" w:eastAsia="Arial" w:hAnsi="Arial"/>
          <w:sz w:val="16"/>
          <w:szCs w:val="16"/>
          <w:b w:val="1"/>
          <w:bCs w:val="1"/>
          <w:color w:val="auto"/>
        </w:rPr>
        <w:t xml:space="preserve"> Section 1.6(f) </w:t>
      </w:r>
      <w:r>
        <w:rPr>
          <w:rFonts w:ascii="Arial" w:cs="Arial" w:eastAsia="Arial" w:hAnsi="Arial"/>
          <w:sz w:val="16"/>
          <w:szCs w:val="16"/>
          <w:color w:val="auto"/>
        </w:rPr>
        <w:t>and any dividends or other distributions pursuant to</w:t>
      </w:r>
      <w:r>
        <w:rPr>
          <w:rFonts w:ascii="Arial" w:cs="Arial" w:eastAsia="Arial" w:hAnsi="Arial"/>
          <w:sz w:val="16"/>
          <w:szCs w:val="16"/>
          <w:b w:val="1"/>
          <w:bCs w:val="1"/>
          <w:color w:val="auto"/>
        </w:rPr>
        <w:t xml:space="preserve"> Section 1.7(d)</w:t>
      </w:r>
      <w:r>
        <w:rPr>
          <w:rFonts w:ascii="Arial" w:cs="Arial" w:eastAsia="Arial" w:hAnsi="Arial"/>
          <w:sz w:val="16"/>
          <w:szCs w:val="16"/>
          <w:color w:val="auto"/>
        </w:rPr>
        <w:t>: (i)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other</w:t>
      </w:r>
    </w:p>
    <w:p>
      <w:pPr>
        <w:sectPr>
          <w:pgSz w:w="11900" w:h="16906" w:orient="portrait"/>
          <w:cols w:equalWidth="0" w:num="1">
            <w:col w:w="11000"/>
          </w:cols>
          <w:pgMar w:left="660" w:top="121" w:right="239" w:bottom="0" w:gutter="0" w:footer="0" w:header="0"/>
        </w:sectPr>
      </w:pPr>
    </w:p>
    <w:bookmarkStart w:id="9" w:name="page10"/>
    <w:bookmarkEnd w:id="9"/>
    <w:p>
      <w:pPr>
        <w:ind w:left="420" w:right="80"/>
        <w:spacing w:after="0" w:line="270" w:lineRule="auto"/>
        <w:rPr>
          <w:sz w:val="20"/>
          <w:szCs w:val="20"/>
          <w:color w:val="auto"/>
        </w:rPr>
      </w:pPr>
      <w:r>
        <w:rPr>
          <w:rFonts w:ascii="Arial" w:cs="Arial" w:eastAsia="Arial" w:hAnsi="Arial"/>
          <w:sz w:val="17"/>
          <w:szCs w:val="17"/>
          <w:color w:val="auto"/>
        </w:rPr>
        <w:t xml:space="preserve">distributions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Upon surrender of Certificates for cancellation to the Exchange Agent or to such other agent or agents as may be appointed by Parent, 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7"/>
          <w:szCs w:val="17"/>
          <w:b w:val="1"/>
          <w:bCs w:val="1"/>
          <w:color w:val="auto"/>
        </w:rPr>
        <w:t>Section 1.6(a)</w:t>
      </w:r>
      <w:r>
        <w:rPr>
          <w:rFonts w:ascii="Arial" w:cs="Arial" w:eastAsia="Arial" w:hAnsi="Arial"/>
          <w:sz w:val="17"/>
          <w:szCs w:val="17"/>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 shares in accordance with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1.7(d)</w:t>
      </w:r>
      <w:r>
        <w:rPr>
          <w:rFonts w:ascii="Arial" w:cs="Arial" w:eastAsia="Arial" w:hAnsi="Arial"/>
          <w:sz w:val="17"/>
          <w:szCs w:val="17"/>
          <w:color w:val="auto"/>
        </w:rPr>
        <w: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 w:firstLine="1290"/>
        <w:spacing w:after="0" w:line="270" w:lineRule="auto"/>
        <w:tabs>
          <w:tab w:leader="none" w:pos="1964"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With Respect to Unexchanged Shares</w:t>
      </w:r>
      <w:r>
        <w:rPr>
          <w:rFonts w:ascii="Arial" w:cs="Arial" w:eastAsia="Arial" w:hAnsi="Arial"/>
          <w:sz w:val="17"/>
          <w:szCs w:val="17"/>
          <w:color w:val="auto"/>
        </w:rPr>
        <w:t>. No dividends or other distributions declared or made after the date hereof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with respect to Parent Common Stock with a record date after the Effective Time and no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81" w:lineRule="exact"/>
        <w:rPr>
          <w:rFonts w:ascii="Arial" w:cs="Arial" w:eastAsia="Arial" w:hAnsi="Arial"/>
          <w:sz w:val="17"/>
          <w:szCs w:val="17"/>
          <w:color w:val="auto"/>
        </w:rPr>
      </w:pPr>
    </w:p>
    <w:p>
      <w:pPr>
        <w:ind w:left="420" w:right="80" w:firstLine="1290"/>
        <w:spacing w:after="0" w:line="255" w:lineRule="auto"/>
        <w:tabs>
          <w:tab w:leader="none" w:pos="195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Transfers of Ownership</w:t>
      </w:r>
      <w:r>
        <w:rPr>
          <w:rFonts w:ascii="Arial" w:cs="Arial" w:eastAsia="Arial" w:hAnsi="Arial"/>
          <w:sz w:val="18"/>
          <w:szCs w:val="18"/>
          <w:color w:val="auto"/>
        </w:rPr>
        <w:t>. If shares of Parent Common Stock are to be issued in a name other than that in which the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surrendered in 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93" w:lineRule="exact"/>
        <w:rPr>
          <w:rFonts w:ascii="Arial" w:cs="Arial" w:eastAsia="Arial" w:hAnsi="Arial"/>
          <w:sz w:val="18"/>
          <w:szCs w:val="18"/>
          <w:color w:val="auto"/>
        </w:rPr>
      </w:pPr>
    </w:p>
    <w:p>
      <w:pPr>
        <w:ind w:left="420" w:right="20" w:firstLine="1290"/>
        <w:spacing w:after="0" w:line="271" w:lineRule="auto"/>
        <w:tabs>
          <w:tab w:leader="none" w:pos="1973"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Required Withholding</w:t>
      </w:r>
      <w:r>
        <w:rPr>
          <w:rFonts w:ascii="Arial" w:cs="Arial" w:eastAsia="Arial" w:hAnsi="Arial"/>
          <w:sz w:val="17"/>
          <w:szCs w:val="17"/>
          <w:color w:val="auto"/>
        </w:rPr>
        <w:t>. Each of the Exchange Agent and the Surviving Corporation shall be entitled to deduct and withhold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7"/>
          <w:szCs w:val="17"/>
          <w:b w:val="1"/>
          <w:bCs w:val="1"/>
          <w:color w:val="auto"/>
        </w:rPr>
        <w:t>Legal Requirements</w:t>
      </w:r>
      <w:r>
        <w:rPr>
          <w:rFonts w:ascii="Arial" w:cs="Arial" w:eastAsia="Arial" w:hAnsi="Arial"/>
          <w:sz w:val="17"/>
          <w:szCs w:val="17"/>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74" w:lineRule="exact"/>
        <w:rPr>
          <w:rFonts w:ascii="Arial" w:cs="Arial" w:eastAsia="Arial" w:hAnsi="Arial"/>
          <w:sz w:val="17"/>
          <w:szCs w:val="17"/>
          <w:color w:val="auto"/>
        </w:rPr>
      </w:pPr>
    </w:p>
    <w:p>
      <w:pPr>
        <w:ind w:left="420" w:right="20" w:firstLine="1290"/>
        <w:spacing w:after="0" w:line="266" w:lineRule="auto"/>
        <w:tabs>
          <w:tab w:leader="none" w:pos="196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No Liability</w:t>
      </w:r>
      <w:r>
        <w:rPr>
          <w:rFonts w:ascii="Arial" w:cs="Arial" w:eastAsia="Arial" w:hAnsi="Arial"/>
          <w:sz w:val="18"/>
          <w:szCs w:val="18"/>
          <w:color w:val="auto"/>
        </w:rPr>
        <w:t>. 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party hereto shall be liable to a holder of shares of Company Common Stock for any amount properly paid to a public official pursuant to any applicable abandoned property, escheat or similar Legal Requirements.</w:t>
      </w:r>
    </w:p>
    <w:p>
      <w:pPr>
        <w:spacing w:after="0" w:line="180" w:lineRule="exact"/>
        <w:rPr>
          <w:rFonts w:ascii="Arial" w:cs="Arial" w:eastAsia="Arial" w:hAnsi="Arial"/>
          <w:sz w:val="18"/>
          <w:szCs w:val="18"/>
          <w:color w:val="auto"/>
        </w:rPr>
      </w:pPr>
    </w:p>
    <w:p>
      <w:pPr>
        <w:ind w:left="420" w:right="200" w:firstLine="1290"/>
        <w:spacing w:after="0" w:line="342" w:lineRule="auto"/>
        <w:tabs>
          <w:tab w:leader="none" w:pos="1964"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of Exchange Fund</w:t>
      </w:r>
      <w:r>
        <w:rPr>
          <w:rFonts w:ascii="Arial" w:cs="Arial" w:eastAsia="Arial" w:hAnsi="Arial"/>
          <w:sz w:val="16"/>
          <w:szCs w:val="16"/>
          <w:color w:val="auto"/>
        </w:rPr>
        <w:t>. The Exchange Agent shall invest any cash included in the Exchange Fund as directed by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line="34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20" w:lineRule="exact"/>
        <w:rPr>
          <w:sz w:val="20"/>
          <w:szCs w:val="20"/>
          <w:color w:val="auto"/>
        </w:rPr>
      </w:pPr>
    </w:p>
    <w:p>
      <w:pPr>
        <w:ind w:left="1960" w:hanging="250"/>
        <w:spacing w:after="0"/>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Exchange Fund</w:t>
      </w:r>
      <w:r>
        <w:rPr>
          <w:rFonts w:ascii="Arial" w:cs="Arial" w:eastAsia="Arial" w:hAnsi="Arial"/>
          <w:sz w:val="16"/>
          <w:szCs w:val="16"/>
          <w:color w:val="auto"/>
        </w:rPr>
        <w:t>. Any portion of the Exchange Fund which remains undistributed to the holders of Certificates six</w:t>
      </w:r>
    </w:p>
    <w:p>
      <w:pPr>
        <w:spacing w:after="0" w:line="46" w:lineRule="exact"/>
        <w:rPr>
          <w:rFonts w:ascii="Arial" w:cs="Arial" w:eastAsia="Arial" w:hAnsi="Arial"/>
          <w:sz w:val="16"/>
          <w:szCs w:val="16"/>
          <w:color w:val="auto"/>
        </w:rPr>
      </w:pPr>
    </w:p>
    <w:p>
      <w:pPr>
        <w:ind w:left="420" w:right="400" w:hanging="7"/>
        <w:spacing w:after="0" w:line="281" w:lineRule="auto"/>
        <w:tabs>
          <w:tab w:leader="none" w:pos="6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months after the Effective Time shall be delivered to Parent, and any holders of the Certificates who have not surrendered such Certificates in compliance with this </w:t>
      </w:r>
      <w:r>
        <w:rPr>
          <w:rFonts w:ascii="Arial" w:cs="Arial" w:eastAsia="Arial" w:hAnsi="Arial"/>
          <w:sz w:val="16"/>
          <w:szCs w:val="16"/>
          <w:b w:val="1"/>
          <w:bCs w:val="1"/>
          <w:color w:val="auto"/>
        </w:rPr>
        <w:t>Section 1.7</w:t>
      </w:r>
      <w:r>
        <w:rPr>
          <w:rFonts w:ascii="Arial" w:cs="Arial" w:eastAsia="Arial" w:hAnsi="Arial"/>
          <w:sz w:val="16"/>
          <w:szCs w:val="16"/>
          <w:color w:val="auto"/>
        </w:rPr>
        <w:t xml:space="preserve"> shall after such delivery to Parent look only to Parent for the shares of Parent Common Stock pursuant to </w:t>
      </w:r>
      <w:r>
        <w:rPr>
          <w:rFonts w:ascii="Arial" w:cs="Arial" w:eastAsia="Arial" w:hAnsi="Arial"/>
          <w:sz w:val="16"/>
          <w:szCs w:val="16"/>
          <w:b w:val="1"/>
          <w:bCs w:val="1"/>
          <w:color w:val="auto"/>
        </w:rPr>
        <w:t>Section</w:t>
      </w:r>
    </w:p>
    <w:p>
      <w:pPr>
        <w:spacing w:after="0" w:line="1" w:lineRule="exact"/>
        <w:rPr>
          <w:rFonts w:ascii="Arial" w:cs="Arial" w:eastAsia="Arial" w:hAnsi="Arial"/>
          <w:sz w:val="16"/>
          <w:szCs w:val="16"/>
          <w:color w:val="auto"/>
        </w:rPr>
      </w:pPr>
    </w:p>
    <w:p>
      <w:pPr>
        <w:ind w:left="420" w:right="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1.6(a), </w:t>
      </w:r>
      <w:r>
        <w:rPr>
          <w:rFonts w:ascii="Arial" w:cs="Arial" w:eastAsia="Arial" w:hAnsi="Arial"/>
          <w:sz w:val="18"/>
          <w:szCs w:val="18"/>
          <w:color w:val="auto"/>
        </w:rPr>
        <w:t>cash in lieu of any fractional shares pursuant to</w:t>
      </w:r>
      <w:r>
        <w:rPr>
          <w:rFonts w:ascii="Arial" w:cs="Arial" w:eastAsia="Arial" w:hAnsi="Arial"/>
          <w:sz w:val="18"/>
          <w:szCs w:val="18"/>
          <w:b w:val="1"/>
          <w:bCs w:val="1"/>
          <w:color w:val="auto"/>
        </w:rPr>
        <w:t xml:space="preserve"> 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Company Common Stock formerly represented thereby.</w:t>
      </w:r>
    </w:p>
    <w:p>
      <w:pPr>
        <w:spacing w:after="0" w:line="18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No Further Ownership Rights in Company Common Stock</w:t>
      </w:r>
      <w:r>
        <w:rPr>
          <w:rFonts w:ascii="Arial" w:cs="Arial" w:eastAsia="Arial" w:hAnsi="Arial"/>
          <w:sz w:val="18"/>
          <w:szCs w:val="18"/>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w:t>
      </w:r>
      <w:r>
        <w:rPr>
          <w:rFonts w:ascii="Arial" w:cs="Arial" w:eastAsia="Arial" w:hAnsi="Arial"/>
          <w:sz w:val="18"/>
          <w:szCs w:val="18"/>
          <w:b w:val="1"/>
          <w:bCs w:val="1"/>
          <w:color w:val="auto"/>
        </w:rPr>
        <w:t>1.7(d)</w:t>
      </w:r>
      <w:r>
        <w:rPr>
          <w:rFonts w:ascii="Arial" w:cs="Arial" w:eastAsia="Arial" w:hAnsi="Arial"/>
          <w:sz w:val="18"/>
          <w:szCs w:val="18"/>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Parent may, in its reasonable discretion and as a condition precedent to the issuance thereof, require the owner of such lost, stolen or</w:t>
      </w:r>
      <w:r>
        <w:rPr>
          <w:rFonts w:ascii="Arial" w:cs="Arial" w:eastAsia="Arial" w:hAnsi="Arial"/>
          <w:sz w:val="16"/>
          <w:szCs w:val="16"/>
          <w:i w:val="1"/>
          <w:iCs w:val="1"/>
          <w:color w:val="auto"/>
        </w:rPr>
        <w:t xml:space="preserve"> </w:t>
      </w:r>
      <w:r>
        <w:rPr>
          <w:rFonts w:ascii="Arial" w:cs="Arial" w:eastAsia="Arial" w:hAnsi="Arial"/>
          <w:sz w:val="16"/>
          <w:szCs w:val="16"/>
          <w:color w:val="auto"/>
        </w:rPr>
        <w:t>destroyed Certificates to deliver a bond in such sum as it may reasonably direct as indemnity against any claim that may be made against Parent, the Company or the Exchange Agent with respect to the Certificates alleged to have been lost, stolen or destroyed.</w:t>
      </w:r>
    </w:p>
    <w:p>
      <w:pPr>
        <w:sectPr>
          <w:pgSz w:w="11900" w:h="16838" w:orient="portrait"/>
          <w:cols w:equalWidth="0" w:num="1">
            <w:col w:w="11400"/>
          </w:cols>
          <w:pgMar w:left="240" w:top="121" w:right="25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Organization; Standing and Power; Charter Documents; Subsidiaries</w:t>
      </w:r>
      <w:r>
        <w:rPr>
          <w:rFonts w:ascii="Arial" w:cs="Arial" w:eastAsia="Arial" w:hAnsi="Arial"/>
          <w:sz w:val="18"/>
          <w:szCs w:val="18"/>
          <w:color w:val="auto"/>
        </w:rPr>
        <w:t>.</w:t>
      </w:r>
    </w:p>
    <w:p>
      <w:pPr>
        <w:spacing w:after="0" w:line="225" w:lineRule="exact"/>
        <w:rPr>
          <w:sz w:val="20"/>
          <w:szCs w:val="20"/>
          <w:color w:val="auto"/>
        </w:rPr>
      </w:pPr>
    </w:p>
    <w:p>
      <w:pPr>
        <w:ind w:left="420" w:right="140" w:firstLine="1290"/>
        <w:spacing w:after="0" w:line="284" w:lineRule="auto"/>
        <w:tabs>
          <w:tab w:leader="none" w:pos="1954"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 Standing and Power</w:t>
      </w:r>
      <w:r>
        <w:rPr>
          <w:rFonts w:ascii="Arial" w:cs="Arial" w:eastAsia="Arial" w:hAnsi="Arial"/>
          <w:sz w:val="16"/>
          <w:szCs w:val="16"/>
          <w:color w:val="auto"/>
        </w:rPr>
        <w:t>. The Company and each of its Subsidiaries are each a corporation or other organization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organized, 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 or more Subsidiaries (i) directly or indirectly owns or controls securities or other interests representing more than 50% of the voting power of such Person or</w:t>
      </w:r>
    </w:p>
    <w:p>
      <w:pPr>
        <w:spacing w:after="0" w:line="2" w:lineRule="exact"/>
        <w:rPr>
          <w:rFonts w:ascii="Arial" w:cs="Arial" w:eastAsia="Arial" w:hAnsi="Arial"/>
          <w:sz w:val="16"/>
          <w:szCs w:val="16"/>
          <w:color w:val="auto"/>
        </w:rPr>
      </w:pPr>
    </w:p>
    <w:p>
      <w:pPr>
        <w:jc w:val="both"/>
        <w:ind w:left="420" w:right="600" w:hanging="7"/>
        <w:spacing w:after="0" w:line="255"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0" w:lineRule="exact"/>
        <w:rPr>
          <w:rFonts w:ascii="Arial" w:cs="Arial" w:eastAsia="Arial" w:hAnsi="Arial"/>
          <w:sz w:val="18"/>
          <w:szCs w:val="18"/>
          <w:color w:val="auto"/>
        </w:rPr>
      </w:pPr>
    </w:p>
    <w:p>
      <w:pPr>
        <w:ind w:left="420" w:right="40" w:firstLine="1290"/>
        <w:spacing w:after="0" w:line="255" w:lineRule="auto"/>
        <w:tabs>
          <w:tab w:leader="none" w:pos="196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The Company has Made Available to Parent a true and correct copy of (i) the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of 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firstLine="1290"/>
        <w:spacing w:after="0" w:line="255" w:lineRule="auto"/>
        <w:tabs>
          <w:tab w:leader="none" w:pos="195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1940" w:hanging="230"/>
        <w:spacing w:after="0"/>
        <w:tabs>
          <w:tab w:leader="none" w:pos="1940" w:val="left"/>
        </w:tabs>
        <w:numPr>
          <w:ilvl w:val="1"/>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The authorized capital stock of the Company consists of: (i) 200,000,000 shares of Company Common Stock and</w:t>
      </w:r>
    </w:p>
    <w:p>
      <w:pPr>
        <w:spacing w:after="0" w:line="46" w:lineRule="exact"/>
        <w:rPr>
          <w:rFonts w:ascii="Arial" w:cs="Arial" w:eastAsia="Arial" w:hAnsi="Arial"/>
          <w:sz w:val="16"/>
          <w:szCs w:val="16"/>
          <w:color w:val="auto"/>
        </w:rPr>
      </w:pPr>
    </w:p>
    <w:p>
      <w:pPr>
        <w:ind w:left="420" w:right="100" w:hanging="7"/>
        <w:spacing w:after="0" w:line="290"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64" w:lineRule="exact"/>
        <w:rPr>
          <w:rFonts w:ascii="Arial" w:cs="Arial" w:eastAsia="Arial" w:hAnsi="Arial"/>
          <w:sz w:val="16"/>
          <w:szCs w:val="16"/>
          <w:color w:val="auto"/>
        </w:rPr>
      </w:pPr>
    </w:p>
    <w:p>
      <w:pPr>
        <w:ind w:left="420" w:right="80" w:firstLine="1290"/>
        <w:spacing w:after="0" w:line="286" w:lineRule="auto"/>
        <w:tabs>
          <w:tab w:leader="none" w:pos="1964"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Company Options</w:t>
      </w:r>
      <w:r>
        <w:rPr>
          <w:rFonts w:ascii="Arial" w:cs="Arial" w:eastAsia="Arial" w:hAnsi="Arial"/>
          <w:sz w:val="16"/>
          <w:szCs w:val="16"/>
          <w:color w:val="auto"/>
        </w:rPr>
        <w:t>. As of the close of business on March 2, 2006: (i) 20,070,455 shares of Company Common Stock are issuable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exercise of outstanding options to purchase Company Common Stock under the Company’s 2000 Equity Incentive Plan and the Company’s 1996 Stock Option/Stock Issuance Plan (collectively, the “</w:t>
      </w:r>
      <w:r>
        <w:rPr>
          <w:rFonts w:ascii="Arial" w:cs="Arial" w:eastAsia="Arial" w:hAnsi="Arial"/>
          <w:sz w:val="16"/>
          <w:szCs w:val="16"/>
          <w:b w:val="1"/>
          <w:bCs w:val="1"/>
          <w:color w:val="auto"/>
        </w:rPr>
        <w:t>Option Plans</w:t>
      </w:r>
      <w:r>
        <w:rPr>
          <w:rFonts w:ascii="Arial" w:cs="Arial" w:eastAsia="Arial" w:hAnsi="Arial"/>
          <w:sz w:val="16"/>
          <w:szCs w:val="16"/>
          <w:color w:val="auto"/>
        </w:rPr>
        <w:t>”) (such options, whether payable in cash, shares or otherwise granted under or pursuant to the Option Plans are referred to in this Agreement as “</w:t>
      </w:r>
      <w:r>
        <w:rPr>
          <w:rFonts w:ascii="Arial" w:cs="Arial" w:eastAsia="Arial" w:hAnsi="Arial"/>
          <w:sz w:val="16"/>
          <w:szCs w:val="16"/>
          <w:b w:val="1"/>
          <w:bCs w:val="1"/>
          <w:color w:val="auto"/>
        </w:rPr>
        <w:t>Company Options</w:t>
      </w:r>
      <w:r>
        <w:rPr>
          <w:rFonts w:ascii="Arial" w:cs="Arial" w:eastAsia="Arial" w:hAnsi="Arial"/>
          <w:sz w:val="16"/>
          <w:szCs w:val="16"/>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6"/>
          <w:szCs w:val="16"/>
          <w:b w:val="1"/>
          <w:bCs w:val="1"/>
          <w:color w:val="auto"/>
        </w:rPr>
        <w:t>ESPP</w:t>
      </w:r>
      <w:r>
        <w:rPr>
          <w:rFonts w:ascii="Arial" w:cs="Arial" w:eastAsia="Arial" w:hAnsi="Arial"/>
          <w:sz w:val="16"/>
          <w:szCs w:val="16"/>
          <w:color w:val="auto"/>
        </w:rPr>
        <w:t xml:space="preserve">”); and (iv) there are no shares of Company Common Stock issuable upon the exercise of outstanding options to purchase Company Common Stock that 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 (a) 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w:t>
      </w:r>
    </w:p>
    <w:p>
      <w:pPr>
        <w:sectPr>
          <w:pgSz w:w="11900" w:h="16838" w:orient="portrait"/>
          <w:cols w:equalWidth="0" w:num="1">
            <w:col w:w="11420"/>
          </w:cols>
          <w:pgMar w:left="240" w:top="125"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11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to which such Company Option is vested and exercisable as of the date hereof; (h) 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5"/>
          <w:szCs w:val="15"/>
          <w:b w:val="1"/>
          <w:bCs w:val="1"/>
          <w:color w:val="auto"/>
        </w:rPr>
        <w:t>Section</w:t>
      </w:r>
    </w:p>
    <w:p>
      <w:pPr>
        <w:ind w:right="200"/>
        <w:spacing w:after="0" w:line="288" w:lineRule="auto"/>
        <w:rPr>
          <w:sz w:val="20"/>
          <w:szCs w:val="20"/>
          <w:color w:val="auto"/>
        </w:rPr>
      </w:pPr>
      <w:r>
        <w:rPr>
          <w:rFonts w:ascii="Arial" w:cs="Arial" w:eastAsia="Arial" w:hAnsi="Arial"/>
          <w:sz w:val="16"/>
          <w:szCs w:val="16"/>
          <w:b w:val="1"/>
          <w:bCs w:val="1"/>
          <w:color w:val="auto"/>
        </w:rPr>
        <w:t xml:space="preserve">2.2(b)(ii) </w:t>
      </w:r>
      <w:r>
        <w:rPr>
          <w:rFonts w:ascii="Arial" w:cs="Arial" w:eastAsia="Arial" w:hAnsi="Arial"/>
          <w:sz w:val="16"/>
          <w:szCs w:val="16"/>
          <w:color w:val="auto"/>
        </w:rPr>
        <w:t>of the Company Disclosure Schedule, there are no commitments or agreements of any character to which the Company is bound obligating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5" w:lineRule="exact"/>
        <w:rPr>
          <w:sz w:val="20"/>
          <w:szCs w:val="20"/>
          <w:color w:val="auto"/>
        </w:rPr>
      </w:pPr>
    </w:p>
    <w:p>
      <w:pPr>
        <w:ind w:left="20" w:right="80" w:firstLine="1290"/>
        <w:spacing w:after="0" w:line="289" w:lineRule="auto"/>
        <w:tabs>
          <w:tab w:leader="none" w:pos="1554"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Voting Debt</w:t>
      </w:r>
      <w:r>
        <w:rPr>
          <w:rFonts w:ascii="Arial" w:cs="Arial" w:eastAsia="Arial" w:hAnsi="Arial"/>
          <w:sz w:val="17"/>
          <w:szCs w:val="17"/>
          <w:color w:val="auto"/>
        </w:rPr>
        <w:t>. Except as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2.2(c)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no bonds, debentures, notes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indebtedness of 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7"/>
          <w:szCs w:val="17"/>
          <w:b w:val="1"/>
          <w:bCs w:val="1"/>
          <w:color w:val="auto"/>
        </w:rPr>
        <w:t>Voting Debt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0" w:right="20" w:firstLine="1290"/>
        <w:spacing w:after="0" w:line="286" w:lineRule="auto"/>
        <w:tabs>
          <w:tab w:leader="none" w:pos="1564"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as of 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 or voting interests in, the Company or any of its Significant Subsidiaries to which the Company or any of its Subsidiaries is a party or by which any of them are bound.</w:t>
      </w:r>
    </w:p>
    <w:p>
      <w:pPr>
        <w:spacing w:after="0" w:line="17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60" w:firstLine="1290"/>
        <w:spacing w:after="0" w:line="288" w:lineRule="auto"/>
        <w:tabs>
          <w:tab w:leader="none" w:pos="1554"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No Changes</w:t>
      </w:r>
      <w:r>
        <w:rPr>
          <w:rFonts w:ascii="Arial" w:cs="Arial" w:eastAsia="Arial" w:hAnsi="Arial"/>
          <w:sz w:val="16"/>
          <w:szCs w:val="16"/>
          <w:color w:val="auto"/>
        </w:rPr>
        <w:t>. Since the close of business on March 2, 2006 and through the date hereof, other than (i) pursuant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w:t>
      </w:r>
    </w:p>
    <w:p>
      <w:pPr>
        <w:ind w:left="20" w:right="40" w:hanging="7"/>
        <w:spacing w:after="0" w:line="255"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68" w:lineRule="auto"/>
        <w:tabs>
          <w:tab w:leader="none" w:pos="1554"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Authority</w:t>
      </w:r>
      <w:r>
        <w:rPr>
          <w:rFonts w:ascii="Arial" w:cs="Arial" w:eastAsia="Arial" w:hAnsi="Arial"/>
          <w:sz w:val="17"/>
          <w:szCs w:val="17"/>
          <w:color w:val="auto"/>
        </w:rPr>
        <w:t>. The Company has all requisite corporate power and authority to enter into this Agreement and to consummate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in the case of consummation of the Merger, to obtaining the adoption of this Agreement by the Company’s stockholders as contemplated in </w:t>
      </w:r>
      <w:r>
        <w:rPr>
          <w:rFonts w:ascii="Arial" w:cs="Arial" w:eastAsia="Arial" w:hAnsi="Arial"/>
          <w:sz w:val="17"/>
          <w:szCs w:val="17"/>
          <w:b w:val="1"/>
          <w:bCs w:val="1"/>
          <w:color w:val="auto"/>
        </w:rPr>
        <w:t>Section 5.2</w:t>
      </w:r>
      <w:r>
        <w:rPr>
          <w:rFonts w:ascii="Arial" w:cs="Arial" w:eastAsia="Arial" w:hAnsi="Arial"/>
          <w:sz w:val="17"/>
          <w:szCs w:val="17"/>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only to the adoption of this Agreement by the Company’s stockholders as contemplated by </w:t>
      </w:r>
      <w:r>
        <w:rPr>
          <w:rFonts w:ascii="Arial" w:cs="Arial" w:eastAsia="Arial" w:hAnsi="Arial"/>
          <w:sz w:val="17"/>
          <w:szCs w:val="17"/>
          <w:b w:val="1"/>
          <w:bCs w:val="1"/>
          <w:color w:val="auto"/>
        </w:rPr>
        <w:t xml:space="preserve">Section 5.2 </w:t>
      </w:r>
      <w:r>
        <w:rPr>
          <w:rFonts w:ascii="Arial" w:cs="Arial" w:eastAsia="Arial" w:hAnsi="Arial"/>
          <w:sz w:val="17"/>
          <w:szCs w:val="17"/>
          <w:color w:val="auto"/>
        </w:rPr>
        <w:t>and the filing of the Certificate of Merger pursuant to Delaware Law. The affirmative vote of the holders of a majority of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87" w:lineRule="exact"/>
        <w:rPr>
          <w:rFonts w:ascii="Arial" w:cs="Arial" w:eastAsia="Arial" w:hAnsi="Arial"/>
          <w:sz w:val="17"/>
          <w:szCs w:val="17"/>
          <w:color w:val="auto"/>
        </w:rPr>
      </w:pPr>
    </w:p>
    <w:p>
      <w:pPr>
        <w:ind w:left="20" w:right="20" w:firstLine="1290"/>
        <w:spacing w:after="0" w:line="297" w:lineRule="auto"/>
        <w:tabs>
          <w:tab w:leader="none" w:pos="15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58" w:lineRule="exact"/>
        <w:rPr>
          <w:rFonts w:ascii="Arial" w:cs="Arial" w:eastAsia="Arial" w:hAnsi="Arial"/>
          <w:sz w:val="16"/>
          <w:szCs w:val="16"/>
          <w:color w:val="auto"/>
        </w:rPr>
      </w:pPr>
    </w:p>
    <w:p>
      <w:pPr>
        <w:ind w:left="20" w:right="580" w:firstLine="1290"/>
        <w:spacing w:after="0" w:line="342" w:lineRule="auto"/>
        <w:tabs>
          <w:tab w:leader="none" w:pos="1554"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No Conflict</w:t>
      </w:r>
      <w:r>
        <w:rPr>
          <w:rFonts w:ascii="Arial" w:cs="Arial" w:eastAsia="Arial" w:hAnsi="Arial"/>
          <w:sz w:val="16"/>
          <w:szCs w:val="16"/>
          <w:color w:val="auto"/>
        </w:rPr>
        <w:t>. The execution and delivery by the Company of this Agreement and the consummation of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will not (i) conflict with or violate any provision of the</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w:t>
      </w:r>
    </w:p>
    <w:p>
      <w:pPr>
        <w:sectPr>
          <w:pgSz w:w="11900" w:h="16952" w:orient="portrait"/>
          <w:cols w:equalWidth="0" w:num="1">
            <w:col w:w="11020"/>
          </w:cols>
          <w:pgMar w:left="640" w:top="584" w:right="239" w:bottom="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 xml:space="preserve">of their respective properties or assets (whether tangible or intangible) is bound or affected, except for such conflicts or violations that would not 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2" w:lineRule="exact"/>
        <w:rPr>
          <w:sz w:val="20"/>
          <w:szCs w:val="20"/>
          <w:color w:val="auto"/>
        </w:rPr>
      </w:pPr>
    </w:p>
    <w:p>
      <w:pPr>
        <w:ind w:left="20" w:right="100" w:firstLine="1290"/>
        <w:spacing w:after="0" w:line="287" w:lineRule="auto"/>
        <w:tabs>
          <w:tab w:leader="none" w:pos="1564"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Necessary Consents</w:t>
      </w:r>
      <w:r>
        <w:rPr>
          <w:rFonts w:ascii="Arial" w:cs="Arial" w:eastAsia="Arial" w:hAnsi="Arial"/>
          <w:sz w:val="16"/>
          <w:szCs w:val="16"/>
          <w:color w:val="auto"/>
        </w:rPr>
        <w:t>. No consent, waiver, approval, order or authorization of, or registration, declaration or filing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supranational, 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 ”</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 (iii) the filing of the Notification and Report Forms with the United States Federal Trade Commission (“</w:t>
      </w:r>
      <w:r>
        <w:rPr>
          <w:rFonts w:ascii="Arial" w:cs="Arial" w:eastAsia="Arial" w:hAnsi="Arial"/>
          <w:sz w:val="16"/>
          <w:szCs w:val="16"/>
          <w:b w:val="1"/>
          <w:bCs w:val="1"/>
          <w:color w:val="auto"/>
        </w:rPr>
        <w:t>FTC</w:t>
      </w:r>
      <w:r>
        <w:rPr>
          <w:rFonts w:ascii="Arial" w:cs="Arial" w:eastAsia="Arial" w:hAnsi="Arial"/>
          <w:sz w:val="16"/>
          <w:szCs w:val="16"/>
          <w:color w:val="auto"/>
        </w:rPr>
        <w:t>”) and the Antitrust Division of the United States Department of Justice (“</w:t>
      </w:r>
      <w:r>
        <w:rPr>
          <w:rFonts w:ascii="Arial" w:cs="Arial" w:eastAsia="Arial" w:hAnsi="Arial"/>
          <w:sz w:val="16"/>
          <w:szCs w:val="16"/>
          <w:b w:val="1"/>
          <w:bCs w:val="1"/>
          <w:color w:val="auto"/>
        </w:rPr>
        <w:t>DOJ</w:t>
      </w:r>
      <w:r>
        <w:rPr>
          <w:rFonts w:ascii="Arial" w:cs="Arial" w:eastAsia="Arial" w:hAnsi="Arial"/>
          <w:sz w:val="16"/>
          <w:szCs w:val="16"/>
          <w:color w:val="auto"/>
        </w:rPr>
        <w:t>”) required by the Hart-Scott-Rodino Antitrust</w:t>
      </w:r>
    </w:p>
    <w:p>
      <w:pPr>
        <w:spacing w:after="0" w:line="17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Improvements Act of 1976, as amended (“</w:t>
      </w:r>
      <w:r>
        <w:rPr>
          <w:rFonts w:ascii="Arial" w:cs="Arial" w:eastAsia="Arial" w:hAnsi="Arial"/>
          <w:sz w:val="16"/>
          <w:szCs w:val="16"/>
          <w:b w:val="1"/>
          <w:bCs w:val="1"/>
          <w:color w:val="auto"/>
        </w:rPr>
        <w:t>HSR Act</w:t>
      </w:r>
      <w:r>
        <w:rPr>
          <w:rFonts w:ascii="Arial" w:cs="Arial" w:eastAsia="Arial" w:hAnsi="Arial"/>
          <w:sz w:val="16"/>
          <w:szCs w:val="16"/>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6"/>
          <w:szCs w:val="16"/>
          <w:b w:val="1"/>
          <w:bCs w:val="1"/>
          <w:color w:val="auto"/>
        </w:rPr>
        <w:t>Section 2.3(d)</w:t>
      </w:r>
      <w:r>
        <w:rPr>
          <w:rFonts w:ascii="Arial" w:cs="Arial" w:eastAsia="Arial" w:hAnsi="Arial"/>
          <w:sz w:val="16"/>
          <w:szCs w:val="16"/>
          <w:color w:val="auto"/>
        </w:rPr>
        <w:t xml:space="preserve"> of the Company Disclosure Schedule, (iv) approval of the Company’s stockholders as contemplated in </w:t>
      </w:r>
      <w:r>
        <w:rPr>
          <w:rFonts w:ascii="Arial" w:cs="Arial" w:eastAsia="Arial" w:hAnsi="Arial"/>
          <w:sz w:val="16"/>
          <w:szCs w:val="16"/>
          <w:b w:val="1"/>
          <w:bCs w:val="1"/>
          <w:color w:val="auto"/>
        </w:rPr>
        <w:t>Section</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5.2</w:t>
      </w:r>
      <w:r>
        <w:rPr>
          <w:rFonts w:ascii="Arial" w:cs="Arial" w:eastAsia="Arial" w:hAnsi="Arial"/>
          <w:sz w:val="17"/>
          <w:szCs w:val="17"/>
          <w:color w:val="auto"/>
        </w:rPr>
        <w:t>, (v) such other filings and notifications as may be required to be made by the Company under federal, state or foreign securities laws or the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7"/>
          <w:szCs w:val="17"/>
          <w:b w:val="1"/>
          <w:bCs w:val="1"/>
          <w:color w:val="auto"/>
        </w:rPr>
        <w:t>Necessary Consents</w:t>
      </w:r>
      <w:r>
        <w:rPr>
          <w:rFonts w:ascii="Arial" w:cs="Arial" w:eastAsia="Arial" w:hAnsi="Arial"/>
          <w:sz w:val="17"/>
          <w:szCs w:val="17"/>
          <w:color w:val="auto"/>
        </w:rPr>
        <w: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i w:val="1"/>
          <w:iCs w:val="1"/>
          <w:color w:val="auto"/>
        </w:rPr>
        <w:t>SEC Filings;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85" w:lineRule="auto"/>
        <w:tabs>
          <w:tab w:leader="none" w:pos="1554"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The Company has timely filed all required registration statements, prospectuses, reports, schedules, 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and 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 Reports</w:t>
      </w:r>
      <w:r>
        <w:rPr>
          <w:rFonts w:ascii="Arial" w:cs="Arial" w:eastAsia="Arial" w:hAnsi="Arial"/>
          <w:sz w:val="16"/>
          <w:szCs w:val="16"/>
          <w:color w:val="auto"/>
        </w:rPr>
        <w:t>.” As of their respective dates, the Company SEC Reports (i) were prepared in accordance with, and complied in all material respects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w:t>
      </w:r>
    </w:p>
    <w:p>
      <w:pPr>
        <w:spacing w:after="0" w:line="38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7" w:lineRule="exact"/>
        <w:rPr>
          <w:sz w:val="20"/>
          <w:szCs w:val="20"/>
          <w:color w:val="auto"/>
        </w:rPr>
      </w:pPr>
    </w:p>
    <w:p>
      <w:pPr>
        <w:jc w:val="both"/>
        <w:ind w:left="20" w:right="80" w:firstLine="1290"/>
        <w:spacing w:after="0" w:line="286" w:lineRule="auto"/>
        <w:tabs>
          <w:tab w:leader="none" w:pos="1564"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Each of the consolidated financial statements (including, in each case, any related notes thereto)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 SEC Reports and the consolidated statement of operations, consolidated statement of cash flows and consolidated balance sheet for the year ended, and as of, December 31, 2005 (the “</w:t>
      </w:r>
      <w:r>
        <w:rPr>
          <w:rFonts w:ascii="Arial" w:cs="Arial" w:eastAsia="Arial" w:hAnsi="Arial"/>
          <w:sz w:val="16"/>
          <w:szCs w:val="16"/>
          <w:b w:val="1"/>
          <w:bCs w:val="1"/>
          <w:color w:val="auto"/>
        </w:rPr>
        <w:t>Company Financials</w:t>
      </w:r>
      <w:r>
        <w:rPr>
          <w:rFonts w:ascii="Arial" w:cs="Arial" w:eastAsia="Arial" w:hAnsi="Arial"/>
          <w:sz w:val="16"/>
          <w:szCs w:val="16"/>
          <w:color w:val="auto"/>
        </w:rPr>
        <w:t>”) Made Available to Parent, including each Company SEC Report filed after the date hereof until the Closing: (i) complied as to form in all material respects with the published rules and regulations of the SEC with respect thereto,</w:t>
      </w:r>
    </w:p>
    <w:p>
      <w:pPr>
        <w:spacing w:after="0" w:line="1" w:lineRule="exact"/>
        <w:rPr>
          <w:rFonts w:ascii="Arial" w:cs="Arial" w:eastAsia="Arial" w:hAnsi="Arial"/>
          <w:sz w:val="16"/>
          <w:szCs w:val="16"/>
          <w:color w:val="auto"/>
        </w:rPr>
      </w:pPr>
    </w:p>
    <w:p>
      <w:pPr>
        <w:ind w:left="280" w:hanging="267"/>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was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w:t>
      </w:r>
    </w:p>
    <w:p>
      <w:pPr>
        <w:sectPr>
          <w:pgSz w:w="11900" w:h="16838" w:orient="portrait"/>
          <w:cols w:equalWidth="0" w:num="1">
            <w:col w:w="11000"/>
          </w:cols>
          <w:pgMar w:left="640" w:top="125" w:right="259" w:bottom="0" w:gutter="0" w:footer="0" w:header="0"/>
        </w:sectPr>
      </w:pPr>
    </w:p>
    <w:bookmarkStart w:id="13" w:name="page14"/>
    <w:bookmarkEnd w:id="13"/>
    <w:p>
      <w:pPr>
        <w:spacing w:after="0" w:line="87" w:lineRule="exact"/>
        <w:rPr>
          <w:sz w:val="20"/>
          <w:szCs w:val="20"/>
          <w:color w:val="auto"/>
        </w:rPr>
      </w:pPr>
    </w:p>
    <w:p>
      <w:pPr>
        <w:ind w:left="420"/>
        <w:spacing w:after="0" w:line="285" w:lineRule="auto"/>
        <w:rPr>
          <w:sz w:val="20"/>
          <w:szCs w:val="20"/>
          <w:color w:val="auto"/>
        </w:rPr>
      </w:pPr>
      <w:r>
        <w:rPr>
          <w:rFonts w:ascii="Arial" w:cs="Arial" w:eastAsia="Arial" w:hAnsi="Arial"/>
          <w:sz w:val="16"/>
          <w:szCs w:val="16"/>
          <w:color w:val="auto"/>
        </w:rPr>
        <w:t>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the Company and its consolidated Subsidiaries as at the respective dates thereof and the consolidated results of the Company’s operations and cash flows for the periods indicated (subject, 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6"/>
          <w:szCs w:val="16"/>
          <w:b w:val="1"/>
          <w:bCs w:val="1"/>
          <w:color w:val="auto"/>
        </w:rPr>
        <w:t>Company Balance Sheet</w:t>
      </w:r>
      <w:r>
        <w:rPr>
          <w:rFonts w:ascii="Arial" w:cs="Arial" w:eastAsia="Arial" w:hAnsi="Arial"/>
          <w:sz w:val="16"/>
          <w:szCs w:val="16"/>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 (iii) 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5" w:lineRule="exact"/>
        <w:rPr>
          <w:sz w:val="20"/>
          <w:szCs w:val="20"/>
          <w:color w:val="auto"/>
        </w:rPr>
      </w:pPr>
    </w:p>
    <w:p>
      <w:pPr>
        <w:ind w:left="420" w:right="160" w:firstLine="1290"/>
        <w:spacing w:after="0" w:line="308" w:lineRule="auto"/>
        <w:tabs>
          <w:tab w:leader="none" w:pos="1954"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Internal Controls</w:t>
      </w:r>
      <w:r>
        <w:rPr>
          <w:rFonts w:ascii="Arial" w:cs="Arial" w:eastAsia="Arial" w:hAnsi="Arial"/>
          <w:sz w:val="17"/>
          <w:szCs w:val="17"/>
          <w:color w:val="auto"/>
        </w:rPr>
        <w:t>. The Company has established and maintains a system of internal controls over financial reporting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Rules 13a-15(f) or 15d-15(f) of the Exchange Act designed to provide reasonable assurances regarding the reliability of financial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5" w:lineRule="auto"/>
        <w:rPr>
          <w:sz w:val="20"/>
          <w:szCs w:val="20"/>
          <w:color w:val="auto"/>
        </w:rPr>
      </w:pPr>
      <w:r>
        <w:rPr>
          <w:rFonts w:ascii="Arial" w:cs="Arial" w:eastAsia="Arial" w:hAnsi="Arial"/>
          <w:sz w:val="16"/>
          <w:szCs w:val="16"/>
          <w:color w:val="auto"/>
        </w:rPr>
        <w:t>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78" w:lineRule="exact"/>
        <w:rPr>
          <w:sz w:val="20"/>
          <w:szCs w:val="20"/>
          <w:color w:val="auto"/>
        </w:rPr>
      </w:pPr>
    </w:p>
    <w:p>
      <w:pPr>
        <w:ind w:left="420" w:right="60" w:firstLine="1290"/>
        <w:spacing w:after="0" w:line="257" w:lineRule="auto"/>
        <w:tabs>
          <w:tab w:leader="none" w:pos="1964"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Disclosure Controls</w:t>
      </w:r>
      <w:r>
        <w:rPr>
          <w:rFonts w:ascii="Arial" w:cs="Arial" w:eastAsia="Arial" w:hAnsi="Arial"/>
          <w:sz w:val="18"/>
          <w:szCs w:val="18"/>
          <w:color w:val="auto"/>
        </w:rPr>
        <w:t>. The Company has established and maintains disclosure controls and procedures required by Rules 13a-15(e)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15d-15(e) of the Exchange Act to ensure that all material information relating to the Company and its Subsidiaries required to be disclosed by the 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88" w:lineRule="exact"/>
        <w:rPr>
          <w:rFonts w:ascii="Arial" w:cs="Arial" w:eastAsia="Arial" w:hAnsi="Arial"/>
          <w:sz w:val="18"/>
          <w:szCs w:val="18"/>
          <w:color w:val="auto"/>
        </w:rPr>
      </w:pPr>
    </w:p>
    <w:p>
      <w:pPr>
        <w:ind w:left="420" w:right="80" w:firstLine="1290"/>
        <w:spacing w:after="0" w:line="272" w:lineRule="auto"/>
        <w:tabs>
          <w:tab w:leader="none" w:pos="1954"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Other Controls and Procedures</w:t>
      </w:r>
      <w:r>
        <w:rPr>
          <w:rFonts w:ascii="Arial" w:cs="Arial" w:eastAsia="Arial" w:hAnsi="Arial"/>
          <w:sz w:val="17"/>
          <w:szCs w:val="17"/>
          <w:color w:val="auto"/>
        </w:rPr>
        <w:t>. The Company has established and maintains a system of controls and procedures sufficient to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72" w:lineRule="auto"/>
        <w:tabs>
          <w:tab w:leader="none" w:pos="1973"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All indebtedness other than equipment financings and leases (i) with respect to which a UCC-1 Financing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filed on which the Company or any of its Subsidiaries is listed as a debtor, and regarding which a UCC-3 Termination Statement has not been filed (“</w:t>
      </w:r>
      <w:r>
        <w:rPr>
          <w:rFonts w:ascii="Arial" w:cs="Arial" w:eastAsia="Arial" w:hAnsi="Arial"/>
          <w:sz w:val="17"/>
          <w:szCs w:val="17"/>
          <w:b w:val="1"/>
          <w:bCs w:val="1"/>
          <w:color w:val="auto"/>
        </w:rPr>
        <w:t>Un-rescinded UCC-1</w:t>
      </w:r>
      <w:r>
        <w:rPr>
          <w:rFonts w:ascii="Arial" w:cs="Arial" w:eastAsia="Arial" w:hAnsi="Arial"/>
          <w:sz w:val="17"/>
          <w:szCs w:val="17"/>
          <w:color w:val="auto"/>
        </w:rPr>
        <w:t>”), or (ii) with respect to which a notice of security interest covering any of the Company’s patents or patent applications has been 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7"/>
          <w:szCs w:val="17"/>
          <w:b w:val="1"/>
          <w:bCs w:val="1"/>
          <w:color w:val="auto"/>
        </w:rPr>
        <w:t>Indebtedness</w:t>
      </w:r>
      <w:r>
        <w:rPr>
          <w:rFonts w:ascii="Arial" w:cs="Arial" w:eastAsia="Arial" w:hAnsi="Arial"/>
          <w:sz w:val="17"/>
          <w:szCs w:val="17"/>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Absence of Certain Changes or Events</w:t>
      </w:r>
      <w:r>
        <w:rPr>
          <w:rFonts w:ascii="Arial" w:cs="Arial" w:eastAsia="Arial" w:hAnsi="Arial"/>
          <w:sz w:val="16"/>
          <w:szCs w:val="16"/>
          <w:color w:val="auto"/>
        </w:rPr>
        <w:t>. Since the date of the Company Balance Sheet through the date hereof, there has not been, accrued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arisen:</w:t>
      </w:r>
    </w:p>
    <w:p>
      <w:pPr>
        <w:spacing w:after="0" w:line="211" w:lineRule="exact"/>
        <w:rPr>
          <w:sz w:val="20"/>
          <w:szCs w:val="20"/>
          <w:color w:val="auto"/>
        </w:rPr>
      </w:pPr>
    </w:p>
    <w:p>
      <w:pPr>
        <w:ind w:left="1940" w:hanging="230"/>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420" w:right="100" w:firstLine="1290"/>
        <w:spacing w:after="0" w:line="312" w:lineRule="auto"/>
        <w:tabs>
          <w:tab w:leader="none" w:pos="19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w:t>
      </w:r>
    </w:p>
    <w:p>
      <w:pPr>
        <w:sectPr>
          <w:pgSz w:w="11900" w:h="16925" w:orient="portrait"/>
          <w:cols w:equalWidth="0" w:num="1">
            <w:col w:w="11400"/>
          </w:cols>
          <w:pgMar w:left="240" w:top="125" w:right="259" w:bottom="0" w:gutter="0" w:footer="0" w:header="0"/>
        </w:sectPr>
      </w:pPr>
    </w:p>
    <w:bookmarkStart w:id="14" w:name="page15"/>
    <w:bookmarkEnd w:id="14"/>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to acquire all or substantially all of the assets of a business for consideration in excess of $250,000 or any equity securities, or any solicitation of, or participation in, any negotiations with respect to any of the foregoing;</w:t>
      </w:r>
    </w:p>
    <w:p>
      <w:pPr>
        <w:spacing w:after="0" w:line="170" w:lineRule="exact"/>
        <w:rPr>
          <w:sz w:val="20"/>
          <w:szCs w:val="20"/>
          <w:color w:val="auto"/>
        </w:rPr>
      </w:pPr>
    </w:p>
    <w:p>
      <w:pPr>
        <w:jc w:val="both"/>
        <w:ind w:right="20" w:firstLine="1290"/>
        <w:spacing w:after="0" w:line="259" w:lineRule="auto"/>
        <w:tabs>
          <w:tab w:leader="none" w:pos="15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86" w:lineRule="exact"/>
        <w:rPr>
          <w:rFonts w:ascii="Arial" w:cs="Arial" w:eastAsia="Arial" w:hAnsi="Arial"/>
          <w:sz w:val="18"/>
          <w:szCs w:val="18"/>
          <w:color w:val="auto"/>
        </w:rPr>
      </w:pPr>
    </w:p>
    <w:p>
      <w:pPr>
        <w:ind w:right="120" w:firstLine="1290"/>
        <w:spacing w:after="0" w:line="255" w:lineRule="auto"/>
        <w:tabs>
          <w:tab w:leader="none" w:pos="15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93" w:lineRule="exact"/>
        <w:rPr>
          <w:rFonts w:ascii="Arial" w:cs="Arial" w:eastAsia="Arial" w:hAnsi="Arial"/>
          <w:sz w:val="18"/>
          <w:szCs w:val="18"/>
          <w:color w:val="auto"/>
        </w:rPr>
      </w:pPr>
    </w:p>
    <w:p>
      <w:pPr>
        <w:ind w:left="1520" w:hanging="230"/>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1290"/>
        <w:spacing w:after="0" w:line="259" w:lineRule="auto"/>
        <w:tabs>
          <w:tab w:leader="none" w:pos="15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86" w:lineRule="exact"/>
        <w:rPr>
          <w:rFonts w:ascii="Arial" w:cs="Arial" w:eastAsia="Arial" w:hAnsi="Arial"/>
          <w:sz w:val="18"/>
          <w:szCs w:val="18"/>
          <w:color w:val="auto"/>
        </w:rPr>
      </w:pPr>
    </w:p>
    <w:p>
      <w:pPr>
        <w:ind w:right="160" w:firstLine="1290"/>
        <w:spacing w:after="0" w:line="257" w:lineRule="auto"/>
        <w:tabs>
          <w:tab w:leader="none" w:pos="15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88" w:lineRule="exact"/>
        <w:rPr>
          <w:rFonts w:ascii="Arial" w:cs="Arial" w:eastAsia="Arial" w:hAnsi="Arial"/>
          <w:sz w:val="18"/>
          <w:szCs w:val="18"/>
          <w:color w:val="auto"/>
        </w:rPr>
      </w:pPr>
    </w:p>
    <w:p>
      <w:pPr>
        <w:ind w:left="1540" w:hanging="250"/>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right="180" w:firstLine="1290"/>
        <w:spacing w:after="0" w:line="302" w:lineRule="auto"/>
        <w:tabs>
          <w:tab w:leader="none" w:pos="1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54" w:lineRule="exact"/>
        <w:rPr>
          <w:rFonts w:ascii="Arial" w:cs="Arial" w:eastAsia="Arial" w:hAnsi="Arial"/>
          <w:sz w:val="16"/>
          <w:szCs w:val="16"/>
          <w:color w:val="auto"/>
        </w:rPr>
      </w:pPr>
    </w:p>
    <w:p>
      <w:pPr>
        <w:ind w:left="1540" w:hanging="250"/>
        <w:spacing w:after="0"/>
        <w:tabs>
          <w:tab w:leader="none" w:pos="1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GAAP;</w:t>
      </w:r>
    </w:p>
    <w:p>
      <w:pPr>
        <w:spacing w:after="0" w:line="210" w:lineRule="exact"/>
        <w:rPr>
          <w:rFonts w:ascii="Arial" w:cs="Arial" w:eastAsia="Arial" w:hAnsi="Arial"/>
          <w:sz w:val="16"/>
          <w:szCs w:val="16"/>
          <w:color w:val="auto"/>
        </w:rPr>
      </w:pPr>
    </w:p>
    <w:p>
      <w:pPr>
        <w:ind w:right="160" w:firstLine="1290"/>
        <w:spacing w:after="0" w:line="259" w:lineRule="auto"/>
        <w:tabs>
          <w:tab w:leader="none" w:pos="15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86" w:lineRule="exact"/>
        <w:rPr>
          <w:rFonts w:ascii="Arial" w:cs="Arial" w:eastAsia="Arial" w:hAnsi="Arial"/>
          <w:sz w:val="18"/>
          <w:szCs w:val="18"/>
          <w:color w:val="auto"/>
        </w:rPr>
      </w:pPr>
    </w:p>
    <w:p>
      <w:pPr>
        <w:ind w:right="80" w:firstLine="1290"/>
        <w:spacing w:after="0" w:line="277" w:lineRule="auto"/>
        <w:tabs>
          <w:tab w:leader="none" w:pos="15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ind w:right="300" w:firstLine="1290"/>
        <w:spacing w:after="0" w:line="277" w:lineRule="auto"/>
        <w:tabs>
          <w:tab w:leader="none" w:pos="16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70" w:lineRule="exact"/>
        <w:rPr>
          <w:rFonts w:ascii="Arial" w:cs="Arial" w:eastAsia="Arial" w:hAnsi="Arial"/>
          <w:sz w:val="18"/>
          <w:szCs w:val="18"/>
          <w:color w:val="auto"/>
        </w:rPr>
      </w:pPr>
    </w:p>
    <w:p>
      <w:pPr>
        <w:ind w:right="180" w:firstLine="1290"/>
        <w:spacing w:after="0" w:line="277" w:lineRule="auto"/>
        <w:tabs>
          <w:tab w:leader="none" w:pos="15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80" w:firstLine="1290"/>
        <w:spacing w:after="0" w:line="277" w:lineRule="auto"/>
        <w:tabs>
          <w:tab w:leader="none" w:pos="1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70" w:lineRule="exact"/>
        <w:rPr>
          <w:rFonts w:ascii="Arial" w:cs="Arial" w:eastAsia="Arial" w:hAnsi="Arial"/>
          <w:sz w:val="18"/>
          <w:szCs w:val="18"/>
          <w:color w:val="auto"/>
        </w:rPr>
      </w:pPr>
    </w:p>
    <w:p>
      <w:pPr>
        <w:ind w:right="140" w:firstLine="1290"/>
        <w:spacing w:after="0" w:line="255" w:lineRule="auto"/>
        <w:tabs>
          <w:tab w:leader="none" w:pos="1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 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93" w:lineRule="exact"/>
        <w:rPr>
          <w:rFonts w:ascii="Arial" w:cs="Arial" w:eastAsia="Arial" w:hAnsi="Arial"/>
          <w:sz w:val="18"/>
          <w:szCs w:val="18"/>
          <w:color w:val="auto"/>
        </w:rPr>
      </w:pPr>
    </w:p>
    <w:p>
      <w:pPr>
        <w:ind w:right="480" w:firstLine="1290"/>
        <w:spacing w:after="0" w:line="277" w:lineRule="auto"/>
        <w:tabs>
          <w:tab w:leader="none" w:pos="1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70" w:lineRule="exact"/>
        <w:rPr>
          <w:rFonts w:ascii="Arial" w:cs="Arial" w:eastAsia="Arial" w:hAnsi="Arial"/>
          <w:sz w:val="18"/>
          <w:szCs w:val="18"/>
          <w:color w:val="auto"/>
        </w:rPr>
      </w:pPr>
    </w:p>
    <w:p>
      <w:pPr>
        <w:ind w:firstLine="1290"/>
        <w:spacing w:after="0" w:line="264" w:lineRule="auto"/>
        <w:tabs>
          <w:tab w:leader="none" w:pos="15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ectPr>
          <w:pgSz w:w="11900" w:h="16891" w:orient="portrait"/>
          <w:cols w:equalWidth="0" w:num="1">
            <w:col w:w="11000"/>
          </w:cols>
          <w:pgMar w:left="660" w:top="125" w:right="239" w:bottom="0" w:gutter="0" w:footer="0" w:header="0"/>
        </w:sectPr>
      </w:pPr>
    </w:p>
    <w:bookmarkStart w:id="15" w:name="page16"/>
    <w:bookmarkEnd w:id="15"/>
    <w:p>
      <w:pPr>
        <w:ind w:left="420" w:right="280" w:firstLine="1290"/>
        <w:spacing w:after="0" w:line="286" w:lineRule="auto"/>
        <w:tabs>
          <w:tab w:leader="none" w:pos="19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5" w:lineRule="exact"/>
        <w:rPr>
          <w:rFonts w:ascii="Arial" w:cs="Arial" w:eastAsia="Arial" w:hAnsi="Arial"/>
          <w:sz w:val="17"/>
          <w:szCs w:val="17"/>
          <w:color w:val="auto"/>
        </w:rPr>
      </w:pPr>
    </w:p>
    <w:p>
      <w:pPr>
        <w:ind w:left="1960" w:hanging="250"/>
        <w:spacing w:after="0"/>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significant deficiency or material weakness identified in the system of internal controls utilized by the Company and its</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Subsidiaries; or</w:t>
      </w:r>
    </w:p>
    <w:p>
      <w:pPr>
        <w:spacing w:after="0" w:line="210" w:lineRule="exact"/>
        <w:rPr>
          <w:rFonts w:ascii="Arial" w:cs="Arial" w:eastAsia="Arial" w:hAnsi="Arial"/>
          <w:sz w:val="17"/>
          <w:szCs w:val="17"/>
          <w:color w:val="auto"/>
        </w:rPr>
      </w:pPr>
    </w:p>
    <w:p>
      <w:pPr>
        <w:ind w:left="1960" w:hanging="250"/>
        <w:spacing w:after="0"/>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commencement or settlement of any lawsuit, any overt threat of any lawsuit or other proceeding by the Company or any</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p>
      <w:pPr>
        <w:spacing w:after="0" w:line="221" w:lineRule="exact"/>
        <w:rPr>
          <w:sz w:val="20"/>
          <w:szCs w:val="20"/>
          <w:color w:val="auto"/>
        </w:rPr>
      </w:pPr>
    </w:p>
    <w:p>
      <w:pPr>
        <w:ind w:right="280" w:firstLine="1305"/>
        <w:spacing w:after="0" w:line="256" w:lineRule="auto"/>
        <w:tabs>
          <w:tab w:leader="none" w:pos="1611"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directly or through withholding), including any interest, additions to tax, or penalties applicable thereto, imposed by any Tax Authority. “</w:t>
      </w:r>
      <w:r>
        <w:rPr>
          <w:rFonts w:ascii="Arial" w:cs="Arial" w:eastAsia="Arial" w:hAnsi="Arial"/>
          <w:sz w:val="18"/>
          <w:szCs w:val="18"/>
          <w:b w:val="1"/>
          <w:b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w:t>
      </w:r>
      <w:r>
        <w:rPr>
          <w:rFonts w:ascii="Arial" w:cs="Arial" w:eastAsia="Arial" w:hAnsi="Arial"/>
          <w:sz w:val="18"/>
          <w:szCs w:val="18"/>
          <w:b w:val="1"/>
          <w:bCs w:val="1"/>
          <w:color w:val="auto"/>
        </w:rPr>
        <w:t xml:space="preserve"> </w:t>
      </w:r>
      <w:r>
        <w:rPr>
          <w:rFonts w:ascii="Arial" w:cs="Arial" w:eastAsia="Arial" w:hAnsi="Arial"/>
          <w:sz w:val="18"/>
          <w:szCs w:val="18"/>
          <w:color w:val="auto"/>
        </w:rPr>
        <w:t>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20" w:hanging="315"/>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2277"/>
        <w:spacing w:after="0" w:line="264" w:lineRule="auto"/>
        <w:tabs>
          <w:tab w:leader="none" w:pos="25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81" w:lineRule="exact"/>
        <w:rPr>
          <w:rFonts w:ascii="Arial" w:cs="Arial" w:eastAsia="Arial" w:hAnsi="Arial"/>
          <w:sz w:val="18"/>
          <w:szCs w:val="18"/>
          <w:color w:val="auto"/>
        </w:rPr>
      </w:pPr>
    </w:p>
    <w:p>
      <w:pPr>
        <w:ind w:right="20" w:firstLine="2277"/>
        <w:spacing w:after="0" w:line="297" w:lineRule="auto"/>
        <w:tabs>
          <w:tab w:leader="none" w:pos="2603"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58" w:lineRule="exact"/>
        <w:rPr>
          <w:rFonts w:ascii="Arial" w:cs="Arial" w:eastAsia="Arial" w:hAnsi="Arial"/>
          <w:sz w:val="16"/>
          <w:szCs w:val="16"/>
          <w:color w:val="auto"/>
        </w:rPr>
      </w:pPr>
    </w:p>
    <w:p>
      <w:pPr>
        <w:ind w:left="2620" w:hanging="343"/>
        <w:spacing w:after="0"/>
        <w:tabs>
          <w:tab w:leader="none" w:pos="2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Except for Permitted Liens, there are no liens for Taxes upon any property or assets of the Company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120" w:firstLine="2277"/>
        <w:spacing w:after="0" w:line="277" w:lineRule="auto"/>
        <w:tabs>
          <w:tab w:leader="none" w:pos="26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70" w:lineRule="exact"/>
        <w:rPr>
          <w:rFonts w:ascii="Arial" w:cs="Arial" w:eastAsia="Arial" w:hAnsi="Arial"/>
          <w:sz w:val="18"/>
          <w:szCs w:val="18"/>
          <w:color w:val="auto"/>
        </w:rPr>
      </w:pPr>
    </w:p>
    <w:p>
      <w:pPr>
        <w:jc w:val="both"/>
        <w:ind w:right="20" w:firstLine="2277"/>
        <w:spacing w:after="0" w:line="264" w:lineRule="auto"/>
        <w:tabs>
          <w:tab w:leader="none" w:pos="25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81" w:lineRule="exact"/>
        <w:rPr>
          <w:rFonts w:ascii="Arial" w:cs="Arial" w:eastAsia="Arial" w:hAnsi="Arial"/>
          <w:sz w:val="18"/>
          <w:szCs w:val="18"/>
          <w:color w:val="auto"/>
        </w:rPr>
      </w:pPr>
    </w:p>
    <w:p>
      <w:pPr>
        <w:ind w:left="2620" w:hanging="343"/>
        <w:spacing w:after="0"/>
        <w:tabs>
          <w:tab w:leader="none" w:pos="2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sharing of Taxes.</w:t>
      </w:r>
    </w:p>
    <w:p>
      <w:pPr>
        <w:spacing w:after="0" w:line="210" w:lineRule="exact"/>
        <w:rPr>
          <w:rFonts w:ascii="Arial" w:cs="Arial" w:eastAsia="Arial" w:hAnsi="Arial"/>
          <w:sz w:val="16"/>
          <w:szCs w:val="16"/>
          <w:color w:val="auto"/>
        </w:rPr>
      </w:pPr>
    </w:p>
    <w:p>
      <w:pPr>
        <w:ind w:right="220" w:firstLine="2277"/>
        <w:spacing w:after="0" w:line="257" w:lineRule="auto"/>
        <w:tabs>
          <w:tab w:leader="none" w:pos="26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88" w:lineRule="exact"/>
        <w:rPr>
          <w:rFonts w:ascii="Arial" w:cs="Arial" w:eastAsia="Arial" w:hAnsi="Arial"/>
          <w:sz w:val="18"/>
          <w:szCs w:val="18"/>
          <w:color w:val="auto"/>
        </w:rPr>
      </w:pPr>
    </w:p>
    <w:p>
      <w:pPr>
        <w:ind w:right="160" w:firstLine="2277"/>
        <w:spacing w:after="0" w:line="259" w:lineRule="auto"/>
        <w:tabs>
          <w:tab w:leader="none" w:pos="27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 (y) in a distribution which could otherwise constitute part of a “plan” or “series of related transactions” (within the meaning of Section 355(e) of the Code) in conjunction with the Merger.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2277"/>
        <w:spacing w:after="0" w:line="308" w:lineRule="auto"/>
        <w:tabs>
          <w:tab w:leader="none" w:pos="26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46" w:lineRule="exact"/>
        <w:rPr>
          <w:rFonts w:ascii="Arial" w:cs="Arial" w:eastAsia="Arial" w:hAnsi="Arial"/>
          <w:sz w:val="17"/>
          <w:szCs w:val="17"/>
          <w:color w:val="auto"/>
        </w:rPr>
      </w:pPr>
    </w:p>
    <w:p>
      <w:pPr>
        <w:ind w:right="240" w:firstLine="2277"/>
        <w:spacing w:after="0" w:line="264" w:lineRule="auto"/>
        <w:tabs>
          <w:tab w:leader="none" w:pos="26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Neither the Company nor any Subsidiary has (A) entered into any Advance Pricing Agreement or similar agreement or</w:t>
      </w:r>
    </w:p>
    <w:p>
      <w:pPr>
        <w:spacing w:after="0" w:line="46" w:lineRule="exact"/>
        <w:rPr>
          <w:rFonts w:ascii="Arial" w:cs="Arial" w:eastAsia="Arial" w:hAnsi="Arial"/>
          <w:sz w:val="16"/>
          <w:szCs w:val="16"/>
          <w:color w:val="auto"/>
        </w:rPr>
      </w:pPr>
    </w:p>
    <w:p>
      <w:pPr>
        <w:ind w:firstLine="8"/>
        <w:spacing w:after="0" w:line="261" w:lineRule="auto"/>
        <w:tabs>
          <w:tab w:leader="none" w:pos="2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received written notice from a Tax Authority regarding any transfer pricing inquiry under Section 482 of the Code (or a similar provision of state, local, or foreign Law) that remains unresolved.</w:t>
      </w:r>
    </w:p>
    <w:p>
      <w:pPr>
        <w:sectPr>
          <w:pgSz w:w="11900" w:h="16838" w:orient="portrait"/>
          <w:cols w:equalWidth="0" w:num="1">
            <w:col w:w="11420"/>
          </w:cols>
          <w:pgMar w:left="240" w:top="341" w:right="239" w:bottom="18" w:gutter="0" w:footer="0" w:header="0"/>
        </w:sectPr>
      </w:pPr>
    </w:p>
    <w:bookmarkStart w:id="16" w:name="page17"/>
    <w:bookmarkEnd w:id="16"/>
    <w:p>
      <w:pPr>
        <w:spacing w:after="0" w:line="79" w:lineRule="exact"/>
        <w:rPr>
          <w:sz w:val="20"/>
          <w:szCs w:val="20"/>
          <w:color w:val="auto"/>
        </w:rPr>
      </w:pPr>
    </w:p>
    <w:p>
      <w:pPr>
        <w:ind w:right="180" w:firstLine="2277"/>
        <w:spacing w:after="0" w:line="264" w:lineRule="auto"/>
        <w:tabs>
          <w:tab w:leader="none" w:pos="2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81" w:lineRule="exact"/>
        <w:rPr>
          <w:rFonts w:ascii="Arial" w:cs="Arial" w:eastAsia="Arial" w:hAnsi="Arial"/>
          <w:sz w:val="18"/>
          <w:szCs w:val="18"/>
          <w:color w:val="auto"/>
        </w:rPr>
      </w:pPr>
    </w:p>
    <w:p>
      <w:pPr>
        <w:ind w:firstLine="2277"/>
        <w:spacing w:after="0" w:line="277" w:lineRule="auto"/>
        <w:tabs>
          <w:tab w:leader="none" w:pos="27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p>
      <w:pPr>
        <w:spacing w:after="0" w:line="221" w:lineRule="exact"/>
        <w:rPr>
          <w:sz w:val="20"/>
          <w:szCs w:val="20"/>
          <w:color w:val="auto"/>
        </w:rPr>
      </w:pPr>
    </w:p>
    <w:p>
      <w:pPr>
        <w:ind w:left="420" w:right="40" w:firstLine="1290"/>
        <w:spacing w:after="0" w:line="287" w:lineRule="auto"/>
        <w:tabs>
          <w:tab w:leader="none" w:pos="1954"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Properties</w:t>
      </w:r>
      <w:r>
        <w:rPr>
          <w:rFonts w:ascii="Arial" w:cs="Arial" w:eastAsia="Arial" w:hAnsi="Arial"/>
          <w:sz w:val="16"/>
          <w:szCs w:val="16"/>
          <w:color w:val="auto"/>
        </w:rPr>
        <w:t>. 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sets forth a list of all real property currently leased, licensed or subleased by the Company or any of its Subsidiaries or otherwise used or 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540"/>
        <w:spacing w:after="0" w:line="342" w:lineRule="auto"/>
        <w:rPr>
          <w:sz w:val="20"/>
          <w:szCs w:val="20"/>
          <w:color w:val="auto"/>
        </w:rPr>
      </w:pPr>
      <w:r>
        <w:rPr>
          <w:rFonts w:ascii="Arial" w:cs="Arial" w:eastAsia="Arial" w:hAnsi="Arial"/>
          <w:sz w:val="16"/>
          <w:szCs w:val="16"/>
          <w:color w:val="auto"/>
        </w:rPr>
        <w:t>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24" w:lineRule="exact"/>
        <w:rPr>
          <w:sz w:val="20"/>
          <w:szCs w:val="20"/>
          <w:color w:val="auto"/>
        </w:rPr>
      </w:pPr>
    </w:p>
    <w:p>
      <w:pPr>
        <w:ind w:left="420" w:firstLine="1290"/>
        <w:spacing w:after="0" w:line="308" w:lineRule="auto"/>
        <w:tabs>
          <w:tab w:leader="none" w:pos="1964" w:val="left"/>
        </w:tabs>
        <w:numPr>
          <w:ilvl w:val="1"/>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The Company has Made Available to Parent true, correct and complete copies of all Contracts under which the Leased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 Property is currently leased, licensed, subleased used or occupied by the Company or any of its Subsidiaries (“</w:t>
      </w:r>
      <w:r>
        <w:rPr>
          <w:rFonts w:ascii="Arial" w:cs="Arial" w:eastAsia="Arial" w:hAnsi="Arial"/>
          <w:sz w:val="17"/>
          <w:szCs w:val="17"/>
          <w:b w:val="1"/>
          <w:bCs w:val="1"/>
          <w:color w:val="auto"/>
        </w:rPr>
        <w:t>Lease Documents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40" w:firstLine="1290"/>
        <w:spacing w:after="0" w:line="284" w:lineRule="auto"/>
        <w:tabs>
          <w:tab w:leader="none" w:pos="1954" w:val="left"/>
        </w:tabs>
        <w:numPr>
          <w:ilvl w:val="1"/>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Valid Title</w:t>
      </w:r>
      <w:r>
        <w:rPr>
          <w:rFonts w:ascii="Arial" w:cs="Arial" w:eastAsia="Arial" w:hAnsi="Arial"/>
          <w:sz w:val="16"/>
          <w:szCs w:val="16"/>
          <w:color w:val="auto"/>
        </w:rPr>
        <w:t>. The Company and each of its Subsidiaries have good and valid title to, or, in the case of leased properties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 (ii) (A)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w:t>
      </w:r>
    </w:p>
    <w:p>
      <w:pPr>
        <w:spacing w:after="0" w:line="2" w:lineRule="exact"/>
        <w:rPr>
          <w:rFonts w:ascii="Arial" w:cs="Arial" w:eastAsia="Arial" w:hAnsi="Arial"/>
          <w:sz w:val="16"/>
          <w:szCs w:val="16"/>
          <w:color w:val="auto"/>
        </w:rPr>
      </w:pPr>
    </w:p>
    <w:p>
      <w:pPr>
        <w:ind w:left="420" w:right="20" w:hanging="7"/>
        <w:spacing w:after="0" w:line="253"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 For all purposes of this Agreement, the following terms shall have the following respective meanings:</w:t>
      </w:r>
    </w:p>
    <w:p>
      <w:pPr>
        <w:spacing w:after="0" w:line="237"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70" w:lineRule="exact"/>
        <w:rPr>
          <w:sz w:val="20"/>
          <w:szCs w:val="20"/>
          <w:color w:val="auto"/>
        </w:rPr>
      </w:pPr>
    </w:p>
    <w:p>
      <w:pPr>
        <w:ind w:right="22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Products</w:t>
      </w:r>
      <w:r>
        <w:rPr>
          <w:rFonts w:ascii="Arial" w:cs="Arial" w:eastAsia="Arial" w:hAnsi="Arial"/>
          <w:sz w:val="18"/>
          <w:szCs w:val="18"/>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 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88"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under the authority of any governmental authority responsible for issuing or registering any of the Intellectual Property or Intellectual Property Rights.</w:t>
      </w:r>
    </w:p>
    <w:p>
      <w:pPr>
        <w:spacing w:after="0" w:line="237"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88" w:lineRule="exact"/>
        <w:rPr>
          <w:sz w:val="20"/>
          <w:szCs w:val="20"/>
          <w:color w:val="auto"/>
        </w:rPr>
      </w:pPr>
    </w:p>
    <w:p>
      <w:pPr>
        <w:ind w:right="80" w:firstLine="194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 (ii) 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w:t>
      </w:r>
    </w:p>
    <w:p>
      <w:pPr>
        <w:sectPr>
          <w:pgSz w:w="11900" w:h="16918" w:orient="portrait"/>
          <w:cols w:equalWidth="0" w:num="1">
            <w:col w:w="11420"/>
          </w:cols>
          <w:pgMar w:left="240" w:top="125" w:right="239" w:bottom="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intellectual property, (v) trademarks, trade names and service marks, (vi) divisions, continuations, renewals, reissuances and extensions of the foregoing (as applicable) and (vii) the right to enforce and recover remedies for any of the foregoing.</w:t>
      </w:r>
    </w:p>
    <w:p>
      <w:pPr>
        <w:spacing w:after="0" w:line="166" w:lineRule="exact"/>
        <w:rPr>
          <w:sz w:val="20"/>
          <w:szCs w:val="20"/>
          <w:color w:val="auto"/>
        </w:rPr>
      </w:pPr>
    </w:p>
    <w:p>
      <w:pPr>
        <w:ind w:right="280" w:firstLine="194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66"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88" w:lineRule="exact"/>
        <w:rPr>
          <w:sz w:val="20"/>
          <w:szCs w:val="20"/>
          <w:color w:val="auto"/>
        </w:rPr>
      </w:pPr>
    </w:p>
    <w:p>
      <w:pPr>
        <w:ind w:right="120" w:firstLine="1945"/>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w:t>
      </w:r>
      <w:r>
        <w:rPr>
          <w:rFonts w:ascii="Arial" w:cs="Arial" w:eastAsia="Arial" w:hAnsi="Arial"/>
          <w:sz w:val="17"/>
          <w:szCs w:val="17"/>
          <w:color w:val="auto"/>
        </w:rPr>
        <w:t xml:space="preserve"> </w:t>
      </w:r>
      <w:r>
        <w:rPr>
          <w:rFonts w:ascii="Arial" w:cs="Arial" w:eastAsia="Arial" w:hAnsi="Arial"/>
          <w:sz w:val="16"/>
          <w:szCs w:val="16"/>
          <w:color w:val="auto"/>
        </w:rPr>
        <w:t>cost of not more than $10,000 for a perpetual license for a single user or work station (or $75,000 in the aggregate for all users and work stations).</w:t>
      </w:r>
    </w:p>
    <w:p>
      <w:pPr>
        <w:spacing w:after="0" w:line="151" w:lineRule="exact"/>
        <w:rPr>
          <w:sz w:val="20"/>
          <w:szCs w:val="20"/>
          <w:color w:val="auto"/>
        </w:rPr>
      </w:pPr>
    </w:p>
    <w:p>
      <w:pPr>
        <w:ind w:right="640" w:firstLine="19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7"/>
          <w:szCs w:val="17"/>
          <w:color w:val="auto"/>
        </w:rPr>
        <w:t>” shall mean computer software and code, in a form other than object code form, including related programmer</w:t>
      </w:r>
      <w:r>
        <w:rPr>
          <w:rFonts w:ascii="Arial" w:cs="Arial" w:eastAsia="Arial" w:hAnsi="Arial"/>
          <w:sz w:val="18"/>
          <w:szCs w:val="18"/>
          <w:color w:val="auto"/>
        </w:rPr>
        <w:t xml:space="preserve"> </w:t>
      </w:r>
      <w:r>
        <w:rPr>
          <w:rFonts w:ascii="Arial" w:cs="Arial" w:eastAsia="Arial" w:hAnsi="Arial"/>
          <w:sz w:val="17"/>
          <w:szCs w:val="17"/>
          <w:color w:val="auto"/>
        </w:rPr>
        <w:t>comments and annotations, which may be printed out or displayed in readily human readable form.</w:t>
      </w:r>
    </w:p>
    <w:p>
      <w:pPr>
        <w:spacing w:after="0" w:line="170" w:lineRule="exact"/>
        <w:rPr>
          <w:sz w:val="20"/>
          <w:szCs w:val="20"/>
          <w:color w:val="auto"/>
        </w:rPr>
      </w:pPr>
    </w:p>
    <w:p>
      <w:pPr>
        <w:ind w:left="420" w:right="20" w:firstLine="1290"/>
        <w:spacing w:after="0" w:line="266" w:lineRule="auto"/>
        <w:tabs>
          <w:tab w:leader="none" w:pos="1954"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No Default/No Conflict</w:t>
      </w:r>
      <w:r>
        <w:rPr>
          <w:rFonts w:ascii="Arial" w:cs="Arial" w:eastAsia="Arial" w:hAnsi="Arial"/>
          <w:sz w:val="18"/>
          <w:szCs w:val="18"/>
          <w:color w:val="auto"/>
        </w:rPr>
        <w:t>. 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the transactions contemplated by this Agreement will neither violate nor by their terms result in the breach, modification, cancellation, termination, suspension of, or acceleration of any payments with respect to, any Contract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68" w:lineRule="auto"/>
        <w:rPr>
          <w:sz w:val="20"/>
          <w:szCs w:val="20"/>
          <w:color w:val="auto"/>
        </w:rPr>
      </w:pPr>
      <w:r>
        <w:rPr>
          <w:rFonts w:ascii="Arial" w:cs="Arial" w:eastAsia="Arial" w:hAnsi="Arial"/>
          <w:sz w:val="17"/>
          <w:szCs w:val="17"/>
          <w:color w:val="auto"/>
        </w:rPr>
        <w:t>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Contracts</w:t>
      </w:r>
      <w:r>
        <w:rPr>
          <w:rFonts w:ascii="Arial" w:cs="Arial" w:eastAsia="Arial" w:hAnsi="Arial"/>
          <w:sz w:val="17"/>
          <w:szCs w:val="17"/>
          <w:color w:val="auto"/>
        </w:rPr>
        <w:t>”). Subject to the last two sentences of this</w:t>
      </w:r>
      <w:r>
        <w:rPr>
          <w:rFonts w:ascii="Arial" w:cs="Arial" w:eastAsia="Arial" w:hAnsi="Arial"/>
          <w:sz w:val="17"/>
          <w:szCs w:val="17"/>
          <w:b w:val="1"/>
          <w:bCs w:val="1"/>
          <w:color w:val="auto"/>
        </w:rPr>
        <w:t xml:space="preserve"> Section 2.8(a)</w:t>
      </w:r>
      <w:r>
        <w:rPr>
          <w:rFonts w:ascii="Arial" w:cs="Arial" w:eastAsia="Arial" w:hAnsi="Arial"/>
          <w:sz w:val="17"/>
          <w:szCs w:val="17"/>
          <w:color w:val="auto"/>
        </w:rPr>
        <w:t>, each of the Company and its Subsidiaries is in material compliance with,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7"/>
          <w:szCs w:val="17"/>
          <w:b w:val="1"/>
          <w:bCs w:val="1"/>
          <w:color w:val="auto"/>
        </w:rPr>
        <w:t>Section 2.8(a)</w:t>
      </w:r>
      <w:r>
        <w:rPr>
          <w:rFonts w:ascii="Arial" w:cs="Arial" w:eastAsia="Arial" w:hAnsi="Arial"/>
          <w:sz w:val="17"/>
          <w:szCs w:val="17"/>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hereunder.</w:t>
      </w:r>
    </w:p>
    <w:p>
      <w:pPr>
        <w:spacing w:after="0" w:line="185" w:lineRule="exact"/>
        <w:rPr>
          <w:sz w:val="20"/>
          <w:szCs w:val="20"/>
          <w:color w:val="auto"/>
        </w:rPr>
      </w:pPr>
    </w:p>
    <w:p>
      <w:pPr>
        <w:ind w:left="420" w:right="20" w:firstLine="1290"/>
        <w:spacing w:after="0" w:line="257" w:lineRule="auto"/>
        <w:tabs>
          <w:tab w:leader="none" w:pos="1964"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No Infringement</w:t>
      </w:r>
      <w:r>
        <w:rPr>
          <w:rFonts w:ascii="Arial" w:cs="Arial" w:eastAsia="Arial" w:hAnsi="Arial"/>
          <w:sz w:val="18"/>
          <w:szCs w:val="18"/>
          <w:color w:val="auto"/>
        </w:rPr>
        <w:t>. To the Company’s Knowledge, the operation of the business of the Company and its Subsidiaries as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88" w:lineRule="exact"/>
        <w:rPr>
          <w:rFonts w:ascii="Arial" w:cs="Arial" w:eastAsia="Arial" w:hAnsi="Arial"/>
          <w:sz w:val="18"/>
          <w:szCs w:val="18"/>
          <w:color w:val="auto"/>
        </w:rPr>
      </w:pPr>
    </w:p>
    <w:p>
      <w:pPr>
        <w:ind w:left="420" w:right="220" w:firstLine="1290"/>
        <w:spacing w:after="0" w:line="302" w:lineRule="auto"/>
        <w:tabs>
          <w:tab w:leader="none" w:pos="1954"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Notice</w:t>
      </w:r>
      <w:r>
        <w:rPr>
          <w:rFonts w:ascii="Arial" w:cs="Arial" w:eastAsia="Arial" w:hAnsi="Arial"/>
          <w:sz w:val="16"/>
          <w:szCs w:val="16"/>
          <w:color w:val="auto"/>
        </w:rPr>
        <w:t>. Neither the Company nor any of its Subsidiaries has in the last three years (and to the Company’s Knowledge, in the last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years) 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54" w:lineRule="exact"/>
        <w:rPr>
          <w:rFonts w:ascii="Arial" w:cs="Arial" w:eastAsia="Arial" w:hAnsi="Arial"/>
          <w:sz w:val="16"/>
          <w:szCs w:val="16"/>
          <w:color w:val="auto"/>
        </w:rPr>
      </w:pPr>
    </w:p>
    <w:p>
      <w:pPr>
        <w:ind w:left="420" w:right="160" w:firstLine="1290"/>
        <w:spacing w:after="0" w:line="259" w:lineRule="auto"/>
        <w:tabs>
          <w:tab w:leader="none" w:pos="1964"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100" w:firstLine="1290"/>
        <w:spacing w:after="0" w:line="271" w:lineRule="auto"/>
        <w:tabs>
          <w:tab w:leader="none" w:pos="1954"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Except with respect to the transactions contemplated by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5.13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this Agreement, neither this Agreement nor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7"/>
          <w:szCs w:val="17"/>
          <w:b w:val="1"/>
          <w:bCs w:val="1"/>
          <w:color w:val="auto"/>
        </w:rPr>
        <w:t>Sections 2.8(e)</w:t>
      </w:r>
      <w:r>
        <w:rPr>
          <w:rFonts w:ascii="Arial" w:cs="Arial" w:eastAsia="Arial" w:hAnsi="Arial"/>
          <w:sz w:val="17"/>
          <w:szCs w:val="17"/>
          <w:color w:val="auto"/>
        </w:rPr>
        <w:t xml:space="preserve"> and </w:t>
      </w:r>
      <w:r>
        <w:rPr>
          <w:rFonts w:ascii="Arial" w:cs="Arial" w:eastAsia="Arial" w:hAnsi="Arial"/>
          <w:sz w:val="17"/>
          <w:szCs w:val="17"/>
          <w:b w:val="1"/>
          <w:bCs w:val="1"/>
          <w:color w:val="auto"/>
        </w:rPr>
        <w:t>2.8(i)</w:t>
      </w:r>
      <w:r>
        <w:rPr>
          <w:rFonts w:ascii="Arial" w:cs="Arial" w:eastAsia="Arial" w:hAnsi="Arial"/>
          <w:sz w:val="17"/>
          <w:szCs w:val="17"/>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8" w:lineRule="exact"/>
        <w:rPr>
          <w:rFonts w:ascii="Arial" w:cs="Arial" w:eastAsia="Arial" w:hAnsi="Arial"/>
          <w:sz w:val="17"/>
          <w:szCs w:val="17"/>
          <w:color w:val="auto"/>
        </w:rPr>
      </w:pPr>
    </w:p>
    <w:p>
      <w:pPr>
        <w:ind w:left="420" w:right="40" w:firstLine="1290"/>
        <w:spacing w:after="0" w:line="302" w:lineRule="auto"/>
        <w:tabs>
          <w:tab w:leader="none" w:pos="1973"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The Company and its Subsidiaries have taken commercially reasonable steps to obtain, maintain and protect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w:t>
      </w:r>
    </w:p>
    <w:p>
      <w:pPr>
        <w:sectPr>
          <w:pgSz w:w="11900" w:h="16838" w:orient="portrait"/>
          <w:cols w:equalWidth="0" w:num="1">
            <w:col w:w="11420"/>
          </w:cols>
          <w:pgMar w:left="240" w:top="125" w:right="239" w:bottom="0" w:gutter="0" w:footer="0" w:header="0"/>
        </w:sectPr>
      </w:pPr>
    </w:p>
    <w:bookmarkStart w:id="18" w:name="page19"/>
    <w:bookmarkEnd w:id="18"/>
    <w:p>
      <w:pPr>
        <w:spacing w:after="0" w:line="76"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(including the sole right to enforce) in any Intellectual Property or Intellectual Property Rights arising therefrom and (ii) provide reasonable protection for trade secrets of the Company and its Subsidiaries.</w:t>
      </w:r>
    </w:p>
    <w:p>
      <w:pPr>
        <w:spacing w:after="0" w:line="170" w:lineRule="exact"/>
        <w:rPr>
          <w:sz w:val="20"/>
          <w:szCs w:val="20"/>
          <w:color w:val="auto"/>
        </w:rPr>
      </w:pPr>
    </w:p>
    <w:p>
      <w:pPr>
        <w:ind w:left="20" w:firstLine="1290"/>
        <w:spacing w:after="0" w:line="253" w:lineRule="auto"/>
        <w:tabs>
          <w:tab w:leader="none" w:pos="156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Order</w:t>
      </w:r>
      <w:r>
        <w:rPr>
          <w:rFonts w:ascii="Arial" w:cs="Arial" w:eastAsia="Arial" w:hAnsi="Arial"/>
          <w:sz w:val="18"/>
          <w:szCs w:val="18"/>
          <w:color w:val="auto"/>
        </w:rPr>
        <w:t>. Except as may arise after the date of this Agreement and before the Closing Date out of litigations currently pending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date 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94" w:lineRule="exact"/>
        <w:rPr>
          <w:rFonts w:ascii="Arial" w:cs="Arial" w:eastAsia="Arial" w:hAnsi="Arial"/>
          <w:sz w:val="18"/>
          <w:szCs w:val="18"/>
          <w:color w:val="auto"/>
        </w:rPr>
      </w:pPr>
    </w:p>
    <w:p>
      <w:pPr>
        <w:jc w:val="both"/>
        <w:ind w:left="20" w:right="60" w:firstLine="1290"/>
        <w:spacing w:after="0" w:line="342" w:lineRule="auto"/>
        <w:tabs>
          <w:tab w:leader="none" w:pos="1564"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Open Source</w:t>
      </w:r>
      <w:r>
        <w:rPr>
          <w:rFonts w:ascii="Arial" w:cs="Arial" w:eastAsia="Arial" w:hAnsi="Arial"/>
          <w:sz w:val="16"/>
          <w:szCs w:val="16"/>
          <w:color w:val="auto"/>
        </w:rPr>
        <w:t>. To the Company’s Knowledge, no Open Source has been used in, incorporated into, integrated or bundled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Company Product, and no Open Source development tools have been used in the development or compilation of, any current Company Product.</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20" w:firstLine="1290"/>
        <w:spacing w:after="0" w:line="271" w:lineRule="auto"/>
        <w:tabs>
          <w:tab w:leader="none" w:pos="1563"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Source Code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identifies each Intellectual Property Contract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8" w:lineRule="exact"/>
        <w:rPr>
          <w:rFonts w:ascii="Arial" w:cs="Arial" w:eastAsia="Arial" w:hAnsi="Arial"/>
          <w:sz w:val="17"/>
          <w:szCs w:val="17"/>
          <w:color w:val="auto"/>
        </w:rPr>
      </w:pPr>
    </w:p>
    <w:p>
      <w:pPr>
        <w:ind w:left="1560" w:hanging="250"/>
        <w:spacing w:after="0"/>
        <w:tabs>
          <w:tab w:leader="none" w:pos="15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Software</w:t>
      </w:r>
      <w:r>
        <w:rPr>
          <w:rFonts w:ascii="Arial" w:cs="Arial" w:eastAsia="Arial" w:hAnsi="Arial"/>
          <w:sz w:val="16"/>
          <w:szCs w:val="16"/>
          <w:color w:val="auto"/>
        </w:rPr>
        <w:t>. To the Knowledge of the Company, all Company Products and Company Intellectual Property (and all parts thereof) are</w:t>
      </w:r>
    </w:p>
    <w:p>
      <w:pPr>
        <w:spacing w:after="0" w:line="46" w:lineRule="exact"/>
        <w:rPr>
          <w:rFonts w:ascii="Arial" w:cs="Arial" w:eastAsia="Arial" w:hAnsi="Arial"/>
          <w:sz w:val="16"/>
          <w:szCs w:val="16"/>
          <w:color w:val="auto"/>
        </w:rPr>
      </w:pPr>
    </w:p>
    <w:p>
      <w:pPr>
        <w:ind w:left="20" w:right="200"/>
        <w:spacing w:after="0" w:line="273" w:lineRule="auto"/>
        <w:rPr>
          <w:rFonts w:ascii="Arial" w:cs="Arial" w:eastAsia="Arial" w:hAnsi="Arial"/>
          <w:sz w:val="16"/>
          <w:szCs w:val="16"/>
          <w:color w:val="auto"/>
        </w:rPr>
      </w:pPr>
      <w:r>
        <w:rPr>
          <w:rFonts w:ascii="Arial" w:cs="Arial" w:eastAsia="Arial" w:hAnsi="Arial"/>
          <w:sz w:val="17"/>
          <w:szCs w:val="17"/>
          <w:color w:val="auto"/>
        </w:rPr>
        <w:t>free of: (i) 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7"/>
          <w:szCs w:val="17"/>
          <w:b w:val="1"/>
          <w:bCs w:val="1"/>
          <w:color w:val="auto"/>
        </w:rPr>
        <w:t>Contaminants</w:t>
      </w:r>
      <w:r>
        <w:rPr>
          <w:rFonts w:ascii="Arial" w:cs="Arial" w:eastAsia="Arial" w:hAnsi="Arial"/>
          <w:sz w:val="17"/>
          <w:szCs w:val="17"/>
          <w:color w:val="auto"/>
        </w:rPr>
        <w:t>”); and (ii) any critical defects, including without limitation any critical error or omission in the processing of any transactions.</w:t>
      </w:r>
    </w:p>
    <w:p>
      <w:pPr>
        <w:spacing w:after="0" w:line="176" w:lineRule="exact"/>
        <w:rPr>
          <w:rFonts w:ascii="Arial" w:cs="Arial" w:eastAsia="Arial" w:hAnsi="Arial"/>
          <w:sz w:val="16"/>
          <w:szCs w:val="16"/>
          <w:color w:val="auto"/>
        </w:rPr>
      </w:pPr>
    </w:p>
    <w:p>
      <w:pPr>
        <w:ind w:left="20" w:right="60" w:firstLine="1290"/>
        <w:spacing w:after="0" w:line="254" w:lineRule="auto"/>
        <w:tabs>
          <w:tab w:leader="none" w:pos="1564"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Technology</w:t>
      </w:r>
      <w:r>
        <w:rPr>
          <w:rFonts w:ascii="Arial" w:cs="Arial" w:eastAsia="Arial" w:hAnsi="Arial"/>
          <w:sz w:val="18"/>
          <w:szCs w:val="18"/>
          <w:color w:val="auto"/>
        </w:rPr>
        <w:t>. The Company and its Subsidiaries have taken commercially reasonable steps and implemented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commercially 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92" w:lineRule="exact"/>
        <w:rPr>
          <w:rFonts w:ascii="Arial" w:cs="Arial" w:eastAsia="Arial" w:hAnsi="Arial"/>
          <w:sz w:val="18"/>
          <w:szCs w:val="18"/>
          <w:color w:val="auto"/>
        </w:rPr>
      </w:pPr>
    </w:p>
    <w:p>
      <w:pPr>
        <w:jc w:val="both"/>
        <w:ind w:left="20" w:firstLine="1290"/>
        <w:spacing w:after="0" w:line="259" w:lineRule="auto"/>
        <w:tabs>
          <w:tab w:leader="none" w:pos="1563"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Licenses-In</w:t>
      </w:r>
      <w:r>
        <w:rPr>
          <w:rFonts w:ascii="Arial" w:cs="Arial" w:eastAsia="Arial" w:hAnsi="Arial"/>
          <w:sz w:val="18"/>
          <w:szCs w:val="18"/>
          <w:color w:val="auto"/>
        </w:rPr>
        <w:t>. Other than (i) licenses to Shrink-Wrapped Code and (ii) non-disclosure agreements entered into in the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86" w:lineRule="exact"/>
        <w:rPr>
          <w:rFonts w:ascii="Arial" w:cs="Arial" w:eastAsia="Arial" w:hAnsi="Arial"/>
          <w:sz w:val="18"/>
          <w:szCs w:val="18"/>
          <w:color w:val="auto"/>
        </w:rPr>
      </w:pPr>
    </w:p>
    <w:p>
      <w:pPr>
        <w:ind w:left="20" w:right="520" w:firstLine="1290"/>
        <w:spacing w:after="0" w:line="277" w:lineRule="auto"/>
        <w:tabs>
          <w:tab w:leader="none" w:pos="1621"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Licenses-Out</w:t>
      </w:r>
      <w:r>
        <w:rPr>
          <w:rFonts w:ascii="Arial" w:cs="Arial" w:eastAsia="Arial" w:hAnsi="Arial"/>
          <w:sz w:val="18"/>
          <w:szCs w:val="18"/>
          <w:color w:val="auto"/>
        </w:rPr>
        <w:t>. Other than (i) written non-disclosure agreements and (ii) non-exclusive licenses and related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thereto (including software and</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8"/>
          <w:szCs w:val="18"/>
          <w:b w:val="1"/>
          <w:bCs w:val="1"/>
          <w:color w:val="auto"/>
        </w:rPr>
        <w:t>Section 2.8(m)</w:t>
      </w:r>
      <w:r>
        <w:rPr>
          <w:rFonts w:ascii="Arial" w:cs="Arial" w:eastAsia="Arial" w:hAnsi="Arial"/>
          <w:sz w:val="18"/>
          <w:szCs w:val="18"/>
          <w:color w:val="auto"/>
        </w:rPr>
        <w:t xml:space="preserve"> of the Company Disclosure Schedule lists all Contracts related to Company Intellectual Property that are material to the business of the Company or its Subsidiaries to which the Company or any of its Subsidiaries is a party.</w:t>
      </w:r>
    </w:p>
    <w:p>
      <w:pPr>
        <w:spacing w:after="0" w:line="187" w:lineRule="exact"/>
        <w:rPr>
          <w:sz w:val="20"/>
          <w:szCs w:val="20"/>
          <w:color w:val="auto"/>
        </w:rPr>
      </w:pPr>
    </w:p>
    <w:p>
      <w:pPr>
        <w:ind w:left="20" w:right="120" w:firstLine="1290"/>
        <w:spacing w:after="0" w:line="255" w:lineRule="auto"/>
        <w:tabs>
          <w:tab w:leader="none" w:pos="1564"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 (i) The Company and its Subsidiaries have taken commercially reasonable steps to protect their Trade Secrets,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Trade 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89" w:lineRule="exact"/>
        <w:rPr>
          <w:rFonts w:ascii="Arial" w:cs="Arial" w:eastAsia="Arial" w:hAnsi="Arial"/>
          <w:sz w:val="18"/>
          <w:szCs w:val="18"/>
          <w:color w:val="auto"/>
        </w:rPr>
      </w:pPr>
    </w:p>
    <w:p>
      <w:pPr>
        <w:ind w:left="20" w:right="60" w:firstLine="1290"/>
        <w:spacing w:after="0" w:line="297" w:lineRule="auto"/>
        <w:tabs>
          <w:tab w:leader="none" w:pos="1564"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Privacy</w:t>
      </w:r>
      <w:r>
        <w:rPr>
          <w:rFonts w:ascii="Arial" w:cs="Arial" w:eastAsia="Arial" w:hAnsi="Arial"/>
          <w:sz w:val="16"/>
          <w:szCs w:val="16"/>
          <w:color w:val="auto"/>
        </w:rPr>
        <w:t>. To the Company’s Knowledge, the Company and its Subsidiaries have complied with all applicable laws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privacy, data 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w:t>
      </w:r>
    </w:p>
    <w:p>
      <w:pPr>
        <w:sectPr>
          <w:pgSz w:w="11900" w:h="16914" w:orient="portrait"/>
          <w:cols w:equalWidth="0" w:num="1">
            <w:col w:w="11020"/>
          </w:cols>
          <w:pgMar w:left="640" w:top="125" w:right="239" w:bottom="0" w:gutter="0" w:footer="0" w:header="0"/>
        </w:sectPr>
      </w:pPr>
    </w:p>
    <w:bookmarkStart w:id="19" w:name="page20"/>
    <w:bookmarkEnd w:id="19"/>
    <w:p>
      <w:pPr>
        <w:spacing w:after="0" w:line="75" w:lineRule="exact"/>
        <w:rPr>
          <w:sz w:val="20"/>
          <w:szCs w:val="20"/>
          <w:color w:val="auto"/>
        </w:rPr>
      </w:pPr>
    </w:p>
    <w:p>
      <w:pPr>
        <w:ind w:left="420" w:right="80"/>
        <w:spacing w:after="0" w:line="302" w:lineRule="auto"/>
        <w:rPr>
          <w:sz w:val="20"/>
          <w:szCs w:val="20"/>
          <w:color w:val="auto"/>
        </w:rPr>
      </w:pPr>
      <w:r>
        <w:rPr>
          <w:rFonts w:ascii="Arial" w:cs="Arial" w:eastAsia="Arial" w:hAnsi="Arial"/>
          <w:sz w:val="16"/>
          <w:szCs w:val="16"/>
          <w:color w:val="auto"/>
        </w:rPr>
        <w:t>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50" w:lineRule="exact"/>
        <w:rPr>
          <w:sz w:val="20"/>
          <w:szCs w:val="20"/>
          <w:color w:val="auto"/>
        </w:rPr>
      </w:pPr>
    </w:p>
    <w:p>
      <w:pPr>
        <w:ind w:left="420" w:right="60" w:firstLine="1290"/>
        <w:spacing w:after="0" w:line="273" w:lineRule="auto"/>
        <w:tabs>
          <w:tab w:leader="none" w:pos="1964"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Ownership of Intellectual Property Rights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lists all Company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Intellectual 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7"/>
          <w:szCs w:val="17"/>
          <w:b w:val="1"/>
          <w:bCs w:val="1"/>
          <w:color w:val="auto"/>
        </w:rPr>
        <w:t>Section 2.8(p)</w:t>
      </w:r>
      <w:r>
        <w:rPr>
          <w:rFonts w:ascii="Arial" w:cs="Arial" w:eastAsia="Arial" w:hAnsi="Arial"/>
          <w:sz w:val="17"/>
          <w:szCs w:val="17"/>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are listed in the records of the appropriate United States, state or foreign authority as the sole owner for each item thereof.</w:t>
      </w:r>
    </w:p>
    <w:p>
      <w:pPr>
        <w:spacing w:after="0" w:line="225" w:lineRule="exact"/>
        <w:rPr>
          <w:sz w:val="20"/>
          <w:szCs w:val="20"/>
          <w:color w:val="auto"/>
        </w:rPr>
      </w:pPr>
    </w:p>
    <w:p>
      <w:pPr>
        <w:ind w:left="420" w:right="120" w:firstLine="1290"/>
        <w:spacing w:after="0" w:line="257" w:lineRule="auto"/>
        <w:tabs>
          <w:tab w:leader="none" w:pos="1964"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Validity and Enforceability</w:t>
      </w:r>
      <w:r>
        <w:rPr>
          <w:rFonts w:ascii="Arial" w:cs="Arial" w:eastAsia="Arial" w:hAnsi="Arial"/>
          <w:sz w:val="18"/>
          <w:szCs w:val="18"/>
          <w:color w:val="auto"/>
        </w:rPr>
        <w:t>. To the Company’s Knowledge: (i) the Company Intellectual Property is subsisting,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is 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84" w:lineRule="exact"/>
        <w:rPr>
          <w:rFonts w:ascii="Arial" w:cs="Arial" w:eastAsia="Arial" w:hAnsi="Arial"/>
          <w:sz w:val="18"/>
          <w:szCs w:val="18"/>
          <w:color w:val="auto"/>
        </w:rPr>
      </w:pPr>
    </w:p>
    <w:p>
      <w:pPr>
        <w:ind w:left="420" w:right="60" w:firstLine="1290"/>
        <w:spacing w:after="0" w:line="295" w:lineRule="auto"/>
        <w:tabs>
          <w:tab w:leader="none" w:pos="1973"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Agreement</w:t>
      </w:r>
      <w:r>
        <w:rPr>
          <w:rFonts w:ascii="Arial" w:cs="Arial" w:eastAsia="Arial" w:hAnsi="Arial"/>
          <w:sz w:val="16"/>
          <w:szCs w:val="16"/>
          <w:color w:val="auto"/>
        </w:rPr>
        <w:t>. 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56"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6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Governmental Authorizations</w:t>
      </w:r>
      <w:r>
        <w:rPr>
          <w:rFonts w:ascii="Arial" w:cs="Arial" w:eastAsia="Arial" w:hAnsi="Arial"/>
          <w:sz w:val="17"/>
          <w:szCs w:val="17"/>
          <w:color w:val="auto"/>
        </w:rPr>
        <w:t>.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7"/>
          <w:szCs w:val="17"/>
          <w:b w:val="1"/>
          <w:bCs w:val="1"/>
          <w:color w:val="auto"/>
        </w:rPr>
        <w:t>Governmental Authorizations</w:t>
      </w:r>
      <w:r>
        <w:rPr>
          <w:rFonts w:ascii="Arial" w:cs="Arial" w:eastAsia="Arial" w:hAnsi="Arial"/>
          <w:sz w:val="17"/>
          <w:szCs w:val="17"/>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b w:val="1"/>
          <w:bCs w:val="1"/>
          <w:color w:val="auto"/>
        </w:rPr>
        <w:t>Section 2.11</w:t>
      </w:r>
      <w:r>
        <w:rPr>
          <w:rFonts w:ascii="Arial" w:cs="Arial" w:eastAsia="Arial" w:hAnsi="Arial"/>
          <w:sz w:val="18"/>
          <w:szCs w:val="18"/>
          <w:color w:val="auto"/>
        </w:rPr>
        <w:t xml:space="preserve"> of the Company Disclosure Schedule, there is no action, suit, claim or proceeding pending or, to the Company’s Knowledge, threatened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98" w:lineRule="auto"/>
        <w:rPr>
          <w:sz w:val="20"/>
          <w:szCs w:val="20"/>
          <w:color w:val="auto"/>
        </w:rPr>
      </w:pPr>
      <w:r>
        <w:rPr>
          <w:rFonts w:ascii="Arial" w:cs="Arial" w:eastAsia="Arial" w:hAnsi="Arial"/>
          <w:sz w:val="16"/>
          <w:szCs w:val="16"/>
          <w:b w:val="1"/>
          <w:bCs w:val="1"/>
          <w:color w:val="auto"/>
        </w:rPr>
        <w:t xml:space="preserve">“Environmental Claim” </w:t>
      </w:r>
      <w:r>
        <w:rPr>
          <w:rFonts w:ascii="Arial" w:cs="Arial" w:eastAsia="Arial" w:hAnsi="Arial"/>
          <w:sz w:val="16"/>
          <w:szCs w:val="16"/>
          <w:color w:val="auto"/>
        </w:rPr>
        <w:t>means any claim, action, cause of action, suit, proceeding, investigation, order, demand or notice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instance 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ectPr>
          <w:pgSz w:w="11900" w:h="16914" w:orient="portrait"/>
          <w:cols w:equalWidth="0" w:num="1">
            <w:col w:w="11420"/>
          </w:cols>
          <w:pgMar w:left="240" w:top="125" w:right="239" w:bottom="0" w:gutter="0" w:footer="0" w:header="0"/>
        </w:sectPr>
      </w:pPr>
    </w:p>
    <w:bookmarkStart w:id="20" w:name="page21"/>
    <w:bookmarkEnd w:id="20"/>
    <w:p>
      <w:pPr>
        <w:ind w:right="20" w:firstLine="1945"/>
        <w:spacing w:after="0" w:line="303" w:lineRule="auto"/>
        <w:rPr>
          <w:sz w:val="20"/>
          <w:szCs w:val="20"/>
          <w:color w:val="auto"/>
        </w:rPr>
      </w:pPr>
      <w:r>
        <w:rPr>
          <w:rFonts w:ascii="Arial" w:cs="Arial" w:eastAsia="Arial" w:hAnsi="Arial"/>
          <w:sz w:val="16"/>
          <w:szCs w:val="16"/>
          <w:b w:val="1"/>
          <w:bCs w:val="1"/>
          <w:color w:val="auto"/>
        </w:rPr>
        <w:t xml:space="preserve">“Environmental Laws” </w:t>
      </w:r>
      <w:r>
        <w:rPr>
          <w:rFonts w:ascii="Arial" w:cs="Arial" w:eastAsia="Arial" w:hAnsi="Arial"/>
          <w:sz w:val="16"/>
          <w:szCs w:val="16"/>
          <w:color w:val="auto"/>
        </w:rPr>
        <w:t>mean all applicable federal, state, local and foreign laws, regulations, ordinances, and common law</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51"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substances, petroleum and petroleum products, asbestos or asbestos-containing materials or products, polychlorinated biphenyls, lead or lead-based paints or materials, radon, toxic fungus, toxic mold, mycotoxins or other hazardous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substances that would reasonably be expected to have an adverse effect on human health or the environment.</w:t>
      </w:r>
    </w:p>
    <w:p>
      <w:pPr>
        <w:spacing w:after="0" w:line="225" w:lineRule="exact"/>
        <w:rPr>
          <w:sz w:val="20"/>
          <w:szCs w:val="20"/>
          <w:color w:val="auto"/>
        </w:rPr>
      </w:pPr>
    </w:p>
    <w:p>
      <w:pPr>
        <w:ind w:left="420" w:right="100" w:firstLine="1290"/>
        <w:spacing w:after="0" w:line="257" w:lineRule="auto"/>
        <w:tabs>
          <w:tab w:leader="none" w:pos="1964"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Compliance</w:t>
      </w:r>
      <w:r>
        <w:rPr>
          <w:rFonts w:ascii="Arial" w:cs="Arial" w:eastAsia="Arial" w:hAnsi="Arial"/>
          <w:sz w:val="18"/>
          <w:szCs w:val="18"/>
          <w:color w:val="auto"/>
        </w:rPr>
        <w:t>. The Company and its Subsidiaries are in compliance in all material respects with the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which compliance includes, but is not limited to, the possession by the Company and its Subsidiaries of all material permits and other governmental 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88" w:lineRule="exact"/>
        <w:rPr>
          <w:rFonts w:ascii="Arial" w:cs="Arial" w:eastAsia="Arial" w:hAnsi="Arial"/>
          <w:sz w:val="18"/>
          <w:szCs w:val="18"/>
          <w:color w:val="auto"/>
        </w:rPr>
      </w:pPr>
    </w:p>
    <w:p>
      <w:pPr>
        <w:ind w:left="420" w:right="120" w:firstLine="1290"/>
        <w:spacing w:after="0" w:line="273" w:lineRule="auto"/>
        <w:tabs>
          <w:tab w:leader="none" w:pos="1954"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Environmental Liabilities</w:t>
      </w:r>
      <w:r>
        <w:rPr>
          <w:rFonts w:ascii="Arial" w:cs="Arial" w:eastAsia="Arial" w:hAnsi="Arial"/>
          <w:sz w:val="17"/>
          <w:szCs w:val="17"/>
          <w:color w:val="auto"/>
        </w:rPr>
        <w:t>. There is no material Environmental Claim pending or, to the Company’s Knowledge, threatened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the 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8" w:lineRule="exact"/>
        <w:rPr>
          <w:rFonts w:ascii="Arial" w:cs="Arial" w:eastAsia="Arial" w:hAnsi="Arial"/>
          <w:sz w:val="17"/>
          <w:szCs w:val="17"/>
          <w:color w:val="auto"/>
        </w:rPr>
      </w:pPr>
    </w:p>
    <w:p>
      <w:pPr>
        <w:ind w:left="420" w:right="120" w:firstLine="1290"/>
        <w:spacing w:after="0" w:line="259" w:lineRule="auto"/>
        <w:tabs>
          <w:tab w:leader="none" w:pos="1964"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Information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provided to Parent all nonprivileged and material assessments, reports,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86" w:lineRule="exact"/>
        <w:rPr>
          <w:rFonts w:ascii="Arial" w:cs="Arial" w:eastAsia="Arial" w:hAnsi="Arial"/>
          <w:sz w:val="18"/>
          <w:szCs w:val="18"/>
          <w:color w:val="auto"/>
        </w:rPr>
      </w:pPr>
    </w:p>
    <w:p>
      <w:pPr>
        <w:ind w:left="420" w:right="20" w:firstLine="1290"/>
        <w:spacing w:after="0" w:line="257" w:lineRule="auto"/>
        <w:tabs>
          <w:tab w:leader="none" w:pos="1954"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Obligations</w:t>
      </w:r>
      <w:r>
        <w:rPr>
          <w:rFonts w:ascii="Arial" w:cs="Arial" w:eastAsia="Arial" w:hAnsi="Arial"/>
          <w:sz w:val="18"/>
          <w:szCs w:val="18"/>
          <w:color w:val="auto"/>
        </w:rPr>
        <w:t>. Neither the Company nor any of its Subsidiaries is required under any Environmental Law by virtue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i w:val="1"/>
          <w:iCs w:val="1"/>
          <w:color w:val="auto"/>
        </w:rPr>
        <w:t>Brokers’ and Finders’ Fees</w:t>
      </w:r>
      <w:r>
        <w:rPr>
          <w:rFonts w:ascii="Arial" w:cs="Arial" w:eastAsia="Arial" w:hAnsi="Arial"/>
          <w:sz w:val="17"/>
          <w:szCs w:val="17"/>
          <w:color w:val="auto"/>
        </w:rPr>
        <w:t>.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i w:val="1"/>
          <w:iCs w:val="1"/>
          <w:color w:val="auto"/>
        </w:rPr>
        <w:t>Employee Benefit Plans and Compensation</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Employee Plan</w:t>
      </w:r>
      <w:r>
        <w:rPr>
          <w:rFonts w:ascii="Arial" w:cs="Arial" w:eastAsia="Arial" w:hAnsi="Arial"/>
          <w:sz w:val="17"/>
          <w:szCs w:val="17"/>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right="120" w:firstLine="194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16" w:lineRule="exact"/>
        <w:rPr>
          <w:sz w:val="20"/>
          <w:szCs w:val="20"/>
          <w:color w:val="auto"/>
        </w:rPr>
      </w:pPr>
    </w:p>
    <w:p>
      <w:pPr>
        <w:ind w:right="100" w:firstLine="194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Agreement</w:t>
      </w:r>
      <w:r>
        <w:rPr>
          <w:rFonts w:ascii="Arial" w:cs="Arial" w:eastAsia="Arial" w:hAnsi="Arial"/>
          <w:sz w:val="16"/>
          <w:szCs w:val="16"/>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w:t>
      </w:r>
    </w:p>
    <w:p>
      <w:pPr>
        <w:sectPr>
          <w:pgSz w:w="11900" w:h="16838" w:orient="portrait"/>
          <w:cols w:equalWidth="0" w:num="1">
            <w:col w:w="11420"/>
          </w:cols>
          <w:pgMar w:left="240" w:top="337" w:right="239" w:bottom="0" w:gutter="0" w:footer="0" w:header="0"/>
        </w:sectPr>
      </w:pPr>
    </w:p>
    <w:bookmarkStart w:id="21" w:name="page22"/>
    <w:bookmarkEnd w:id="21"/>
    <w:p>
      <w:pPr>
        <w:ind w:right="500"/>
        <w:spacing w:after="0" w:line="308" w:lineRule="auto"/>
        <w:rPr>
          <w:sz w:val="20"/>
          <w:szCs w:val="20"/>
          <w:color w:val="auto"/>
        </w:rPr>
      </w:pPr>
      <w:r>
        <w:rPr>
          <w:rFonts w:ascii="Arial" w:cs="Arial" w:eastAsia="Arial" w:hAnsi="Arial"/>
          <w:sz w:val="17"/>
          <w:szCs w:val="17"/>
          <w:color w:val="auto"/>
        </w:rPr>
        <w:t>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320" w:firstLine="1945"/>
        <w:spacing w:after="0" w:line="28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414(b), (c), (m) or (o) of the Code, and the regulations issued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right="80" w:firstLine="19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Employee Plan</w:t>
      </w:r>
      <w:r>
        <w:rPr>
          <w:rFonts w:ascii="Arial" w:cs="Arial" w:eastAsia="Arial" w:hAnsi="Arial"/>
          <w:sz w:val="17"/>
          <w:szCs w:val="17"/>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shall mean each Company Employee Plan that is an “employee pension benefit plan,” within the meaning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3(2) of ERISA.</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left="420" w:right="40" w:firstLine="1290"/>
        <w:spacing w:after="0" w:line="272" w:lineRule="auto"/>
        <w:tabs>
          <w:tab w:leader="none" w:pos="1964" w:val="left"/>
        </w:tabs>
        <w:numPr>
          <w:ilvl w:val="1"/>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Schedule</w:t>
      </w:r>
      <w:r>
        <w:rPr>
          <w:rFonts w:ascii="Arial" w:cs="Arial" w:eastAsia="Arial" w:hAnsi="Arial"/>
          <w:sz w:val="17"/>
          <w:szCs w:val="17"/>
          <w:b w:val="1"/>
          <w:bCs w:val="1"/>
          <w:color w:val="auto"/>
        </w:rPr>
        <w:t>. Section 2.16(b)(i)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contains an accurate and complete list of each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 Plan 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intends to terminate his or her employment for any reason. </w:t>
      </w:r>
      <w:r>
        <w:rPr>
          <w:rFonts w:ascii="Arial" w:cs="Arial" w:eastAsia="Arial" w:hAnsi="Arial"/>
          <w:sz w:val="17"/>
          <w:szCs w:val="17"/>
          <w:b w:val="1"/>
          <w:bCs w:val="1"/>
          <w:color w:val="auto"/>
        </w:rPr>
        <w:t>Section 2.16(b)(iii)</w:t>
      </w:r>
      <w:r>
        <w:rPr>
          <w:rFonts w:ascii="Arial" w:cs="Arial" w:eastAsia="Arial" w:hAnsi="Arial"/>
          <w:sz w:val="17"/>
          <w:szCs w:val="17"/>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6" w:lineRule="exact"/>
        <w:rPr>
          <w:rFonts w:ascii="Arial" w:cs="Arial" w:eastAsia="Arial" w:hAnsi="Arial"/>
          <w:sz w:val="17"/>
          <w:szCs w:val="17"/>
          <w:color w:val="auto"/>
        </w:rPr>
      </w:pPr>
    </w:p>
    <w:p>
      <w:pPr>
        <w:ind w:left="420" w:right="60" w:firstLine="1290"/>
        <w:spacing w:after="0" w:line="291" w:lineRule="auto"/>
        <w:tabs>
          <w:tab w:leader="none" w:pos="1954"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The Company and each of its Subsidiaries have Made Available to Parent (i) correct and complete copies of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embodying each Company Employee Plan and each Employee Agreement including all amendments thereto and all related trust documents,</w:t>
      </w:r>
    </w:p>
    <w:p>
      <w:pPr>
        <w:ind w:left="420" w:right="80" w:hanging="7"/>
        <w:spacing w:after="0" w:line="288" w:lineRule="auto"/>
        <w:tabs>
          <w:tab w:leader="none" w:pos="6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240"/>
        <w:spacing w:after="0" w:line="255" w:lineRule="auto"/>
        <w:rPr>
          <w:sz w:val="20"/>
          <w:szCs w:val="20"/>
          <w:color w:val="auto"/>
        </w:rPr>
      </w:pPr>
      <w:r>
        <w:rPr>
          <w:rFonts w:ascii="Arial" w:cs="Arial" w:eastAsia="Arial" w:hAnsi="Arial"/>
          <w:sz w:val="18"/>
          <w:szCs w:val="18"/>
          <w:color w:val="auto"/>
        </w:rPr>
        <w:t>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9" w:lineRule="exact"/>
        <w:rPr>
          <w:sz w:val="20"/>
          <w:szCs w:val="20"/>
          <w:color w:val="auto"/>
        </w:rPr>
      </w:pPr>
    </w:p>
    <w:p>
      <w:pPr>
        <w:ind w:left="420" w:firstLine="1290"/>
        <w:spacing w:after="0" w:line="289" w:lineRule="auto"/>
        <w:tabs>
          <w:tab w:leader="none" w:pos="1964"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Employee Plan Compliance</w:t>
      </w:r>
      <w:r>
        <w:rPr>
          <w:rFonts w:ascii="Arial" w:cs="Arial" w:eastAsia="Arial" w:hAnsi="Arial"/>
          <w:sz w:val="16"/>
          <w:szCs w:val="16"/>
          <w:color w:val="auto"/>
        </w:rPr>
        <w:t>. The Company Employee Plans are in, and have been administered in, material compliance with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 in accordance with current published guidance from the IRS, could be determined as constituting a “nonqualified deferred compensation plan” subject to Section 409A of the Code.</w:t>
      </w:r>
    </w:p>
    <w:p>
      <w:pPr>
        <w:spacing w:after="0" w:line="166" w:lineRule="exact"/>
        <w:rPr>
          <w:rFonts w:ascii="Arial" w:cs="Arial" w:eastAsia="Arial" w:hAnsi="Arial"/>
          <w:sz w:val="16"/>
          <w:szCs w:val="16"/>
          <w:color w:val="auto"/>
        </w:rPr>
      </w:pPr>
    </w:p>
    <w:p>
      <w:pPr>
        <w:ind w:left="1940" w:hanging="230"/>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953"/>
        <w:spacing w:after="0" w:line="257" w:lineRule="auto"/>
        <w:tabs>
          <w:tab w:leader="none" w:pos="25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ectPr>
          <w:pgSz w:w="11900" w:h="16838" w:orient="portrait"/>
          <w:cols w:equalWidth="0" w:num="1">
            <w:col w:w="11420"/>
          </w:cols>
          <w:pgMar w:left="240" w:top="125" w:right="239" w:bottom="22" w:gutter="0" w:footer="0" w:header="0"/>
        </w:sectPr>
      </w:pPr>
    </w:p>
    <w:bookmarkStart w:id="22" w:name="page23"/>
    <w:bookmarkEnd w:id="22"/>
    <w:p>
      <w:pPr>
        <w:spacing w:after="0" w:line="61" w:lineRule="exact"/>
        <w:rPr>
          <w:sz w:val="20"/>
          <w:szCs w:val="20"/>
          <w:color w:val="auto"/>
        </w:rPr>
      </w:pPr>
    </w:p>
    <w:p>
      <w:pPr>
        <w:ind w:left="-20" w:right="60" w:firstLine="1953"/>
        <w:spacing w:after="0" w:line="259" w:lineRule="auto"/>
        <w:tabs>
          <w:tab w:leader="none" w:pos="25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340" w:firstLine="1290"/>
        <w:spacing w:after="0" w:line="264" w:lineRule="auto"/>
        <w:tabs>
          <w:tab w:leader="none" w:pos="1953"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No Pension Plan</w:t>
      </w:r>
      <w:r>
        <w:rPr>
          <w:rFonts w:ascii="Arial" w:cs="Arial" w:eastAsia="Arial" w:hAnsi="Arial"/>
          <w:sz w:val="18"/>
          <w:szCs w:val="18"/>
          <w:color w:val="auto"/>
        </w:rPr>
        <w:t>. Neither the Company, nor any of its Subsidiaries nor any current or former ERISA Affiliate has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maintained, established, sponsored, participated in or contributed to, any Pension Plan subject to Part 3 of Subtitle B of Title I of ERISA, Title IV of ERISA or Section 412 of the Code.</w:t>
      </w:r>
    </w:p>
    <w:p>
      <w:pPr>
        <w:spacing w:after="0" w:line="181" w:lineRule="exact"/>
        <w:rPr>
          <w:rFonts w:ascii="Arial" w:cs="Arial" w:eastAsia="Arial" w:hAnsi="Arial"/>
          <w:sz w:val="18"/>
          <w:szCs w:val="18"/>
          <w:color w:val="auto"/>
        </w:rPr>
      </w:pPr>
    </w:p>
    <w:p>
      <w:pPr>
        <w:ind w:left="480" w:right="340" w:firstLine="1291"/>
        <w:spacing w:after="0" w:line="264" w:lineRule="auto"/>
        <w:tabs>
          <w:tab w:leader="none" w:pos="2031" w:val="left"/>
        </w:tabs>
        <w:numPr>
          <w:ilvl w:val="1"/>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No Self-Insured Plan</w:t>
      </w:r>
      <w:r>
        <w:rPr>
          <w:rFonts w:ascii="Arial" w:cs="Arial" w:eastAsia="Arial" w:hAnsi="Arial"/>
          <w:sz w:val="18"/>
          <w:szCs w:val="18"/>
          <w:color w:val="auto"/>
        </w:rPr>
        <w:t>. Neither the Company, nor any of its Subsidiaries nor any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self-insured plan that provides benefits to Employees/Service Providers (including any such plan pursuant to which a stop-loss policy or contract applies).</w:t>
      </w:r>
    </w:p>
    <w:p>
      <w:pPr>
        <w:spacing w:after="0" w:line="181" w:lineRule="exact"/>
        <w:rPr>
          <w:sz w:val="20"/>
          <w:szCs w:val="20"/>
          <w:color w:val="auto"/>
        </w:rPr>
      </w:pPr>
    </w:p>
    <w:p>
      <w:pPr>
        <w:ind w:left="400" w:firstLine="1290"/>
        <w:spacing w:after="0" w:line="271" w:lineRule="auto"/>
        <w:tabs>
          <w:tab w:leader="none" w:pos="1944"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Effect of Transaction; Executive Compensation Tax</w:t>
      </w:r>
      <w:r>
        <w:rPr>
          <w:rFonts w:ascii="Arial" w:cs="Arial" w:eastAsia="Arial" w:hAnsi="Arial"/>
          <w:sz w:val="17"/>
          <w:szCs w:val="17"/>
          <w:color w:val="auto"/>
        </w:rPr>
        <w:t>. No Company Employee Plan or Employee Agreement exists that, as a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8" w:lineRule="exact"/>
        <w:rPr>
          <w:rFonts w:ascii="Arial" w:cs="Arial" w:eastAsia="Arial" w:hAnsi="Arial"/>
          <w:sz w:val="17"/>
          <w:szCs w:val="17"/>
          <w:color w:val="auto"/>
        </w:rPr>
      </w:pPr>
    </w:p>
    <w:p>
      <w:pPr>
        <w:ind w:left="400" w:right="100" w:firstLine="1290"/>
        <w:spacing w:after="0" w:line="255" w:lineRule="auto"/>
        <w:tabs>
          <w:tab w:leader="none" w:pos="1943"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Parachute Payments</w:t>
      </w:r>
      <w:r>
        <w:rPr>
          <w:rFonts w:ascii="Arial" w:cs="Arial" w:eastAsia="Arial" w:hAnsi="Arial"/>
          <w:sz w:val="18"/>
          <w:szCs w:val="18"/>
          <w:color w:val="auto"/>
        </w:rPr>
        <w:t>. There is no agreement, plan, arrangement or other contract covering any Employee/Service Provider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280G(b)(2) 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89" w:lineRule="exact"/>
        <w:rPr>
          <w:rFonts w:ascii="Arial" w:cs="Arial" w:eastAsia="Arial" w:hAnsi="Arial"/>
          <w:sz w:val="18"/>
          <w:szCs w:val="18"/>
          <w:color w:val="auto"/>
        </w:rPr>
      </w:pPr>
    </w:p>
    <w:p>
      <w:pPr>
        <w:ind w:left="400" w:right="20" w:firstLine="1290"/>
        <w:spacing w:after="0" w:line="312" w:lineRule="auto"/>
        <w:tabs>
          <w:tab w:leader="none" w:pos="194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Section 162(m) of the Code</w:t>
      </w:r>
      <w:r>
        <w:rPr>
          <w:rFonts w:ascii="Arial" w:cs="Arial" w:eastAsia="Arial" w:hAnsi="Arial"/>
          <w:sz w:val="16"/>
          <w:szCs w:val="16"/>
          <w:color w:val="auto"/>
        </w:rPr>
        <w:t>. There is no contract, agreement, plan or arrangement to which the Company or any of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party, 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46" w:lineRule="exact"/>
        <w:rPr>
          <w:rFonts w:ascii="Arial" w:cs="Arial" w:eastAsia="Arial" w:hAnsi="Arial"/>
          <w:sz w:val="16"/>
          <w:szCs w:val="16"/>
          <w:color w:val="auto"/>
        </w:rPr>
      </w:pPr>
    </w:p>
    <w:p>
      <w:pPr>
        <w:ind w:left="400" w:right="200" w:firstLine="1290"/>
        <w:spacing w:after="0" w:line="259" w:lineRule="auto"/>
        <w:tabs>
          <w:tab w:leader="none" w:pos="1944"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Matters</w:t>
      </w:r>
      <w:r>
        <w:rPr>
          <w:rFonts w:ascii="Arial" w:cs="Arial" w:eastAsia="Arial" w:hAnsi="Arial"/>
          <w:sz w:val="18"/>
          <w:szCs w:val="18"/>
          <w:color w:val="auto"/>
        </w:rPr>
        <w:t>. The Company and each of its Subsidiaries are in compliance in all material respects with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color w:val="auto"/>
        </w:rPr>
        <w:t>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 The services provided by each of the Company’s, each of the Company’s Subsidiary’s and each of their ERISA Affiliates’ current employees based in the United States are terminable at the will of the Company and its ERISA Affiliates.</w:t>
      </w:r>
    </w:p>
    <w:p>
      <w:pPr>
        <w:spacing w:after="0" w:line="178" w:lineRule="exact"/>
        <w:rPr>
          <w:sz w:val="20"/>
          <w:szCs w:val="20"/>
          <w:color w:val="auto"/>
        </w:rPr>
      </w:pPr>
    </w:p>
    <w:p>
      <w:pPr>
        <w:ind w:left="400" w:right="20" w:firstLine="1290"/>
        <w:spacing w:after="0" w:line="255" w:lineRule="auto"/>
        <w:tabs>
          <w:tab w:leader="none" w:pos="1943"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 Post-Employment Obligations</w:t>
      </w:r>
      <w:r>
        <w:rPr>
          <w:rFonts w:ascii="Arial" w:cs="Arial" w:eastAsia="Arial" w:hAnsi="Arial"/>
          <w:sz w:val="18"/>
          <w:szCs w:val="18"/>
          <w:color w:val="auto"/>
        </w:rPr>
        <w:t>. No Company Employee Plan or Employee Agreement provides post-termination or retiree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93" w:lineRule="exact"/>
        <w:rPr>
          <w:rFonts w:ascii="Arial" w:cs="Arial" w:eastAsia="Arial" w:hAnsi="Arial"/>
          <w:sz w:val="18"/>
          <w:szCs w:val="18"/>
          <w:color w:val="auto"/>
        </w:rPr>
      </w:pPr>
    </w:p>
    <w:p>
      <w:pPr>
        <w:ind w:left="400" w:right="120" w:firstLine="1290"/>
        <w:spacing w:after="0" w:line="287" w:lineRule="auto"/>
        <w:tabs>
          <w:tab w:leader="none" w:pos="2001"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Labor</w:t>
      </w:r>
      <w:r>
        <w:rPr>
          <w:rFonts w:ascii="Arial" w:cs="Arial" w:eastAsia="Arial" w:hAnsi="Arial"/>
          <w:sz w:val="16"/>
          <w:szCs w:val="16"/>
          <w:color w:val="auto"/>
        </w:rPr>
        <w:t>. No work stoppage, slowdown, lockout or labor strike against the Company or any of its Subsidiaries is pending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this 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 applicable state or local law requiring notice to</w:t>
      </w:r>
    </w:p>
    <w:p>
      <w:pPr>
        <w:sectPr>
          <w:pgSz w:w="11900" w:h="16899" w:orient="portrait"/>
          <w:cols w:equalWidth="0" w:num="1">
            <w:col w:w="11400"/>
          </w:cols>
          <w:pgMar w:left="26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employees in the event of a closing or layoff, within ninety days prior to the date of this Agreement.</w:t>
      </w:r>
    </w:p>
    <w:p>
      <w:pPr>
        <w:spacing w:after="0" w:line="221" w:lineRule="exact"/>
        <w:rPr>
          <w:sz w:val="20"/>
          <w:szCs w:val="20"/>
          <w:color w:val="auto"/>
        </w:rPr>
      </w:pPr>
    </w:p>
    <w:p>
      <w:pPr>
        <w:ind w:left="420" w:right="40" w:firstLine="1290"/>
        <w:spacing w:after="0" w:line="256" w:lineRule="auto"/>
        <w:tabs>
          <w:tab w:leader="none" w:pos="1964"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Works Council</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councils to 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87" w:lineRule="exact"/>
        <w:rPr>
          <w:rFonts w:ascii="Arial" w:cs="Arial" w:eastAsia="Arial" w:hAnsi="Arial"/>
          <w:sz w:val="18"/>
          <w:szCs w:val="18"/>
          <w:color w:val="auto"/>
        </w:rPr>
      </w:pPr>
    </w:p>
    <w:p>
      <w:pPr>
        <w:ind w:left="420" w:right="20" w:firstLine="1290"/>
        <w:spacing w:after="0" w:line="29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 Employee Plan</w:t>
      </w:r>
      <w:r>
        <w:rPr>
          <w:rFonts w:ascii="Arial" w:cs="Arial" w:eastAsia="Arial" w:hAnsi="Arial"/>
          <w:sz w:val="16"/>
          <w:szCs w:val="16"/>
          <w:color w:val="auto"/>
        </w:rPr>
        <w:t>. Except as (i) is required under any Legal Requirements or (ii)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2.16(o)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Company Disclosure Schedule, the foregoing representations contained in </w:t>
      </w:r>
      <w:r>
        <w:rPr>
          <w:rFonts w:ascii="Arial" w:cs="Arial" w:eastAsia="Arial" w:hAnsi="Arial"/>
          <w:sz w:val="16"/>
          <w:szCs w:val="16"/>
          <w:b w:val="1"/>
          <w:bCs w:val="1"/>
          <w:color w:val="auto"/>
        </w:rPr>
        <w:t>Sections 2.16(d)</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2.16(n)</w:t>
      </w:r>
      <w:r>
        <w:rPr>
          <w:rFonts w:ascii="Arial" w:cs="Arial" w:eastAsia="Arial" w:hAnsi="Arial"/>
          <w:sz w:val="16"/>
          <w:szCs w:val="16"/>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221" w:lineRule="exact"/>
        <w:rPr>
          <w:sz w:val="20"/>
          <w:szCs w:val="20"/>
          <w:color w:val="auto"/>
        </w:rPr>
      </w:pPr>
    </w:p>
    <w:p>
      <w:pPr>
        <w:ind w:left="420" w:right="240" w:firstLine="1290"/>
        <w:spacing w:after="0" w:line="282" w:lineRule="auto"/>
        <w:tabs>
          <w:tab w:leader="none" w:pos="1954"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any of its Subsidiaries is a party or by which it or its assets are bound:</w:t>
      </w:r>
    </w:p>
    <w:p>
      <w:pPr>
        <w:spacing w:after="0" w:line="165" w:lineRule="exact"/>
        <w:rPr>
          <w:rFonts w:ascii="Arial" w:cs="Arial" w:eastAsia="Arial" w:hAnsi="Arial"/>
          <w:sz w:val="18"/>
          <w:szCs w:val="18"/>
          <w:color w:val="auto"/>
        </w:rPr>
      </w:pPr>
    </w:p>
    <w:p>
      <w:pPr>
        <w:ind w:left="2600" w:hanging="323"/>
        <w:spacing w:after="0"/>
        <w:tabs>
          <w:tab w:leader="none" w:pos="2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“material contract” (as such term is defined in Item 601(b)(10) of Regulation S-K of the SEC) with respect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and its Subsidiaries;</w:t>
      </w:r>
    </w:p>
    <w:p>
      <w:pPr>
        <w:spacing w:after="0" w:line="210" w:lineRule="exact"/>
        <w:rPr>
          <w:rFonts w:ascii="Arial" w:cs="Arial" w:eastAsia="Arial" w:hAnsi="Arial"/>
          <w:sz w:val="17"/>
          <w:szCs w:val="17"/>
          <w:color w:val="auto"/>
        </w:rPr>
      </w:pPr>
    </w:p>
    <w:p>
      <w:pPr>
        <w:ind w:firstLine="2277"/>
        <w:spacing w:after="0" w:line="257" w:lineRule="auto"/>
        <w:tabs>
          <w:tab w:leader="none" w:pos="260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88" w:lineRule="exact"/>
        <w:rPr>
          <w:rFonts w:ascii="Arial" w:cs="Arial" w:eastAsia="Arial" w:hAnsi="Arial"/>
          <w:sz w:val="18"/>
          <w:szCs w:val="18"/>
          <w:color w:val="auto"/>
        </w:rPr>
      </w:pPr>
    </w:p>
    <w:p>
      <w:pPr>
        <w:ind w:right="300" w:firstLine="2277"/>
        <w:spacing w:after="0" w:line="277" w:lineRule="auto"/>
        <w:tabs>
          <w:tab w:leader="none" w:pos="261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Contract or plan, including, without limitation, any Company Employee Plan or Employee Agreement, any of the benefits of which will be increased, or the vesting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81" w:lineRule="exact"/>
        <w:rPr>
          <w:sz w:val="20"/>
          <w:szCs w:val="20"/>
          <w:color w:val="auto"/>
        </w:rPr>
      </w:pPr>
    </w:p>
    <w:p>
      <w:pPr>
        <w:ind w:right="800" w:firstLine="2277"/>
        <w:spacing w:after="0" w:line="308" w:lineRule="auto"/>
        <w:tabs>
          <w:tab w:leader="none" w:pos="26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46" w:lineRule="exact"/>
        <w:rPr>
          <w:rFonts w:ascii="Arial" w:cs="Arial" w:eastAsia="Arial" w:hAnsi="Arial"/>
          <w:sz w:val="17"/>
          <w:szCs w:val="17"/>
          <w:color w:val="auto"/>
        </w:rPr>
      </w:pPr>
    </w:p>
    <w:p>
      <w:pPr>
        <w:ind w:right="420" w:firstLine="2277"/>
        <w:spacing w:after="0" w:line="342" w:lineRule="auto"/>
        <w:tabs>
          <w:tab w:leader="none" w:pos="25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23" w:lineRule="exact"/>
        <w:rPr>
          <w:rFonts w:ascii="Arial" w:cs="Arial" w:eastAsia="Arial" w:hAnsi="Arial"/>
          <w:sz w:val="16"/>
          <w:szCs w:val="16"/>
          <w:color w:val="auto"/>
        </w:rPr>
      </w:pPr>
    </w:p>
    <w:p>
      <w:pPr>
        <w:ind w:left="2620" w:hanging="343"/>
        <w:spacing w:after="0"/>
        <w:tabs>
          <w:tab w:leader="none" w:pos="2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right="140" w:firstLine="2277"/>
        <w:spacing w:after="0" w:line="342" w:lineRule="auto"/>
        <w:tabs>
          <w:tab w:leader="none" w:pos="2617"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23" w:lineRule="exact"/>
        <w:rPr>
          <w:rFonts w:ascii="Arial" w:cs="Arial" w:eastAsia="Arial" w:hAnsi="Arial"/>
          <w:sz w:val="16"/>
          <w:szCs w:val="16"/>
          <w:color w:val="auto"/>
        </w:rPr>
      </w:pPr>
    </w:p>
    <w:p>
      <w:pPr>
        <w:ind w:right="60" w:firstLine="2277"/>
        <w:spacing w:after="0" w:line="264" w:lineRule="auto"/>
        <w:tabs>
          <w:tab w:leader="none" w:pos="26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settlement agreement which contains continuing material obligations of the Company or any of its Subsidiaries;</w:t>
      </w:r>
    </w:p>
    <w:p>
      <w:pPr>
        <w:spacing w:after="0" w:line="236" w:lineRule="exact"/>
        <w:rPr>
          <w:rFonts w:ascii="Arial" w:cs="Arial" w:eastAsia="Arial" w:hAnsi="Arial"/>
          <w:sz w:val="17"/>
          <w:szCs w:val="17"/>
          <w:color w:val="auto"/>
        </w:rPr>
      </w:pPr>
    </w:p>
    <w:p>
      <w:pPr>
        <w:ind w:right="60" w:firstLine="2277"/>
        <w:spacing w:after="0" w:line="297" w:lineRule="auto"/>
        <w:tabs>
          <w:tab w:leader="none" w:pos="2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54" w:lineRule="exact"/>
        <w:rPr>
          <w:rFonts w:ascii="Arial" w:cs="Arial" w:eastAsia="Arial" w:hAnsi="Arial"/>
          <w:sz w:val="16"/>
          <w:szCs w:val="16"/>
          <w:color w:val="auto"/>
        </w:rPr>
      </w:pPr>
    </w:p>
    <w:p>
      <w:pPr>
        <w:ind w:left="2660" w:hanging="383"/>
        <w:spacing w:after="0"/>
        <w:tabs>
          <w:tab w:leader="none" w:pos="2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any Contract required to be disclosed in </w:t>
      </w:r>
      <w:r>
        <w:rPr>
          <w:rFonts w:ascii="Arial" w:cs="Arial" w:eastAsia="Arial" w:hAnsi="Arial"/>
          <w:sz w:val="16"/>
          <w:szCs w:val="16"/>
          <w:b w:val="1"/>
          <w:bCs w:val="1"/>
          <w:color w:val="auto"/>
        </w:rPr>
        <w:t>Section 2.8</w:t>
      </w:r>
      <w:r>
        <w:rPr>
          <w:rFonts w:ascii="Arial" w:cs="Arial" w:eastAsia="Arial" w:hAnsi="Arial"/>
          <w:sz w:val="16"/>
          <w:szCs w:val="16"/>
          <w:color w:val="auto"/>
        </w:rPr>
        <w:t xml:space="preserve"> of the Company Disclosure Schedule or any subsection thereof;</w:t>
      </w:r>
    </w:p>
    <w:p>
      <w:pPr>
        <w:spacing w:after="0" w:line="252" w:lineRule="exact"/>
        <w:rPr>
          <w:rFonts w:ascii="Arial" w:cs="Arial" w:eastAsia="Arial" w:hAnsi="Arial"/>
          <w:sz w:val="16"/>
          <w:szCs w:val="16"/>
          <w:color w:val="auto"/>
        </w:rPr>
      </w:pPr>
    </w:p>
    <w:p>
      <w:pPr>
        <w:ind w:right="320" w:firstLine="2277"/>
        <w:spacing w:after="0" w:line="277" w:lineRule="auto"/>
        <w:tabs>
          <w:tab w:leader="none" w:pos="2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ectPr>
          <w:pgSz w:w="11900" w:h="16838" w:orient="portrait"/>
          <w:cols w:equalWidth="0" w:num="1">
            <w:col w:w="11420"/>
          </w:cols>
          <w:pgMar w:left="240" w:top="341" w:right="239" w:bottom="4" w:gutter="0" w:footer="0" w:header="0"/>
        </w:sectPr>
      </w:pPr>
    </w:p>
    <w:bookmarkStart w:id="24" w:name="page25"/>
    <w:bookmarkEnd w:id="24"/>
    <w:p>
      <w:pPr>
        <w:ind w:right="180" w:firstLine="2277"/>
        <w:spacing w:after="0" w:line="277" w:lineRule="auto"/>
        <w:tabs>
          <w:tab w:leader="none" w:pos="27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40" w:firstLine="1290"/>
        <w:spacing w:after="0" w:line="266" w:lineRule="auto"/>
        <w:tabs>
          <w:tab w:leader="none" w:pos="1964"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Schedule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any of its Subsidiaries is a party or by which the Company or any of its Subsidiaries is bound or by which any of their respective properties is bound or affected as of the date hereof.</w:t>
      </w:r>
    </w:p>
    <w:p>
      <w:pPr>
        <w:spacing w:after="0" w:line="180" w:lineRule="exact"/>
        <w:rPr>
          <w:rFonts w:ascii="Arial" w:cs="Arial" w:eastAsia="Arial" w:hAnsi="Arial"/>
          <w:sz w:val="18"/>
          <w:szCs w:val="18"/>
          <w:color w:val="auto"/>
        </w:rPr>
      </w:pPr>
    </w:p>
    <w:p>
      <w:pPr>
        <w:ind w:left="420" w:firstLine="1290"/>
        <w:spacing w:after="0" w:line="273" w:lineRule="auto"/>
        <w:tabs>
          <w:tab w:leader="none" w:pos="1954"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No Breach</w:t>
      </w:r>
      <w:r>
        <w:rPr>
          <w:rFonts w:ascii="Arial" w:cs="Arial" w:eastAsia="Arial" w:hAnsi="Arial"/>
          <w:sz w:val="17"/>
          <w:szCs w:val="17"/>
          <w:color w:val="auto"/>
        </w:rPr>
        <w:t>. All Company Material Contracts are valid and in full force and effect except to the extent they have previously expired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b w:val="1"/>
          <w:bCs w:val="1"/>
          <w:i w:val="1"/>
          <w:iCs w:val="1"/>
          <w:color w:val="auto"/>
        </w:rPr>
        <w:t>Insurance</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2.18</w:t>
      </w:r>
      <w:r>
        <w:rPr>
          <w:rFonts w:ascii="Arial" w:cs="Arial" w:eastAsia="Arial" w:hAnsi="Arial"/>
          <w:sz w:val="17"/>
          <w:szCs w:val="17"/>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6"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b w:val="1"/>
          <w:bCs w:val="1"/>
          <w:i w:val="1"/>
          <w:iCs w:val="1"/>
          <w:color w:val="auto"/>
        </w:rPr>
        <w:t>Export Control Laws</w:t>
      </w:r>
      <w:r>
        <w:rPr>
          <w:rFonts w:ascii="Arial" w:cs="Arial" w:eastAsia="Arial" w:hAnsi="Arial"/>
          <w:sz w:val="16"/>
          <w:szCs w:val="16"/>
          <w:color w:val="auto"/>
        </w:rPr>
        <w:t>. The Company and each of its Subsidiaries have at all times conducted their export transactions materially in accordance with (i) 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7" w:lineRule="exact"/>
        <w:rPr>
          <w:sz w:val="20"/>
          <w:szCs w:val="20"/>
          <w:color w:val="auto"/>
        </w:rPr>
      </w:pPr>
    </w:p>
    <w:p>
      <w:pPr>
        <w:ind w:left="420" w:right="460" w:firstLine="1290"/>
        <w:spacing w:after="0" w:line="279" w:lineRule="auto"/>
        <w:tabs>
          <w:tab w:leader="none" w:pos="195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7"/>
          <w:szCs w:val="17"/>
          <w:b w:val="1"/>
          <w:bCs w:val="1"/>
          <w:color w:val="auto"/>
        </w:rPr>
        <w:t>Export Approvals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20" w:right="160" w:firstLine="1290"/>
        <w:spacing w:after="0" w:line="277" w:lineRule="auto"/>
        <w:tabs>
          <w:tab w:leader="none" w:pos="1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77" w:lineRule="auto"/>
        <w:tabs>
          <w:tab w:leader="none" w:pos="19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70" w:lineRule="exact"/>
        <w:rPr>
          <w:rFonts w:ascii="Arial" w:cs="Arial" w:eastAsia="Arial" w:hAnsi="Arial"/>
          <w:sz w:val="18"/>
          <w:szCs w:val="18"/>
          <w:color w:val="auto"/>
        </w:rPr>
      </w:pPr>
    </w:p>
    <w:p>
      <w:pPr>
        <w:ind w:left="1960" w:hanging="250"/>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i w:val="1"/>
          <w:iCs w:val="1"/>
          <w:color w:val="auto"/>
        </w:rPr>
        <w:t>Information in Registration Statement and Prospectus/Proxy Statement</w:t>
      </w:r>
      <w:r>
        <w:rPr>
          <w:rFonts w:ascii="Arial" w:cs="Arial" w:eastAsia="Arial" w:hAnsi="Arial"/>
          <w:sz w:val="16"/>
          <w:szCs w:val="16"/>
          <w:color w:val="auto"/>
        </w:rPr>
        <w:t>.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 amendments or supplements thereto)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will, at the time the Registration Statement becomes effective under the Securities Act, contain any untrue statement of a material fact or omit to</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Prospectus/Proxy Statement to be filed with the SEC as part of the Registration Statement (the “</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the Company with respect to statements made or incorporated by reference therein about Parent or Merger Sub supplied by Parent or Merger Sub for inclusion or incorporation by reference in the Registration Statement or the Prospectus/Proxy Statement.</w:t>
      </w:r>
    </w:p>
    <w:p>
      <w:pPr>
        <w:spacing w:after="0" w:line="17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i w:val="1"/>
          <w:iCs w:val="1"/>
          <w:color w:val="auto"/>
        </w:rPr>
        <w:t>Fairness Opinion</w:t>
      </w:r>
      <w:r>
        <w:rPr>
          <w:rFonts w:ascii="Arial" w:cs="Arial" w:eastAsia="Arial" w:hAnsi="Arial"/>
          <w:sz w:val="16"/>
          <w:szCs w:val="16"/>
          <w:color w:val="auto"/>
        </w:rPr>
        <w:t>. The Company has received the opinion of Deutsche Bank as of March 7, 2006, to the effect that, as of such date, the Exchange Ratio is fair to the Company’s stockholders from a financial point of view and will deliver to Parent a copy of such opinion as soon as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t>practicable after a written copy thereof is executed. The Company has been authorized by Deutsche Bank to permit the inclusion of such opinion in its entirety in the Registration Statement and the Prospectus/Proxy Statement.</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i w:val="1"/>
          <w:iCs w:val="1"/>
          <w:color w:val="auto"/>
        </w:rPr>
        <w:t>Takeover Statutes and Rights Plans</w:t>
      </w:r>
      <w:r>
        <w:rPr>
          <w:rFonts w:ascii="Arial" w:cs="Arial" w:eastAsia="Arial" w:hAnsi="Arial"/>
          <w:sz w:val="18"/>
          <w:szCs w:val="18"/>
          <w:color w:val="auto"/>
        </w:rPr>
        <w:t>.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MERGER SUB</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Organization</w:t>
      </w:r>
      <w:r>
        <w:rPr>
          <w:rFonts w:ascii="Arial" w:cs="Arial" w:eastAsia="Arial" w:hAnsi="Arial"/>
          <w:sz w:val="17"/>
          <w:szCs w:val="17"/>
          <w:color w:val="auto"/>
        </w:rPr>
        <w:t>.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7"/>
          <w:szCs w:val="17"/>
          <w:b w:val="1"/>
          <w:bCs w:val="1"/>
          <w:color w:val="auto"/>
        </w:rPr>
        <w:t>Parent Charter Documents</w:t>
      </w:r>
      <w:r>
        <w:rPr>
          <w:rFonts w:ascii="Arial" w:cs="Arial" w:eastAsia="Arial" w:hAnsi="Arial"/>
          <w:sz w:val="17"/>
          <w:szCs w:val="17"/>
          <w:color w:val="auto"/>
        </w:rPr>
        <w:t>”) and (ii) the certificate of incorporation and bylaws of Merger Sub, each as amended to date (collectively, the “</w:t>
      </w:r>
      <w:r>
        <w:rPr>
          <w:rFonts w:ascii="Arial" w:cs="Arial" w:eastAsia="Arial" w:hAnsi="Arial"/>
          <w:sz w:val="17"/>
          <w:szCs w:val="17"/>
          <w:b w:val="1"/>
          <w:bCs w:val="1"/>
          <w:color w:val="auto"/>
        </w:rPr>
        <w:t>Merger Sub Charter Documents</w:t>
      </w:r>
      <w:r>
        <w:rPr>
          <w:rFonts w:ascii="Arial" w:cs="Arial" w:eastAsia="Arial" w:hAnsi="Arial"/>
          <w:sz w:val="17"/>
          <w:szCs w:val="17"/>
          <w:color w:val="auto"/>
        </w:rPr>
        <w:t>”). Parent is not in violation of any of the provisions of the Parent Charter Documents and Merger Sub is not in material violation of any of the provisions of the Merger Sub Charter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90" w:lineRule="auto"/>
        <w:tabs>
          <w:tab w:leader="none" w:pos="1954"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Authority</w:t>
      </w:r>
      <w:r>
        <w:rPr>
          <w:rFonts w:ascii="Arial" w:cs="Arial" w:eastAsia="Arial" w:hAnsi="Arial"/>
          <w:sz w:val="16"/>
          <w:szCs w:val="16"/>
          <w:color w:val="auto"/>
        </w:rPr>
        <w:t>. Each of Parent and Merger Sub has all requisite corporate power and authority to enter into this Agreement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consummate the transactions contemplated hereby. 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relating to or affecting the rights and remedies of creditors generally and to general principles of equity.</w:t>
      </w:r>
    </w:p>
    <w:p>
      <w:pPr>
        <w:spacing w:after="0" w:line="225" w:lineRule="exact"/>
        <w:rPr>
          <w:sz w:val="20"/>
          <w:szCs w:val="20"/>
          <w:color w:val="auto"/>
        </w:rPr>
      </w:pPr>
    </w:p>
    <w:p>
      <w:pPr>
        <w:ind w:left="420" w:firstLine="1290"/>
        <w:spacing w:after="0" w:line="270" w:lineRule="auto"/>
        <w:tabs>
          <w:tab w:leader="none" w:pos="1964"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No Conflict</w:t>
      </w:r>
      <w:r>
        <w:rPr>
          <w:rFonts w:ascii="Arial" w:cs="Arial" w:eastAsia="Arial" w:hAnsi="Arial"/>
          <w:sz w:val="17"/>
          <w:szCs w:val="17"/>
          <w:color w:val="auto"/>
        </w:rPr>
        <w:t>. The execution and delivery by Parent and Merger Sub of this Agreement and the consummation of the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contemplated hereby will not (i) conflict with or violate any provision of their respective certificates of incorporation or bylaws, (ii) subject to compliance with the requirements set forth in </w:t>
      </w:r>
      <w:r>
        <w:rPr>
          <w:rFonts w:ascii="Arial" w:cs="Arial" w:eastAsia="Arial" w:hAnsi="Arial"/>
          <w:sz w:val="17"/>
          <w:szCs w:val="17"/>
          <w:b w:val="1"/>
          <w:bCs w:val="1"/>
          <w:color w:val="auto"/>
        </w:rPr>
        <w:t>Section 3.2(c)</w:t>
      </w:r>
      <w:r>
        <w:rPr>
          <w:rFonts w:ascii="Arial" w:cs="Arial" w:eastAsia="Arial" w:hAnsi="Arial"/>
          <w:sz w:val="17"/>
          <w:szCs w:val="17"/>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81" w:lineRule="exact"/>
        <w:rPr>
          <w:rFonts w:ascii="Arial" w:cs="Arial" w:eastAsia="Arial" w:hAnsi="Arial"/>
          <w:sz w:val="17"/>
          <w:szCs w:val="17"/>
          <w:color w:val="auto"/>
        </w:rPr>
      </w:pPr>
    </w:p>
    <w:p>
      <w:pPr>
        <w:ind w:left="420" w:firstLine="1290"/>
        <w:spacing w:after="0" w:line="269" w:lineRule="auto"/>
        <w:tabs>
          <w:tab w:leader="none" w:pos="1954"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Necessary Consents</w:t>
      </w:r>
      <w:r>
        <w:rPr>
          <w:rFonts w:ascii="Arial" w:cs="Arial" w:eastAsia="Arial" w:hAnsi="Arial"/>
          <w:sz w:val="17"/>
          <w:szCs w:val="17"/>
          <w:color w:val="auto"/>
        </w:rPr>
        <w:t>. No consent, waiver, approval, order or authorization of, registration, declaration or filing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Governmental Entity, 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Capital Structure</w:t>
      </w:r>
    </w:p>
    <w:p>
      <w:pPr>
        <w:spacing w:after="0" w:line="225" w:lineRule="exact"/>
        <w:rPr>
          <w:sz w:val="20"/>
          <w:szCs w:val="20"/>
          <w:color w:val="auto"/>
        </w:rPr>
      </w:pPr>
    </w:p>
    <w:p>
      <w:pPr>
        <w:ind w:left="2040" w:hanging="330"/>
        <w:spacing w:after="0"/>
        <w:tabs>
          <w:tab w:leader="none" w:pos="2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3,000,000,000 shares of Parent Common Stock. As of the close of business on</w:t>
      </w:r>
    </w:p>
    <w:p>
      <w:pPr>
        <w:spacing w:after="0" w:line="46" w:lineRule="exact"/>
        <w:rPr>
          <w:rFonts w:ascii="Arial" w:cs="Arial" w:eastAsia="Arial" w:hAnsi="Arial"/>
          <w:sz w:val="16"/>
          <w:szCs w:val="16"/>
          <w:color w:val="auto"/>
        </w:rPr>
      </w:pPr>
    </w:p>
    <w:p>
      <w:pPr>
        <w:ind w:left="420" w:right="300"/>
        <w:spacing w:after="0" w:line="253" w:lineRule="auto"/>
        <w:rPr>
          <w:rFonts w:ascii="Arial" w:cs="Arial" w:eastAsia="Arial" w:hAnsi="Arial"/>
          <w:sz w:val="16"/>
          <w:szCs w:val="16"/>
          <w:color w:val="auto"/>
        </w:rPr>
      </w:pPr>
      <w:r>
        <w:rPr>
          <w:rFonts w:ascii="Arial" w:cs="Arial" w:eastAsia="Arial" w:hAnsi="Arial"/>
          <w:sz w:val="18"/>
          <w:szCs w:val="18"/>
          <w:color w:val="auto"/>
        </w:rPr>
        <w:t>March 1, 2006: (i) 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 paid and non-assessable and are not subject to preemptive rights created by statute, the certificate of incorporation or bylaws of Parent or any agreement to which Parent is a party or by which it is bound. All outstanding shares of Parent Common Stock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4" w:right="279" w:bottom="0" w:gutter="0" w:footer="0" w:header="0"/>
        </w:sectPr>
      </w:pPr>
    </w:p>
    <w:bookmarkStart w:id="26" w:name="page27"/>
    <w:bookmarkEnd w:id="26"/>
    <w:p>
      <w:pPr>
        <w:ind w:left="40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7"/>
          <w:szCs w:val="17"/>
          <w:b w:val="1"/>
          <w:bCs w:val="1"/>
          <w:color w:val="auto"/>
        </w:rPr>
        <w:t>Parent Options</w:t>
      </w:r>
      <w:r>
        <w:rPr>
          <w:rFonts w:ascii="Arial" w:cs="Arial" w:eastAsia="Arial" w:hAnsi="Arial"/>
          <w:sz w:val="17"/>
          <w:szCs w:val="17"/>
          <w:color w:val="auto"/>
        </w:rPr>
        <w:t>”), (ii) 70,142 shares of Parent Common Stock are issuable upon settlement of Parent restricted stock units (“</w:t>
      </w:r>
      <w:r>
        <w:rPr>
          <w:rFonts w:ascii="Arial" w:cs="Arial" w:eastAsia="Arial" w:hAnsi="Arial"/>
          <w:sz w:val="17"/>
          <w:szCs w:val="17"/>
          <w:b w:val="1"/>
          <w:bCs w:val="1"/>
          <w:color w:val="auto"/>
        </w:rPr>
        <w:t>Parent Restricted Units</w:t>
      </w:r>
      <w:r>
        <w:rPr>
          <w:rFonts w:ascii="Arial" w:cs="Arial" w:eastAsia="Arial" w:hAnsi="Arial"/>
          <w:sz w:val="17"/>
          <w:szCs w:val="17"/>
          <w:color w:val="auto"/>
        </w:rPr>
        <w:t>”), and (iii) 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79" w:lineRule="exact"/>
        <w:rPr>
          <w:sz w:val="20"/>
          <w:szCs w:val="20"/>
          <w:color w:val="auto"/>
        </w:rPr>
      </w:pPr>
    </w:p>
    <w:p>
      <w:pPr>
        <w:ind w:left="420" w:right="260" w:firstLine="1290"/>
        <w:spacing w:after="0" w:line="264" w:lineRule="auto"/>
        <w:tabs>
          <w:tab w:leader="none" w:pos="1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20" w:right="20" w:firstLine="1290"/>
        <w:spacing w:after="0" w:line="270" w:lineRule="auto"/>
        <w:tabs>
          <w:tab w:leader="none" w:pos="19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i w:val="1"/>
          <w:iCs w:val="1"/>
          <w:color w:val="auto"/>
        </w:rPr>
        <w:t>Information in Registration Statement and Prospectus/Proxy Statement</w:t>
      </w:r>
      <w:r>
        <w:rPr>
          <w:rFonts w:ascii="Arial" w:cs="Arial" w:eastAsia="Arial" w:hAnsi="Arial"/>
          <w:sz w:val="17"/>
          <w:szCs w:val="17"/>
          <w:color w:val="auto"/>
        </w:rPr>
        <w:t>.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 Merger Sub with respect to statements made or incorporated by reference therein about the Company supplied by the Company for inclusion or incorporation by reference in the Registration Statement or the Prospectus/Proxy Statement.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i w:val="1"/>
          <w:iCs w:val="1"/>
          <w:color w:val="auto"/>
        </w:rPr>
        <w:t>SEC Filings; Financial Statements</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5" w:lineRule="auto"/>
        <w:tabs>
          <w:tab w:leader="none" w:pos="1954"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Parent has timely filed all required registration statements, prospectuses, reports, schedules, forms, statements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Parent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72" w:lineRule="exact"/>
        <w:rPr>
          <w:rFonts w:ascii="Arial" w:cs="Arial" w:eastAsia="Arial" w:hAnsi="Arial"/>
          <w:sz w:val="16"/>
          <w:szCs w:val="16"/>
          <w:color w:val="auto"/>
        </w:rPr>
      </w:pPr>
    </w:p>
    <w:p>
      <w:pPr>
        <w:jc w:val="both"/>
        <w:ind w:left="420" w:right="140" w:firstLine="1290"/>
        <w:spacing w:after="0" w:line="279" w:lineRule="auto"/>
        <w:tabs>
          <w:tab w:leader="none" w:pos="1964"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consolidated financial statements (including, in each case, any related notes thereto)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Parent SEC Reports (the “</w:t>
      </w:r>
      <w:r>
        <w:rPr>
          <w:rFonts w:ascii="Arial" w:cs="Arial" w:eastAsia="Arial" w:hAnsi="Arial"/>
          <w:sz w:val="17"/>
          <w:szCs w:val="17"/>
          <w:b w:val="1"/>
          <w:bCs w:val="1"/>
          <w:color w:val="auto"/>
        </w:rPr>
        <w:t>Parent Financials</w:t>
      </w:r>
      <w:r>
        <w:rPr>
          <w:rFonts w:ascii="Arial" w:cs="Arial" w:eastAsia="Arial" w:hAnsi="Arial"/>
          <w:sz w:val="17"/>
          <w:szCs w:val="17"/>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19" w:right="239" w:bottom="599" w:gutter="0" w:footer="0" w:header="0"/>
        </w:sectPr>
      </w:pPr>
    </w:p>
    <w:bookmarkStart w:id="27" w:name="page28"/>
    <w:bookmarkEnd w:id="27"/>
    <w:p>
      <w:pPr>
        <w:ind w:left="400"/>
        <w:spacing w:after="0" w:line="270" w:lineRule="auto"/>
        <w:rPr>
          <w:sz w:val="20"/>
          <w:szCs w:val="20"/>
          <w:color w:val="auto"/>
        </w:rPr>
      </w:pPr>
      <w:r>
        <w:rPr>
          <w:rFonts w:ascii="Arial" w:cs="Arial" w:eastAsia="Arial" w:hAnsi="Arial"/>
          <w:sz w:val="17"/>
          <w:szCs w:val="17"/>
          <w:color w:val="auto"/>
        </w:rPr>
        <w:t>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 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78" w:lineRule="exact"/>
        <w:rPr>
          <w:sz w:val="20"/>
          <w:szCs w:val="20"/>
          <w:color w:val="auto"/>
        </w:rPr>
      </w:pPr>
    </w:p>
    <w:p>
      <w:pPr>
        <w:ind w:left="420" w:firstLine="1290"/>
        <w:spacing w:after="0" w:line="285" w:lineRule="auto"/>
        <w:tabs>
          <w:tab w:leader="none" w:pos="1954"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Internal Controls</w:t>
      </w:r>
      <w:r>
        <w:rPr>
          <w:rFonts w:ascii="Arial" w:cs="Arial" w:eastAsia="Arial" w:hAnsi="Arial"/>
          <w:sz w:val="16"/>
          <w:szCs w:val="16"/>
          <w:color w:val="auto"/>
        </w:rPr>
        <w:t>. Parent has established and maintains a system of internal controls over financial reporting required by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20" w:right="40" w:firstLine="1290"/>
        <w:spacing w:after="0" w:line="302" w:lineRule="auto"/>
        <w:tabs>
          <w:tab w:leader="none" w:pos="1964"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Disclosure Controls</w:t>
      </w:r>
      <w:r>
        <w:rPr>
          <w:rFonts w:ascii="Arial" w:cs="Arial" w:eastAsia="Arial" w:hAnsi="Arial"/>
          <w:sz w:val="16"/>
          <w:szCs w:val="16"/>
          <w:color w:val="auto"/>
        </w:rPr>
        <w:t>. Parent has established and maintains disclosure controls and procedures required by Rules 13a-15(e) or 15d-15(e) of the 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5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 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77"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i w:val="1"/>
          <w:iCs w:val="1"/>
          <w:color w:val="auto"/>
        </w:rPr>
        <w:t>Interim Operations of Merger Sub</w:t>
      </w:r>
      <w:r>
        <w:rPr>
          <w:rFonts w:ascii="Arial" w:cs="Arial" w:eastAsia="Arial" w:hAnsi="Arial"/>
          <w:sz w:val="17"/>
          <w:szCs w:val="17"/>
          <w:color w:val="auto"/>
        </w:rPr>
        <w:t xml:space="preserve">. Merger Sub was formed solely for the purpose of consummating the Merger pursuant to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hereof and has not conducted and will not conduct any activities other than the execution of this Agreement and the consummation of the Merger.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i w:val="1"/>
          <w:iCs w:val="1"/>
          <w:color w:val="auto"/>
        </w:rPr>
        <w:t>Absence of Certain Changes</w:t>
      </w:r>
      <w:r>
        <w:rPr>
          <w:rFonts w:ascii="Arial" w:cs="Arial" w:eastAsia="Arial" w:hAnsi="Arial"/>
          <w:sz w:val="18"/>
          <w:szCs w:val="18"/>
          <w:color w:val="auto"/>
        </w:rPr>
        <w:t>. Since December 29, 2005 through the date hereof, there has not been, accrued or arisen:</w:t>
      </w:r>
    </w:p>
    <w:p>
      <w:pPr>
        <w:spacing w:after="0" w:line="225" w:lineRule="exact"/>
        <w:rPr>
          <w:sz w:val="20"/>
          <w:szCs w:val="20"/>
          <w:color w:val="auto"/>
        </w:rPr>
      </w:pPr>
    </w:p>
    <w:p>
      <w:pPr>
        <w:ind w:left="1940" w:hanging="230"/>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420" w:right="60" w:firstLine="1290"/>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 any split, combination or reclassification of Parent Common Stock.</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w:t>
      </w:r>
    </w:p>
    <w:p>
      <w:pPr>
        <w:sectPr>
          <w:pgSz w:w="11900" w:h="16838" w:orient="portrait"/>
          <w:cols w:equalWidth="0" w:num="1">
            <w:col w:w="11420"/>
          </w:cols>
          <w:pgMar w:left="240" w:top="125" w:right="239" w:bottom="0" w:gutter="0" w:footer="0" w:header="0"/>
        </w:sectPr>
      </w:pPr>
    </w:p>
    <w:bookmarkStart w:id="28" w:name="page29"/>
    <w:bookmarkEnd w:id="28"/>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the effect of prohibiting or impairing any business practice of Parent or any of its Subsidiaries in such a way as to be material and adverse to Parent and its Subsidiaries, taken as a whole.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71" w:lineRule="auto"/>
        <w:tabs>
          <w:tab w:leader="none" w:pos="1954"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Ordinary Course</w:t>
      </w:r>
      <w:r>
        <w:rPr>
          <w:rFonts w:ascii="Arial" w:cs="Arial" w:eastAsia="Arial" w:hAnsi="Arial"/>
          <w:sz w:val="17"/>
          <w:szCs w:val="17"/>
          <w:color w:val="auto"/>
        </w:rPr>
        <w:t>. During the period from the date hereof and continuing until the earlier of the termination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its 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4" w:lineRule="exact"/>
        <w:rPr>
          <w:rFonts w:ascii="Arial" w:cs="Arial" w:eastAsia="Arial" w:hAnsi="Arial"/>
          <w:sz w:val="17"/>
          <w:szCs w:val="17"/>
          <w:color w:val="auto"/>
        </w:rPr>
      </w:pPr>
    </w:p>
    <w:p>
      <w:pPr>
        <w:ind w:left="420" w:right="20" w:firstLine="1290"/>
        <w:spacing w:after="0" w:line="261"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Required Consent</w:t>
      </w:r>
      <w:r>
        <w:rPr>
          <w:rFonts w:ascii="Arial" w:cs="Arial" w:eastAsia="Arial" w:hAnsi="Arial"/>
          <w:sz w:val="18"/>
          <w:szCs w:val="18"/>
          <w:color w:val="auto"/>
        </w:rPr>
        <w:t>. 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b w:val="1"/>
          <w:bCs w:val="1"/>
          <w:color w:val="auto"/>
        </w:rPr>
        <w:t>Section 4.1(b)</w:t>
      </w:r>
      <w:r>
        <w:rPr>
          <w:rFonts w:ascii="Arial" w:cs="Arial" w:eastAsia="Arial" w:hAnsi="Arial"/>
          <w:sz w:val="18"/>
          <w:szCs w:val="18"/>
          <w:color w:val="auto"/>
        </w:rPr>
        <w:t xml:space="preserve"> of the Company Disclosure Schedule, without the prior written consent of Parent, during the period from the date hereof and continuing until the earlier of the termination of this Agreement pursuant to its terms or the Effective Time, the Company shall not do any of the following, and shall not permit any of its Subsidiaries to do any of the following:</w:t>
      </w:r>
    </w:p>
    <w:p>
      <w:pPr>
        <w:spacing w:after="0" w:line="184" w:lineRule="exact"/>
        <w:rPr>
          <w:rFonts w:ascii="Arial" w:cs="Arial" w:eastAsia="Arial" w:hAnsi="Arial"/>
          <w:sz w:val="18"/>
          <w:szCs w:val="18"/>
          <w:color w:val="auto"/>
        </w:rPr>
      </w:pPr>
    </w:p>
    <w:p>
      <w:pPr>
        <w:ind w:left="2600" w:hanging="323"/>
        <w:spacing w:after="0"/>
        <w:tabs>
          <w:tab w:leader="none" w:pos="26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right="60" w:firstLine="2277"/>
        <w:spacing w:after="0" w:line="279" w:lineRule="auto"/>
        <w:tabs>
          <w:tab w:leader="none" w:pos="2603"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wholly-owned Subsidiary of it that remains a wholly-owned Subsidiary of it after consummation of such transaction, in the ordinary course of business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64" w:lineRule="auto"/>
        <w:tabs>
          <w:tab w:leader="none" w:pos="26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81" w:lineRule="exact"/>
        <w:rPr>
          <w:rFonts w:ascii="Arial" w:cs="Arial" w:eastAsia="Arial" w:hAnsi="Arial"/>
          <w:sz w:val="18"/>
          <w:szCs w:val="18"/>
          <w:color w:val="auto"/>
        </w:rPr>
      </w:pPr>
    </w:p>
    <w:p>
      <w:pPr>
        <w:ind w:firstLine="2277"/>
        <w:spacing w:after="0" w:line="268" w:lineRule="auto"/>
        <w:tabs>
          <w:tab w:leader="none" w:pos="260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grant any new employee Company Options to purchase more than 20,000 shares of Company Common Stock,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event the Closing does not occur on or prior to September 6, 2006, from such date through the earlier of the Closing or 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5" w:lineRule="exact"/>
        <w:rPr>
          <w:rFonts w:ascii="Arial" w:cs="Arial" w:eastAsia="Arial" w:hAnsi="Arial"/>
          <w:sz w:val="17"/>
          <w:szCs w:val="17"/>
          <w:color w:val="auto"/>
        </w:rPr>
      </w:pPr>
    </w:p>
    <w:p>
      <w:pPr>
        <w:ind w:right="260" w:firstLine="2277"/>
        <w:spacing w:after="0" w:line="277" w:lineRule="auto"/>
        <w:tabs>
          <w:tab w:leader="none" w:pos="25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70" w:lineRule="exact"/>
        <w:rPr>
          <w:rFonts w:ascii="Arial" w:cs="Arial" w:eastAsia="Arial" w:hAnsi="Arial"/>
          <w:sz w:val="18"/>
          <w:szCs w:val="18"/>
          <w:color w:val="auto"/>
        </w:rPr>
      </w:pPr>
    </w:p>
    <w:p>
      <w:pPr>
        <w:ind w:right="220" w:firstLine="2277"/>
        <w:spacing w:after="0" w:line="277" w:lineRule="auto"/>
        <w:tabs>
          <w:tab w:leader="none" w:pos="26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70" w:lineRule="exact"/>
        <w:rPr>
          <w:rFonts w:ascii="Arial" w:cs="Arial" w:eastAsia="Arial" w:hAnsi="Arial"/>
          <w:sz w:val="18"/>
          <w:szCs w:val="18"/>
          <w:color w:val="auto"/>
        </w:rPr>
      </w:pPr>
    </w:p>
    <w:p>
      <w:pPr>
        <w:jc w:val="both"/>
        <w:ind w:firstLine="2277"/>
        <w:spacing w:after="0" w:line="259" w:lineRule="auto"/>
        <w:tabs>
          <w:tab w:leader="none" w:pos="2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86" w:lineRule="exact"/>
        <w:rPr>
          <w:rFonts w:ascii="Arial" w:cs="Arial" w:eastAsia="Arial" w:hAnsi="Arial"/>
          <w:sz w:val="18"/>
          <w:szCs w:val="18"/>
          <w:color w:val="auto"/>
        </w:rPr>
      </w:pPr>
    </w:p>
    <w:p>
      <w:pPr>
        <w:ind w:right="480" w:firstLine="2277"/>
        <w:spacing w:after="0" w:line="277" w:lineRule="auto"/>
        <w:tabs>
          <w:tab w:leader="none" w:pos="26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firstLine="8"/>
        <w:spacing w:after="0" w:line="277"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70" w:lineRule="exact"/>
        <w:rPr>
          <w:rFonts w:ascii="Arial" w:cs="Arial" w:eastAsia="Arial" w:hAnsi="Arial"/>
          <w:sz w:val="18"/>
          <w:szCs w:val="18"/>
          <w:color w:val="auto"/>
        </w:rPr>
      </w:pPr>
    </w:p>
    <w:p>
      <w:pPr>
        <w:ind w:right="140" w:firstLine="2277"/>
        <w:spacing w:after="0" w:line="286" w:lineRule="auto"/>
        <w:tabs>
          <w:tab w:leader="none" w:pos="2643" w:val="left"/>
        </w:tabs>
        <w:numPr>
          <w:ilvl w:val="1"/>
          <w:numId w:val="73"/>
        </w:numPr>
        <w:rPr>
          <w:rFonts w:ascii="Arial" w:cs="Arial" w:eastAsia="Arial" w:hAnsi="Arial"/>
          <w:sz w:val="17"/>
          <w:szCs w:val="17"/>
          <w:color w:val="auto"/>
        </w:rPr>
      </w:pPr>
      <w:r>
        <w:rPr>
          <w:rFonts w:ascii="Arial" w:cs="Arial" w:eastAsia="Arial" w:hAnsi="Arial"/>
          <w:sz w:val="17"/>
          <w:szCs w:val="17"/>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ectPr>
          <w:pgSz w:w="11900" w:h="16907" w:orient="portrait"/>
          <w:cols w:equalWidth="0" w:num="1">
            <w:col w:w="11420"/>
          </w:cols>
          <w:pgMar w:left="240" w:top="125" w:right="239" w:bottom="0" w:gutter="0" w:footer="0" w:header="0"/>
        </w:sectPr>
      </w:pPr>
    </w:p>
    <w:bookmarkStart w:id="29" w:name="page30"/>
    <w:bookmarkEnd w:id="29"/>
    <w:p>
      <w:pPr>
        <w:spacing w:after="0" w:line="87" w:lineRule="exact"/>
        <w:rPr>
          <w:sz w:val="20"/>
          <w:szCs w:val="20"/>
          <w:color w:val="auto"/>
        </w:rPr>
      </w:pPr>
    </w:p>
    <w:p>
      <w:pPr>
        <w:ind w:right="420" w:firstLine="2277"/>
        <w:spacing w:after="0" w:line="277" w:lineRule="auto"/>
        <w:tabs>
          <w:tab w:leader="none" w:pos="26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70" w:lineRule="exact"/>
        <w:rPr>
          <w:rFonts w:ascii="Arial" w:cs="Arial" w:eastAsia="Arial" w:hAnsi="Arial"/>
          <w:sz w:val="18"/>
          <w:szCs w:val="18"/>
          <w:color w:val="auto"/>
        </w:rPr>
      </w:pPr>
    </w:p>
    <w:p>
      <w:pPr>
        <w:ind w:right="80" w:firstLine="2277"/>
        <w:spacing w:after="0" w:line="257" w:lineRule="auto"/>
        <w:tabs>
          <w:tab w:leader="none" w:pos="26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Make any loans, extensions of credit or financing, advances or capital contributions to, or investments in, or grant extended payment terms to any other Person, other than: (a) loans or investments by the Company or a wholly-owned Subsidiary of the Company to or in the Company or any wholly-owned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88" w:lineRule="exact"/>
        <w:rPr>
          <w:rFonts w:ascii="Arial" w:cs="Arial" w:eastAsia="Arial" w:hAnsi="Arial"/>
          <w:sz w:val="18"/>
          <w:szCs w:val="18"/>
          <w:color w:val="auto"/>
        </w:rPr>
      </w:pPr>
    </w:p>
    <w:p>
      <w:pPr>
        <w:ind w:right="480" w:firstLine="2277"/>
        <w:spacing w:after="0" w:line="277" w:lineRule="auto"/>
        <w:tabs>
          <w:tab w:leader="none" w:pos="265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70" w:lineRule="exact"/>
        <w:rPr>
          <w:rFonts w:ascii="Arial" w:cs="Arial" w:eastAsia="Arial" w:hAnsi="Arial"/>
          <w:sz w:val="18"/>
          <w:szCs w:val="18"/>
          <w:color w:val="auto"/>
        </w:rPr>
      </w:pPr>
    </w:p>
    <w:p>
      <w:pPr>
        <w:jc w:val="both"/>
        <w:ind w:right="200" w:firstLine="2277"/>
        <w:spacing w:after="0" w:line="279" w:lineRule="auto"/>
        <w:tabs>
          <w:tab w:leader="none" w:pos="2719"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Tax Returns shall be true, correct and complete in all material respects;</w:t>
      </w:r>
    </w:p>
    <w:p>
      <w:pPr>
        <w:spacing w:after="0" w:line="171" w:lineRule="exact"/>
        <w:rPr>
          <w:rFonts w:ascii="Arial" w:cs="Arial" w:eastAsia="Arial" w:hAnsi="Arial"/>
          <w:sz w:val="17"/>
          <w:szCs w:val="17"/>
          <w:color w:val="auto"/>
        </w:rPr>
      </w:pPr>
    </w:p>
    <w:p>
      <w:pPr>
        <w:ind w:right="320" w:firstLine="2277"/>
        <w:spacing w:after="0" w:line="259" w:lineRule="auto"/>
        <w:tabs>
          <w:tab w:leader="none" w:pos="27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86" w:lineRule="exact"/>
        <w:rPr>
          <w:rFonts w:ascii="Arial" w:cs="Arial" w:eastAsia="Arial" w:hAnsi="Arial"/>
          <w:sz w:val="18"/>
          <w:szCs w:val="18"/>
          <w:color w:val="auto"/>
        </w:rPr>
      </w:pPr>
    </w:p>
    <w:p>
      <w:pPr>
        <w:ind w:right="100" w:firstLine="2277"/>
        <w:spacing w:after="0" w:line="291" w:lineRule="auto"/>
        <w:tabs>
          <w:tab w:leader="none" w:pos="2607"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jc w:val="both"/>
        <w:ind w:right="160" w:firstLine="8"/>
        <w:spacing w:after="0" w:line="255"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 Subsidiaries in an amount in excess of $100,000 in any one year or (b) which involve any exclusive terms of any kind which are binding on the Company or any of its Subsidiaries;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77" w:lineRule="auto"/>
        <w:tabs>
          <w:tab w:leader="none" w:pos="27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70" w:lineRule="exact"/>
        <w:rPr>
          <w:rFonts w:ascii="Arial" w:cs="Arial" w:eastAsia="Arial" w:hAnsi="Arial"/>
          <w:sz w:val="18"/>
          <w:szCs w:val="18"/>
          <w:color w:val="auto"/>
        </w:rPr>
      </w:pPr>
    </w:p>
    <w:p>
      <w:pPr>
        <w:ind w:firstLine="2277"/>
        <w:spacing w:after="0" w:line="272" w:lineRule="auto"/>
        <w:tabs>
          <w:tab w:leader="none" w:pos="27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7"/>
          <w:szCs w:val="17"/>
          <w:b w:val="1"/>
          <w:bCs w:val="1"/>
          <w:color w:val="auto"/>
        </w:rPr>
        <w:t>Section 4.1</w:t>
      </w:r>
      <w:r>
        <w:rPr>
          <w:rFonts w:ascii="Arial" w:cs="Arial" w:eastAsia="Arial" w:hAnsi="Arial"/>
          <w:sz w:val="17"/>
          <w:szCs w:val="17"/>
          <w:color w:val="auto"/>
        </w:rPr>
        <w:t xml:space="preserve"> of the Company Disclosure Schedule without the express written consent of Parent;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this provision shall not prevent the taking of any such actions against Parent, Merger Sub or any of their Affiliates;</w:t>
      </w:r>
    </w:p>
    <w:p>
      <w:pPr>
        <w:spacing w:after="0" w:line="177" w:lineRule="exact"/>
        <w:rPr>
          <w:rFonts w:ascii="Arial" w:cs="Arial" w:eastAsia="Arial" w:hAnsi="Arial"/>
          <w:sz w:val="17"/>
          <w:szCs w:val="17"/>
          <w:color w:val="auto"/>
        </w:rPr>
      </w:pPr>
    </w:p>
    <w:p>
      <w:pPr>
        <w:ind w:right="20" w:firstLine="2277"/>
        <w:spacing w:after="0" w:line="270" w:lineRule="auto"/>
        <w:tabs>
          <w:tab w:leader="none" w:pos="2809"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81" w:lineRule="exact"/>
        <w:rPr>
          <w:rFonts w:ascii="Arial" w:cs="Arial" w:eastAsia="Arial" w:hAnsi="Arial"/>
          <w:sz w:val="17"/>
          <w:szCs w:val="17"/>
          <w:color w:val="auto"/>
        </w:rPr>
      </w:pPr>
    </w:p>
    <w:p>
      <w:pPr>
        <w:ind w:right="120" w:firstLine="2277"/>
        <w:spacing w:after="0" w:line="259" w:lineRule="auto"/>
        <w:tabs>
          <w:tab w:leader="none" w:pos="27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86" w:lineRule="exact"/>
        <w:rPr>
          <w:rFonts w:ascii="Arial" w:cs="Arial" w:eastAsia="Arial" w:hAnsi="Arial"/>
          <w:sz w:val="18"/>
          <w:szCs w:val="18"/>
          <w:color w:val="auto"/>
        </w:rPr>
      </w:pPr>
    </w:p>
    <w:p>
      <w:pPr>
        <w:ind w:right="560" w:firstLine="2277"/>
        <w:spacing w:after="0" w:line="277" w:lineRule="auto"/>
        <w:tabs>
          <w:tab w:leader="none" w:pos="26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jc w:val="both"/>
        <w:ind w:right="140" w:firstLine="2277"/>
        <w:spacing w:after="0" w:line="264" w:lineRule="auto"/>
        <w:tabs>
          <w:tab w:leader="none" w:pos="27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81" w:lineRule="exact"/>
        <w:rPr>
          <w:rFonts w:ascii="Arial" w:cs="Arial" w:eastAsia="Arial" w:hAnsi="Arial"/>
          <w:sz w:val="18"/>
          <w:szCs w:val="18"/>
          <w:color w:val="auto"/>
        </w:rPr>
      </w:pPr>
    </w:p>
    <w:p>
      <w:pPr>
        <w:ind w:right="280" w:firstLine="2277"/>
        <w:spacing w:after="0" w:line="277" w:lineRule="auto"/>
        <w:tabs>
          <w:tab w:leader="none" w:pos="27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any indebtedness of another Person in excess of $250,000, issue or sell any debt securities or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 ordinary course of business consistent with past practice (B) with the financing of ordinary course trade</w:t>
      </w:r>
    </w:p>
    <w:p>
      <w:pPr>
        <w:sectPr>
          <w:pgSz w:w="11900" w:h="16925" w:orient="portrait"/>
          <w:cols w:equalWidth="0" w:num="1">
            <w:col w:w="11420"/>
          </w:cols>
          <w:pgMar w:left="240" w:top="341" w:right="239" w:bottom="0" w:gutter="0" w:footer="0" w:header="0"/>
        </w:sectPr>
      </w:pPr>
    </w:p>
    <w:bookmarkStart w:id="30" w:name="page31"/>
    <w:bookmarkEnd w:id="30"/>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payables consistent with past practice, (C) pursuant to existing credit facilities as in effect on the date hereof, or (D) loans, investments or guarantees by the Company or any of its Subsidiaries to, in or of its Subsidiaries;</w:t>
      </w:r>
    </w:p>
    <w:p>
      <w:pPr>
        <w:spacing w:after="0" w:line="170" w:lineRule="exact"/>
        <w:rPr>
          <w:sz w:val="20"/>
          <w:szCs w:val="20"/>
          <w:color w:val="auto"/>
        </w:rPr>
      </w:pPr>
    </w:p>
    <w:p>
      <w:pPr>
        <w:jc w:val="both"/>
        <w:ind w:right="180" w:firstLine="2277"/>
        <w:spacing w:after="0" w:line="264" w:lineRule="auto"/>
        <w:tabs>
          <w:tab w:leader="none" w:pos="28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Enter into any agreement to purchase or sell any interest in real property or grant any security interest in any real property, or (B) enter into any material lease, sublease or other occupancy agreement with respect to any real property or materially alter, amend, modify or terminate any of the terms of any Lease Document;</w:t>
      </w:r>
    </w:p>
    <w:p>
      <w:pPr>
        <w:spacing w:after="0" w:line="181" w:lineRule="exact"/>
        <w:rPr>
          <w:rFonts w:ascii="Arial" w:cs="Arial" w:eastAsia="Arial" w:hAnsi="Arial"/>
          <w:sz w:val="18"/>
          <w:szCs w:val="18"/>
          <w:color w:val="auto"/>
        </w:rPr>
      </w:pPr>
    </w:p>
    <w:p>
      <w:pPr>
        <w:ind w:right="120" w:firstLine="2277"/>
        <w:spacing w:after="0" w:line="264" w:lineRule="auto"/>
        <w:tabs>
          <w:tab w:leader="none" w:pos="27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81" w:lineRule="exact"/>
        <w:rPr>
          <w:rFonts w:ascii="Arial" w:cs="Arial" w:eastAsia="Arial" w:hAnsi="Arial"/>
          <w:sz w:val="18"/>
          <w:szCs w:val="18"/>
          <w:color w:val="auto"/>
        </w:rPr>
      </w:pPr>
    </w:p>
    <w:p>
      <w:pPr>
        <w:ind w:right="200" w:firstLine="2277"/>
        <w:spacing w:after="0" w:line="264" w:lineRule="auto"/>
        <w:tabs>
          <w:tab w:leader="none" w:pos="27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81" w:lineRule="exact"/>
        <w:rPr>
          <w:rFonts w:ascii="Arial" w:cs="Arial" w:eastAsia="Arial" w:hAnsi="Arial"/>
          <w:sz w:val="18"/>
          <w:szCs w:val="18"/>
          <w:color w:val="auto"/>
        </w:rPr>
      </w:pPr>
    </w:p>
    <w:p>
      <w:pPr>
        <w:ind w:right="300" w:firstLine="2277"/>
        <w:spacing w:after="0" w:line="277" w:lineRule="auto"/>
        <w:tabs>
          <w:tab w:leader="none" w:pos="27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70" w:lineRule="exact"/>
        <w:rPr>
          <w:rFonts w:ascii="Arial" w:cs="Arial" w:eastAsia="Arial" w:hAnsi="Arial"/>
          <w:sz w:val="18"/>
          <w:szCs w:val="18"/>
          <w:color w:val="auto"/>
        </w:rPr>
      </w:pPr>
    </w:p>
    <w:p>
      <w:pPr>
        <w:ind w:right="80" w:firstLine="2277"/>
        <w:spacing w:after="0" w:line="277" w:lineRule="auto"/>
        <w:tabs>
          <w:tab w:leader="none" w:pos="28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70" w:lineRule="exact"/>
        <w:rPr>
          <w:rFonts w:ascii="Arial" w:cs="Arial" w:eastAsia="Arial" w:hAnsi="Arial"/>
          <w:sz w:val="18"/>
          <w:szCs w:val="18"/>
          <w:color w:val="auto"/>
        </w:rPr>
      </w:pPr>
    </w:p>
    <w:p>
      <w:pPr>
        <w:ind w:left="2900" w:hanging="623"/>
        <w:spacing w:after="0"/>
        <w:tabs>
          <w:tab w:leader="none" w:pos="2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 or</w:t>
      </w:r>
    </w:p>
    <w:p>
      <w:pPr>
        <w:spacing w:after="0" w:line="210" w:lineRule="exact"/>
        <w:rPr>
          <w:rFonts w:ascii="Arial" w:cs="Arial" w:eastAsia="Arial" w:hAnsi="Arial"/>
          <w:sz w:val="16"/>
          <w:szCs w:val="16"/>
          <w:color w:val="auto"/>
        </w:rPr>
      </w:pPr>
    </w:p>
    <w:p>
      <w:pPr>
        <w:ind w:right="120" w:firstLine="2277"/>
        <w:spacing w:after="0" w:line="264" w:lineRule="auto"/>
        <w:tabs>
          <w:tab w:leader="none" w:pos="27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 xml:space="preserve">Sections 4.1(b) </w:t>
      </w:r>
      <w:r>
        <w:rPr>
          <w:rFonts w:ascii="Arial" w:cs="Arial" w:eastAsia="Arial" w:hAnsi="Arial"/>
          <w:sz w:val="18"/>
          <w:szCs w:val="18"/>
          <w:color w:val="auto"/>
        </w:rPr>
        <w:t>hereof, or take any other action that would reasonably be expected to result in any of the conditions to the Merger set forth in</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to be satisfied.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Prospectus/Proxy Statement; Registration Statement</w:t>
      </w:r>
      <w:r>
        <w:rPr>
          <w:rFonts w:ascii="Arial" w:cs="Arial" w:eastAsia="Arial" w:hAnsi="Arial"/>
          <w:sz w:val="17"/>
          <w:szCs w:val="17"/>
          <w:color w:val="auto"/>
        </w:rPr>
        <w:t>. As promptly as reasonably practicable after the execution of this Agreement, Parent and the Company will prepare and file with the SEC the Prospectus/Proxy Statement, and Parent will prepare and file with the SEC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 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Meeting of Company Stockholders; Board Recommendation</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7" w:lineRule="auto"/>
        <w:tabs>
          <w:tab w:leader="none" w:pos="1954"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Meeting of Company Stockholders</w:t>
      </w:r>
      <w:r>
        <w:rPr>
          <w:rFonts w:ascii="Arial" w:cs="Arial" w:eastAsia="Arial" w:hAnsi="Arial"/>
          <w:sz w:val="16"/>
          <w:szCs w:val="16"/>
          <w:color w:val="auto"/>
        </w:rPr>
        <w:t>. Promptly after the Registration Statement is declared effective under the Securities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6"/>
          <w:szCs w:val="16"/>
          <w:b w:val="1"/>
          <w:bCs w:val="1"/>
          <w:color w:val="auto"/>
        </w:rPr>
        <w:t>Stockholders’ Meeting</w:t>
      </w:r>
      <w:r>
        <w:rPr>
          <w:rFonts w:ascii="Arial" w:cs="Arial" w:eastAsia="Arial" w:hAnsi="Arial"/>
          <w:sz w:val="16"/>
          <w:szCs w:val="16"/>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6"/>
          <w:szCs w:val="16"/>
          <w:b w:val="1"/>
          <w:bCs w:val="1"/>
          <w:color w:val="auto"/>
        </w:rPr>
        <w:t>Section 5.3(d)</w:t>
      </w:r>
      <w:r>
        <w:rPr>
          <w:rFonts w:ascii="Arial" w:cs="Arial" w:eastAsia="Arial" w:hAnsi="Arial"/>
          <w:sz w:val="16"/>
          <w:szCs w:val="16"/>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60"/>
        <w:spacing w:after="0" w:line="264" w:lineRule="auto"/>
        <w:rPr>
          <w:sz w:val="20"/>
          <w:szCs w:val="20"/>
          <w:color w:val="auto"/>
        </w:rPr>
      </w:pPr>
      <w:r>
        <w:rPr>
          <w:rFonts w:ascii="Arial" w:cs="Arial" w:eastAsia="Arial" w:hAnsi="Arial"/>
          <w:sz w:val="18"/>
          <w:szCs w:val="18"/>
          <w:color w:val="auto"/>
        </w:rPr>
        <w:t>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ectPr>
          <w:pgSz w:w="11900" w:h="16891" w:orient="portrait"/>
          <w:cols w:equalWidth="0" w:num="1">
            <w:col w:w="11400"/>
          </w:cols>
          <w:pgMar w:left="240" w:top="125" w:right="259" w:bottom="0" w:gutter="0" w:footer="0" w:header="0"/>
        </w:sectPr>
      </w:pPr>
    </w:p>
    <w:bookmarkStart w:id="31" w:name="page32"/>
    <w:bookmarkEnd w:id="31"/>
    <w:p>
      <w:pPr>
        <w:spacing w:after="0" w:line="114" w:lineRule="exact"/>
        <w:rPr>
          <w:sz w:val="20"/>
          <w:szCs w:val="20"/>
          <w:color w:val="auto"/>
        </w:rPr>
      </w:pPr>
    </w:p>
    <w:p>
      <w:pPr>
        <w:ind w:left="420" w:right="160" w:firstLine="1290"/>
        <w:spacing w:after="0" w:line="295" w:lineRule="auto"/>
        <w:tabs>
          <w:tab w:leader="none" w:pos="1964"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Board Recommendation</w:t>
      </w:r>
      <w:r>
        <w:rPr>
          <w:rFonts w:ascii="Arial" w:cs="Arial" w:eastAsia="Arial" w:hAnsi="Arial"/>
          <w:sz w:val="16"/>
          <w:szCs w:val="16"/>
          <w:color w:val="auto"/>
        </w:rPr>
        <w:t>. 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Acquisition Proposals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67" w:lineRule="auto"/>
        <w:tabs>
          <w:tab w:leader="none" w:pos="1954"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The Company agrees that none of the Company, any of its Subsidiaries or any of the Company’s or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Subsidiaries’ officers or directors shall, and that it shall use all reasonable efforts to cause the Company’s and its affiliates, Subsidiaries, agents and representatives (including any investment banker, attorney or accountant retained by the Company 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7"/>
          <w:szCs w:val="17"/>
          <w:b w:val="1"/>
          <w:bCs w:val="1"/>
          <w:color w:val="auto"/>
        </w:rPr>
        <w:t>Sections 5.3(c)</w:t>
      </w:r>
      <w:r>
        <w:rPr>
          <w:rFonts w:ascii="Arial" w:cs="Arial" w:eastAsia="Arial" w:hAnsi="Arial"/>
          <w:sz w:val="17"/>
          <w:szCs w:val="17"/>
          <w:color w:val="auto"/>
        </w:rPr>
        <w:t xml:space="preserve"> or </w:t>
      </w:r>
      <w:r>
        <w:rPr>
          <w:rFonts w:ascii="Arial" w:cs="Arial" w:eastAsia="Arial" w:hAnsi="Arial"/>
          <w:sz w:val="17"/>
          <w:szCs w:val="17"/>
          <w:b w:val="1"/>
          <w:bCs w:val="1"/>
          <w:color w:val="auto"/>
        </w:rPr>
        <w:t>5.3(d)</w:t>
      </w:r>
      <w:r>
        <w:rPr>
          <w:rFonts w:ascii="Arial" w:cs="Arial" w:eastAsia="Arial" w:hAnsi="Arial"/>
          <w:sz w:val="17"/>
          <w:szCs w:val="17"/>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5" w:lineRule="auto"/>
        <w:tabs>
          <w:tab w:leader="none" w:pos="1964"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Notification of Unsolicited Acquisition Proposals</w:t>
      </w:r>
      <w:r>
        <w:rPr>
          <w:rFonts w:ascii="Arial" w:cs="Arial" w:eastAsia="Arial" w:hAnsi="Arial"/>
          <w:sz w:val="16"/>
          <w:szCs w:val="16"/>
          <w:color w:val="auto"/>
        </w:rPr>
        <w:t>. As promptly as practicable (and in any event no later than 24 hours)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receipt of any 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 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 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 connection with such Acquisition Proposal, request or inquiry.</w:t>
      </w:r>
    </w:p>
    <w:p>
      <w:pPr>
        <w:spacing w:after="0" w:line="173" w:lineRule="exact"/>
        <w:rPr>
          <w:rFonts w:ascii="Arial" w:cs="Arial" w:eastAsia="Arial" w:hAnsi="Arial"/>
          <w:sz w:val="16"/>
          <w:szCs w:val="16"/>
          <w:color w:val="auto"/>
        </w:rPr>
      </w:pPr>
    </w:p>
    <w:p>
      <w:pPr>
        <w:ind w:left="420" w:right="80" w:firstLine="1290"/>
        <w:spacing w:after="0" w:line="256" w:lineRule="auto"/>
        <w:tabs>
          <w:tab w:leader="none" w:pos="1954" w:val="left"/>
        </w:tabs>
        <w:numPr>
          <w:ilvl w:val="1"/>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Superior Offers</w:t>
      </w:r>
      <w:r>
        <w:rPr>
          <w:rFonts w:ascii="Arial" w:cs="Arial" w:eastAsia="Arial" w:hAnsi="Arial"/>
          <w:sz w:val="18"/>
          <w:szCs w:val="18"/>
          <w:color w:val="auto"/>
        </w:rPr>
        <w:t>. 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prior to the adoption of this Agreement by the stockholders 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2600" w:hanging="323"/>
        <w:spacing w:after="0"/>
        <w:tabs>
          <w:tab w:leader="none" w:pos="26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20" w:hanging="343"/>
        <w:spacing w:after="0"/>
        <w:tabs>
          <w:tab w:leader="none" w:pos="2620" w:val="left"/>
        </w:tabs>
        <w:numPr>
          <w:ilvl w:val="2"/>
          <w:numId w:val="81"/>
        </w:numPr>
        <w:rPr>
          <w:rFonts w:ascii="Arial" w:cs="Arial" w:eastAsia="Arial" w:hAnsi="Arial"/>
          <w:sz w:val="17"/>
          <w:szCs w:val="17"/>
          <w:color w:val="auto"/>
        </w:rPr>
      </w:pPr>
      <w:r>
        <w:rPr>
          <w:rFonts w:ascii="Arial" w:cs="Arial" w:eastAsia="Arial" w:hAnsi="Arial"/>
          <w:sz w:val="17"/>
          <w:szCs w:val="17"/>
          <w:color w:val="auto"/>
        </w:rPr>
        <w:t>prior to furnishing any nonpublic information or entering into any negotiations or discussions with such third party,</w:t>
      </w:r>
    </w:p>
    <w:p>
      <w:pPr>
        <w:spacing w:after="0" w:line="34" w:lineRule="exact"/>
        <w:rPr>
          <w:rFonts w:ascii="Arial" w:cs="Arial" w:eastAsia="Arial" w:hAnsi="Arial"/>
          <w:sz w:val="17"/>
          <w:szCs w:val="17"/>
          <w:color w:val="auto"/>
        </w:rPr>
      </w:pPr>
    </w:p>
    <w:p>
      <w:pPr>
        <w:ind w:right="120" w:firstLine="8"/>
        <w:spacing w:after="0" w:line="281" w:lineRule="auto"/>
        <w:tabs>
          <w:tab w:leader="none" w:pos="2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information to Parent (to the extent such nonpublic information has not been previously so furnished); and</w:t>
      </w:r>
    </w:p>
    <w:p>
      <w:pPr>
        <w:spacing w:after="0" w:line="225" w:lineRule="exact"/>
        <w:rPr>
          <w:sz w:val="20"/>
          <w:szCs w:val="20"/>
          <w:color w:val="auto"/>
        </w:rPr>
      </w:pPr>
    </w:p>
    <w:p>
      <w:pPr>
        <w:ind w:right="20" w:firstLine="2277"/>
        <w:spacing w:after="0" w:line="264" w:lineRule="auto"/>
        <w:tabs>
          <w:tab w:leader="none" w:pos="261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77" w:lineRule="exact"/>
        <w:rPr>
          <w:rFonts w:ascii="Arial" w:cs="Arial" w:eastAsia="Arial" w:hAnsi="Arial"/>
          <w:sz w:val="18"/>
          <w:szCs w:val="18"/>
          <w:color w:val="auto"/>
        </w:rPr>
      </w:pPr>
    </w:p>
    <w:p>
      <w:pPr>
        <w:ind w:left="420" w:right="40" w:firstLine="1290"/>
        <w:spacing w:after="0" w:line="347"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Change of Recommendation</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color w:val="auto"/>
        </w:rPr>
        <w:t>, in response to the receipt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Superior Offer, (x) the Board of Directors of the Company may withhold, withdraw, amend or modify its recommendation in favor of the Merger, and,</w:t>
      </w:r>
    </w:p>
    <w:p>
      <w:pPr>
        <w:sectPr>
          <w:pgSz w:w="11900" w:h="16952" w:orient="portrait"/>
          <w:cols w:equalWidth="0" w:num="1">
            <w:col w:w="11400"/>
          </w:cols>
          <w:pgMar w:left="240" w:top="337" w:right="259" w:bottom="0" w:gutter="0" w:footer="0" w:header="0"/>
        </w:sectPr>
      </w:pPr>
    </w:p>
    <w:bookmarkStart w:id="32" w:name="page33"/>
    <w:bookmarkEnd w:id="32"/>
    <w:p>
      <w:pPr>
        <w:spacing w:after="0" w:line="110" w:lineRule="exact"/>
        <w:rPr>
          <w:sz w:val="20"/>
          <w:szCs w:val="20"/>
          <w:color w:val="auto"/>
        </w:rPr>
      </w:pPr>
    </w:p>
    <w:p>
      <w:pPr>
        <w:ind w:left="420" w:right="20"/>
        <w:spacing w:after="0" w:line="272" w:lineRule="auto"/>
        <w:rPr>
          <w:sz w:val="20"/>
          <w:szCs w:val="20"/>
          <w:color w:val="auto"/>
        </w:rPr>
      </w:pPr>
      <w:r>
        <w:rPr>
          <w:rFonts w:ascii="Arial" w:cs="Arial" w:eastAsia="Arial" w:hAnsi="Arial"/>
          <w:sz w:val="17"/>
          <w:szCs w:val="17"/>
          <w:color w:val="auto"/>
        </w:rPr>
        <w:t>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7"/>
          <w:szCs w:val="17"/>
          <w:b w:val="1"/>
          <w:bCs w:val="1"/>
          <w:color w:val="auto"/>
        </w:rPr>
        <w:t>Change of Recommendation</w:t>
      </w:r>
      <w:r>
        <w:rPr>
          <w:rFonts w:ascii="Arial" w:cs="Arial" w:eastAsia="Arial" w:hAnsi="Arial"/>
          <w:sz w:val="17"/>
          <w:szCs w:val="17"/>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8" w:lineRule="exact"/>
        <w:rPr>
          <w:sz w:val="20"/>
          <w:szCs w:val="20"/>
          <w:color w:val="auto"/>
        </w:rPr>
      </w:pPr>
    </w:p>
    <w:p>
      <w:pPr>
        <w:ind w:firstLine="2277"/>
        <w:spacing w:after="0" w:line="277" w:lineRule="auto"/>
        <w:tabs>
          <w:tab w:leader="none" w:pos="25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21" w:lineRule="exact"/>
        <w:rPr>
          <w:rFonts w:ascii="Arial" w:cs="Arial" w:eastAsia="Arial" w:hAnsi="Arial"/>
          <w:sz w:val="18"/>
          <w:szCs w:val="18"/>
          <w:color w:val="auto"/>
        </w:rPr>
      </w:pPr>
    </w:p>
    <w:p>
      <w:pPr>
        <w:ind w:right="160" w:firstLine="2277"/>
        <w:spacing w:after="0" w:line="293" w:lineRule="auto"/>
        <w:tabs>
          <w:tab w:leader="none" w:pos="26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at least four Business Days prior to publicly effecting such Change of Recommendation which shall state expressly (A) that the Company has received a Superior Offer,</w:t>
      </w:r>
    </w:p>
    <w:p>
      <w:pPr>
        <w:spacing w:after="0" w:line="1" w:lineRule="exact"/>
        <w:rPr>
          <w:rFonts w:ascii="Arial" w:cs="Arial" w:eastAsia="Arial" w:hAnsi="Arial"/>
          <w:sz w:val="16"/>
          <w:szCs w:val="16"/>
          <w:color w:val="auto"/>
        </w:rPr>
      </w:pPr>
    </w:p>
    <w:p>
      <w:pPr>
        <w:ind w:right="80" w:firstLine="8"/>
        <w:spacing w:after="0" w:line="277" w:lineRule="auto"/>
        <w:tabs>
          <w:tab w:leader="none" w:pos="2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7"/>
          <w:szCs w:val="17"/>
          <w:b w:val="1"/>
          <w:bCs w:val="1"/>
          <w:color w:val="auto"/>
        </w:rPr>
        <w:t>Section 7.1(h)</w:t>
      </w:r>
      <w:r>
        <w:rPr>
          <w:rFonts w:ascii="Arial" w:cs="Arial" w:eastAsia="Arial" w:hAnsi="Arial"/>
          <w:sz w:val="17"/>
          <w:szCs w:val="17"/>
          <w:color w:val="auto"/>
        </w:rPr>
        <w:t>, the Company shall provide to Parent a copy of the final agreement to be entered into in connection with the Superior Offer) and (C) that the Company intends to effect a Change of Recommendation;</w:t>
      </w:r>
    </w:p>
    <w:p>
      <w:pPr>
        <w:spacing w:after="0" w:line="173" w:lineRule="exact"/>
        <w:rPr>
          <w:rFonts w:ascii="Arial" w:cs="Arial" w:eastAsia="Arial" w:hAnsi="Arial"/>
          <w:sz w:val="17"/>
          <w:szCs w:val="17"/>
          <w:color w:val="auto"/>
        </w:rPr>
      </w:pPr>
    </w:p>
    <w:p>
      <w:pPr>
        <w:ind w:right="40" w:firstLine="2277"/>
        <w:spacing w:after="0" w:line="259" w:lineRule="auto"/>
        <w:tabs>
          <w:tab w:leader="none" w:pos="26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2277"/>
        <w:spacing w:after="0" w:line="279" w:lineRule="auto"/>
        <w:tabs>
          <w:tab w:leader="none" w:pos="2593"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7" w:lineRule="exact"/>
        <w:rPr>
          <w:rFonts w:ascii="Arial" w:cs="Arial" w:eastAsia="Arial" w:hAnsi="Arial"/>
          <w:sz w:val="17"/>
          <w:szCs w:val="17"/>
          <w:color w:val="auto"/>
        </w:rPr>
      </w:pPr>
    </w:p>
    <w:p>
      <w:pPr>
        <w:ind w:left="2620" w:hanging="343"/>
        <w:spacing w:after="0"/>
        <w:tabs>
          <w:tab w:leader="none" w:pos="2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20" w:right="200" w:firstLine="1290"/>
        <w:spacing w:after="0" w:line="286" w:lineRule="auto"/>
        <w:tabs>
          <w:tab w:leader="none" w:pos="1954"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with Disclosure Obligations</w:t>
      </w:r>
      <w:r>
        <w:rPr>
          <w:rFonts w:ascii="Arial" w:cs="Arial" w:eastAsia="Arial" w:hAnsi="Arial"/>
          <w:sz w:val="17"/>
          <w:szCs w:val="17"/>
          <w:color w:val="auto"/>
        </w:rPr>
        <w:t>. Nothing contained in this Agreement shall prohibit the Company or its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Directors from 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7"/>
          <w:szCs w:val="17"/>
          <w:b w:val="1"/>
          <w:bCs w:val="1"/>
          <w:color w:val="auto"/>
        </w:rPr>
        <w:t>Section 5.3(d)</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20" w:right="80" w:firstLine="1290"/>
        <w:spacing w:after="0" w:line="302" w:lineRule="auto"/>
        <w:tabs>
          <w:tab w:leader="none" w:pos="1973"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take any 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420" w:firstLine="1290"/>
        <w:spacing w:after="0" w:line="257"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contrary 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88" w:lineRule="exact"/>
        <w:rPr>
          <w:rFonts w:ascii="Arial" w:cs="Arial" w:eastAsia="Arial" w:hAnsi="Arial"/>
          <w:sz w:val="18"/>
          <w:szCs w:val="18"/>
          <w:color w:val="auto"/>
        </w:rPr>
      </w:pPr>
    </w:p>
    <w:p>
      <w:pPr>
        <w:ind w:left="1960" w:hanging="250"/>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For purposes of this Agreement, the following terms shall have the following meanings:</w:t>
      </w:r>
    </w:p>
    <w:p>
      <w:pPr>
        <w:spacing w:after="0" w:line="221" w:lineRule="exact"/>
        <w:rPr>
          <w:rFonts w:ascii="Arial" w:cs="Arial" w:eastAsia="Arial" w:hAnsi="Arial"/>
          <w:sz w:val="18"/>
          <w:szCs w:val="18"/>
          <w:color w:val="auto"/>
        </w:rPr>
      </w:pPr>
    </w:p>
    <w:p>
      <w:pPr>
        <w:ind w:right="60" w:firstLine="2277"/>
        <w:spacing w:after="0" w:line="255" w:lineRule="auto"/>
        <w:tabs>
          <w:tab w:leader="none" w:pos="2592"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Subsidiaries taken as a whole) or (d) any liquidation or dissolution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transactions between Parent and the Company contemplated by this Agreement shall not be deemed an Acquisition Proposal); and</w:t>
      </w:r>
    </w:p>
    <w:p>
      <w:pPr>
        <w:spacing w:after="0" w:line="166" w:lineRule="exact"/>
        <w:rPr>
          <w:sz w:val="20"/>
          <w:szCs w:val="20"/>
          <w:color w:val="auto"/>
        </w:rPr>
      </w:pPr>
    </w:p>
    <w:p>
      <w:pPr>
        <w:ind w:right="40" w:firstLine="2277"/>
        <w:spacing w:after="0" w:line="277" w:lineRule="auto"/>
        <w:tabs>
          <w:tab w:leader="none" w:pos="2603" w:val="left"/>
        </w:tabs>
        <w:numPr>
          <w:ilvl w:val="1"/>
          <w:numId w:val="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Offer</w:t>
      </w:r>
      <w:r>
        <w:rPr>
          <w:rFonts w:ascii="Arial" w:cs="Arial" w:eastAsia="Arial" w:hAnsi="Arial"/>
          <w:sz w:val="17"/>
          <w:szCs w:val="17"/>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20% in the definition of “Acquisition Proposal” shall be replaced with “50%” for purposes hereof.</w:t>
      </w:r>
    </w:p>
    <w:p>
      <w:pPr>
        <w:spacing w:after="0" w:line="172" w:lineRule="exact"/>
        <w:rPr>
          <w:rFonts w:ascii="Arial" w:cs="Arial" w:eastAsia="Arial" w:hAnsi="Arial"/>
          <w:sz w:val="17"/>
          <w:szCs w:val="17"/>
          <w:color w:val="auto"/>
        </w:rPr>
      </w:pPr>
    </w:p>
    <w:p>
      <w:pPr>
        <w:ind w:left="420" w:right="200" w:firstLine="1290"/>
        <w:spacing w:after="0" w:line="342" w:lineRule="auto"/>
        <w:tabs>
          <w:tab w:leader="none" w:pos="1963"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Section 5.3 </w:t>
      </w:r>
      <w:r>
        <w:rPr>
          <w:rFonts w:ascii="Arial" w:cs="Arial" w:eastAsia="Arial" w:hAnsi="Arial"/>
          <w:sz w:val="16"/>
          <w:szCs w:val="16"/>
          <w:color w:val="auto"/>
        </w:rPr>
        <w:t>were not performed in accordance with their specific terms or were otherwise breached. It is accordingly agreed by the parties hereto that</w:t>
      </w:r>
    </w:p>
    <w:p>
      <w:pPr>
        <w:sectPr>
          <w:pgSz w:w="11900" w:h="16948" w:orient="portrait"/>
          <w:cols w:equalWidth="0" w:num="1">
            <w:col w:w="11380"/>
          </w:cols>
          <w:pgMar w:left="240" w:top="125" w:right="279" w:bottom="0" w:gutter="0" w:footer="0" w:header="0"/>
        </w:sectPr>
      </w:pPr>
    </w:p>
    <w:bookmarkStart w:id="33" w:name="page34"/>
    <w:bookmarkEnd w:id="33"/>
    <w:p>
      <w:pPr>
        <w:ind w:left="420" w:right="20"/>
        <w:spacing w:after="0" w:line="297" w:lineRule="auto"/>
        <w:rPr>
          <w:sz w:val="20"/>
          <w:szCs w:val="20"/>
          <w:color w:val="auto"/>
        </w:rPr>
      </w:pPr>
      <w:r>
        <w:rPr>
          <w:rFonts w:ascii="Arial" w:cs="Arial" w:eastAsia="Arial" w:hAnsi="Arial"/>
          <w:sz w:val="16"/>
          <w:szCs w:val="16"/>
          <w:color w:val="auto"/>
        </w:rPr>
        <w:t xml:space="preserve">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420" w:right="240" w:firstLine="1290"/>
        <w:spacing w:after="0" w:line="297" w:lineRule="auto"/>
        <w:tabs>
          <w:tab w:leader="none" w:pos="1954"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The parties acknowledge that the Company and Parent have previously executed a Mutual Non-Disclosure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58" w:lineRule="exact"/>
        <w:rPr>
          <w:rFonts w:ascii="Arial" w:cs="Arial" w:eastAsia="Arial" w:hAnsi="Arial"/>
          <w:sz w:val="16"/>
          <w:szCs w:val="16"/>
          <w:color w:val="auto"/>
        </w:rPr>
      </w:pPr>
    </w:p>
    <w:p>
      <w:pPr>
        <w:jc w:val="both"/>
        <w:ind w:left="420" w:right="100" w:firstLine="1290"/>
        <w:spacing w:after="0" w:line="255" w:lineRule="auto"/>
        <w:tabs>
          <w:tab w:leader="none" w:pos="1964"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Access to Information</w:t>
      </w:r>
      <w:r>
        <w:rPr>
          <w:rFonts w:ascii="Arial" w:cs="Arial" w:eastAsia="Arial" w:hAnsi="Arial"/>
          <w:sz w:val="18"/>
          <w:szCs w:val="18"/>
          <w:color w:val="auto"/>
        </w:rPr>
        <w:t>. Subject to the Confidentiality Agreement and applicable law, the Company shall afford Parent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accountants, 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7" w:lineRule="auto"/>
        <w:rPr>
          <w:sz w:val="20"/>
          <w:szCs w:val="20"/>
          <w:color w:val="auto"/>
        </w:rPr>
      </w:pPr>
      <w:r>
        <w:rPr>
          <w:rFonts w:ascii="Arial" w:cs="Arial" w:eastAsia="Arial" w:hAnsi="Arial"/>
          <w:sz w:val="16"/>
          <w:szCs w:val="16"/>
          <w:color w:val="auto"/>
        </w:rPr>
        <w:t xml:space="preserve">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 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9" w:lineRule="exact"/>
        <w:rPr>
          <w:sz w:val="20"/>
          <w:szCs w:val="20"/>
          <w:color w:val="auto"/>
        </w:rPr>
      </w:pPr>
    </w:p>
    <w:p>
      <w:pPr>
        <w:ind w:left="420" w:right="40" w:firstLine="1290"/>
        <w:spacing w:after="0" w:line="312" w:lineRule="auto"/>
        <w:tabs>
          <w:tab w:leader="none" w:pos="1954"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 Modification of Representations and Warranties or Covenants</w:t>
      </w:r>
      <w:r>
        <w:rPr>
          <w:rFonts w:ascii="Arial" w:cs="Arial" w:eastAsia="Arial" w:hAnsi="Arial"/>
          <w:sz w:val="16"/>
          <w:szCs w:val="16"/>
          <w:color w:val="auto"/>
        </w:rPr>
        <w:t>. No information or knowledge obtained in any investigation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Regulatory Filings; Reasonable Efforts.</w:t>
      </w:r>
    </w:p>
    <w:p>
      <w:pPr>
        <w:spacing w:after="0" w:line="225" w:lineRule="exact"/>
        <w:rPr>
          <w:sz w:val="20"/>
          <w:szCs w:val="20"/>
          <w:color w:val="auto"/>
        </w:rPr>
      </w:pPr>
    </w:p>
    <w:p>
      <w:pPr>
        <w:ind w:left="420" w:right="20" w:firstLine="1290"/>
        <w:spacing w:after="0" w:line="255" w:lineRule="auto"/>
        <w:tabs>
          <w:tab w:leader="none" w:pos="1954"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Filings</w:t>
      </w:r>
      <w:r>
        <w:rPr>
          <w:rFonts w:ascii="Arial" w:cs="Arial" w:eastAsia="Arial" w:hAnsi="Arial"/>
          <w:sz w:val="18"/>
          <w:szCs w:val="18"/>
          <w:color w:val="auto"/>
        </w:rPr>
        <w:t>. Each of Parent, Merger Sub and the Company shall coordinate and cooperate with one another and shall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all 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40"/>
        <w:spacing w:after="0" w:line="255" w:lineRule="auto"/>
        <w:rPr>
          <w:sz w:val="20"/>
          <w:szCs w:val="20"/>
          <w:color w:val="auto"/>
        </w:rPr>
      </w:pPr>
      <w:r>
        <w:rPr>
          <w:rFonts w:ascii="Arial" w:cs="Arial" w:eastAsia="Arial" w:hAnsi="Arial"/>
          <w:sz w:val="18"/>
          <w:szCs w:val="18"/>
          <w:color w:val="auto"/>
        </w:rPr>
        <w:t xml:space="preserve">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to comply in all material respects with all applicable Legal Requirements. Parent, Merger Sub and the Company each shall promptly supply the other with any information that may be required in order to effectuate any filings or application pursuant to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5.6(a)</w:t>
      </w:r>
      <w:r>
        <w:rPr>
          <w:rFonts w:ascii="Arial" w:cs="Arial" w:eastAsia="Arial" w:hAnsi="Arial"/>
          <w:sz w:val="18"/>
          <w:szCs w:val="18"/>
          <w:color w:val="auto"/>
        </w:rPr>
        <w:t>.</w:t>
      </w:r>
    </w:p>
    <w:p>
      <w:pPr>
        <w:spacing w:after="0" w:line="189" w:lineRule="exact"/>
        <w:rPr>
          <w:sz w:val="20"/>
          <w:szCs w:val="20"/>
          <w:color w:val="auto"/>
        </w:rPr>
      </w:pPr>
    </w:p>
    <w:p>
      <w:pPr>
        <w:ind w:left="420" w:right="120" w:firstLine="1290"/>
        <w:spacing w:after="0" w:line="255"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w:t>
      </w:r>
      <w:r>
        <w:rPr>
          <w:rFonts w:ascii="Arial" w:cs="Arial" w:eastAsia="Arial" w:hAnsi="Arial"/>
          <w:sz w:val="18"/>
          <w:szCs w:val="18"/>
          <w:color w:val="auto"/>
        </w:rPr>
        <w:t>. Each of Parent, Merger Sub and the Company will notify the other promptly upon the receipt of (i) any comments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any 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Governmental Entity such amendment or supplement.</w:t>
      </w:r>
    </w:p>
    <w:p>
      <w:pPr>
        <w:sectPr>
          <w:pgSz w:w="11900" w:h="16838" w:orient="portrait"/>
          <w:cols w:equalWidth="0" w:num="1">
            <w:col w:w="11420"/>
          </w:cols>
          <w:pgMar w:left="240" w:top="125" w:right="239" w:bottom="0" w:gutter="0" w:footer="0" w:header="0"/>
        </w:sectPr>
      </w:pPr>
    </w:p>
    <w:bookmarkStart w:id="34" w:name="page35"/>
    <w:bookmarkEnd w:id="34"/>
    <w:p>
      <w:pPr>
        <w:spacing w:after="0" w:line="87" w:lineRule="exact"/>
        <w:rPr>
          <w:sz w:val="20"/>
          <w:szCs w:val="20"/>
          <w:color w:val="auto"/>
        </w:rPr>
      </w:pPr>
    </w:p>
    <w:p>
      <w:pPr>
        <w:ind w:left="420" w:right="40" w:firstLine="1290"/>
        <w:spacing w:after="0" w:line="286" w:lineRule="auto"/>
        <w:tabs>
          <w:tab w:leader="none" w:pos="1954"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Reasonable Efforts</w:t>
      </w:r>
      <w:r>
        <w:rPr>
          <w:rFonts w:ascii="Arial" w:cs="Arial" w:eastAsia="Arial" w:hAnsi="Arial"/>
          <w:sz w:val="16"/>
          <w:szCs w:val="16"/>
          <w:color w:val="auto"/>
        </w:rPr>
        <w:t>. Subject to the express provisions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and upon the terms and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7" w:lineRule="auto"/>
        <w:tabs>
          <w:tab w:leader="none" w:pos="1964"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Notification of Certain Matters.</w:t>
      </w:r>
    </w:p>
    <w:p>
      <w:pPr>
        <w:spacing w:after="0" w:line="225" w:lineRule="exact"/>
        <w:rPr>
          <w:sz w:val="20"/>
          <w:szCs w:val="20"/>
          <w:color w:val="auto"/>
        </w:rPr>
      </w:pPr>
    </w:p>
    <w:p>
      <w:pPr>
        <w:ind w:right="20" w:firstLine="1305"/>
        <w:spacing w:after="0" w:line="255" w:lineRule="auto"/>
        <w:tabs>
          <w:tab w:leader="none" w:pos="1541"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By the Company</w:t>
      </w:r>
      <w:r>
        <w:rPr>
          <w:rFonts w:ascii="Arial" w:cs="Arial" w:eastAsia="Arial" w:hAnsi="Arial"/>
          <w:sz w:val="18"/>
          <w:szCs w:val="18"/>
          <w:color w:val="auto"/>
        </w:rPr>
        <w:t>. The Company shall give prompt notice to Parent and Merger Sub of (i) any representation or warranty made by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Parent and Merger Sub under </w:t>
      </w:r>
      <w:r>
        <w:rPr>
          <w:rFonts w:ascii="Arial" w:cs="Arial" w:eastAsia="Arial" w:hAnsi="Arial"/>
          <w:sz w:val="18"/>
          <w:szCs w:val="18"/>
          <w:b w:val="1"/>
          <w:bCs w:val="1"/>
          <w:color w:val="auto"/>
        </w:rPr>
        <w:t>Section 6.2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5.7(a)</w:t>
      </w:r>
      <w:r>
        <w:rPr>
          <w:rFonts w:ascii="Arial" w:cs="Arial" w:eastAsia="Arial" w:hAnsi="Arial"/>
          <w:sz w:val="18"/>
          <w:szCs w:val="18"/>
          <w:color w:val="auto"/>
        </w:rPr>
        <w:t xml:space="preserve"> shall not limit or otherwise affect the remedies available hereunder.</w:t>
      </w:r>
    </w:p>
    <w:p>
      <w:pPr>
        <w:spacing w:after="0" w:line="189" w:lineRule="exact"/>
        <w:rPr>
          <w:rFonts w:ascii="Arial" w:cs="Arial" w:eastAsia="Arial" w:hAnsi="Arial"/>
          <w:sz w:val="18"/>
          <w:szCs w:val="18"/>
          <w:color w:val="auto"/>
        </w:rPr>
      </w:pPr>
    </w:p>
    <w:p>
      <w:pPr>
        <w:ind w:right="40" w:firstLine="1305"/>
        <w:spacing w:after="0" w:line="255" w:lineRule="auto"/>
        <w:tabs>
          <w:tab w:leader="none" w:pos="1551"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By Parent</w:t>
      </w:r>
      <w:r>
        <w:rPr>
          <w:rFonts w:ascii="Arial" w:cs="Arial" w:eastAsia="Arial" w:hAnsi="Arial"/>
          <w:sz w:val="18"/>
          <w:szCs w:val="18"/>
          <w:color w:val="auto"/>
        </w:rPr>
        <w:t>. Parent and Merger Sub shall give prompt notice to the Company of (i) any representation or warranty made by it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this 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6.3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notification shall affect the representations, warranties of Parent and Merger Sub or the conditions to the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5.7(b)</w:t>
      </w:r>
      <w:r>
        <w:rPr>
          <w:rFonts w:ascii="Arial" w:cs="Arial" w:eastAsia="Arial" w:hAnsi="Arial"/>
          <w:sz w:val="18"/>
          <w:szCs w:val="18"/>
          <w:color w:val="auto"/>
        </w:rPr>
        <w:t xml:space="preserve"> shall not limit or otherwise affect the remedies available hereunder.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i w:val="1"/>
          <w:iCs w:val="1"/>
          <w:color w:val="auto"/>
        </w:rPr>
        <w:t>Third-Party Consents</w:t>
      </w:r>
      <w:r>
        <w:rPr>
          <w:rFonts w:ascii="Arial" w:cs="Arial" w:eastAsia="Arial" w:hAnsi="Arial"/>
          <w:sz w:val="17"/>
          <w:szCs w:val="17"/>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7"/>
          <w:szCs w:val="17"/>
          <w:b w:val="1"/>
          <w:bCs w:val="1"/>
          <w:color w:val="auto"/>
        </w:rPr>
        <w:t>Section 2.3(c)</w:t>
      </w:r>
      <w:r>
        <w:rPr>
          <w:rFonts w:ascii="Arial" w:cs="Arial" w:eastAsia="Arial" w:hAnsi="Arial"/>
          <w:sz w:val="17"/>
          <w:szCs w:val="17"/>
          <w:color w:val="auto"/>
        </w:rPr>
        <w:t xml:space="preserve"> of the Company Disclosure Schedule. In connection with seeking such consents, waivers and approvals, the Company shall keep Parent informed 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7"/>
          <w:szCs w:val="17"/>
          <w:b w:val="1"/>
          <w:bCs w:val="1"/>
          <w:color w:val="auto"/>
        </w:rPr>
        <w:t>Section 5.8</w:t>
      </w:r>
      <w:r>
        <w:rPr>
          <w:rFonts w:ascii="Arial" w:cs="Arial" w:eastAsia="Arial" w:hAnsi="Arial"/>
          <w:sz w:val="17"/>
          <w:szCs w:val="17"/>
          <w:color w:val="auto"/>
        </w:rPr>
        <w:t xml:space="preserve"> shall not be deemed a failure of any conditions to the obligations of Parent and Merger Sub under </w:t>
      </w:r>
      <w:r>
        <w:rPr>
          <w:rFonts w:ascii="Arial" w:cs="Arial" w:eastAsia="Arial" w:hAnsi="Arial"/>
          <w:sz w:val="17"/>
          <w:szCs w:val="17"/>
          <w:b w:val="1"/>
          <w:bCs w:val="1"/>
          <w:color w:val="auto"/>
        </w:rPr>
        <w:t>Section 6.2(b)</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Equity Awards and Employee Matters.</w:t>
      </w:r>
    </w:p>
    <w:p>
      <w:pPr>
        <w:spacing w:after="0" w:line="225" w:lineRule="exact"/>
        <w:rPr>
          <w:sz w:val="20"/>
          <w:szCs w:val="20"/>
          <w:color w:val="auto"/>
        </w:rPr>
      </w:pPr>
    </w:p>
    <w:p>
      <w:pPr>
        <w:ind w:left="420" w:right="340" w:firstLine="1290"/>
        <w:spacing w:after="0" w:line="279" w:lineRule="auto"/>
        <w:tabs>
          <w:tab w:leader="none" w:pos="1954"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Assumption of Certain Company Options</w:t>
      </w:r>
      <w:r>
        <w:rPr>
          <w:rFonts w:ascii="Arial" w:cs="Arial" w:eastAsia="Arial" w:hAnsi="Arial"/>
          <w:sz w:val="17"/>
          <w:szCs w:val="17"/>
          <w:color w:val="auto"/>
        </w:rPr>
        <w:t>. At the Effective Time, each Assumed Option, whether or not then exercisable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shall be 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71" w:lineRule="exact"/>
        <w:rPr>
          <w:rFonts w:ascii="Arial" w:cs="Arial" w:eastAsia="Arial" w:hAnsi="Arial"/>
          <w:sz w:val="17"/>
          <w:szCs w:val="17"/>
          <w:color w:val="auto"/>
        </w:rPr>
      </w:pPr>
    </w:p>
    <w:p>
      <w:pPr>
        <w:ind w:right="20" w:firstLine="2277"/>
        <w:spacing w:after="0" w:line="312" w:lineRule="auto"/>
        <w:tabs>
          <w:tab w:leader="none" w:pos="25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w:t>
      </w:r>
    </w:p>
    <w:p>
      <w:pPr>
        <w:sectPr>
          <w:pgSz w:w="11900" w:h="16925" w:orient="portrait"/>
          <w:cols w:equalWidth="0" w:num="1">
            <w:col w:w="11360"/>
          </w:cols>
          <w:pgMar w:left="240" w:top="121" w:right="299" w:bottom="0" w:gutter="0" w:footer="0" w:header="0"/>
        </w:sectPr>
      </w:pPr>
    </w:p>
    <w:bookmarkStart w:id="35" w:name="page36"/>
    <w:bookmarkEnd w:id="35"/>
    <w:p>
      <w:pPr>
        <w:spacing w:after="0" w:line="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number of shares of Company Common Stock subject to such Company Option immediately prior to the Effective Time multiplied by (II) 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 provided as of the date of this Agreement, and will take any action that it is permitted to take so that the vesting of such options is not accelerated.</w:t>
      </w:r>
    </w:p>
    <w:p>
      <w:pPr>
        <w:spacing w:after="0" w:line="189" w:lineRule="exact"/>
        <w:rPr>
          <w:sz w:val="20"/>
          <w:szCs w:val="20"/>
          <w:color w:val="auto"/>
        </w:rPr>
      </w:pPr>
    </w:p>
    <w:p>
      <w:pPr>
        <w:ind w:right="40" w:firstLine="2277"/>
        <w:spacing w:after="0" w:line="266" w:lineRule="auto"/>
        <w:tabs>
          <w:tab w:leader="none" w:pos="26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2277"/>
        <w:spacing w:after="0" w:line="259" w:lineRule="auto"/>
        <w:tabs>
          <w:tab w:leader="none" w:pos="261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86" w:lineRule="exact"/>
        <w:rPr>
          <w:rFonts w:ascii="Arial" w:cs="Arial" w:eastAsia="Arial" w:hAnsi="Arial"/>
          <w:sz w:val="18"/>
          <w:szCs w:val="18"/>
          <w:color w:val="auto"/>
        </w:rPr>
      </w:pPr>
    </w:p>
    <w:p>
      <w:pPr>
        <w:ind w:left="420" w:firstLine="1290"/>
        <w:spacing w:after="0" w:line="291" w:lineRule="auto"/>
        <w:tabs>
          <w:tab w:leader="none" w:pos="1964"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Certain Company Options</w:t>
      </w:r>
      <w:r>
        <w:rPr>
          <w:rFonts w:ascii="Arial" w:cs="Arial" w:eastAsia="Arial" w:hAnsi="Arial"/>
          <w:sz w:val="16"/>
          <w:szCs w:val="16"/>
          <w:color w:val="auto"/>
        </w:rPr>
        <w:t>. At the Effective Time, each then outstanding Company Option that is not an Assumed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Option, 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Section 5.9(b)</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20" w:right="100" w:firstLine="1290"/>
        <w:spacing w:after="0" w:line="286" w:lineRule="auto"/>
        <w:tabs>
          <w:tab w:leader="none" w:pos="1954"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ESPP</w:t>
      </w:r>
      <w:r>
        <w:rPr>
          <w:rFonts w:ascii="Arial" w:cs="Arial" w:eastAsia="Arial" w:hAnsi="Arial"/>
          <w:sz w:val="16"/>
          <w:szCs w:val="16"/>
          <w:color w:val="auto"/>
        </w:rPr>
        <w:t>. Prior to the Effective Time, the Company shall take all other reasonable actions (including timely distributing notices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participants 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67" w:lineRule="exact"/>
        <w:rPr>
          <w:rFonts w:ascii="Arial" w:cs="Arial" w:eastAsia="Arial" w:hAnsi="Arial"/>
          <w:sz w:val="16"/>
          <w:szCs w:val="16"/>
          <w:color w:val="auto"/>
        </w:rPr>
      </w:pPr>
    </w:p>
    <w:p>
      <w:pPr>
        <w:ind w:left="420" w:right="220" w:firstLine="1290"/>
        <w:spacing w:after="0" w:line="266" w:lineRule="auto"/>
        <w:tabs>
          <w:tab w:leader="none" w:pos="1964"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With respect to matters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5.9(a) -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the Company will use reasonable efforts to consult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(and consider in good faith the advice of Parent) prior to sending any notices or other communication materials to its Employees/Service Providers.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89" w:lineRule="auto"/>
        <w:tabs>
          <w:tab w:leader="none" w:pos="1954"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401(k) Plans</w:t>
      </w:r>
      <w:r>
        <w:rPr>
          <w:rFonts w:ascii="Arial" w:cs="Arial" w:eastAsia="Arial" w:hAnsi="Arial"/>
          <w:sz w:val="16"/>
          <w:szCs w:val="16"/>
          <w:color w:val="auto"/>
        </w:rPr>
        <w:t>. Effective as of no later than the day immediately preceding the Closing Date, each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66" w:lineRule="exact"/>
        <w:rPr>
          <w:rFonts w:ascii="Arial" w:cs="Arial" w:eastAsia="Arial" w:hAnsi="Arial"/>
          <w:sz w:val="16"/>
          <w:szCs w:val="16"/>
          <w:color w:val="auto"/>
        </w:rPr>
      </w:pPr>
    </w:p>
    <w:p>
      <w:pPr>
        <w:ind w:left="420" w:firstLine="1290"/>
        <w:spacing w:after="0" w:line="286" w:lineRule="auto"/>
        <w:tabs>
          <w:tab w:leader="none" w:pos="1973"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Service Credit</w:t>
      </w:r>
      <w:r>
        <w:rPr>
          <w:rFonts w:ascii="Arial" w:cs="Arial" w:eastAsia="Arial" w:hAnsi="Arial"/>
          <w:sz w:val="16"/>
          <w:szCs w:val="16"/>
          <w:color w:val="auto"/>
        </w:rPr>
        <w:t>. Following the Effective Time, solely to the extent that Continuing Employees (as defined below) are covered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under clauses (i) and (ii) above, if the Company or any of its Subsidiaries maintains a comparable Company Employee Plan, 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w:t>
      </w:r>
    </w:p>
    <w:p>
      <w:pPr>
        <w:sectPr>
          <w:pgSz w:w="11900" w:h="16904" w:orient="portrait"/>
          <w:cols w:equalWidth="0" w:num="1">
            <w:col w:w="11420"/>
          </w:cols>
          <w:pgMar w:left="240" w:top="125" w:right="239" w:bottom="0" w:gutter="0" w:footer="0" w:header="0"/>
        </w:sectPr>
      </w:pPr>
    </w:p>
    <w:bookmarkStart w:id="36" w:name="page37"/>
    <w:bookmarkEnd w:id="36"/>
    <w:p>
      <w:pPr>
        <w:spacing w:after="0" w:line="63" w:lineRule="exact"/>
        <w:rPr>
          <w:sz w:val="20"/>
          <w:szCs w:val="20"/>
          <w:color w:val="auto"/>
        </w:rPr>
      </w:pPr>
    </w:p>
    <w:p>
      <w:pPr>
        <w:ind w:left="420" w:right="40"/>
        <w:spacing w:after="0" w:line="264" w:lineRule="auto"/>
        <w:rPr>
          <w:sz w:val="20"/>
          <w:szCs w:val="20"/>
          <w:color w:val="auto"/>
        </w:rPr>
      </w:pPr>
      <w:r>
        <w:rPr>
          <w:rFonts w:ascii="Arial" w:cs="Arial" w:eastAsia="Arial" w:hAnsi="Arial"/>
          <w:sz w:val="18"/>
          <w:szCs w:val="18"/>
          <w:color w:val="auto"/>
        </w:rPr>
        <w:t xml:space="preserve">the extent such requirements and conditions were not applicable to the particular Continuing Employee under a comparable Company Employee Plan. For purposes of this Agreement, </w:t>
      </w:r>
      <w:r>
        <w:rPr>
          <w:rFonts w:ascii="Arial" w:cs="Arial" w:eastAsia="Arial" w:hAnsi="Arial"/>
          <w:sz w:val="18"/>
          <w:szCs w:val="18"/>
          <w:b w:val="1"/>
          <w:bCs w:val="1"/>
          <w:color w:val="auto"/>
        </w:rPr>
        <w:t>“Continuing Employees”</w:t>
      </w:r>
      <w:r>
        <w:rPr>
          <w:rFonts w:ascii="Arial" w:cs="Arial" w:eastAsia="Arial" w:hAnsi="Arial"/>
          <w:sz w:val="18"/>
          <w:szCs w:val="18"/>
          <w:color w:val="auto"/>
        </w:rPr>
        <w:t xml:space="preserve"> shall mean those employees of Parent and employees of the Surviving Corporation as of the Effective Time who shall have been employees of the Company immediately prior to the Effective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420" w:firstLine="1290"/>
        <w:spacing w:after="0" w:line="288" w:lineRule="auto"/>
        <w:tabs>
          <w:tab w:leader="none" w:pos="195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Indemnity</w:t>
      </w:r>
      <w:r>
        <w:rPr>
          <w:rFonts w:ascii="Arial" w:cs="Arial" w:eastAsia="Arial" w:hAnsi="Arial"/>
          <w:sz w:val="16"/>
          <w:szCs w:val="16"/>
          <w:color w:val="auto"/>
        </w:rPr>
        <w:t>. From and after the Effective Time, Parent will and will cause the Surviving Corporation to fulfill and honor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the 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 officers, employees, or agents under any indemnification provisions under the Company Charter Documents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subject to applicable law. The certificate of incorporation and bylaws of the Surviving Corporation will contain provisions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69" w:lineRule="exact"/>
        <w:rPr>
          <w:rFonts w:ascii="Arial" w:cs="Arial" w:eastAsia="Arial" w:hAnsi="Arial"/>
          <w:sz w:val="16"/>
          <w:szCs w:val="16"/>
          <w:color w:val="auto"/>
        </w:rPr>
      </w:pPr>
    </w:p>
    <w:p>
      <w:pPr>
        <w:ind w:left="420" w:right="20" w:firstLine="1290"/>
        <w:spacing w:after="0" w:line="286" w:lineRule="auto"/>
        <w:tabs>
          <w:tab w:leader="none" w:pos="196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For a period of six years after the Effective Time, Parent will or will cause the Surviving Corporation to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directors’ and 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Parent may satisfy its obligations under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5.10(b)</w:t>
      </w:r>
      <w:r>
        <w:rPr>
          <w:rFonts w:ascii="Arial" w:cs="Arial" w:eastAsia="Arial" w:hAnsi="Arial"/>
          <w:sz w:val="16"/>
          <w:szCs w:val="16"/>
          <w:i w:val="1"/>
          <w:iCs w:val="1"/>
          <w:color w:val="auto"/>
        </w:rPr>
        <w:t xml:space="preserve"> </w:t>
      </w:r>
      <w:r>
        <w:rPr>
          <w:rFonts w:ascii="Arial" w:cs="Arial" w:eastAsia="Arial" w:hAnsi="Arial"/>
          <w:sz w:val="16"/>
          <w:szCs w:val="16"/>
          <w:color w:val="auto"/>
        </w:rPr>
        <w:t>by purchasing a “tail” policy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70" w:lineRule="exact"/>
        <w:rPr>
          <w:rFonts w:ascii="Arial" w:cs="Arial" w:eastAsia="Arial" w:hAnsi="Arial"/>
          <w:sz w:val="16"/>
          <w:szCs w:val="16"/>
          <w:color w:val="auto"/>
        </w:rPr>
      </w:pPr>
    </w:p>
    <w:p>
      <w:pPr>
        <w:ind w:left="420" w:right="320" w:firstLine="1290"/>
        <w:spacing w:after="0" w:line="261" w:lineRule="auto"/>
        <w:tabs>
          <w:tab w:leader="none" w:pos="1954"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Beneficiaries</w:t>
      </w:r>
      <w:r>
        <w:rPr>
          <w:rFonts w:ascii="Arial" w:cs="Arial" w:eastAsia="Arial" w:hAnsi="Arial"/>
          <w:sz w:val="18"/>
          <w:szCs w:val="18"/>
          <w:color w:val="auto"/>
        </w:rPr>
        <w:t>.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intended to be for the benefit of, and shall be enforceable by the Indemnified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and their 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100"/>
        <w:spacing w:after="0" w:line="274" w:lineRule="auto"/>
        <w:rPr>
          <w:sz w:val="20"/>
          <w:szCs w:val="20"/>
          <w:color w:val="auto"/>
        </w:rPr>
      </w:pPr>
      <w:r>
        <w:rPr>
          <w:rFonts w:ascii="Arial" w:cs="Arial" w:eastAsia="Arial" w:hAnsi="Arial"/>
          <w:sz w:val="17"/>
          <w:szCs w:val="17"/>
          <w:color w:val="auto"/>
        </w:rPr>
        <w:t xml:space="preserve">after the Closing, the obligations of Parent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shall not be terminated or modified in such a manner as to adversely affect the rights of any Indemnified Party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7"/>
          <w:szCs w:val="17"/>
          <w:b w:val="1"/>
          <w:bCs w:val="1"/>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i w:val="1"/>
          <w:iCs w:val="1"/>
          <w:color w:val="auto"/>
        </w:rPr>
        <w:t>Section 16 Matters</w:t>
      </w:r>
      <w:r>
        <w:rPr>
          <w:rFonts w:ascii="Arial" w:cs="Arial" w:eastAsia="Arial" w:hAnsi="Arial"/>
          <w:sz w:val="17"/>
          <w:szCs w:val="17"/>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7"/>
          <w:szCs w:val="17"/>
          <w:b w:val="1"/>
          <w:bCs w:val="1"/>
          <w:color w:val="auto"/>
        </w:rPr>
        <w:t>Article I</w:t>
      </w:r>
      <w:r>
        <w:rPr>
          <w:rFonts w:ascii="Arial" w:cs="Arial" w:eastAsia="Arial" w:hAnsi="Arial"/>
          <w:sz w:val="17"/>
          <w:szCs w:val="17"/>
          <w:color w:val="auto"/>
        </w:rPr>
        <w:t xml:space="preserve"> of this Agreement by each individual who is subject to the reporting requirements of Section 16(a) of the Exchange Act with respect to the Company to be exempt under Rule 16b-3 promulgated under the Exchange Act.</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 xml:space="preserve">Section 6.1(d) </w:t>
      </w:r>
      <w:r>
        <w:rPr>
          <w:rFonts w:ascii="Arial" w:cs="Arial" w:eastAsia="Arial" w:hAnsi="Arial"/>
          <w:sz w:val="18"/>
          <w:szCs w:val="18"/>
          <w:color w:val="auto"/>
        </w:rPr>
        <w:t>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18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6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i w:val="1"/>
          <w:iCs w:val="1"/>
          <w:color w:val="auto"/>
        </w:rPr>
        <w:t>145 Affiliates</w:t>
      </w:r>
      <w:r>
        <w:rPr>
          <w:rFonts w:ascii="Arial" w:cs="Arial" w:eastAsia="Arial" w:hAnsi="Arial"/>
          <w:sz w:val="18"/>
          <w:szCs w:val="18"/>
          <w:color w:val="auto"/>
        </w:rPr>
        <w:t>. As soon as practicable after the date hereof, and in no event more than ten (10) days prior to the Closing Date, the Company shall deliver to Parent a letter identifying all</w:t>
      </w:r>
    </w:p>
    <w:p>
      <w:pPr>
        <w:sectPr>
          <w:pgSz w:w="11900" w:h="16902" w:orient="portrait"/>
          <w:cols w:equalWidth="0" w:num="1">
            <w:col w:w="11420"/>
          </w:cols>
          <w:pgMar w:left="240" w:top="125" w:right="23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8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i w:val="1"/>
          <w:iCs w:val="1"/>
          <w:color w:val="auto"/>
        </w:rPr>
        <w:t>T</w:t>
      </w:r>
      <w:r>
        <w:rPr>
          <w:rFonts w:ascii="Arial" w:cs="Arial" w:eastAsia="Arial" w:hAnsi="Arial"/>
          <w:sz w:val="17"/>
          <w:szCs w:val="17"/>
          <w:b w:val="1"/>
          <w:bCs w:val="1"/>
          <w:i w:val="1"/>
          <w:iCs w:val="1"/>
          <w:color w:val="auto"/>
        </w:rPr>
        <w:t>ermination of Credit Agreement and Release of Liens</w:t>
      </w:r>
      <w:r>
        <w:rPr>
          <w:rFonts w:ascii="Arial" w:cs="Arial" w:eastAsia="Arial" w:hAnsi="Arial"/>
          <w:sz w:val="17"/>
          <w:szCs w:val="17"/>
          <w:color w:val="auto"/>
        </w:rPr>
        <w:t>. Prior to the Closing, the Company shall use best efforts to (i) pay off and terminate all</w:t>
      </w:r>
      <w:r>
        <w:rPr>
          <w:rFonts w:ascii="Arial" w:cs="Arial" w:eastAsia="Arial" w:hAnsi="Arial"/>
          <w:sz w:val="18"/>
          <w:szCs w:val="18"/>
          <w:color w:val="auto"/>
        </w:rPr>
        <w:t xml:space="preserve"> </w:t>
      </w:r>
      <w:r>
        <w:rPr>
          <w:rFonts w:ascii="Arial" w:cs="Arial" w:eastAsia="Arial" w:hAnsi="Arial"/>
          <w:sz w:val="17"/>
          <w:szCs w:val="17"/>
          <w:color w:val="auto"/>
        </w:rPr>
        <w:t xml:space="preserve">Indebtedness of the Company and its Subsidiaries set forth in </w:t>
      </w:r>
      <w:r>
        <w:rPr>
          <w:rFonts w:ascii="Arial" w:cs="Arial" w:eastAsia="Arial" w:hAnsi="Arial"/>
          <w:sz w:val="17"/>
          <w:szCs w:val="17"/>
          <w:b w:val="1"/>
          <w:bCs w:val="1"/>
          <w:color w:val="auto"/>
        </w:rPr>
        <w:t>Section 2.4(f)</w:t>
      </w:r>
      <w:r>
        <w:rPr>
          <w:rFonts w:ascii="Arial" w:cs="Arial" w:eastAsia="Arial" w:hAnsi="Arial"/>
          <w:sz w:val="17"/>
          <w:szCs w:val="17"/>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7"/>
          <w:szCs w:val="17"/>
          <w:b w:val="1"/>
          <w:bCs w:val="1"/>
          <w:color w:val="auto"/>
        </w:rPr>
        <w:t>Debt Payoffs</w:t>
      </w:r>
      <w:r>
        <w:rPr>
          <w:rFonts w:ascii="Arial" w:cs="Arial" w:eastAsia="Arial" w:hAnsi="Arial"/>
          <w:sz w:val="17"/>
          <w:szCs w:val="17"/>
          <w:color w:val="auto"/>
        </w:rPr>
        <w:t xml:space="preserve">”); (ii) 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 and discharge of all liens or other encumbrances upon the Company’s patents, patent applications and draft applications such that each will be transferred to IP LLC pursuant to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while IP LLC is a wholly owned Subsidiary of the Company, free and clear of all liens and encumbrances at the moment of their initial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Conditions to the Obligations of Each Party to Effect the Merger</w:t>
      </w:r>
      <w:r>
        <w:rPr>
          <w:rFonts w:ascii="Arial" w:cs="Arial" w:eastAsia="Arial" w:hAnsi="Arial"/>
          <w:sz w:val="16"/>
          <w:szCs w:val="16"/>
          <w:color w:val="auto"/>
        </w:rPr>
        <w:t>. The respective obligations of each party to this Agreement to effect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shall be subject to the satisfaction at or prior to the Closing Date of the following conditions:</w:t>
      </w:r>
    </w:p>
    <w:p>
      <w:pPr>
        <w:spacing w:after="0" w:line="211" w:lineRule="exact"/>
        <w:rPr>
          <w:sz w:val="20"/>
          <w:szCs w:val="20"/>
          <w:color w:val="auto"/>
        </w:rPr>
      </w:pPr>
    </w:p>
    <w:p>
      <w:pPr>
        <w:ind w:left="420" w:right="540" w:firstLine="1290"/>
        <w:spacing w:after="0" w:line="277" w:lineRule="auto"/>
        <w:tabs>
          <w:tab w:leader="none" w:pos="1954" w:val="left"/>
        </w:tabs>
        <w:numPr>
          <w:ilvl w:val="1"/>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This Agreement shall have been adopted by the requisite vote under applicable law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Company.</w:t>
      </w:r>
    </w:p>
    <w:p>
      <w:pPr>
        <w:spacing w:after="0" w:line="170" w:lineRule="exact"/>
        <w:rPr>
          <w:rFonts w:ascii="Arial" w:cs="Arial" w:eastAsia="Arial" w:hAnsi="Arial"/>
          <w:sz w:val="18"/>
          <w:szCs w:val="18"/>
          <w:color w:val="auto"/>
        </w:rPr>
      </w:pPr>
    </w:p>
    <w:p>
      <w:pPr>
        <w:ind w:left="420" w:right="340" w:firstLine="1290"/>
        <w:spacing w:after="0" w:line="291" w:lineRule="auto"/>
        <w:tabs>
          <w:tab w:leader="none" w:pos="1964" w:val="left"/>
        </w:tabs>
        <w:numPr>
          <w:ilvl w:val="1"/>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No Order</w:t>
      </w:r>
      <w:r>
        <w:rPr>
          <w:rFonts w:ascii="Arial" w:cs="Arial" w:eastAsia="Arial" w:hAnsi="Arial"/>
          <w:sz w:val="16"/>
          <w:szCs w:val="16"/>
          <w:color w:val="auto"/>
        </w:rPr>
        <w:t>. No Governmental Entity of competent jurisdiction shall have enacted, issued, promulgated, enforced or entered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rule, regulation, executive order, decree, injunction or other order (whether temporary, preliminary or permanent) which (i) is in effect and</w:t>
      </w:r>
    </w:p>
    <w:p>
      <w:pPr>
        <w:ind w:left="680" w:hanging="267"/>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has the effect of making the Merger illegal or otherwise prohibiting or preventing consummation of the Merger.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0" w:firstLine="1290"/>
        <w:spacing w:after="0" w:line="259" w:lineRule="auto"/>
        <w:tabs>
          <w:tab w:leader="none" w:pos="1954"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HSR Act and Foreign Approvals</w:t>
      </w:r>
      <w:r>
        <w:rPr>
          <w:rFonts w:ascii="Arial" w:cs="Arial" w:eastAsia="Arial" w:hAnsi="Arial"/>
          <w:sz w:val="18"/>
          <w:szCs w:val="18"/>
          <w:color w:val="auto"/>
        </w:rPr>
        <w:t>. 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86" w:lineRule="exact"/>
        <w:rPr>
          <w:rFonts w:ascii="Arial" w:cs="Arial" w:eastAsia="Arial" w:hAnsi="Arial"/>
          <w:sz w:val="18"/>
          <w:szCs w:val="18"/>
          <w:color w:val="auto"/>
        </w:rPr>
      </w:pPr>
    </w:p>
    <w:p>
      <w:pPr>
        <w:ind w:left="420" w:right="80" w:firstLine="1290"/>
        <w:spacing w:after="0" w:line="253" w:lineRule="auto"/>
        <w:tabs>
          <w:tab w:leader="none" w:pos="1964"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Tax Opinions</w:t>
      </w:r>
      <w:r>
        <w:rPr>
          <w:rFonts w:ascii="Arial" w:cs="Arial" w:eastAsia="Arial" w:hAnsi="Arial"/>
          <w:sz w:val="18"/>
          <w:szCs w:val="18"/>
          <w:color w:val="auto"/>
        </w:rPr>
        <w:t>. Parent and the Company shall have received an opinion of Skadden, Arps, Slate, Meagher &amp; Flom LLP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Fenwick &amp; West LLP, respectively, dated as of the Effective Time, to the effect that the Merger will qualify as a reorganization within the meaning of Section 368(a) of the Code;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9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81" w:lineRule="exact"/>
        <w:rPr>
          <w:sz w:val="20"/>
          <w:szCs w:val="20"/>
          <w:color w:val="auto"/>
        </w:rPr>
      </w:pPr>
    </w:p>
    <w:p>
      <w:pPr>
        <w:ind w:left="420" w:right="20" w:firstLine="1290"/>
        <w:spacing w:after="0" w:line="289" w:lineRule="auto"/>
        <w:tabs>
          <w:tab w:leader="none" w:pos="1954"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Representations and Warranties</w:t>
      </w:r>
      <w:r>
        <w:rPr>
          <w:rFonts w:ascii="Arial" w:cs="Arial" w:eastAsia="Arial" w:hAnsi="Arial"/>
          <w:sz w:val="16"/>
          <w:szCs w:val="16"/>
          <w:color w:val="auto"/>
        </w:rPr>
        <w:t>. The representations and warranties of the Company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6"/>
          <w:szCs w:val="16"/>
          <w:b w:val="1"/>
          <w:bCs w:val="1"/>
          <w:color w:val="auto"/>
        </w:rPr>
        <w:t>(a)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2.3</w:t>
      </w:r>
      <w:r>
        <w:rPr>
          <w:rFonts w:ascii="Arial" w:cs="Arial" w:eastAsia="Arial" w:hAnsi="Arial"/>
          <w:sz w:val="16"/>
          <w:szCs w:val="16"/>
          <w:color w:val="auto"/>
        </w:rPr>
        <w:t>, subsection</w:t>
      </w:r>
      <w:r>
        <w:rPr>
          <w:rFonts w:ascii="Arial" w:cs="Arial" w:eastAsia="Arial" w:hAnsi="Arial"/>
          <w:sz w:val="16"/>
          <w:szCs w:val="16"/>
          <w:b w:val="1"/>
          <w:bCs w:val="1"/>
          <w:color w:val="auto"/>
        </w:rPr>
        <w:t xml:space="preserve"> (f)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2.4 </w:t>
      </w:r>
      <w:r>
        <w:rPr>
          <w:rFonts w:ascii="Arial" w:cs="Arial" w:eastAsia="Arial" w:hAnsi="Arial"/>
          <w:sz w:val="16"/>
          <w:szCs w:val="16"/>
          <w:color w:val="auto"/>
        </w:rPr>
        <w:t>and subsections</w:t>
      </w:r>
      <w:r>
        <w:rPr>
          <w:rFonts w:ascii="Arial" w:cs="Arial" w:eastAsia="Arial" w:hAnsi="Arial"/>
          <w:sz w:val="16"/>
          <w:szCs w:val="16"/>
          <w:b w:val="1"/>
          <w:bCs w:val="1"/>
          <w:color w:val="auto"/>
        </w:rPr>
        <w:t xml:space="preserve"> (a)</w:t>
      </w:r>
      <w:r>
        <w:rPr>
          <w:rFonts w:ascii="Arial" w:cs="Arial" w:eastAsia="Arial" w:hAnsi="Arial"/>
          <w:sz w:val="16"/>
          <w:szCs w:val="16"/>
          <w:color w:val="auto"/>
        </w:rPr>
        <w:t>,</w:t>
      </w:r>
      <w:r>
        <w:rPr>
          <w:rFonts w:ascii="Arial" w:cs="Arial" w:eastAsia="Arial" w:hAnsi="Arial"/>
          <w:sz w:val="16"/>
          <w:szCs w:val="16"/>
          <w:b w:val="1"/>
          <w:bCs w:val="1"/>
          <w:color w:val="auto"/>
        </w:rPr>
        <w:t xml:space="preserve"> (e)</w:t>
      </w:r>
      <w:r>
        <w:rPr>
          <w:rFonts w:ascii="Arial" w:cs="Arial" w:eastAsia="Arial" w:hAnsi="Arial"/>
          <w:sz w:val="16"/>
          <w:szCs w:val="16"/>
          <w:color w:val="auto"/>
        </w:rPr>
        <w:t>,</w:t>
      </w:r>
      <w:r>
        <w:rPr>
          <w:rFonts w:ascii="Arial" w:cs="Arial" w:eastAsia="Arial" w:hAnsi="Arial"/>
          <w:sz w:val="16"/>
          <w:szCs w:val="16"/>
          <w:b w:val="1"/>
          <w:bCs w:val="1"/>
          <w:color w:val="auto"/>
        </w:rPr>
        <w:t xml:space="preserve"> (f)</w:t>
      </w:r>
      <w:r>
        <w:rPr>
          <w:rFonts w:ascii="Arial" w:cs="Arial" w:eastAsia="Arial" w:hAnsi="Arial"/>
          <w:sz w:val="16"/>
          <w:szCs w:val="16"/>
          <w:color w:val="auto"/>
        </w:rPr>
        <w:t>,</w:t>
      </w:r>
      <w:r>
        <w:rPr>
          <w:rFonts w:ascii="Arial" w:cs="Arial" w:eastAsia="Arial" w:hAnsi="Arial"/>
          <w:sz w:val="16"/>
          <w:szCs w:val="16"/>
          <w:b w:val="1"/>
          <w:bCs w:val="1"/>
          <w:color w:val="auto"/>
        </w:rPr>
        <w:t xml:space="preserve"> (g)</w:t>
      </w:r>
      <w:r>
        <w:rPr>
          <w:rFonts w:ascii="Arial" w:cs="Arial" w:eastAsia="Arial" w:hAnsi="Arial"/>
          <w:sz w:val="16"/>
          <w:szCs w:val="16"/>
          <w:color w:val="auto"/>
        </w:rPr>
        <w:t>,</w:t>
      </w:r>
      <w:r>
        <w:rPr>
          <w:rFonts w:ascii="Arial" w:cs="Arial" w:eastAsia="Arial" w:hAnsi="Arial"/>
          <w:sz w:val="16"/>
          <w:szCs w:val="16"/>
          <w:b w:val="1"/>
          <w:bCs w:val="1"/>
          <w:color w:val="auto"/>
        </w:rPr>
        <w:t xml:space="preserve"> (h)</w:t>
      </w:r>
      <w:r>
        <w:rPr>
          <w:rFonts w:ascii="Arial" w:cs="Arial" w:eastAsia="Arial" w:hAnsi="Arial"/>
          <w:sz w:val="16"/>
          <w:szCs w:val="16"/>
          <w:color w:val="auto"/>
        </w:rPr>
        <w:t>,</w:t>
      </w:r>
      <w:r>
        <w:rPr>
          <w:rFonts w:ascii="Arial" w:cs="Arial" w:eastAsia="Arial" w:hAnsi="Arial"/>
          <w:sz w:val="16"/>
          <w:szCs w:val="16"/>
          <w:b w:val="1"/>
          <w:bCs w:val="1"/>
          <w:color w:val="auto"/>
        </w:rPr>
        <w:t xml:space="preserve"> (m)</w:t>
      </w:r>
      <w:r>
        <w:rPr>
          <w:rFonts w:ascii="Arial" w:cs="Arial" w:eastAsia="Arial" w:hAnsi="Arial"/>
          <w:sz w:val="16"/>
          <w:szCs w:val="16"/>
          <w:color w:val="auto"/>
        </w:rPr>
        <w:t>,</w:t>
      </w:r>
      <w:r>
        <w:rPr>
          <w:rFonts w:ascii="Arial" w:cs="Arial" w:eastAsia="Arial" w:hAnsi="Arial"/>
          <w:sz w:val="16"/>
          <w:szCs w:val="16"/>
          <w:b w:val="1"/>
          <w:bCs w:val="1"/>
          <w:color w:val="auto"/>
        </w:rPr>
        <w:t xml:space="preserve"> (p) </w:t>
      </w:r>
      <w:r>
        <w:rPr>
          <w:rFonts w:ascii="Arial" w:cs="Arial" w:eastAsia="Arial" w:hAnsi="Arial"/>
          <w:sz w:val="16"/>
          <w:szCs w:val="16"/>
          <w:color w:val="auto"/>
        </w:rPr>
        <w:t>and</w:t>
      </w:r>
      <w:r>
        <w:rPr>
          <w:rFonts w:ascii="Arial" w:cs="Arial" w:eastAsia="Arial" w:hAnsi="Arial"/>
          <w:sz w:val="16"/>
          <w:szCs w:val="16"/>
          <w:b w:val="1"/>
          <w:bCs w:val="1"/>
          <w:color w:val="auto"/>
        </w:rPr>
        <w:t xml:space="preserve"> (q)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2.8</w:t>
      </w:r>
      <w:r>
        <w:rPr>
          <w:rFonts w:ascii="Arial" w:cs="Arial" w:eastAsia="Arial" w:hAnsi="Arial"/>
          <w:sz w:val="16"/>
          <w:szCs w:val="16"/>
          <w:color w:val="auto"/>
        </w:rPr>
        <w:t>, which shall be true and correct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respects and (ii) subsection </w:t>
      </w:r>
      <w:r>
        <w:rPr>
          <w:rFonts w:ascii="Arial" w:cs="Arial" w:eastAsia="Arial" w:hAnsi="Arial"/>
          <w:sz w:val="16"/>
          <w:szCs w:val="16"/>
          <w:b w:val="1"/>
          <w:bCs w:val="1"/>
          <w:color w:val="auto"/>
        </w:rPr>
        <w:t>(r)</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6" w:lineRule="exact"/>
        <w:rPr>
          <w:rFonts w:ascii="Arial" w:cs="Arial" w:eastAsia="Arial" w:hAnsi="Arial"/>
          <w:sz w:val="16"/>
          <w:szCs w:val="16"/>
          <w:color w:val="auto"/>
        </w:rPr>
      </w:pPr>
    </w:p>
    <w:p>
      <w:pPr>
        <w:ind w:left="420" w:right="60" w:firstLine="1290"/>
        <w:spacing w:after="0" w:line="264"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The Company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covenants 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8" w:name="page39"/>
    <w:bookmarkEnd w:id="38"/>
    <w:p>
      <w:pPr>
        <w:ind w:left="420" w:right="280" w:firstLine="1290"/>
        <w:spacing w:after="0" w:line="342" w:lineRule="auto"/>
        <w:tabs>
          <w:tab w:leader="none" w:pos="1954"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No Effect, either individually or in the aggregate, has occurred since the date hereof that has or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be expected to have a Material Adverse Effect on the Company shall have occurred since the date hereof and be continuing.</w:t>
      </w:r>
    </w:p>
    <w:p>
      <w:pPr>
        <w:spacing w:after="0" w:line="123" w:lineRule="exact"/>
        <w:rPr>
          <w:rFonts w:ascii="Arial" w:cs="Arial" w:eastAsia="Arial" w:hAnsi="Arial"/>
          <w:sz w:val="16"/>
          <w:szCs w:val="16"/>
          <w:color w:val="auto"/>
        </w:rPr>
      </w:pPr>
    </w:p>
    <w:p>
      <w:pPr>
        <w:ind w:left="420" w:right="80" w:firstLine="1290"/>
        <w:spacing w:after="0" w:line="279" w:lineRule="auto"/>
        <w:tabs>
          <w:tab w:leader="none" w:pos="1964"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No Governmental Restriction</w:t>
      </w:r>
      <w:r>
        <w:rPr>
          <w:rFonts w:ascii="Arial" w:cs="Arial" w:eastAsia="Arial" w:hAnsi="Arial"/>
          <w:sz w:val="17"/>
          <w:szCs w:val="17"/>
          <w:color w:val="auto"/>
        </w:rPr>
        <w:t>. There shall not be any pending or overtly threatened suit, action or proceeding asserted by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Governmental 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7"/>
          <w:szCs w:val="17"/>
          <w:b w:val="1"/>
          <w:bCs w:val="1"/>
          <w:color w:val="auto"/>
        </w:rPr>
        <w:t>Section 6.1(b)</w:t>
      </w:r>
      <w:r>
        <w:rPr>
          <w:rFonts w:ascii="Arial" w:cs="Arial" w:eastAsia="Arial" w:hAnsi="Arial"/>
          <w:sz w:val="17"/>
          <w:szCs w:val="17"/>
          <w:color w:val="auto"/>
        </w:rPr>
        <w:t xml:space="preserve"> to not be satisfied or (ii) seeking to require Parent or the Company or any Subsidiary or affiliate thereof to effect an Action of Divestiture.</w:t>
      </w:r>
    </w:p>
    <w:p>
      <w:pPr>
        <w:spacing w:after="0" w:line="171" w:lineRule="exact"/>
        <w:rPr>
          <w:rFonts w:ascii="Arial" w:cs="Arial" w:eastAsia="Arial" w:hAnsi="Arial"/>
          <w:sz w:val="17"/>
          <w:szCs w:val="17"/>
          <w:color w:val="auto"/>
        </w:rPr>
      </w:pPr>
    </w:p>
    <w:p>
      <w:pPr>
        <w:ind w:left="420" w:right="100" w:firstLine="1290"/>
        <w:spacing w:after="0" w:line="342" w:lineRule="auto"/>
        <w:tabs>
          <w:tab w:leader="none" w:pos="1954"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and Merger Sub shall have received a certificate, dated as of the Closing Date, to the effect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24"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Additional Conditions to the Obligations of the Company</w:t>
      </w:r>
      <w:r>
        <w:rPr>
          <w:rFonts w:ascii="Arial" w:cs="Arial" w:eastAsia="Arial" w:hAnsi="Arial"/>
          <w:sz w:val="18"/>
          <w:szCs w:val="18"/>
          <w:color w:val="auto"/>
        </w:rPr>
        <w:t>. The obligation of the Company to consummate and effect the Merger shall be subject to the satisfaction at or prior to the Closing Date of each of the following conditions, any of which may be waived, in writing, exclusively by the Company:</w:t>
      </w:r>
    </w:p>
    <w:p>
      <w:pPr>
        <w:spacing w:after="0" w:line="181" w:lineRule="exact"/>
        <w:rPr>
          <w:sz w:val="20"/>
          <w:szCs w:val="20"/>
          <w:color w:val="auto"/>
        </w:rPr>
      </w:pPr>
    </w:p>
    <w:p>
      <w:pPr>
        <w:ind w:left="420" w:right="20" w:firstLine="1290"/>
        <w:spacing w:after="0" w:line="270" w:lineRule="auto"/>
        <w:tabs>
          <w:tab w:leader="none" w:pos="1954" w:val="left"/>
        </w:tabs>
        <w:numPr>
          <w:ilvl w:val="1"/>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and Warranties</w:t>
      </w:r>
      <w:r>
        <w:rPr>
          <w:rFonts w:ascii="Arial" w:cs="Arial" w:eastAsia="Arial" w:hAnsi="Arial"/>
          <w:sz w:val="17"/>
          <w:szCs w:val="17"/>
          <w:color w:val="auto"/>
        </w:rPr>
        <w:t>. The representations and warranties of Parent and Merger Sub contained in this Agreement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rFonts w:ascii="Arial" w:cs="Arial" w:eastAsia="Arial" w:hAnsi="Arial"/>
          <w:sz w:val="17"/>
          <w:szCs w:val="17"/>
          <w:color w:val="auto"/>
        </w:rPr>
      </w:pPr>
    </w:p>
    <w:p>
      <w:pPr>
        <w:ind w:left="420" w:right="60" w:firstLine="1209"/>
        <w:spacing w:after="0" w:line="257" w:lineRule="auto"/>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Parent and Merger Sub shall have performed or complied in all material respects with all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80" w:firstLine="1209"/>
        <w:spacing w:after="0" w:line="308" w:lineRule="auto"/>
        <w:tabs>
          <w:tab w:leader="none" w:pos="195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No Effect, either individually or in the aggregate, has occurred since the date hereof that has or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be expected to have a Material Adverse Effect on Parent shall have occurred since the date hereof and be continuing.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may be terminated at any time prior to the Effective Time, by action taken by the terminating party or parties, and except as provided below, whether before or after the requisite approvals of the stockholders of the Company:</w:t>
      </w:r>
    </w:p>
    <w:p>
      <w:pPr>
        <w:spacing w:after="0" w:line="170" w:lineRule="exact"/>
        <w:rPr>
          <w:sz w:val="20"/>
          <w:szCs w:val="20"/>
          <w:color w:val="auto"/>
        </w:rPr>
      </w:pPr>
    </w:p>
    <w:p>
      <w:pPr>
        <w:ind w:left="1940" w:hanging="230"/>
        <w:spacing w:after="0"/>
        <w:tabs>
          <w:tab w:leader="none" w:pos="19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21" w:lineRule="exact"/>
        <w:rPr>
          <w:rFonts w:ascii="Arial" w:cs="Arial" w:eastAsia="Arial" w:hAnsi="Arial"/>
          <w:sz w:val="18"/>
          <w:szCs w:val="18"/>
          <w:color w:val="auto"/>
        </w:rPr>
      </w:pPr>
    </w:p>
    <w:p>
      <w:pPr>
        <w:ind w:left="420" w:right="60" w:firstLine="1290"/>
        <w:spacing w:after="0" w:line="261" w:lineRule="auto"/>
        <w:tabs>
          <w:tab w:leader="none" w:pos="1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either the Company or Parent if the Merger shall not have been consummated by December 6, 2006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any party whose action or failure to act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 principal cause of or resulted in the failure of the Merger to occur on or before such date and such action or failure to act constitutes a breach of this Agreement;</w:t>
      </w:r>
    </w:p>
    <w:p>
      <w:pPr>
        <w:spacing w:after="0" w:line="184" w:lineRule="exact"/>
        <w:rPr>
          <w:rFonts w:ascii="Arial" w:cs="Arial" w:eastAsia="Arial" w:hAnsi="Arial"/>
          <w:sz w:val="18"/>
          <w:szCs w:val="18"/>
          <w:color w:val="auto"/>
        </w:rPr>
      </w:pPr>
    </w:p>
    <w:p>
      <w:pPr>
        <w:ind w:left="420" w:right="180" w:firstLine="1290"/>
        <w:spacing w:after="0" w:line="264" w:lineRule="auto"/>
        <w:tabs>
          <w:tab w:leader="none" w:pos="19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81" w:lineRule="exact"/>
        <w:rPr>
          <w:rFonts w:ascii="Arial" w:cs="Arial" w:eastAsia="Arial" w:hAnsi="Arial"/>
          <w:sz w:val="18"/>
          <w:szCs w:val="18"/>
          <w:color w:val="auto"/>
        </w:rPr>
      </w:pPr>
    </w:p>
    <w:p>
      <w:pPr>
        <w:ind w:left="420" w:right="40" w:firstLine="1290"/>
        <w:spacing w:after="0" w:line="257" w:lineRule="auto"/>
        <w:tabs>
          <w:tab w:leader="none" w:pos="1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88" w:lineRule="exact"/>
        <w:rPr>
          <w:rFonts w:ascii="Arial" w:cs="Arial" w:eastAsia="Arial" w:hAnsi="Arial"/>
          <w:sz w:val="18"/>
          <w:szCs w:val="18"/>
          <w:color w:val="auto"/>
        </w:rPr>
      </w:pPr>
    </w:p>
    <w:p>
      <w:pPr>
        <w:ind w:left="420" w:right="540" w:firstLine="1290"/>
        <w:spacing w:after="0" w:line="277" w:lineRule="auto"/>
        <w:tabs>
          <w:tab w:leader="none" w:pos="19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70" w:lineRule="exact"/>
        <w:rPr>
          <w:rFonts w:ascii="Arial" w:cs="Arial" w:eastAsia="Arial" w:hAnsi="Arial"/>
          <w:sz w:val="18"/>
          <w:szCs w:val="18"/>
          <w:color w:val="auto"/>
        </w:rPr>
      </w:pPr>
    </w:p>
    <w:p>
      <w:pPr>
        <w:ind w:left="420" w:firstLine="1290"/>
        <w:spacing w:after="0" w:line="259" w:lineRule="auto"/>
        <w:tabs>
          <w:tab w:leader="none" w:pos="197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8"/>
          <w:szCs w:val="18"/>
          <w:b w:val="1"/>
          <w:bCs w:val="1"/>
          <w:color w:val="auto"/>
        </w:rPr>
        <w:t>Section 6.3(a)</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Section 6.3(b)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if such inaccuracy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302" w:gutter="0" w:footer="0" w:header="0"/>
        </w:sectPr>
      </w:pPr>
    </w:p>
    <w:bookmarkStart w:id="39" w:name="page40"/>
    <w:bookmarkEnd w:id="39"/>
    <w:p>
      <w:pPr>
        <w:spacing w:after="0" w:line="54" w:lineRule="exact"/>
        <w:rPr>
          <w:sz w:val="20"/>
          <w:szCs w:val="20"/>
          <w:color w:val="auto"/>
        </w:rPr>
      </w:pPr>
    </w:p>
    <w:p>
      <w:pPr>
        <w:ind w:left="400"/>
        <w:spacing w:after="0" w:line="279" w:lineRule="auto"/>
        <w:rPr>
          <w:sz w:val="20"/>
          <w:szCs w:val="20"/>
          <w:color w:val="auto"/>
        </w:rPr>
      </w:pPr>
      <w:r>
        <w:rPr>
          <w:rFonts w:ascii="Arial" w:cs="Arial" w:eastAsia="Arial" w:hAnsi="Arial"/>
          <w:sz w:val="17"/>
          <w:szCs w:val="17"/>
          <w:color w:val="auto"/>
        </w:rPr>
        <w:t xml:space="preserve">in Parent’s representations and warranties or breach by Parent is curable by Parent prior to the End Date, then the Company may not terminate this Agreement under this </w:t>
      </w:r>
      <w:r>
        <w:rPr>
          <w:rFonts w:ascii="Arial" w:cs="Arial" w:eastAsia="Arial" w:hAnsi="Arial"/>
          <w:sz w:val="17"/>
          <w:szCs w:val="17"/>
          <w:b w:val="1"/>
          <w:bCs w:val="1"/>
          <w:color w:val="auto"/>
        </w:rPr>
        <w:t>Section 7.1(f)</w:t>
      </w:r>
      <w:r>
        <w:rPr>
          <w:rFonts w:ascii="Arial" w:cs="Arial" w:eastAsia="Arial" w:hAnsi="Arial"/>
          <w:sz w:val="17"/>
          <w:szCs w:val="17"/>
          <w:color w:val="auto"/>
        </w:rPr>
        <w:t xml:space="preserve"> prior to 30 days following Parent’s receipt of written notice from the Company of such breach,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Parent continues to exercise all reasonable efforts to cure such breach through such 30-day period (it being understood that the Company may not terminate this Agreement pursuant to this subsection </w:t>
      </w:r>
      <w:r>
        <w:rPr>
          <w:rFonts w:ascii="Arial" w:cs="Arial" w:eastAsia="Arial" w:hAnsi="Arial"/>
          <w:sz w:val="17"/>
          <w:szCs w:val="17"/>
          <w:b w:val="1"/>
          <w:bCs w:val="1"/>
          <w:color w:val="auto"/>
        </w:rPr>
        <w:t>(f)</w:t>
      </w:r>
      <w:r>
        <w:rPr>
          <w:rFonts w:ascii="Arial" w:cs="Arial" w:eastAsia="Arial" w:hAnsi="Arial"/>
          <w:sz w:val="17"/>
          <w:szCs w:val="17"/>
          <w:color w:val="auto"/>
        </w:rPr>
        <w:t xml:space="preserve"> if it shall have materially breached this Agreement or if such breach by Parent is cured);</w:t>
      </w:r>
    </w:p>
    <w:p>
      <w:pPr>
        <w:spacing w:after="0" w:line="171" w:lineRule="exact"/>
        <w:rPr>
          <w:sz w:val="20"/>
          <w:szCs w:val="20"/>
          <w:color w:val="auto"/>
        </w:rPr>
      </w:pPr>
    </w:p>
    <w:p>
      <w:pPr>
        <w:ind w:left="420" w:right="260" w:firstLine="1290"/>
        <w:spacing w:after="0" w:line="291" w:lineRule="auto"/>
        <w:tabs>
          <w:tab w:leader="none" w:pos="196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w:t>
      </w:r>
    </w:p>
    <w:p>
      <w:pPr>
        <w:ind w:left="420" w:right="6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6.2(a)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6.2(b)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such inaccuracy in the Company’s representations and warranties or breach by the Company is curable by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End Date, then Parent may not terminate this Agreement under this </w:t>
      </w:r>
      <w:r>
        <w:rPr>
          <w:rFonts w:ascii="Arial" w:cs="Arial" w:eastAsia="Arial" w:hAnsi="Arial"/>
          <w:sz w:val="18"/>
          <w:szCs w:val="18"/>
          <w:b w:val="1"/>
          <w:bCs w:val="1"/>
          <w:color w:val="auto"/>
        </w:rPr>
        <w:t>Section 7.1(g)</w:t>
      </w:r>
      <w:r>
        <w:rPr>
          <w:rFonts w:ascii="Arial" w:cs="Arial" w:eastAsia="Arial" w:hAnsi="Arial"/>
          <w:sz w:val="18"/>
          <w:szCs w:val="18"/>
          <w:color w:val="auto"/>
        </w:rPr>
        <w:t xml:space="preserve"> prior to 30 days following the Company’s receipt of written notice from Parent of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8"/>
          <w:szCs w:val="18"/>
          <w:b w:val="1"/>
          <w:bCs w:val="1"/>
          <w:color w:val="auto"/>
        </w:rPr>
        <w:t>(g)</w:t>
      </w:r>
      <w:r>
        <w:rPr>
          <w:rFonts w:ascii="Arial" w:cs="Arial" w:eastAsia="Arial" w:hAnsi="Arial"/>
          <w:sz w:val="18"/>
          <w:szCs w:val="18"/>
          <w:color w:val="auto"/>
        </w:rPr>
        <w:t xml:space="preserve"> if it shall have materially breached this Agreement or if such breach by the Company is cured);</w:t>
      </w:r>
    </w:p>
    <w:p>
      <w:pPr>
        <w:spacing w:after="0" w:line="194" w:lineRule="exact"/>
        <w:rPr>
          <w:rFonts w:ascii="Arial" w:cs="Arial" w:eastAsia="Arial" w:hAnsi="Arial"/>
          <w:sz w:val="16"/>
          <w:szCs w:val="16"/>
          <w:color w:val="auto"/>
        </w:rPr>
      </w:pPr>
    </w:p>
    <w:p>
      <w:pPr>
        <w:ind w:left="420" w:right="120" w:firstLine="1290"/>
        <w:spacing w:after="0" w:line="308" w:lineRule="auto"/>
        <w:tabs>
          <w:tab w:leader="none" w:pos="196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the Company, if, the Company shall have entered into a definitive binding agreement with respect to a Superior Offer pursuant to and in compliance with </w:t>
      </w:r>
      <w:r>
        <w:rPr>
          <w:rFonts w:ascii="Arial" w:cs="Arial" w:eastAsia="Arial" w:hAnsi="Arial"/>
          <w:sz w:val="17"/>
          <w:szCs w:val="17"/>
          <w:b w:val="1"/>
          <w:bCs w:val="1"/>
          <w:color w:val="auto"/>
        </w:rPr>
        <w:t>Section 5.3(d)</w:t>
      </w:r>
      <w:r>
        <w:rPr>
          <w:rFonts w:ascii="Arial" w:cs="Arial" w:eastAsia="Arial" w:hAnsi="Arial"/>
          <w:sz w:val="17"/>
          <w:szCs w:val="17"/>
          <w:color w:val="auto"/>
        </w:rPr>
        <w:t xml:space="preserve">, the Company shall have paid Parent the Termination Fee described in </w:t>
      </w:r>
      <w:r>
        <w:rPr>
          <w:rFonts w:ascii="Arial" w:cs="Arial" w:eastAsia="Arial" w:hAnsi="Arial"/>
          <w:sz w:val="17"/>
          <w:szCs w:val="17"/>
          <w:b w:val="1"/>
          <w:bCs w:val="1"/>
          <w:color w:val="auto"/>
        </w:rPr>
        <w:t>Section 7.3(b)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160" w:firstLine="1290"/>
        <w:spacing w:after="0" w:line="276" w:lineRule="auto"/>
        <w:tabs>
          <w:tab w:leader="none" w:pos="196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 (y) 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7"/>
          <w:szCs w:val="17"/>
          <w:b w:val="1"/>
          <w:bCs w:val="1"/>
          <w:color w:val="auto"/>
        </w:rPr>
        <w:t>(i)</w:t>
      </w:r>
      <w:r>
        <w:rPr>
          <w:rFonts w:ascii="Arial" w:cs="Arial" w:eastAsia="Arial" w:hAnsi="Arial"/>
          <w:sz w:val="17"/>
          <w:szCs w:val="17"/>
          <w:color w:val="auto"/>
        </w:rPr>
        <w:t xml:space="preserve"> if it shall have materially breached this Agreement or if such Material Adverse Effect is cured); and</w:t>
      </w:r>
    </w:p>
    <w:p>
      <w:pPr>
        <w:spacing w:after="0" w:line="172" w:lineRule="exact"/>
        <w:rPr>
          <w:rFonts w:ascii="Arial" w:cs="Arial" w:eastAsia="Arial" w:hAnsi="Arial"/>
          <w:sz w:val="17"/>
          <w:szCs w:val="17"/>
          <w:color w:val="auto"/>
        </w:rPr>
      </w:pPr>
    </w:p>
    <w:p>
      <w:pPr>
        <w:ind w:left="420" w:right="20" w:firstLine="1290"/>
        <w:spacing w:after="0" w:line="276" w:lineRule="auto"/>
        <w:tabs>
          <w:tab w:leader="none" w:pos="196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7"/>
          <w:szCs w:val="17"/>
          <w:b w:val="1"/>
          <w:bCs w:val="1"/>
          <w:color w:val="auto"/>
        </w:rPr>
        <w:t>(j)</w:t>
      </w:r>
      <w:r>
        <w:rPr>
          <w:rFonts w:ascii="Arial" w:cs="Arial" w:eastAsia="Arial" w:hAnsi="Arial"/>
          <w:sz w:val="17"/>
          <w:szCs w:val="17"/>
          <w:color w:val="auto"/>
        </w:rPr>
        <w:t xml:space="preserve"> if it shall have materially breached this Agreement or if such Material Adverse Effect is cured).</w:t>
      </w:r>
    </w:p>
    <w:p>
      <w:pPr>
        <w:spacing w:after="0" w:line="169"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For the purposes of this Agreement, a “</w:t>
      </w:r>
      <w:r>
        <w:rPr>
          <w:rFonts w:ascii="Arial" w:cs="Arial" w:eastAsia="Arial" w:hAnsi="Arial"/>
          <w:sz w:val="18"/>
          <w:szCs w:val="18"/>
          <w:b w:val="1"/>
          <w:bCs w:val="1"/>
          <w:color w:val="auto"/>
        </w:rPr>
        <w:t>Triggering Event</w:t>
      </w:r>
      <w:r>
        <w:rPr>
          <w:rFonts w:ascii="Arial" w:cs="Arial" w:eastAsia="Arial" w:hAnsi="Arial"/>
          <w:sz w:val="18"/>
          <w:szCs w:val="18"/>
          <w:color w:val="auto"/>
        </w:rPr>
        <w:t>,” with respect to the Company, shall be deemed to have occurred if: (i) its Board of Directors or any committee thereof shall for any reason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 (vi) 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 xml:space="preserve">Section 5.2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with respect to any breach by the Company of</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 such breach is willful and material; or (viii)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the Company shall have resolved to do any of the foregoing.</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i w:val="1"/>
          <w:iCs w:val="1"/>
          <w:color w:val="auto"/>
        </w:rPr>
        <w:t>Notice of Termination; Effect of Termination</w:t>
      </w:r>
      <w:r>
        <w:rPr>
          <w:rFonts w:ascii="Arial" w:cs="Arial" w:eastAsia="Arial" w:hAnsi="Arial"/>
          <w:sz w:val="17"/>
          <w:szCs w:val="17"/>
          <w:color w:val="auto"/>
        </w:rPr>
        <w:t xml:space="preserve">. Any termination of this Agreement under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above will be effective immediately upon the delivery of a valid written notice of the terminating party to the other party 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sentence shall give a terminating party the right to terminate the Agreement at a time inconsistent with the provisions of </w:t>
      </w:r>
      <w:r>
        <w:rPr>
          <w:rFonts w:ascii="Arial" w:cs="Arial" w:eastAsia="Arial" w:hAnsi="Arial"/>
          <w:sz w:val="17"/>
          <w:szCs w:val="17"/>
          <w:b w:val="1"/>
          <w:bCs w:val="1"/>
          <w:color w:val="auto"/>
        </w:rPr>
        <w:t>Sections 7.1(f), 7.1(g), 7.1(i) and 7.1(j)</w:t>
      </w:r>
      <w:r>
        <w:rPr>
          <w:rFonts w:ascii="Arial" w:cs="Arial" w:eastAsia="Arial" w:hAnsi="Arial"/>
          <w:sz w:val="17"/>
          <w:szCs w:val="17"/>
          <w:color w:val="auto"/>
        </w:rPr>
        <w:t xml:space="preserve"> above. In the event of the termination of this Agreement as provided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7"/>
          <w:szCs w:val="17"/>
          <w:b w:val="1"/>
          <w:bCs w:val="1"/>
          <w:color w:val="auto"/>
        </w:rPr>
        <w:t>Section 5.4(a)</w:t>
      </w:r>
      <w:r>
        <w:rPr>
          <w:rFonts w:ascii="Arial" w:cs="Arial" w:eastAsia="Arial" w:hAnsi="Arial"/>
          <w:sz w:val="17"/>
          <w:szCs w:val="17"/>
          <w:color w:val="auto"/>
        </w:rPr>
        <w:t xml:space="preserve">, this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Section 7.3 </w:t>
      </w:r>
      <w:r>
        <w:rPr>
          <w:rFonts w:ascii="Arial" w:cs="Arial" w:eastAsia="Arial" w:hAnsi="Arial"/>
          <w:sz w:val="17"/>
          <w:szCs w:val="17"/>
          <w:color w:val="auto"/>
        </w:rPr>
        <w:t>and</w:t>
      </w:r>
      <w:r>
        <w:rPr>
          <w:rFonts w:ascii="Arial" w:cs="Arial" w:eastAsia="Arial" w:hAnsi="Arial"/>
          <w:sz w:val="17"/>
          <w:szCs w:val="17"/>
          <w:b w:val="1"/>
          <w:bCs w:val="1"/>
          <w:color w:val="auto"/>
        </w:rPr>
        <w:t xml:space="preserve"> Article VIII</w:t>
      </w:r>
      <w:r>
        <w:rPr>
          <w:rFonts w:ascii="Arial" w:cs="Arial" w:eastAsia="Arial" w:hAnsi="Arial"/>
          <w:sz w:val="17"/>
          <w:szCs w:val="17"/>
          <w:color w:val="auto"/>
        </w:rPr>
        <w:t>, each of which shall survive the termination of this Agreement and (ii) nothing herein shall relieve any party from liability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Fees and Expenses.</w:t>
      </w:r>
    </w:p>
    <w:p>
      <w:pPr>
        <w:spacing w:after="0" w:line="221" w:lineRule="exact"/>
        <w:rPr>
          <w:sz w:val="20"/>
          <w:szCs w:val="20"/>
          <w:color w:val="auto"/>
        </w:rPr>
      </w:pPr>
    </w:p>
    <w:p>
      <w:pPr>
        <w:ind w:left="420" w:right="40" w:firstLine="1290"/>
        <w:spacing w:after="0" w:line="261" w:lineRule="auto"/>
        <w:tabs>
          <w:tab w:leader="none" w:pos="1954"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Except as set forth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w:t>
      </w:r>
      <w:r>
        <w:rPr>
          <w:rFonts w:ascii="Arial" w:cs="Arial" w:eastAsia="Arial" w:hAnsi="Arial"/>
          <w:sz w:val="18"/>
          <w:szCs w:val="18"/>
          <w:color w:val="auto"/>
        </w:rPr>
        <w:t>, all fees and expenses incurred in connection with this Agreement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transactions contemplated hereby shall be paid by the party incurring such expenses whether or not the Merger is consummated;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Parent and the Company shall share equally the fees in connection with (i) the filing of the Notification and Report Forms filed with the FTC and DOJ under the HSR Act, and all premerger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80"/>
        <w:spacing w:after="0" w:line="266" w:lineRule="auto"/>
        <w:rPr>
          <w:sz w:val="20"/>
          <w:szCs w:val="20"/>
          <w:color w:val="auto"/>
        </w:rPr>
      </w:pPr>
      <w:r>
        <w:rPr>
          <w:rFonts w:ascii="Arial" w:cs="Arial" w:eastAsia="Arial" w:hAnsi="Arial"/>
          <w:sz w:val="18"/>
          <w:szCs w:val="18"/>
          <w:color w:val="auto"/>
        </w:rPr>
        <w:t xml:space="preserve">notification and reports forms under similar applicable laws of other jurisdictions, in each case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and (ii) the filing, printing and mailing of the Prospectus/Proxy Statement (including any preliminary materials related thereto) and the Registration Statement (including financial statements and exhibits) and any amendments or supplements thereto.</w:t>
      </w:r>
    </w:p>
    <w:p>
      <w:pPr>
        <w:sectPr>
          <w:pgSz w:w="11900" w:h="16892" w:orient="portrait"/>
          <w:cols w:equalWidth="0" w:num="1">
            <w:col w:w="11420"/>
          </w:cols>
          <w:pgMar w:left="240" w:top="125" w:right="239" w:bottom="0" w:gutter="0" w:footer="0" w:header="0"/>
        </w:sectPr>
      </w:pPr>
    </w:p>
    <w:bookmarkStart w:id="40" w:name="page41"/>
    <w:bookmarkEnd w:id="40"/>
    <w:p>
      <w:pPr>
        <w:ind w:left="1960" w:hanging="250"/>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277"/>
        <w:spacing w:after="0" w:line="269" w:lineRule="auto"/>
        <w:tabs>
          <w:tab w:leader="none" w:pos="2592" w:val="left"/>
        </w:tabs>
        <w:numPr>
          <w:ilvl w:val="1"/>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Payment</w:t>
      </w:r>
      <w:r>
        <w:rPr>
          <w:rFonts w:ascii="Arial" w:cs="Arial" w:eastAsia="Arial" w:hAnsi="Arial"/>
          <w:sz w:val="17"/>
          <w:szCs w:val="17"/>
          <w:color w:val="auto"/>
        </w:rPr>
        <w:t>. The Company shall promptly, but in no event later than two Business Days after the date of 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sections of this Agreement as set forth below, pay Parent a fee equal to $22 million in immediately available funds (the “</w:t>
      </w:r>
      <w:r>
        <w:rPr>
          <w:rFonts w:ascii="Arial" w:cs="Arial" w:eastAsia="Arial" w:hAnsi="Arial"/>
          <w:sz w:val="17"/>
          <w:szCs w:val="17"/>
          <w:b w:val="1"/>
          <w:bCs w:val="1"/>
          <w:color w:val="auto"/>
        </w:rPr>
        <w:t>Termination Fee</w:t>
      </w:r>
      <w:r>
        <w:rPr>
          <w:rFonts w:ascii="Arial" w:cs="Arial" w:eastAsia="Arial" w:hAnsi="Arial"/>
          <w:sz w:val="17"/>
          <w:szCs w:val="17"/>
          <w:color w:val="auto"/>
        </w:rPr>
        <w:t xml:space="preserve">”) in the event that this Agreement is (i) terminated by Parent pursuant to </w:t>
      </w:r>
      <w:r>
        <w:rPr>
          <w:rFonts w:ascii="Arial" w:cs="Arial" w:eastAsia="Arial" w:hAnsi="Arial"/>
          <w:sz w:val="17"/>
          <w:szCs w:val="17"/>
          <w:b w:val="1"/>
          <w:bCs w:val="1"/>
          <w:color w:val="auto"/>
        </w:rPr>
        <w:t>Section 7.1(e)</w:t>
      </w:r>
      <w:r>
        <w:rPr>
          <w:rFonts w:ascii="Arial" w:cs="Arial" w:eastAsia="Arial" w:hAnsi="Arial"/>
          <w:sz w:val="17"/>
          <w:szCs w:val="17"/>
          <w:color w:val="auto"/>
        </w:rPr>
        <w:t xml:space="preserve">, (ii) terminated by the Company pursuant to </w:t>
      </w:r>
      <w:r>
        <w:rPr>
          <w:rFonts w:ascii="Arial" w:cs="Arial" w:eastAsia="Arial" w:hAnsi="Arial"/>
          <w:sz w:val="17"/>
          <w:szCs w:val="17"/>
          <w:b w:val="1"/>
          <w:bCs w:val="1"/>
          <w:color w:val="auto"/>
        </w:rPr>
        <w:t>Section 7.1(h)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termination under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7.1(h)</w:t>
      </w:r>
      <w:r>
        <w:rPr>
          <w:rFonts w:ascii="Arial" w:cs="Arial" w:eastAsia="Arial" w:hAnsi="Arial"/>
          <w:sz w:val="17"/>
          <w:szCs w:val="17"/>
          <w:color w:val="auto"/>
        </w:rPr>
        <w:t>, payment of the Termination Fee by the Company shall be made prior to such termination, or (iii)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Parent or the Company, as applicable,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termination pursuant to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that the breach by the Company giving rise to termination is willful;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termination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 Section 7.1(e)</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(a) such payment shall be made only if prior to the termination of this Agreement, there has been disclosure publicly of an Acquisition Proposal with respect to the Company and within 12 months following the 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78" w:lineRule="exact"/>
        <w:rPr>
          <w:rFonts w:ascii="Arial" w:cs="Arial" w:eastAsia="Arial" w:hAnsi="Arial"/>
          <w:sz w:val="17"/>
          <w:szCs w:val="17"/>
          <w:color w:val="auto"/>
        </w:rPr>
      </w:pPr>
    </w:p>
    <w:p>
      <w:pPr>
        <w:ind w:right="20" w:firstLine="2277"/>
        <w:spacing w:after="0" w:line="255" w:lineRule="auto"/>
        <w:tabs>
          <w:tab w:leader="none" w:pos="2603" w:val="left"/>
        </w:tabs>
        <w:numPr>
          <w:ilvl w:val="1"/>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Interest and Costs; Other Remedies</w:t>
      </w:r>
      <w:r>
        <w:rPr>
          <w:rFonts w:ascii="Arial" w:cs="Arial" w:eastAsia="Arial" w:hAnsi="Arial"/>
          <w:sz w:val="18"/>
          <w:szCs w:val="18"/>
          <w:color w:val="auto"/>
        </w:rPr>
        <w:t>. The Company acknowledges that the agreements contained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are an integral 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and, in order to obtain such payment, Parent makes a claim that results in a judgment against the Company for the amounts set forth in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85" w:lineRule="exact"/>
        <w:rPr>
          <w:rFonts w:ascii="Arial" w:cs="Arial" w:eastAsia="Arial" w:hAnsi="Arial"/>
          <w:sz w:val="18"/>
          <w:szCs w:val="18"/>
          <w:color w:val="auto"/>
        </w:rPr>
      </w:pPr>
    </w:p>
    <w:p>
      <w:pPr>
        <w:ind w:right="200" w:firstLine="2277"/>
        <w:spacing w:after="0" w:line="295" w:lineRule="auto"/>
        <w:tabs>
          <w:tab w:leader="none" w:pos="2615" w:val="left"/>
        </w:tabs>
        <w:numPr>
          <w:ilvl w:val="1"/>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 any of the 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88" w:lineRule="exact"/>
        <w:rPr>
          <w:sz w:val="20"/>
          <w:szCs w:val="20"/>
          <w:color w:val="auto"/>
        </w:rPr>
      </w:pPr>
    </w:p>
    <w:p>
      <w:pPr>
        <w:jc w:val="both"/>
        <w:ind w:right="580" w:firstLine="648"/>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At any time prior to the Effective Time either party hereto, by action taken or authorized by their respective Board of Directors, may, to the extent legally allowed: (i) extend the time for the performance of any of the obligations or other acts of the other parties hereto,</w:t>
      </w:r>
    </w:p>
    <w:p>
      <w:pPr>
        <w:ind w:left="280" w:hanging="272"/>
        <w:spacing w:after="0"/>
        <w:tabs>
          <w:tab w:leader="none" w:pos="2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waive any inaccuracies in the representations and warranties made to such party contained herein or in any document delivered pursuant hereto and</w:t>
      </w:r>
    </w:p>
    <w:p>
      <w:pPr>
        <w:spacing w:after="0" w:line="32" w:lineRule="exact"/>
        <w:rPr>
          <w:rFonts w:ascii="Arial" w:cs="Arial" w:eastAsia="Arial" w:hAnsi="Arial"/>
          <w:sz w:val="16"/>
          <w:szCs w:val="16"/>
          <w:color w:val="auto"/>
        </w:rPr>
      </w:pPr>
    </w:p>
    <w:p>
      <w:pPr>
        <w:jc w:val="both"/>
        <w:ind w:right="40" w:firstLine="8"/>
        <w:spacing w:after="0" w:line="255" w:lineRule="auto"/>
        <w:tabs>
          <w:tab w:leader="none" w:pos="3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8"/>
          <w:szCs w:val="18"/>
          <w:b w:val="1"/>
          <w:bCs w:val="1"/>
          <w:color w:val="auto"/>
        </w:rPr>
        <w:t>Section 7.1(b)</w:t>
      </w:r>
      <w:r>
        <w:rPr>
          <w:rFonts w:ascii="Arial" w:cs="Arial" w:eastAsia="Arial" w:hAnsi="Arial"/>
          <w:sz w:val="18"/>
          <w:szCs w:val="18"/>
          <w:color w:val="auto"/>
        </w:rPr>
        <w:t>, shall not constitute a waiver of such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hanging="230"/>
        <w:spacing w:after="0"/>
        <w:tabs>
          <w:tab w:leader="none" w:pos="19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1960" w:right="7440"/>
        <w:spacing w:after="0" w:line="302" w:lineRule="auto"/>
        <w:rPr>
          <w:rFonts w:ascii="Arial" w:cs="Arial" w:eastAsia="Arial" w:hAnsi="Arial"/>
          <w:sz w:val="18"/>
          <w:szCs w:val="18"/>
          <w:color w:val="auto"/>
        </w:rPr>
      </w:pPr>
      <w:r>
        <w:rPr>
          <w:rFonts w:ascii="Arial" w:cs="Arial" w:eastAsia="Arial" w:hAnsi="Arial"/>
          <w:sz w:val="16"/>
          <w:szCs w:val="16"/>
          <w:color w:val="auto"/>
        </w:rPr>
        <w:t>Micron Technology, Inc. 8000 S. Federal Way Boise, ID 83707-0006 Attention: General Counsel</w:t>
      </w:r>
    </w:p>
    <w:p>
      <w:pPr>
        <w:sectPr>
          <w:pgSz w:w="11900" w:h="16838" w:orient="portrait"/>
          <w:cols w:equalWidth="0" w:num="1">
            <w:col w:w="11420"/>
          </w:cols>
          <w:pgMar w:left="240" w:top="341" w:right="239" w:bottom="0" w:gutter="0" w:footer="0" w:header="0"/>
        </w:sectPr>
      </w:pPr>
    </w:p>
    <w:bookmarkStart w:id="41" w:name="page42"/>
    <w:bookmarkEnd w:id="41"/>
    <w:p>
      <w:pPr>
        <w:ind w:left="1560"/>
        <w:spacing w:after="0"/>
        <w:rPr>
          <w:sz w:val="20"/>
          <w:szCs w:val="20"/>
          <w:color w:val="auto"/>
        </w:rPr>
      </w:pPr>
      <w:r>
        <w:rPr>
          <w:rFonts w:ascii="Arial" w:cs="Arial" w:eastAsia="Arial" w:hAnsi="Arial"/>
          <w:sz w:val="18"/>
          <w:szCs w:val="18"/>
          <w:color w:val="auto"/>
        </w:rPr>
        <w:t>Telephone No.: (208) 368-4517</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(208) 368-4540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Kenton J. King</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Celeste E. Greene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470-4570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Lexar Media,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(510) 440-3499</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56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Dennis R. Debroeck</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938-5200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Interpretation; Knowledge.</w:t>
      </w:r>
    </w:p>
    <w:p>
      <w:pPr>
        <w:spacing w:after="0" w:line="225" w:lineRule="exact"/>
        <w:rPr>
          <w:sz w:val="20"/>
          <w:szCs w:val="20"/>
          <w:color w:val="auto"/>
        </w:rPr>
      </w:pPr>
    </w:p>
    <w:p>
      <w:pPr>
        <w:ind w:left="20" w:right="160" w:firstLine="1290"/>
        <w:spacing w:after="0" w:line="264" w:lineRule="auto"/>
        <w:tabs>
          <w:tab w:leader="none" w:pos="15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8"/>
          <w:szCs w:val="18"/>
          <w:b w:val="1"/>
          <w:bCs w:val="1"/>
          <w:color w:val="auto"/>
        </w:rPr>
        <w:t>include</w:t>
      </w:r>
      <w:r>
        <w:rPr>
          <w:rFonts w:ascii="Arial" w:cs="Arial" w:eastAsia="Arial" w:hAnsi="Arial"/>
          <w:sz w:val="18"/>
          <w:szCs w:val="18"/>
          <w:color w:val="auto"/>
        </w:rPr>
        <w:t>,” “</w:t>
      </w:r>
      <w:r>
        <w:rPr>
          <w:rFonts w:ascii="Arial" w:cs="Arial" w:eastAsia="Arial" w:hAnsi="Arial"/>
          <w:sz w:val="18"/>
          <w:szCs w:val="18"/>
          <w:b w:val="1"/>
          <w:bCs w:val="1"/>
          <w:color w:val="auto"/>
        </w:rPr>
        <w:t>includes</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42" w:lineRule="exact"/>
        <w:rPr>
          <w:sz w:val="20"/>
          <w:szCs w:val="20"/>
          <w:color w:val="auto"/>
        </w:rPr>
      </w:pPr>
    </w:p>
    <w:p>
      <w:pPr>
        <w:ind w:left="20" w:right="60" w:firstLine="1290"/>
        <w:spacing w:after="0" w:line="261" w:lineRule="auto"/>
        <w:tabs>
          <w:tab w:leader="none" w:pos="15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80" w:lineRule="exact"/>
        <w:rPr>
          <w:rFonts w:ascii="Arial" w:cs="Arial" w:eastAsia="Arial" w:hAnsi="Arial"/>
          <w:sz w:val="18"/>
          <w:szCs w:val="18"/>
          <w:color w:val="auto"/>
        </w:rPr>
      </w:pPr>
    </w:p>
    <w:p>
      <w:pPr>
        <w:ind w:left="20" w:right="280" w:firstLine="1290"/>
        <w:spacing w:after="0" w:line="266" w:lineRule="auto"/>
        <w:tabs>
          <w:tab w:leader="none" w:pos="155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Made Available</w:t>
      </w:r>
      <w:r>
        <w:rPr>
          <w:rFonts w:ascii="Arial" w:cs="Arial" w:eastAsia="Arial" w:hAnsi="Arial"/>
          <w:sz w:val="18"/>
          <w:szCs w:val="18"/>
          <w:color w:val="auto"/>
        </w:rPr>
        <w:t>” shall mean (i) that the Company or Parent, as the case may be, has made available copies of such materials to Parent or the Company, as the case may be, or its respective representatives or (ii) that such material is publicly available on EDGAR.</w:t>
      </w:r>
    </w:p>
    <w:p>
      <w:pPr>
        <w:spacing w:after="0" w:line="176" w:lineRule="exact"/>
        <w:rPr>
          <w:rFonts w:ascii="Arial" w:cs="Arial" w:eastAsia="Arial" w:hAnsi="Arial"/>
          <w:sz w:val="18"/>
          <w:szCs w:val="18"/>
          <w:color w:val="auto"/>
        </w:rPr>
      </w:pPr>
    </w:p>
    <w:p>
      <w:pPr>
        <w:ind w:left="20" w:firstLine="1290"/>
        <w:spacing w:after="0" w:line="284" w:lineRule="auto"/>
        <w:tabs>
          <w:tab w:leader="none" w:pos="156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w:t>
      </w:r>
    </w:p>
    <w:p>
      <w:pPr>
        <w:spacing w:after="0" w:line="5" w:lineRule="exact"/>
        <w:rPr>
          <w:rFonts w:ascii="Arial" w:cs="Arial" w:eastAsia="Arial" w:hAnsi="Arial"/>
          <w:sz w:val="16"/>
          <w:szCs w:val="16"/>
          <w:color w:val="auto"/>
        </w:rPr>
      </w:pPr>
    </w:p>
    <w:p>
      <w:pPr>
        <w:ind w:left="20" w:right="40" w:hanging="7"/>
        <w:spacing w:after="0" w:line="252" w:lineRule="auto"/>
        <w:tabs>
          <w:tab w:leader="none" w:pos="3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89" w:lineRule="exact"/>
        <w:rPr>
          <w:rFonts w:ascii="Arial" w:cs="Arial" w:eastAsia="Arial" w:hAnsi="Arial"/>
          <w:sz w:val="18"/>
          <w:szCs w:val="18"/>
          <w:color w:val="auto"/>
        </w:rPr>
      </w:pPr>
    </w:p>
    <w:p>
      <w:pPr>
        <w:ind w:left="20" w:right="120" w:firstLine="1290"/>
        <w:spacing w:after="0" w:line="347" w:lineRule="auto"/>
        <w:tabs>
          <w:tab w:leader="none" w:pos="1554" w:val="left"/>
        </w:tabs>
        <w:numPr>
          <w:ilvl w:val="1"/>
          <w:numId w:val="120"/>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corporation (including any non-profit corporation), general partnership, limited partnership, limited liability partnership, joint venture, estate, trust, company (including any limited liability</w:t>
      </w:r>
    </w:p>
    <w:p>
      <w:pPr>
        <w:sectPr>
          <w:pgSz w:w="11900" w:h="16838" w:orient="portrait"/>
          <w:cols w:equalWidth="0" w:num="1">
            <w:col w:w="11020"/>
          </w:cols>
          <w:pgMar w:left="640" w:top="125"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company or joint stock company), firm or other enterprise, association, organization, entity or Governmental Entity.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This Agreement and the documents and instruments and other agreements among the parties hereto as contemplated by or referred to herein, including the Company Disclosure Schedule and the Voting Agreements and other Exhibits hereto</w:t>
      </w:r>
    </w:p>
    <w:p>
      <w:pPr>
        <w:ind w:right="100" w:firstLine="8"/>
        <w:spacing w:after="0" w:line="252"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8"/>
          <w:szCs w:val="18"/>
          <w:b w:val="1"/>
          <w:bCs w:val="1"/>
          <w:color w:val="auto"/>
        </w:rPr>
        <w:t>Section 5.10</w:t>
      </w:r>
      <w:r>
        <w:rPr>
          <w:rFonts w:ascii="Arial" w:cs="Arial" w:eastAsia="Arial" w:hAnsi="Arial"/>
          <w:sz w:val="18"/>
          <w:szCs w:val="18"/>
          <w:color w:val="auto"/>
        </w:rPr>
        <w:t xml:space="preserve">. Without limiting the foregoing, it is expressly understood and agreed that the provisions in </w:t>
      </w:r>
      <w:r>
        <w:rPr>
          <w:rFonts w:ascii="Arial" w:cs="Arial" w:eastAsia="Arial" w:hAnsi="Arial"/>
          <w:sz w:val="18"/>
          <w:szCs w:val="18"/>
          <w:b w:val="1"/>
          <w:bCs w:val="1"/>
          <w:color w:val="auto"/>
        </w:rPr>
        <w:t>Section 5.9</w:t>
      </w:r>
      <w:r>
        <w:rPr>
          <w:rFonts w:ascii="Arial" w:cs="Arial" w:eastAsia="Arial" w:hAnsi="Arial"/>
          <w:sz w:val="18"/>
          <w:szCs w:val="18"/>
          <w:color w:val="auto"/>
        </w:rPr>
        <w:t xml:space="preserve"> are statements of intent and no Employees/Service Providers or other Person (including any party hereto) shall have any rights or remedies, including rights of enforcement, with respect thereto and no Employee/Service Provider or other Person is or is intended to be a third-party beneficiary thereof.</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such Persons and waives and covenants not to assert or plead any objection which they might otherwise have to such jurisdiction, venue and such process.</w:t>
      </w:r>
    </w:p>
    <w:p>
      <w:pPr>
        <w:spacing w:after="0" w:line="2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 violation of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shall be void. Subject to the preceding sentence, this Agreement shall be binding upon and shall inure to the benefit of the parties hereto and their respective successors and permitted assigns.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Steven R. Appleton</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Steven R. Appleton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Chief Executive Officer and President</w:t>
            </w:r>
          </w:p>
        </w:tc>
      </w:tr>
    </w:tbl>
    <w:p>
      <w:pPr>
        <w:sectPr>
          <w:pgSz w:w="11900" w:h="16838" w:orient="portrait"/>
          <w:cols w:equalWidth="0" w:num="1">
            <w:col w:w="11420"/>
          </w:cols>
          <w:pgMar w:left="240" w:top="125" w:right="239" w:bottom="184" w:gutter="0" w:footer="0" w:header="0"/>
        </w:sectPr>
      </w:pPr>
    </w:p>
    <w:bookmarkStart w:id="43" w:name="page44"/>
    <w:bookmarkEnd w:id="43"/>
    <w:p>
      <w:pPr>
        <w:ind w:left="4580"/>
        <w:spacing w:after="0"/>
        <w:rPr>
          <w:sz w:val="20"/>
          <w:szCs w:val="20"/>
          <w:color w:val="auto"/>
        </w:rPr>
      </w:pPr>
      <w:r>
        <w:rPr>
          <w:rFonts w:ascii="Arial" w:cs="Arial" w:eastAsia="Arial" w:hAnsi="Arial"/>
          <w:sz w:val="18"/>
          <w:szCs w:val="18"/>
          <w:color w:val="auto"/>
        </w:rPr>
        <w:t>MARCH 2006 MERGER CORP.</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W. G. Stover, Jr.</w:t>
            </w:r>
          </w:p>
        </w:tc>
      </w:tr>
      <w:tr>
        <w:trPr>
          <w:trHeight w:val="195"/>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 G. Stover, Jr.</w:t>
            </w:r>
          </w:p>
        </w:tc>
      </w:t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648"/>
        </w:trPr>
        <w:tc>
          <w:tcPr>
            <w:tcW w:w="5640" w:type="dxa"/>
            <w:vAlign w:val="bottom"/>
            <w:gridSpan w:val="4"/>
          </w:tcPr>
          <w:p>
            <w:pPr>
              <w:spacing w:after="0"/>
              <w:rPr>
                <w:sz w:val="20"/>
                <w:szCs w:val="20"/>
                <w:color w:val="auto"/>
              </w:rPr>
            </w:pPr>
            <w:r>
              <w:rPr>
                <w:rFonts w:ascii="Arial" w:cs="Arial" w:eastAsia="Arial" w:hAnsi="Arial"/>
                <w:sz w:val="18"/>
                <w:szCs w:val="18"/>
                <w:color w:val="auto"/>
              </w:rPr>
              <w:t>LEXAR MEDIA, INC.</w:t>
            </w:r>
          </w:p>
        </w:tc>
      </w:tr>
      <w:tr>
        <w:trPr>
          <w:trHeight w:val="648"/>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Eric B. Stang</w:t>
            </w:r>
          </w:p>
        </w:tc>
      </w:tr>
      <w:tr>
        <w:trPr>
          <w:trHeight w:val="195"/>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Eric B. Stang</w:t>
            </w:r>
          </w:p>
        </w:tc>
      </w:tr>
      <w:tr>
        <w:trPr>
          <w:trHeight w:val="216"/>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of the Board, Chief Executive Officer and</w:t>
            </w: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[SIGNATURE PAGE TO AGREEMENT AND PLAN OF MERGER]</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4" w:name="page45"/>
    <w:bookmarkEnd w:id="44"/>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IMMEDIATE RELEASE</w:t>
      </w:r>
    </w:p>
    <w:p>
      <w:pPr>
        <w:sectPr>
          <w:pgSz w:w="11900" w:h="16907" w:orient="portrait"/>
          <w:cols w:equalWidth="0" w:num="1">
            <w:col w:w="11420"/>
          </w:cols>
          <w:pgMar w:left="240" w:top="121"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Diane Carlini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510-580-5604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dcarlini@lexar.com</w:t>
      </w:r>
    </w:p>
    <w:p>
      <w:pPr>
        <w:spacing w:after="0" w:line="200" w:lineRule="exact"/>
        <w:rPr>
          <w:sz w:val="20"/>
          <w:szCs w:val="20"/>
          <w:color w:val="auto"/>
        </w:rPr>
      </w:pPr>
    </w:p>
    <w:p>
      <w:pPr>
        <w:sectPr>
          <w:pgSz w:w="11900" w:h="16907" w:orient="portrait"/>
          <w:cols w:equalWidth="0" w:num="3">
            <w:col w:w="780" w:space="720"/>
            <w:col w:w="5560" w:space="720"/>
            <w:col w:w="3640"/>
          </w:cols>
          <w:pgMar w:left="240" w:top="121" w:right="239" w:bottom="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 TO ACQUIRE LEXAR MEDIA, INC.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BOISE, Idaho, and FREMONT, Calif., March 8, 2006 – Micron Technology, Inc., (NYSE: MU) and Lexar Media, Inc., (Nasdaq: LEXR)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54"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strong position to serve the flash storage requirements of consumer electronics and enterprise customers.”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 can achieve significant cost synergies and become better positioned to satisfy customer needs and establish faster growth, especially in new emerging mobile handset and solid- state computing businesses. We view this as an exciting opportunity for our company and its shareholders.”</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81"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The company holds over 94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 Lexar has operations in countries around the world. More information is available at www.lexar.com.</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Micron and the Micron orbit logo are trademarks of Micron Technology, Inc. Lexar and the Lexar logo are trademarks of Lexar Media, Inc. All other trademarks are the property of their respective owners.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This press release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press release due to a number of risks and uncertainties. The potential risks and uncertainties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ABOUT THE MERGER AND WHERE TO FIND 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w:t>
      </w:r>
    </w:p>
    <w:p>
      <w:pPr>
        <w:sectPr>
          <w:pgSz w:w="11900" w:h="16907" w:orient="portrait"/>
          <w:cols w:equalWidth="0" w:num="1">
            <w:col w:w="11420"/>
          </w:cols>
          <w:pgMar w:left="240" w:top="121" w:right="239" w:bottom="0" w:gutter="0" w:footer="0" w:header="0"/>
          <w:type w:val="continuous"/>
        </w:sectPr>
      </w:pPr>
    </w:p>
    <w:bookmarkStart w:id="45" w:name="page46"/>
    <w:bookmarkEnd w:id="45"/>
    <w:p>
      <w:pPr>
        <w:spacing w:after="0" w:line="259" w:lineRule="auto"/>
        <w:rPr>
          <w:sz w:val="20"/>
          <w:szCs w:val="20"/>
          <w:color w:val="auto"/>
        </w:rPr>
      </w:pPr>
      <w:r>
        <w:rPr>
          <w:rFonts w:ascii="Arial" w:cs="Arial" w:eastAsia="Arial" w:hAnsi="Arial"/>
          <w:sz w:val="18"/>
          <w:szCs w:val="18"/>
          <w:i w:val="1"/>
          <w:iCs w:val="1"/>
          <w:color w:val="auto"/>
        </w:rPr>
        <w:t>free copies of the documents filed with the SEC by Micron by contacting Micron Investor Relations, Kipp Bedard, 208-368-4465.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upperLetter"/>
      <w:start w:val="1"/>
    </w:lvl>
  </w:abstractNum>
  <w:abstractNum w:abstractNumId="2">
    <w:nsid w:val="61574095"/>
    <w:multiLevelType w:val="hybridMultilevel"/>
    <w:lvl w:ilvl="0">
      <w:lvlJc w:val="left"/>
      <w:lvlText w:val="%1."/>
      <w:numFmt w:val="upperLetter"/>
      <w:start w:val="3"/>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1)"/>
      <w:numFmt w:val="lowerLetter"/>
      <w:start w:val="2"/>
    </w:lvl>
  </w:abstractNum>
  <w:abstractNum w:abstractNumId="5">
    <w:nsid w:val="579BE4F1"/>
    <w:multiLevelType w:val="hybridMultilevel"/>
    <w:lvl w:ilvl="0">
      <w:lvlJc w:val="left"/>
      <w:lvlText w:val="(%1)"/>
      <w:numFmt w:val="lowerLetter"/>
      <w:start w:val="4"/>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4"/>
    </w:lvl>
  </w:abstractNum>
  <w:abstractNum w:abstractNumId="8">
    <w:nsid w:val="2F305DEF"/>
    <w:multiLevelType w:val="hybridMultilevel"/>
    <w:lvl w:ilvl="0">
      <w:lvlJc w:val="left"/>
      <w:lvlText w:val="%1"/>
      <w:numFmt w:val="decimal"/>
      <w:start w:val="1"/>
    </w:lvl>
    <w:lvl w:ilvl="1">
      <w:lvlJc w:val="left"/>
      <w:lvlText w:val="(%2)"/>
      <w:numFmt w:val="lowerRoman"/>
      <w:start w:val="1"/>
    </w:lvl>
  </w:abstractNum>
  <w:abstractNum w:abstractNumId="9">
    <w:nsid w:val="25A70BF7"/>
    <w:multiLevelType w:val="hybridMultilevel"/>
    <w:lvl w:ilvl="0">
      <w:lvlJc w:val="left"/>
      <w:lvlText w:val="(%1)"/>
      <w:numFmt w:val="decimal"/>
      <w:start w:val="6"/>
    </w:lvl>
    <w:lvl w:ilvl="1">
      <w:lvlJc w:val="left"/>
      <w:lvlText w:val="%2"/>
      <w:numFmt w:val="lowerRoman"/>
      <w:start w:val="1"/>
    </w:lvl>
  </w:abstractNum>
  <w:abstractNum w:abstractNumId="10">
    <w:nsid w:val="1DBABF00"/>
    <w:multiLevelType w:val="hybridMultilevel"/>
    <w:lvl w:ilvl="0">
      <w:lvlJc w:val="left"/>
      <w:lvlText w:val="%1"/>
      <w:numFmt w:val="lowerLetter"/>
      <w:start w:val="1"/>
    </w:lvl>
    <w:lvl w:ilvl="1">
      <w:lvlJc w:val="left"/>
      <w:lvlText w:val="(%2)"/>
      <w:numFmt w:val="lowerLetter"/>
      <w:start w:val="1"/>
    </w:lvl>
  </w:abstractNum>
  <w:abstractNum w:abstractNumId="11">
    <w:nsid w:val="4AD084E9"/>
    <w:multiLevelType w:val="hybridMultilevel"/>
    <w:lvl w:ilvl="0">
      <w:lvlJc w:val="left"/>
      <w:lvlText w:val="(%1)"/>
      <w:numFmt w:val="lowerLetter"/>
      <w:start w:val="35"/>
    </w:lvl>
    <w:lvl w:ilvl="1">
      <w:lvlJc w:val="left"/>
      <w:lvlText w:val="(%2)"/>
      <w:numFmt w:val="lowerLetter"/>
      <w:start w:val="2"/>
    </w:lvl>
  </w:abstractNum>
  <w:abstractNum w:abstractNumId="12">
    <w:nsid w:val="1F48EAA1"/>
    <w:multiLevelType w:val="hybridMultilevel"/>
    <w:lvl w:ilvl="0">
      <w:lvlJc w:val="left"/>
      <w:lvlText w:val="(%1)"/>
      <w:numFmt w:val="lowerLetter"/>
      <w:start w:val="3"/>
    </w:lvl>
  </w:abstractNum>
  <w:abstractNum w:abstractNumId="13">
    <w:nsid w:val="1381823A"/>
    <w:multiLevelType w:val="hybridMultilevel"/>
    <w:lvl w:ilvl="0">
      <w:lvlJc w:val="left"/>
      <w:lvlText w:val="%1"/>
      <w:numFmt w:val="lowerLetter"/>
      <w:start w:val="1"/>
    </w:lvl>
    <w:lvl w:ilvl="1">
      <w:lvlJc w:val="left"/>
      <w:lvlText w:val="(%2)"/>
      <w:numFmt w:val="lowerLetter"/>
      <w:start w:val="1"/>
    </w:lvl>
  </w:abstractNum>
  <w:abstractNum w:abstractNumId="14">
    <w:nsid w:val="5DB70AE5"/>
    <w:multiLevelType w:val="hybridMultilevel"/>
    <w:lvl w:ilvl="0">
      <w:lvlJc w:val="left"/>
      <w:lvlText w:val="(%1)"/>
      <w:numFmt w:val="lowerLetter"/>
      <w:start w:val="35"/>
    </w:lvl>
    <w:lvl w:ilvl="1">
      <w:lvlJc w:val="left"/>
      <w:lvlText w:val="(%2)"/>
      <w:numFmt w:val="lowerLetter"/>
      <w:start w:val="2"/>
    </w:lvl>
  </w:abstractNum>
  <w:abstractNum w:abstractNumId="15">
    <w:nsid w:val="100F8FCA"/>
    <w:multiLevelType w:val="hybridMultilevel"/>
    <w:lvl w:ilvl="0">
      <w:lvlJc w:val="left"/>
      <w:lvlText w:val="(%1)"/>
      <w:numFmt w:val="lowerLetter"/>
      <w:start w:val="3"/>
    </w:lvl>
  </w:abstractNum>
  <w:abstractNum w:abstractNumId="16">
    <w:nsid w:val="6590700B"/>
    <w:multiLevelType w:val="hybridMultilevel"/>
    <w:lvl w:ilvl="0">
      <w:lvlJc w:val="left"/>
      <w:lvlText w:val="%1"/>
      <w:numFmt w:val="upperLetter"/>
      <w:start w:val="1"/>
    </w:lvl>
    <w:lvl w:ilvl="1">
      <w:lvlJc w:val="left"/>
      <w:lvlText w:val="(%2)"/>
      <w:numFmt w:val="lowerLetter"/>
      <w:start w:val="5"/>
    </w:lvl>
  </w:abstractNum>
  <w:abstractNum w:abstractNumId="17">
    <w:nsid w:val="15014ACB"/>
    <w:multiLevelType w:val="hybridMultilevel"/>
    <w:lvl w:ilvl="0">
      <w:lvlJc w:val="left"/>
      <w:lvlText w:val="(%1)"/>
      <w:numFmt w:val="upperLetter"/>
      <w:start w:val="1"/>
    </w:lvl>
    <w:lvl w:ilvl="1">
      <w:lvlJc w:val="left"/>
      <w:lvlText w:val="%2"/>
      <w:numFmt w:val="lowerLetter"/>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4"/>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lvl w:ilvl="1">
      <w:lvlJc w:val="left"/>
      <w:lvlText w:val="(%2)"/>
      <w:numFmt w:val="lowerLetter"/>
      <w:start w:val="2"/>
    </w:lvl>
  </w:abstractNum>
  <w:abstractNum w:abstractNumId="22">
    <w:nsid w:val="42C296BD"/>
    <w:multiLevelType w:val="hybridMultilevel"/>
    <w:lvl w:ilvl="0">
      <w:lvlJc w:val="left"/>
      <w:lvlText w:val="(%1)"/>
      <w:numFmt w:val="lowerLetter"/>
      <w:start w:val="35"/>
    </w:lvl>
    <w:lvl w:ilvl="1">
      <w:lvlJc w:val="left"/>
      <w:lvlText w:val="%2"/>
      <w:numFmt w:val="lowerLetter"/>
      <w:start w:val="1"/>
    </w:lvl>
  </w:abstractNum>
  <w:abstractNum w:abstractNumId="23">
    <w:nsid w:val="168E121F"/>
    <w:multiLevelType w:val="hybridMultilevel"/>
    <w:lvl w:ilvl="0">
      <w:lvlJc w:val="left"/>
      <w:lvlText w:val="(%1)"/>
      <w:numFmt w:val="lowerLetter"/>
      <w:start w:val="3"/>
    </w:lvl>
  </w:abstractNum>
  <w:abstractNum w:abstractNumId="24">
    <w:nsid w:val="1EBA5D23"/>
    <w:multiLevelType w:val="hybridMultilevel"/>
    <w:lvl w:ilvl="0">
      <w:lvlJc w:val="left"/>
      <w:lvlText w:val="(%1)"/>
      <w:numFmt w:val="lowerLetter"/>
      <w:start w:val="4"/>
    </w:lvl>
  </w:abstractNum>
  <w:abstractNum w:abstractNumId="25">
    <w:nsid w:val="661E3F1E"/>
    <w:multiLevelType w:val="hybridMultilevel"/>
    <w:lvl w:ilvl="0">
      <w:lvlJc w:val="left"/>
      <w:lvlText w:val="(%1)"/>
      <w:numFmt w:val="lowerLetter"/>
      <w:start w:val="6"/>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3"/>
    </w:lvl>
  </w:abstractNum>
  <w:abstractNum w:abstractNumId="28">
    <w:nsid w:val="7BD3EE7B"/>
    <w:multiLevelType w:val="hybridMultilevel"/>
    <w:lvl w:ilvl="0">
      <w:lvlJc w:val="left"/>
      <w:lvlText w:val="(%1)"/>
      <w:numFmt w:val="lowerLetter"/>
      <w:start w:val="6"/>
    </w:lvl>
  </w:abstractNum>
  <w:abstractNum w:abstractNumId="29">
    <w:nsid w:val="51D9C564"/>
    <w:multiLevelType w:val="hybridMultilevel"/>
    <w:lvl w:ilvl="0">
      <w:lvlJc w:val="left"/>
      <w:lvlText w:val="(%1)"/>
      <w:numFmt w:val="lowerLetter"/>
      <w:start w:val="15"/>
    </w:lvl>
  </w:abstractNum>
  <w:abstractNum w:abstractNumId="30">
    <w:nsid w:val="613EFDC5"/>
    <w:multiLevelType w:val="hybridMultilevel"/>
    <w:lvl w:ilvl="0">
      <w:lvlJc w:val="left"/>
      <w:lvlText w:val="(%1)"/>
      <w:numFmt w:val="lowerLetter"/>
      <w:start w:val="19"/>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2"/>
    </w:lvl>
    <w:lvl w:ilvl="1">
      <w:lvlJc w:val="left"/>
      <w:lvlText w:val="(%2)"/>
      <w:numFmt w:val="lowerRoman"/>
      <w:start w:val="1"/>
    </w:lvl>
  </w:abstractNum>
  <w:abstractNum w:abstractNumId="33">
    <w:nsid w:val="42963E5A"/>
    <w:multiLevelType w:val="hybridMultilevel"/>
    <w:lvl w:ilvl="0">
      <w:lvlJc w:val="left"/>
      <w:lvlText w:val="%1"/>
      <w:numFmt w:val="upperLetter"/>
      <w:start w:val="1"/>
    </w:lvl>
    <w:lvl w:ilvl="1">
      <w:lvlJc w:val="left"/>
      <w:lvlText w:val="(%2)"/>
      <w:numFmt w:val="lowerRoman"/>
      <w:start w:val="9"/>
    </w:lvl>
  </w:abstractNum>
  <w:abstractNum w:abstractNumId="34">
    <w:nsid w:val="A0382C5"/>
    <w:multiLevelType w:val="hybridMultilevel"/>
    <w:lvl w:ilvl="0">
      <w:lvlJc w:val="left"/>
      <w:lvlText w:val="(%1)"/>
      <w:numFmt w:val="upperLetter"/>
      <w:start w:val="2"/>
    </w:lvl>
    <w:lvl w:ilvl="1">
      <w:lvlJc w:val="left"/>
      <w:lvlText w:val="%2"/>
      <w:numFmt w:val="lowerRoman"/>
      <w:start w:val="1"/>
    </w:lvl>
  </w:abstractNum>
  <w:abstractNum w:abstractNumId="35">
    <w:nsid w:val="8F2B15E"/>
    <w:multiLevelType w:val="hybridMultilevel"/>
    <w:lvl w:ilvl="0">
      <w:lvlJc w:val="left"/>
      <w:lvlText w:val="(%1)"/>
      <w:numFmt w:val="lowerRoman"/>
      <w:start w:val="12"/>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upperLetter"/>
      <w:start w:val="1"/>
    </w:lvl>
    <w:lvl w:ilvl="1">
      <w:lvlJc w:val="left"/>
      <w:lvlText w:val="(%2)"/>
      <w:numFmt w:val="lowerLetter"/>
      <w:start w:val="2"/>
    </w:lvl>
  </w:abstractNum>
  <w:abstractNum w:abstractNumId="38">
    <w:nsid w:val="68EB2F63"/>
    <w:multiLevelType w:val="hybridMultilevel"/>
    <w:lvl w:ilvl="0">
      <w:lvlJc w:val="left"/>
      <w:lvlText w:val="(%1)"/>
      <w:numFmt w:val="upperLetter"/>
      <w:start w:val="5"/>
    </w:lvl>
    <w:lvl w:ilvl="1">
      <w:lvlJc w:val="left"/>
      <w:lvlText w:val="%2"/>
      <w:numFmt w:val="lowerLetter"/>
      <w:start w:val="1"/>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2"/>
    </w:lvl>
  </w:abstractNum>
  <w:abstractNum w:abstractNumId="41">
    <w:nsid w:val="6A5EE64"/>
    <w:multiLevelType w:val="hybridMultilevel"/>
    <w:lvl w:ilvl="0">
      <w:lvlJc w:val="left"/>
      <w:lvlText w:val="(%1)"/>
      <w:numFmt w:val="lowerLetter"/>
      <w:start w:val="5"/>
    </w:lvl>
  </w:abstractNum>
  <w:abstractNum w:abstractNumId="42">
    <w:nsid w:val="14330624"/>
    <w:multiLevelType w:val="hybridMultilevel"/>
    <w:lvl w:ilvl="0">
      <w:lvlJc w:val="left"/>
      <w:lvlText w:val="(%1)"/>
      <w:numFmt w:val="lowerLetter"/>
      <w:start w:val="7"/>
    </w:lvl>
  </w:abstractNum>
  <w:abstractNum w:abstractNumId="43">
    <w:nsid w:val="7FFFCA11"/>
    <w:multiLevelType w:val="hybridMultilevel"/>
    <w:lvl w:ilvl="0">
      <w:lvlJc w:val="left"/>
      <w:lvlText w:val="(%1)"/>
      <w:numFmt w:val="lowerLetter"/>
      <w:start w:val="9"/>
    </w:lvl>
  </w:abstractNum>
  <w:abstractNum w:abstractNumId="44">
    <w:nsid w:val="1A27709E"/>
    <w:multiLevelType w:val="hybridMultilevel"/>
    <w:lvl w:ilvl="0">
      <w:lvlJc w:val="left"/>
      <w:lvlText w:val="(%1)"/>
      <w:numFmt w:val="lowerLetter"/>
      <w:start w:val="14"/>
    </w:lvl>
  </w:abstractNum>
  <w:abstractNum w:abstractNumId="45">
    <w:nsid w:val="71EA1109"/>
    <w:multiLevelType w:val="hybridMultilevel"/>
    <w:lvl w:ilvl="0">
      <w:lvlJc w:val="left"/>
      <w:lvlText w:val="(%1)"/>
      <w:numFmt w:val="lowerLetter"/>
      <w:start w:val="16"/>
    </w:lvl>
  </w:abstractNum>
  <w:abstractNum w:abstractNumId="46">
    <w:nsid w:val="100F59DC"/>
    <w:multiLevelType w:val="hybridMultilevel"/>
    <w:lvl w:ilvl="0">
      <w:lvlJc w:val="left"/>
      <w:lvlText w:val="(%1)"/>
      <w:numFmt w:val="lowerLetter"/>
      <w:start w:val="17"/>
    </w:lvl>
  </w:abstractNum>
  <w:abstractNum w:abstractNumId="47">
    <w:nsid w:val="7FB7E0AA"/>
    <w:multiLevelType w:val="hybridMultilevel"/>
    <w:lvl w:ilvl="0">
      <w:lvlJc w:val="left"/>
      <w:lvlText w:val="(%1)"/>
      <w:numFmt w:val="lowerLetter"/>
      <w:start w:val="2"/>
    </w:lvl>
  </w:abstractNum>
  <w:abstractNum w:abstractNumId="48">
    <w:nsid w:val="6EB5BD4"/>
    <w:multiLevelType w:val="hybridMultilevel"/>
    <w:lvl w:ilvl="0">
      <w:lvlJc w:val="left"/>
      <w:lvlText w:val="%1"/>
      <w:numFmt w:val="lowerLetter"/>
      <w:start w:val="1"/>
    </w:lvl>
    <w:lvl w:ilvl="1">
      <w:lvlJc w:val="left"/>
      <w:lvlText w:val="(%2)"/>
      <w:numFmt w:val="lowerLetter"/>
      <w:start w:val="2"/>
    </w:lvl>
  </w:abstractNum>
  <w:abstractNum w:abstractNumId="49">
    <w:nsid w:val="6F6DD9AC"/>
    <w:multiLevelType w:val="hybridMultilevel"/>
    <w:lvl w:ilvl="0">
      <w:lvlJc w:val="left"/>
      <w:lvlText w:val="(%1)"/>
      <w:numFmt w:val="lowerLetter"/>
      <w:start w:val="35"/>
    </w:lvl>
    <w:lvl w:ilvl="1">
      <w:lvlJc w:val="left"/>
      <w:lvlText w:val="%2"/>
      <w:numFmt w:val="lowerLetter"/>
      <w:start w:val="1"/>
    </w:lvl>
  </w:abstractNum>
  <w:abstractNum w:abstractNumId="50">
    <w:nsid w:val="94211F2"/>
    <w:multiLevelType w:val="hybridMultilevel"/>
    <w:lvl w:ilvl="0">
      <w:lvlJc w:val="left"/>
      <w:lvlText w:val="(%1)"/>
      <w:numFmt w:val="lowerLetter"/>
      <w:start w:val="4"/>
    </w:lvl>
    <w:lvl w:ilvl="1">
      <w:lvlJc w:val="left"/>
      <w:lvlText w:val="(%2)"/>
      <w:numFmt w:val="lowerLetter"/>
      <w:start w:val="9"/>
    </w:lvl>
  </w:abstractNum>
  <w:abstractNum w:abstractNumId="51">
    <w:nsid w:val="885E1B"/>
    <w:multiLevelType w:val="hybridMultilevel"/>
    <w:lvl w:ilvl="0">
      <w:lvlJc w:val="left"/>
      <w:lvlText w:val="(%1)"/>
      <w:numFmt w:val="lowerRoman"/>
      <w:start w:val="2"/>
    </w:lvl>
  </w:abstractNum>
  <w:abstractNum w:abstractNumId="52">
    <w:nsid w:val="76272110"/>
    <w:multiLevelType w:val="hybridMultilevel"/>
    <w:lvl w:ilvl="0">
      <w:lvlJc w:val="left"/>
      <w:lvlText w:val="(%1)"/>
      <w:numFmt w:val="lowerLetter"/>
      <w:start w:val="6"/>
    </w:lvl>
    <w:lvl w:ilvl="1">
      <w:lvlJc w:val="left"/>
      <w:lvlText w:val="(%2)"/>
      <w:numFmt w:val="lowerLetter"/>
      <w:start w:val="7"/>
    </w:lvl>
  </w:abstractNum>
  <w:abstractNum w:abstractNumId="53">
    <w:nsid w:val="4C04A8AF"/>
    <w:multiLevelType w:val="hybridMultilevel"/>
    <w:lvl w:ilvl="0">
      <w:lvlJc w:val="left"/>
      <w:lvlText w:val="(%1)"/>
      <w:numFmt w:val="lowerLetter"/>
      <w:start w:val="8"/>
    </w:lvl>
  </w:abstractNum>
  <w:abstractNum w:abstractNumId="54">
    <w:nsid w:val="1716703B"/>
    <w:multiLevelType w:val="hybridMultilevel"/>
    <w:lvl w:ilvl="0">
      <w:lvlJc w:val="left"/>
      <w:lvlText w:val="(%1)"/>
      <w:numFmt w:val="lowerLetter"/>
      <w:start w:val="12"/>
    </w:lvl>
  </w:abstractNum>
  <w:abstractNum w:abstractNumId="55">
    <w:nsid w:val="14E17E33"/>
    <w:multiLevelType w:val="hybridMultilevel"/>
    <w:lvl w:ilvl="0">
      <w:lvlJc w:val="left"/>
      <w:lvlText w:val="(%1)"/>
      <w:numFmt w:val="lowerLetter"/>
      <w:start w:val="14"/>
    </w:lvl>
  </w:abstractNum>
  <w:abstractNum w:abstractNumId="56">
    <w:nsid w:val="3222E7CD"/>
    <w:multiLevelType w:val="hybridMultilevel"/>
    <w:lvl w:ilvl="0">
      <w:lvlJc w:val="left"/>
      <w:lvlText w:val="(%1)"/>
      <w:numFmt w:val="lowerLetter"/>
      <w:start w:val="1"/>
    </w:lvl>
    <w:lvl w:ilvl="1">
      <w:lvlJc w:val="left"/>
      <w:lvlText w:val="(%2)"/>
      <w:numFmt w:val="lowerRoman"/>
      <w:start w:val="1"/>
    </w:lvl>
  </w:abstractNum>
  <w:abstractNum w:abstractNumId="57">
    <w:nsid w:val="74DE0EE3"/>
    <w:multiLevelType w:val="hybridMultilevel"/>
    <w:lvl w:ilvl="0">
      <w:lvlJc w:val="left"/>
      <w:lvlText w:val="(%1)"/>
      <w:numFmt w:val="lowerRoman"/>
      <w:start w:val="4"/>
    </w:lvl>
  </w:abstractNum>
  <w:abstractNum w:abstractNumId="58">
    <w:nsid w:val="68EBC550"/>
    <w:multiLevelType w:val="hybridMultilevel"/>
    <w:lvl w:ilvl="0">
      <w:lvlJc w:val="left"/>
      <w:lvlText w:val="(%1)"/>
      <w:numFmt w:val="lowerRoman"/>
      <w:start w:val="13"/>
    </w:lvl>
  </w:abstractNum>
  <w:abstractNum w:abstractNumId="59">
    <w:nsid w:val="2DF6D648"/>
    <w:multiLevelType w:val="hybridMultilevel"/>
    <w:lvl w:ilvl="0">
      <w:lvlJc w:val="left"/>
      <w:lvlText w:val="(%1)"/>
      <w:numFmt w:val="lowerLetter"/>
      <w:start w:val="2"/>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3"/>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2"/>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2"/>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lowerLetter"/>
      <w:start w:val="3"/>
    </w:lvl>
  </w:abstractNum>
  <w:abstractNum w:abstractNumId="68">
    <w:nsid w:val="7F01579B"/>
    <w:multiLevelType w:val="hybridMultilevel"/>
    <w:lvl w:ilvl="0">
      <w:lvlJc w:val="left"/>
      <w:lvlText w:val="(%1)"/>
      <w:numFmt w:val="lowerLetter"/>
      <w:start w:val="4"/>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1"/>
    </w:lvl>
    <w:lvl w:ilvl="1">
      <w:lvlJc w:val="left"/>
      <w:lvlText w:val="(%2)"/>
      <w:numFmt w:val="lowerRoman"/>
      <w:start w:val="1"/>
    </w:lvl>
  </w:abstractNum>
  <w:abstractNum w:abstractNumId="71">
    <w:nsid w:val="5FB8370B"/>
    <w:multiLevelType w:val="hybridMultilevel"/>
    <w:lvl w:ilvl="0">
      <w:lvlJc w:val="left"/>
      <w:lvlText w:val="(%1)"/>
      <w:numFmt w:val="lowerRoman"/>
      <w:start w:val="3"/>
    </w:lvl>
  </w:abstractNum>
  <w:abstractNum w:abstractNumId="72">
    <w:nsid w:val="50801EE1"/>
    <w:multiLevelType w:val="hybridMultilevel"/>
    <w:lvl w:ilvl="0">
      <w:lvlJc w:val="left"/>
      <w:lvlText w:val="(%1)"/>
      <w:numFmt w:val="lowerRoman"/>
      <w:start w:val="2"/>
    </w:lvl>
    <w:lvl w:ilvl="1">
      <w:lvlJc w:val="left"/>
      <w:lvlText w:val="(%2)"/>
      <w:numFmt w:val="lowerRoman"/>
      <w:start w:val="9"/>
    </w:lvl>
  </w:abstractNum>
  <w:abstractNum w:abstractNumId="73">
    <w:nsid w:val="488AC1A"/>
    <w:multiLevelType w:val="hybridMultilevel"/>
    <w:lvl w:ilvl="0">
      <w:lvlJc w:val="left"/>
      <w:lvlText w:val="%1"/>
      <w:numFmt w:val="lowerLetter"/>
      <w:start w:val="1"/>
    </w:lvl>
    <w:lvl w:ilvl="1">
      <w:lvlJc w:val="left"/>
      <w:lvlText w:val="(%2)"/>
      <w:numFmt w:val="lowerRoman"/>
      <w:start w:val="10"/>
    </w:lvl>
  </w:abstractNum>
  <w:abstractNum w:abstractNumId="74">
    <w:nsid w:val="5FB8011C"/>
    <w:multiLevelType w:val="hybridMultilevel"/>
    <w:lvl w:ilvl="0">
      <w:lvlJc w:val="left"/>
      <w:lvlText w:val="(%1)"/>
      <w:numFmt w:val="lowerLetter"/>
      <w:start w:val="1"/>
    </w:lvl>
    <w:lvl w:ilvl="1">
      <w:lvlJc w:val="left"/>
      <w:lvlText w:val="%2"/>
      <w:numFmt w:val="lowerRoman"/>
      <w:start w:val="1"/>
    </w:lvl>
  </w:abstractNum>
  <w:abstractNum w:abstractNumId="75">
    <w:nsid w:val="6AA78F7F"/>
    <w:multiLevelType w:val="hybridMultilevel"/>
    <w:lvl w:ilvl="0">
      <w:lvlJc w:val="left"/>
      <w:lvlText w:val="(%1)"/>
      <w:numFmt w:val="lowerRoman"/>
      <w:start w:val="16"/>
    </w:lvl>
  </w:abstractNum>
  <w:abstractNum w:abstractNumId="76">
    <w:nsid w:val="7672BD23"/>
    <w:multiLevelType w:val="hybridMultilevel"/>
    <w:lvl w:ilvl="0">
      <w:lvlJc w:val="left"/>
      <w:lvlText w:val="(%1)"/>
      <w:numFmt w:val="lowerRoman"/>
      <w:start w:val="23"/>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1">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
    <w:nsid w:val="7DE67713"/>
    <w:multiLevelType w:val="hybridMultilevel"/>
    <w:lvl w:ilvl="0">
      <w:lvlJc w:val="left"/>
      <w:lvlText w:val="%1"/>
      <w:numFmt w:val="lowerLetter"/>
      <w:start w:val="1"/>
    </w:lvl>
    <w:lvl w:ilvl="1">
      <w:lvlJc w:val="left"/>
      <w:lvlText w:val="(%2)"/>
      <w:numFmt w:val="lowerLetter"/>
      <w:start w:val="61"/>
    </w:lvl>
  </w:abstractNum>
  <w:abstractNum w:abstractNumId="83">
    <w:nsid w:val="555C55B5"/>
    <w:multiLevelType w:val="hybridMultilevel"/>
    <w:lvl w:ilvl="0">
      <w:lvlJc w:val="left"/>
      <w:lvlText w:val="(%1)"/>
      <w:numFmt w:val="lowerLetter"/>
      <w:start w:val="4"/>
    </w:lvl>
    <w:lvl w:ilvl="1">
      <w:lvlJc w:val="left"/>
      <w:lvlText w:val="%2"/>
      <w:numFmt w:val="lowerLetter"/>
      <w:start w:val="1"/>
    </w:lvl>
  </w:abstractNum>
  <w:abstractNum w:abstractNumId="84">
    <w:nsid w:val="3FA62ACA"/>
    <w:multiLevelType w:val="hybridMultilevel"/>
    <w:lvl w:ilvl="0">
      <w:lvlJc w:val="left"/>
      <w:lvlText w:val="%1"/>
      <w:numFmt w:val="upperLetter"/>
      <w:start w:val="1"/>
    </w:lvl>
    <w:lvl w:ilvl="1">
      <w:lvlJc w:val="left"/>
      <w:lvlText w:val="(%2)"/>
      <w:numFmt w:val="lowerRoman"/>
      <w:start w:val="1"/>
    </w:lvl>
  </w:abstractNum>
  <w:abstractNum w:abstractNumId="85">
    <w:nsid w:val="14FCE74E"/>
    <w:multiLevelType w:val="hybridMultilevel"/>
    <w:lvl w:ilvl="0">
      <w:lvlJc w:val="left"/>
      <w:lvlText w:val="(%1)"/>
      <w:numFmt w:val="upperLetter"/>
      <w:start w:val="2"/>
    </w:lvl>
    <w:lvl w:ilvl="1">
      <w:lvlJc w:val="left"/>
      <w:lvlText w:val="(%2)"/>
      <w:numFmt w:val="lowerRoman"/>
      <w:start w:val="4"/>
    </w:lvl>
  </w:abstractNum>
  <w:abstractNum w:abstractNumId="86">
    <w:nsid w:val="6A3DD3E8"/>
    <w:multiLevelType w:val="hybridMultilevel"/>
    <w:lvl w:ilvl="0">
      <w:lvlJc w:val="left"/>
      <w:lvlText w:val="%1"/>
      <w:numFmt w:val="lowerLetter"/>
      <w:start w:val="1"/>
    </w:lvl>
    <w:lvl w:ilvl="1">
      <w:lvlJc w:val="left"/>
      <w:lvlText w:val="(%2)"/>
      <w:numFmt w:val="lowerRoman"/>
      <w:start w:val="5"/>
    </w:lvl>
  </w:abstractNum>
  <w:abstractNum w:abstractNumId="87">
    <w:nsid w:val="71C91298"/>
    <w:multiLevelType w:val="hybridMultilevel"/>
    <w:lvl w:ilvl="0">
      <w:lvlJc w:val="left"/>
      <w:lvlText w:val="(%1)"/>
      <w:numFmt w:val="lowerLetter"/>
      <w:start w:val="5"/>
    </w:lvl>
    <w:lvl w:ilvl="1">
      <w:lvlJc w:val="left"/>
      <w:lvlText w:val="(%2)"/>
      <w:numFmt w:val="lowerRoman"/>
      <w:start w:val="1"/>
    </w:lvl>
  </w:abstractNum>
  <w:abstractNum w:abstractNumId="88">
    <w:nsid w:val="9DAF632"/>
    <w:multiLevelType w:val="hybridMultilevel"/>
    <w:lvl w:ilvl="0">
      <w:lvlJc w:val="left"/>
      <w:lvlText w:val="%1"/>
      <w:numFmt w:val="lowerRoman"/>
      <w:start w:val="1"/>
    </w:lvl>
    <w:lvl w:ilvl="1">
      <w:lvlJc w:val="left"/>
      <w:lvlText w:val="(%2)"/>
      <w:numFmt w:val="lowerRoman"/>
      <w:start w:val="2"/>
    </w:lvl>
  </w:abstractNum>
  <w:abstractNum w:abstractNumId="89">
    <w:nsid w:val="53299938"/>
    <w:multiLevelType w:val="hybridMultilevel"/>
    <w:lvl w:ilvl="0">
      <w:lvlJc w:val="left"/>
      <w:lvlText w:val="(%1)"/>
      <w:numFmt w:val="lowerRoman"/>
      <w:start w:val="1"/>
    </w:lvl>
    <w:lvl w:ilvl="1">
      <w:lvlJc w:val="left"/>
      <w:lvlText w:val="%2"/>
      <w:numFmt w:val="lowerRoman"/>
      <w:start w:val="1"/>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3"/>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2"/>
    </w:lvl>
  </w:abstractNum>
  <w:abstractNum w:abstractNumId="94">
    <w:nsid w:val="288F1A34"/>
    <w:multiLevelType w:val="hybridMultilevel"/>
    <w:lvl w:ilvl="0">
      <w:lvlJc w:val="left"/>
      <w:lvlText w:val="(%1)"/>
      <w:numFmt w:val="lowerLetter"/>
      <w:start w:val="3"/>
    </w:lvl>
  </w:abstractNum>
  <w:abstractNum w:abstractNumId="95">
    <w:nsid w:val="2A155DBC"/>
    <w:multiLevelType w:val="hybridMultilevel"/>
    <w:lvl w:ilvl="0">
      <w:lvlJc w:val="left"/>
      <w:lvlText w:val="(%1)"/>
      <w:numFmt w:val="lowerLetter"/>
      <w:start w:val="4"/>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1"/>
    </w:lvl>
    <w:lvl w:ilvl="1">
      <w:lvlJc w:val="left"/>
      <w:lvlText w:val="(%2)"/>
      <w:numFmt w:val="lowerLetter"/>
      <w:start w:val="9"/>
    </w:lvl>
  </w:abstractNum>
  <w:abstractNum w:abstractNumId="98">
    <w:nsid w:val="51088277"/>
    <w:multiLevelType w:val="hybridMultilevel"/>
    <w:lvl w:ilvl="0">
      <w:lvlJc w:val="left"/>
      <w:lvlText w:val="(%1)"/>
      <w:numFmt w:val="lowerRoman"/>
      <w:start w:val="2"/>
    </w:lvl>
  </w:abstractNum>
  <w:abstractNum w:abstractNumId="99">
    <w:nsid w:val="1CA0C5FA"/>
    <w:multiLevelType w:val="hybridMultilevel"/>
    <w:lvl w:ilvl="0">
      <w:lvlJc w:val="left"/>
      <w:lvlText w:val="%1"/>
      <w:numFmt w:val="lowerLetter"/>
      <w:start w:val="1"/>
    </w:lvl>
    <w:lvl w:ilvl="1">
      <w:lvlJc w:val="left"/>
      <w:lvlText w:val="(%2)"/>
      <w:numFmt w:val="lowerLetter"/>
      <w:start w:val="61"/>
    </w:lvl>
  </w:abstractNum>
  <w:abstractNum w:abstractNumId="100">
    <w:nsid w:val="53584BCB"/>
    <w:multiLevelType w:val="hybridMultilevel"/>
    <w:lvl w:ilvl="0">
      <w:lvlJc w:val="left"/>
      <w:lvlText w:val="(%1)"/>
      <w:numFmt w:val="lowerLetter"/>
      <w:start w:val="2"/>
    </w:lvl>
    <w:lvl w:ilvl="1">
      <w:lvlJc w:val="left"/>
      <w:lvlText w:val="%2"/>
      <w:numFmt w:val="lowerLetter"/>
      <w:start w:val="1"/>
    </w:lvl>
  </w:abstractNum>
  <w:abstractNum w:abstractNumId="101">
    <w:nsid w:val="415E286C"/>
    <w:multiLevelType w:val="hybridMultilevel"/>
    <w:lvl w:ilvl="0">
      <w:lvlJc w:val="left"/>
      <w:lvlText w:val="(%1)"/>
      <w:numFmt w:val="lowerLetter"/>
      <w:start w:val="5"/>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1"/>
    </w:lvl>
    <w:lvl w:ilvl="1">
      <w:lvlJc w:val="left"/>
      <w:lvlText w:val="(%2)"/>
      <w:numFmt w:val="lowerLetter"/>
      <w:start w:val="1"/>
    </w:lvl>
  </w:abstractNum>
  <w:abstractNum w:abstractNumId="104">
    <w:nsid w:val="45E6D486"/>
    <w:multiLevelType w:val="hybridMultilevel"/>
    <w:lvl w:ilvl="0">
      <w:lvlJc w:val="left"/>
      <w:lvlText w:val="(%1)"/>
      <w:numFmt w:val="lowerLetter"/>
      <w:start w:val="35"/>
    </w:lvl>
    <w:lvl w:ilvl="1">
      <w:lvlJc w:val="left"/>
      <w:lvlText w:val="%2"/>
      <w:numFmt w:val="lowerLetter"/>
      <w:start w:val="1"/>
    </w:lvl>
  </w:abstractNum>
  <w:abstractNum w:abstractNumId="105">
    <w:nsid w:val="5C10FE21"/>
    <w:multiLevelType w:val="hybridMultilevel"/>
    <w:lvl w:ilvl="0">
      <w:lvlJc w:val="left"/>
      <w:lvlText w:val="(%1)"/>
      <w:numFmt w:val="lowerLetter"/>
      <w:start w:val="3"/>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3"/>
    </w:lvl>
  </w:abstractNum>
  <w:abstractNum w:abstractNumId="108">
    <w:nsid w:val="4BD8591A"/>
    <w:multiLevelType w:val="hybridMultilevel"/>
    <w:lvl w:ilvl="0">
      <w:lvlJc w:val="left"/>
      <w:lvlText w:val="%1"/>
      <w:numFmt w:val="lowerLetter"/>
      <w:start w:val="1"/>
    </w:lvl>
    <w:lvl w:ilvl="1">
      <w:lvlJc w:val="left"/>
      <w:lvlText w:val="(%2)"/>
      <w:numFmt w:val="lowerLetter"/>
      <w:start w:val="1"/>
    </w:lvl>
  </w:abstractNum>
  <w:abstractNum w:abstractNumId="109">
    <w:nsid w:val="78DF6A55"/>
    <w:multiLevelType w:val="hybridMultilevel"/>
    <w:lvl w:ilvl="0">
      <w:lvlJc w:val="left"/>
      <w:lvlText w:val="(%1)"/>
      <w:numFmt w:val="lowerLetter"/>
      <w:start w:val="2"/>
    </w:lvl>
    <w:lvl w:ilvl="1">
      <w:lvlJc w:val="left"/>
      <w:lvlText w:val="%2"/>
      <w:numFmt w:val="lowerLetter"/>
      <w:start w:val="1"/>
    </w:lvl>
  </w:abstractNum>
  <w:abstractNum w:abstractNumId="110">
    <w:nsid w:val="39B7AAA2"/>
    <w:multiLevelType w:val="hybridMultilevel"/>
    <w:lvl w:ilvl="0">
      <w:lvlJc w:val="left"/>
      <w:lvlText w:val="(%1)"/>
      <w:numFmt w:val="lowerLetter"/>
      <w:start w:val="3"/>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7"/>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2"/>
    </w:lvl>
    <w:lvl w:ilvl="1">
      <w:lvlJc w:val="left"/>
      <w:lvlText w:val="(%2)"/>
      <w:numFmt w:val="lowerRoman"/>
      <w:start w:val="1"/>
    </w:lvl>
  </w:abstractNum>
  <w:abstractNum w:abstractNumId="115">
    <w:nsid w:val="2C27173B"/>
    <w:multiLevelType w:val="hybridMultilevel"/>
    <w:lvl w:ilvl="0">
      <w:lvlJc w:val="left"/>
      <w:lvlText w:val="(%1)"/>
      <w:numFmt w:val="lowerRoman"/>
      <w:start w:val="2"/>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upperLetter"/>
      <w:start w:val="1"/>
    </w:lvl>
    <w:lvl w:ilvl="1">
      <w:lvlJc w:val="left"/>
      <w:lvlText w:val="(%2)"/>
      <w:numFmt w:val="lowerLetter"/>
      <w:start w:val="2"/>
    </w:lvl>
  </w:abstractNum>
  <w:abstractNum w:abstractNumId="119">
    <w:nsid w:val="5675FF36"/>
    <w:multiLevelType w:val="hybridMultilevel"/>
    <w:lvl w:ilvl="0">
      <w:lvlJc w:val="left"/>
      <w:lvlText w:val="(%1)"/>
      <w:numFmt w:val="upperLetter"/>
      <w:start w:val="4"/>
    </w:lvl>
    <w:lvl w:ilvl="1">
      <w:lvlJc w:val="left"/>
      <w:lvlText w:val="(%2)"/>
      <w:numFmt w:val="lowerLetter"/>
      <w:start w:val="5"/>
    </w:lvl>
  </w:abstractNum>
  <w:abstractNum w:abstractNumId="120">
    <w:nsid w:val="3DD150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2019-12-11T20:10:06Z</dcterms:created>
  <dcterms:modified xsi:type="dcterms:W3CDTF">2019-12-11T20:10:06Z</dcterms:modified>
</cp:coreProperties>
</file>