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64"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6"/>
          <w:szCs w:val="16"/>
          <w:color w:val="auto"/>
        </w:rPr>
        <w:t>FORM 8-K</w:t>
      </w:r>
    </w:p>
    <w:p>
      <w:pPr>
        <w:spacing w:after="0" w:line="191"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CURRENT REPORT</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PURSUANT TO SECTION 13 OR 15(d) OF</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200" w:lineRule="exact"/>
        <w:rPr>
          <w:sz w:val="24"/>
          <w:szCs w:val="24"/>
          <w:color w:val="auto"/>
        </w:rPr>
      </w:pPr>
    </w:p>
    <w:p>
      <w:pPr>
        <w:spacing w:after="0" w:line="364"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6"/>
          <w:szCs w:val="16"/>
          <w:color w:val="auto"/>
        </w:rPr>
        <w:t>SEPTEMBER 30, 1998</w:t>
      </w:r>
    </w:p>
    <w:p>
      <w:pPr>
        <w:spacing w:after="0" w:line="191"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0" w:lineRule="exact"/>
        <w:rPr>
          <w:sz w:val="24"/>
          <w:szCs w:val="24"/>
          <w:color w:val="auto"/>
        </w:rPr>
      </w:pPr>
    </w:p>
    <w:p>
      <w:pPr>
        <w:spacing w:after="0" w:line="364"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340"/>
          </w:cols>
          <w:pgMar w:left="240" w:top="614" w:right="319" w:bottom="1440" w:gutter="0" w:footer="0" w:header="0"/>
        </w:sectPr>
      </w:pPr>
    </w:p>
    <w:p>
      <w:pPr>
        <w:spacing w:after="0" w:line="378" w:lineRule="exact"/>
        <w:rPr>
          <w:sz w:val="24"/>
          <w:szCs w:val="24"/>
          <w:color w:val="auto"/>
        </w:rPr>
      </w:pPr>
    </w:p>
    <w:p>
      <w:pPr>
        <w:ind w:left="154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001-10658</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75-1618004</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660" w:space="180"/>
            <w:col w:w="2520" w:space="400"/>
            <w:col w:w="3580"/>
          </w:cols>
          <w:pgMar w:left="240" w:top="614" w:right="319" w:bottom="1440" w:gutter="0" w:footer="0" w:header="0"/>
          <w:type w:val="continuous"/>
        </w:sectPr>
      </w:pPr>
    </w:p>
    <w:p>
      <w:pPr>
        <w:spacing w:after="0" w:line="178"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6"/>
          <w:szCs w:val="16"/>
          <w:color w:val="auto"/>
        </w:rPr>
        <w:t>8000 SOUTH FEDERAL WAY</w:t>
      </w:r>
    </w:p>
    <w:p>
      <w:pPr>
        <w:spacing w:after="0" w:line="5" w:lineRule="exact"/>
        <w:rPr>
          <w:sz w:val="24"/>
          <w:szCs w:val="24"/>
          <w:color w:val="auto"/>
        </w:rPr>
      </w:pPr>
    </w:p>
    <w:p>
      <w:pPr>
        <w:jc w:val="center"/>
        <w:ind w:right="3780"/>
        <w:spacing w:after="0"/>
        <w:tabs>
          <w:tab w:leader="none" w:pos="180" w:val="left"/>
        </w:tabs>
        <w:rPr>
          <w:sz w:val="20"/>
          <w:szCs w:val="20"/>
          <w:color w:val="auto"/>
        </w:rPr>
      </w:pPr>
      <w:r>
        <w:rPr>
          <w:rFonts w:ascii="Courier New" w:cs="Courier New" w:eastAsia="Courier New" w:hAnsi="Courier New"/>
          <w:sz w:val="16"/>
          <w:szCs w:val="16"/>
          <w:color w:val="auto"/>
        </w:rPr>
        <w:t>BOISE, IDAHO</w:t>
      </w:r>
      <w:r>
        <w:rPr>
          <w:sz w:val="20"/>
          <w:szCs w:val="20"/>
          <w:color w:val="auto"/>
        </w:rPr>
        <w:tab/>
      </w:r>
      <w:r>
        <w:rPr>
          <w:rFonts w:ascii="Courier New" w:cs="Courier New" w:eastAsia="Courier New" w:hAnsi="Courier New"/>
          <w:sz w:val="15"/>
          <w:szCs w:val="15"/>
          <w:color w:val="auto"/>
        </w:rPr>
        <w:t>83716-9632</w:t>
      </w:r>
    </w:p>
    <w:p>
      <w:pPr>
        <w:spacing w:after="0" w:line="191" w:lineRule="exact"/>
        <w:rPr>
          <w:sz w:val="24"/>
          <w:szCs w:val="24"/>
          <w:color w:val="auto"/>
        </w:rPr>
      </w:pPr>
    </w:p>
    <w:p>
      <w:pPr>
        <w:ind w:left="18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0" w:lineRule="exact"/>
        <w:rPr>
          <w:sz w:val="24"/>
          <w:szCs w:val="24"/>
          <w:color w:val="auto"/>
        </w:rPr>
      </w:pPr>
    </w:p>
    <w:p>
      <w:pPr>
        <w:spacing w:after="0" w:line="364" w:lineRule="exact"/>
        <w:rPr>
          <w:sz w:val="24"/>
          <w:szCs w:val="24"/>
          <w:color w:val="auto"/>
        </w:rPr>
      </w:pPr>
    </w:p>
    <w:p>
      <w:pPr>
        <w:jc w:val="center"/>
        <w:ind w:right="3580"/>
        <w:spacing w:after="0"/>
        <w:rPr>
          <w:sz w:val="20"/>
          <w:szCs w:val="20"/>
          <w:color w:val="auto"/>
        </w:rPr>
      </w:pPr>
      <w:r>
        <w:rPr>
          <w:rFonts w:ascii="Courier New" w:cs="Courier New" w:eastAsia="Courier New" w:hAnsi="Courier New"/>
          <w:sz w:val="16"/>
          <w:szCs w:val="16"/>
          <w:color w:val="auto"/>
        </w:rPr>
        <w:t>(208) 368-4000</w:t>
      </w:r>
    </w:p>
    <w:p>
      <w:pPr>
        <w:spacing w:after="0" w:line="191"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1340"/>
          </w:cols>
          <w:pgMar w:left="240" w:top="614" w:right="319" w:bottom="1440" w:gutter="0" w:footer="0" w:header="0"/>
          <w:type w:val="continuous"/>
        </w:sectPr>
      </w:pPr>
    </w:p>
    <w:bookmarkStart w:id="1" w:name="page2"/>
    <w:bookmarkEnd w:id="1"/>
    <w:p>
      <w:pPr>
        <w:ind w:left="1"/>
        <w:spacing w:after="0"/>
        <w:tabs>
          <w:tab w:leader="none" w:pos="860" w:val="left"/>
        </w:tabs>
        <w:rPr>
          <w:sz w:val="20"/>
          <w:szCs w:val="20"/>
          <w:color w:val="auto"/>
        </w:rPr>
      </w:pPr>
      <w:r>
        <w:rPr>
          <w:rFonts w:ascii="Courier New" w:cs="Courier New" w:eastAsia="Courier New" w:hAnsi="Courier New"/>
          <w:sz w:val="16"/>
          <w:szCs w:val="16"/>
          <w:color w:val="auto"/>
        </w:rPr>
        <w:t>Item 2.</w:t>
        <w:tab/>
        <w:t>Acquisition or Disposition of Assets</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On September 30, 1998, Micron Technology, Inc. (the "Company" or "Micron") completed its acquisition (the "Acquisition") of substantially all of the memory operations of Texas Instruments, Inc. ("TI") pursuant to an Acquisition Agreement, dated as of June 18, 1998, as amended (the "Agreement"). As consideration in the Acquisition, TI received approximately 28.9 million shares of Micron Common Stock, $740 million principal amount of convertible subordinated notes (the "Convertible Notes") and $210 million principal amount of subordinated notes (the "Subordinated Notes"). In addition, as part of the Acquisition, the Company received $550 million in cash and TI and the Company entered into a ten-year royalty-free patent cross license, that commences on January 1, 1999. The Agreement provides for cash adjustments to ensure that current assets minus the sum of current and noncurrent assumed liabilities of the acquired operations is $150 million as of September 30, 1998.</w:t>
      </w:r>
    </w:p>
    <w:p>
      <w:pPr>
        <w:spacing w:after="0" w:line="194"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Micron Common Stock and Convertible Notes issued in the transaction have not been registered under the Securities Act of 1933, as amended,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MTI Common Stock. TI's registration rights begin six months after closing of the transaction. The Convertible Notes and the Subordinated Notes issued in the transaction will both bear interest at the rate of 6.5% and have a term of seven years. The Convertible Notes are convertible into approximately 12.3 million shares of Micron Common Stock at a conversion price of approximately $60 per share. The Subordinated Notes are subordinated to the Convertible Notes, the Company's outstanding 7% Convertible Subordinated Notes due July 1, 2004, and substantially all the Company's other indebtedness.</w:t>
      </w:r>
    </w:p>
    <w:p>
      <w:pPr>
        <w:spacing w:after="0" w:line="194"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assets acquired by the Company in the transaction include TI's: wafer fabrication operations in Avezzano, Italy; assembly/test operations in Singapore; and wafer fabrication facility in Richardson, Texas (which TI closed in June 1998). As part of the Acquisition, Micron also acquired TI's interest in two joint ventures: TECH Semiconductor Singapore ("TECH"), owned by TI, Canon, Inc., Hewlett-Packard Singapore (Private) Limited, a subsidiary of Hewlett-Packard Company, and EDB Investments Pte. Ltd.; and KTI Semiconductor ("KTI") in Japan owned by TI and Kobe Steel, Ltd. TI had a 29.9% interest in TECH and a 25% interest in KTI and had the obligation as well as the right to purchase 100% of the production meeting TI specifications of each joint venture. Similar to TI, with respect to TECH and KTI, Micron has an obligation and right to purchase 100% of the production meeting Micron specifications of each joint venture.</w:t>
      </w:r>
    </w:p>
    <w:p>
      <w:pPr>
        <w:spacing w:after="0" w:line="379"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781" w:hanging="781"/>
        <w:spacing w:after="0"/>
        <w:tabs>
          <w:tab w:leader="none" w:pos="7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As of the date of filing of this Current Report on Form 8-K, it is impracticable for the Registrant to provide the financial statements required by this Item 7(a). In accordance with Item 7(a)(4) of Form 8-K, such financial statements shall be filed by amendment to this Form 8-K no later than 60 days after October 15, 1998.</w:t>
      </w:r>
    </w:p>
    <w:p>
      <w:pPr>
        <w:spacing w:after="0" w:line="185" w:lineRule="exact"/>
        <w:rPr>
          <w:sz w:val="20"/>
          <w:szCs w:val="20"/>
          <w:color w:val="auto"/>
        </w:rPr>
      </w:pPr>
    </w:p>
    <w:p>
      <w:pPr>
        <w:ind w:left="781" w:hanging="781"/>
        <w:spacing w:after="0"/>
        <w:tabs>
          <w:tab w:leader="none" w:pos="7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As of the date of filing of this Current Report on Form 8-K, it is impracticable for the Registrant to provide the pro forma financial information required by this Item 7(b). In accordance with Item 7(b) of Form 8-K, such financial statements shall be filed by amendment to this Form 8-K no later than 60 days after October 15, 1998.</w:t>
      </w:r>
    </w:p>
    <w:p>
      <w:pPr>
        <w:spacing w:after="0" w:line="185" w:lineRule="exact"/>
        <w:rPr>
          <w:sz w:val="20"/>
          <w:szCs w:val="20"/>
          <w:color w:val="auto"/>
        </w:rPr>
      </w:pPr>
    </w:p>
    <w:p>
      <w:pPr>
        <w:ind w:left="781" w:hanging="781"/>
        <w:spacing w:after="0"/>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rFonts w:ascii="Courier New" w:cs="Courier New" w:eastAsia="Courier New" w:hAnsi="Courier New"/>
          <w:sz w:val="16"/>
          <w:szCs w:val="16"/>
          <w:color w:val="auto"/>
        </w:rPr>
      </w:pPr>
    </w:p>
    <w:p>
      <w:pPr>
        <w:ind w:left="1541" w:right="2559" w:hanging="775"/>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2.2Second Amendment to Acquisition Agreement dated as of September 30, 1998 between Micron Technology, Inc. and Texas Instruments Incorporated.</w:t>
      </w:r>
    </w:p>
    <w:p>
      <w:pPr>
        <w:spacing w:after="0" w:line="185" w:lineRule="exact"/>
        <w:rPr>
          <w:rFonts w:ascii="Courier New" w:cs="Courier New" w:eastAsia="Courier New" w:hAnsi="Courier New"/>
          <w:sz w:val="16"/>
          <w:szCs w:val="16"/>
          <w:color w:val="auto"/>
        </w:rPr>
      </w:pPr>
    </w:p>
    <w:p>
      <w:pPr>
        <w:jc w:val="both"/>
        <w:ind w:left="1541" w:right="2459" w:hanging="775"/>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10.125 Second Supplemental Trust Indenture, dated as of September 30, 1998 between Micron Technology, Inc. and Norwest Bank Minnesota, National Association Trustee, relating to the issuance of 6-1/2% Convertible Subordinated Notes due October 2, 2003 (the "Notes") (including the form of Note).</w:t>
      </w:r>
    </w:p>
    <w:p>
      <w:pPr>
        <w:spacing w:after="0" w:line="185" w:lineRule="exact"/>
        <w:rPr>
          <w:rFonts w:ascii="Courier New" w:cs="Courier New" w:eastAsia="Courier New" w:hAnsi="Courier New"/>
          <w:sz w:val="16"/>
          <w:szCs w:val="16"/>
          <w:color w:val="auto"/>
        </w:rPr>
      </w:pPr>
    </w:p>
    <w:p>
      <w:pPr>
        <w:ind w:left="1541" w:right="2659" w:hanging="775"/>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10.126 Subordinated Promissory Note, dated September 30, 1998, issued by Micron Technology, Inc. in the name of Texas Instruments Incorporated in the amount of $210,000,000.</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676" w:right="1440" w:bottom="322" w:gutter="0" w:footer="0" w:header="0"/>
        </w:sectPr>
      </w:pPr>
    </w:p>
    <w:bookmarkStart w:id="2" w:name="page3"/>
    <w:bookmarkEnd w:id="2"/>
    <w:p>
      <w:pPr>
        <w:jc w:val="center"/>
        <w:ind w:right="2559"/>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MICRON TECHNOLOGY, INC.</w:t>
      </w:r>
    </w:p>
    <w:p>
      <w:pPr>
        <w:sectPr>
          <w:pgSz w:w="11900" w:h="16838" w:orient="portrait"/>
          <w:cols w:equalWidth="0" w:num="1">
            <w:col w:w="10219"/>
          </w:cols>
          <w:pgMar w:left="240" w:top="676" w:right="1440" w:bottom="1440"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14, 1998</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Wilbur G. Stover, Jr.</w:t>
      </w:r>
    </w:p>
    <w:p>
      <w:pPr>
        <w:spacing w:after="0" w:line="191" w:lineRule="exact"/>
        <w:rPr>
          <w:sz w:val="20"/>
          <w:szCs w:val="20"/>
          <w:color w:val="auto"/>
        </w:rPr>
      </w:pPr>
    </w:p>
    <w:p>
      <w:pPr>
        <w:sectPr>
          <w:pgSz w:w="11900" w:h="16838" w:orient="portrait"/>
          <w:cols w:equalWidth="0" w:num="3">
            <w:col w:w="480" w:space="200"/>
            <w:col w:w="2480" w:space="720"/>
            <w:col w:w="6339"/>
          </w:cols>
          <w:pgMar w:left="240" w:top="676"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6"/>
          <w:szCs w:val="16"/>
          <w:color w:val="auto"/>
        </w:rPr>
        <w:t>Wilbur G. Stover, Jr.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Vice President of Finance and</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Chief Financial Officer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type w:val="continuous"/>
        </w:sectPr>
      </w:pPr>
    </w:p>
    <w:bookmarkStart w:id="3" w:name="page4"/>
    <w:bookmarkEnd w:id="3"/>
    <w:p>
      <w:pPr>
        <w:ind w:left="6500"/>
        <w:spacing w:after="0"/>
        <w:rPr>
          <w:sz w:val="20"/>
          <w:szCs w:val="20"/>
          <w:color w:val="auto"/>
        </w:rPr>
      </w:pPr>
      <w:r>
        <w:rPr>
          <w:rFonts w:ascii="Courier New" w:cs="Courier New" w:eastAsia="Courier New" w:hAnsi="Courier New"/>
          <w:sz w:val="16"/>
          <w:szCs w:val="16"/>
          <w:color w:val="auto"/>
        </w:rPr>
        <w:t>EXHIBIT 2.2</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SECOND AMENDMENT TO ACQUISITION AGREEMENT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SECOND AMENDMENT TO ACQUISITION AGREEMENT, dated as of September 30, 1998 (this "Second Amendment"), between Micron Technology, Inc., a Delaware corporation ("Buyer"), and Texas Instruments Incorporated, a Delaware corporation ("Seller"), amends that certain Acquisition Agreement, dated June 18, 1998, as amended by the First Amendment to Acquisition Agreement, dated as of July 31, 1998 (such agreement, as so amended, being hereafter referred to as the "Acquisition Agreement"), between Buyer and Seller. Capitalized terms used and not defined herein have the respective meanings ascribed to them in the Acquisition Agreement.</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R E C I T A L 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484"/>
        <w:spacing w:after="0" w:line="247"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6.6 of the Acquisition Agreement contemplated that the parties would agree on terms and conditions to apply to the transfer at Closing of the Acquired Assets and Assumed Liabilities associated with Seller's Italian operations to be transferred by Seller to Buyer, including appropriate conditions precedent to Closing.</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6.7 of the Acquisition Agreement contemplated that, among other things, the parties would agree on the forms of certain agreements pursuant to which various services may be supplied by Seller or its subsidiaries to Buyer and its subsidiaries with respect to the acquired business and Buyer would request KTI to continue manufacturing and supplying certain SDRAM or DRAM products for military and aerospace applications to Seller.</w:t>
      </w:r>
    </w:p>
    <w:p>
      <w:pPr>
        <w:spacing w:after="0" w:line="185" w:lineRule="exact"/>
        <w:rPr>
          <w:rFonts w:ascii="Courier New" w:cs="Courier New" w:eastAsia="Courier New" w:hAnsi="Courier New"/>
          <w:sz w:val="16"/>
          <w:szCs w:val="16"/>
          <w:color w:val="auto"/>
        </w:rPr>
      </w:pPr>
    </w:p>
    <w:p>
      <w:pPr>
        <w:ind w:right="2759" w:firstLine="484"/>
        <w:spacing w:after="0" w:line="248"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6.10 of the Acquisition Agreement contemplated that Seller would deliver to Buyer the Seller Disclosure Letter.</w:t>
      </w:r>
    </w:p>
    <w:p>
      <w:pPr>
        <w:spacing w:after="0" w:line="184" w:lineRule="exact"/>
        <w:rPr>
          <w:rFonts w:ascii="Courier New" w:cs="Courier New" w:eastAsia="Courier New" w:hAnsi="Courier New"/>
          <w:sz w:val="16"/>
          <w:szCs w:val="16"/>
          <w:color w:val="auto"/>
        </w:rPr>
      </w:pPr>
    </w:p>
    <w:p>
      <w:pPr>
        <w:ind w:right="2859" w:firstLine="484"/>
        <w:spacing w:after="0" w:line="248"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6.11 of the Acquisition Agreement contemplated that Buyer would deliver to Seller the Buyer Disclosure Letter.</w:t>
      </w:r>
    </w:p>
    <w:p>
      <w:pPr>
        <w:spacing w:after="0" w:line="184" w:lineRule="exact"/>
        <w:rPr>
          <w:rFonts w:ascii="Courier New" w:cs="Courier New" w:eastAsia="Courier New" w:hAnsi="Courier New"/>
          <w:sz w:val="16"/>
          <w:szCs w:val="16"/>
          <w:color w:val="auto"/>
        </w:rPr>
      </w:pPr>
    </w:p>
    <w:p>
      <w:pPr>
        <w:ind w:right="2659" w:firstLine="484"/>
        <w:spacing w:after="0" w:line="247"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6.12 of the Acquisition Agreement contemplated that the parties would, among other things, agree on terms and conditions of the JV Amendments as well as amendments to all debt, credit or financing Contracts to which any of the Joint Ventures is a party.</w:t>
      </w:r>
    </w:p>
    <w:p>
      <w:pPr>
        <w:spacing w:after="0" w:line="185" w:lineRule="exact"/>
        <w:rPr>
          <w:rFonts w:ascii="Courier New" w:cs="Courier New" w:eastAsia="Courier New" w:hAnsi="Courier New"/>
          <w:sz w:val="16"/>
          <w:szCs w:val="16"/>
          <w:color w:val="auto"/>
        </w:rPr>
      </w:pPr>
    </w:p>
    <w:p>
      <w:pPr>
        <w:ind w:right="2559" w:firstLine="484"/>
        <w:spacing w:after="0" w:line="248"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6.31(a) of the Acquisition Agreement contemplated that Buyer would deliver to Seller the Transferred Contract Schedule.</w:t>
      </w:r>
    </w:p>
    <w:p>
      <w:pPr>
        <w:spacing w:after="0" w:line="184" w:lineRule="exact"/>
        <w:rPr>
          <w:rFonts w:ascii="Courier New" w:cs="Courier New" w:eastAsia="Courier New" w:hAnsi="Courier New"/>
          <w:sz w:val="16"/>
          <w:szCs w:val="16"/>
          <w:color w:val="auto"/>
        </w:rPr>
      </w:pPr>
    </w:p>
    <w:p>
      <w:pPr>
        <w:ind w:right="2659" w:firstLine="484"/>
        <w:spacing w:after="0" w:line="247" w:lineRule="auto"/>
        <w:tabs>
          <w:tab w:leader="none" w:pos="9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Seller is delivering to Buyer the Seller Disclosure Letter, dated as of the Closing Date, and Buyer is delivering Seller the Buyer Disclosure Letter, dated as of the Closing Date.</w:t>
      </w:r>
    </w:p>
    <w:p>
      <w:pPr>
        <w:sectPr>
          <w:pgSz w:w="11900" w:h="16838" w:orient="portrait"/>
          <w:cols w:equalWidth="0" w:num="1">
            <w:col w:w="10219"/>
          </w:cols>
          <w:pgMar w:left="240" w:top="514" w:right="1440" w:bottom="1440" w:gutter="0" w:footer="0" w:header="0"/>
        </w:sectPr>
      </w:pPr>
    </w:p>
    <w:bookmarkStart w:id="4" w:name="page5"/>
    <w:bookmarkEnd w:id="4"/>
    <w:p>
      <w:pPr>
        <w:ind w:right="2459" w:firstLine="484"/>
        <w:spacing w:after="0" w:line="247" w:lineRule="auto"/>
        <w:tabs>
          <w:tab w:leader="none" w:pos="96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have identified certain other changes to the Acquisition Agreement necessary to reflect the intentions of the parties and desire to amend the Acquisition Agreement to reflect such changes as well as to set forth the agreements with respect to the foregoing matters.</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NOW THEREFORE, in consideration of the premises and the mutual covenants contained herein, the parties hereto agree as follows:</w:t>
      </w:r>
    </w:p>
    <w:p>
      <w:pPr>
        <w:spacing w:after="0" w:line="184"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Section 1. Exhibit A to the Acquisition Agreement is amended by deleting Exhibit A in its entirety and replacing it with Exhibit A to this Second Amendment.</w:t>
      </w:r>
    </w:p>
    <w:p>
      <w:pPr>
        <w:spacing w:after="0" w:line="186"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Section 2. Exhibit B to the Acquisition Agreement is amended by deleting Exhibit B in its entirety and replacing it with Exhibit B to this Second Amendment.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3. Exhibits D and G to the Acquisition Agreement are amended by deleting Exhibits D and G in their entirety and replacing them with Exhibits D and G to this Second Amendment.</w:t>
      </w:r>
    </w:p>
    <w:p>
      <w:pPr>
        <w:spacing w:after="0" w:line="186"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Section 4. Exhibit H to the Acquisition Agreement is amended by deleting Exhibit H in its entirety and replacing it with Exhibit H to this Second Amendment.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4. Exhibit I to the Acquisition Agreement is amended by deleting Exhibit I in its entirety and replacing it with Exhibits I-1 through I-14 to this Second Amendment.</w:t>
      </w:r>
    </w:p>
    <w:p>
      <w:pPr>
        <w:spacing w:after="0" w:line="186"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Section 5. Exhibit J to the Acquisition Agreement is amended by deleting Exhibit J in its entirety and replacing it with Exhibit J to this Second Amendment.</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6. The Acquisition Agreement is amended to add Exhibits K, L, M, N, O and P hereto as new Exhibits K, L, M, N, O and P to the Acquisition Agreement.</w:t>
      </w:r>
    </w:p>
    <w:p>
      <w:pPr>
        <w:spacing w:after="0" w:line="186"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Section 7. Section 1.6 of the Acquisition Agreement is amended by adding, at the end thereof, the following:</w:t>
      </w:r>
    </w:p>
    <w:p>
      <w:pPr>
        <w:spacing w:after="0" w:line="184" w:lineRule="exact"/>
        <w:rPr>
          <w:sz w:val="20"/>
          <w:szCs w:val="20"/>
          <w:color w:val="auto"/>
        </w:rPr>
      </w:pPr>
    </w:p>
    <w:p>
      <w:pPr>
        <w:ind w:left="960" w:right="3339"/>
        <w:spacing w:after="0" w:line="247" w:lineRule="auto"/>
        <w:rPr>
          <w:sz w:val="20"/>
          <w:szCs w:val="20"/>
          <w:color w:val="auto"/>
        </w:rPr>
      </w:pPr>
      <w:r>
        <w:rPr>
          <w:rFonts w:ascii="Courier New" w:cs="Courier New" w:eastAsia="Courier New" w:hAnsi="Courier New"/>
          <w:sz w:val="16"/>
          <w:szCs w:val="16"/>
          <w:color w:val="auto"/>
        </w:rPr>
        <w:t>Acquired Intellectual Property shall not include the words or name "Texas Instruments Incorporated", "Texas Instruments" or "TI", or Seller's related monograms, logos, trademarks or trade names.</w:t>
      </w:r>
    </w:p>
    <w:p>
      <w:pPr>
        <w:spacing w:after="0" w:line="186"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Section 8. Section 1.11 of the Acquisition Agreement is amended by adding, immediately following the words "(including DRAM, Flash and EPROM devices)," the following:</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and test equipment for testing such MOS memory devices,</w:t>
      </w:r>
    </w:p>
    <w:p>
      <w:pPr>
        <w:spacing w:after="0" w:line="191"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9. Section 1.14 of the Acquisition Agreement is amended by deleting Section 1.14 in its entirety and replacing it with the following:</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5" w:name="page6"/>
    <w:bookmarkEnd w:id="5"/>
    <w:p>
      <w:pPr>
        <w:ind w:left="1940"/>
        <w:spacing w:after="0"/>
        <w:rPr>
          <w:sz w:val="20"/>
          <w:szCs w:val="20"/>
          <w:color w:val="auto"/>
        </w:rPr>
      </w:pPr>
      <w:r>
        <w:rPr>
          <w:rFonts w:ascii="Courier New" w:cs="Courier New" w:eastAsia="Courier New" w:hAnsi="Courier New"/>
          <w:sz w:val="16"/>
          <w:szCs w:val="16"/>
          <w:color w:val="auto"/>
        </w:rPr>
        <w:t>1.14 Intentionally omitted.</w:t>
      </w:r>
    </w:p>
    <w:p>
      <w:pPr>
        <w:spacing w:after="0" w:line="191"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10. Section 1.38 of the Acquisition Agreement is amended by deleting Section 1.38 in its entirety and replacing it with the following:</w:t>
      </w:r>
    </w:p>
    <w:p>
      <w:pPr>
        <w:spacing w:after="0" w:line="184"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1.38 Intentionally omitted.</w:t>
      </w:r>
    </w:p>
    <w:p>
      <w:pPr>
        <w:spacing w:after="0" w:line="191"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11. Section 1.56 of the Acquisition Agreement is amended to replace "Clause 12" with "Clause 13."</w:t>
      </w:r>
    </w:p>
    <w:p>
      <w:pPr>
        <w:spacing w:after="0" w:line="184"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12. Section 1.97 of the Acquisition Agreement is amended by deleting Section 1.97 in its entirety and replacing it with the following:</w:t>
      </w:r>
    </w:p>
    <w:p>
      <w:pPr>
        <w:spacing w:after="0" w:line="18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1.97 "KTI Amendments" means that certain Amendment No. 13 to</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659"/>
        <w:spacing w:after="0" w:line="247" w:lineRule="auto"/>
        <w:rPr>
          <w:sz w:val="20"/>
          <w:szCs w:val="20"/>
          <w:color w:val="auto"/>
        </w:rPr>
      </w:pPr>
      <w:r>
        <w:rPr>
          <w:rFonts w:ascii="Courier New" w:cs="Courier New" w:eastAsia="Courier New" w:hAnsi="Courier New"/>
          <w:sz w:val="16"/>
          <w:szCs w:val="16"/>
          <w:color w:val="auto"/>
        </w:rPr>
        <w:t>Shareholders' Agreement among Seller, Kobe Steel, Ltd., and KTI, and the amendments to the other agreements and related transactions contemplated by such Amendment No. 13 to be entered into on or prior to the Closing.</w:t>
      </w:r>
    </w:p>
    <w:p>
      <w:pPr>
        <w:spacing w:after="0" w:line="186"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13. Section 1.98 of the Acquisition Agreement is amended by deleting Section 1.98 in its entirety and replacing it with the following:</w:t>
      </w:r>
    </w:p>
    <w:p>
      <w:pPr>
        <w:spacing w:after="0" w:line="184" w:lineRule="exact"/>
        <w:rPr>
          <w:sz w:val="20"/>
          <w:szCs w:val="20"/>
          <w:color w:val="auto"/>
        </w:rPr>
      </w:pPr>
    </w:p>
    <w:p>
      <w:pPr>
        <w:ind w:left="1940"/>
        <w:spacing w:after="0"/>
        <w:tabs>
          <w:tab w:leader="none" w:pos="2500" w:val="left"/>
        </w:tabs>
        <w:rPr>
          <w:sz w:val="20"/>
          <w:szCs w:val="20"/>
          <w:color w:val="auto"/>
        </w:rPr>
      </w:pPr>
      <w:r>
        <w:rPr>
          <w:rFonts w:ascii="Courier New" w:cs="Courier New" w:eastAsia="Courier New" w:hAnsi="Courier New"/>
          <w:sz w:val="16"/>
          <w:szCs w:val="16"/>
          <w:color w:val="auto"/>
        </w:rPr>
        <w:t>1.98</w:t>
        <w:tab/>
        <w:t>"KTI Shareholders' Agreement" means the shareholders'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agreement entered into by Kobe Steel, Ltd. and Seller effective on March 19, 1990 and ratified by KTI Semiconductor Limited on May 22, 1990, as amended on September 28, 1990, November 5, 1992, June 7, 1993, July 14, 1993, December 15, 1993, March 24, 1994, June 27, 1994, December 11, 1995, December 17, 1996, February 17, 1998, March 26, 1998 and June 23, 1998.</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14. Section 1.105 of the Acquisition Agreement is amended to replace the word "Business" with the words "assets and liabilities which would have been Acquired Assets and Assumed Liabilities."</w:t>
      </w:r>
    </w:p>
    <w:p>
      <w:pPr>
        <w:spacing w:after="0" w:line="186"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15. Section 1.112 of the Acquisition Agreement is amended by deleting Section 1.112 in its entirety and replacing it with the following:</w:t>
      </w:r>
    </w:p>
    <w:p>
      <w:pPr>
        <w:spacing w:after="0" w:line="184" w:lineRule="exact"/>
        <w:rPr>
          <w:sz w:val="20"/>
          <w:szCs w:val="20"/>
          <w:color w:val="auto"/>
        </w:rPr>
      </w:pPr>
    </w:p>
    <w:p>
      <w:pPr>
        <w:ind w:left="960" w:right="3239" w:firstLine="969"/>
        <w:spacing w:after="0" w:line="248" w:lineRule="auto"/>
        <w:rPr>
          <w:sz w:val="20"/>
          <w:szCs w:val="20"/>
          <w:color w:val="auto"/>
        </w:rPr>
      </w:pPr>
      <w:r>
        <w:rPr>
          <w:rFonts w:ascii="Courier New" w:cs="Courier New" w:eastAsia="Courier New" w:hAnsi="Courier New"/>
          <w:sz w:val="16"/>
          <w:szCs w:val="16"/>
          <w:color w:val="auto"/>
        </w:rPr>
        <w:t>1.112 "Notes" means the Subordinated Notes and the Convertible Notes.</w:t>
      </w:r>
    </w:p>
    <w:p>
      <w:pPr>
        <w:spacing w:after="0" w:line="184"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16. Section 1.124 of the Acquisition Agreement is amended by adding, at the end thereof, the following:</w:t>
      </w:r>
    </w:p>
    <w:p>
      <w:pPr>
        <w:spacing w:after="0" w:line="184"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or other body with respect to arbitration, mediation or administrative proceedings.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6" w:name="page7"/>
    <w:bookmarkEnd w:id="6"/>
    <w:p>
      <w:pPr>
        <w:ind w:right="2959" w:firstLine="484"/>
        <w:spacing w:after="0" w:line="248" w:lineRule="auto"/>
        <w:rPr>
          <w:sz w:val="20"/>
          <w:szCs w:val="20"/>
          <w:color w:val="auto"/>
        </w:rPr>
      </w:pPr>
      <w:r>
        <w:rPr>
          <w:rFonts w:ascii="Courier New" w:cs="Courier New" w:eastAsia="Courier New" w:hAnsi="Courier New"/>
          <w:sz w:val="16"/>
          <w:szCs w:val="16"/>
          <w:color w:val="auto"/>
        </w:rPr>
        <w:t>Section 17. Section 1.132(d) of the Acquisition Agreement is hereby amended to add at the end of such Section 1.132(d) the following:</w:t>
      </w:r>
    </w:p>
    <w:p>
      <w:pPr>
        <w:spacing w:after="0" w:line="184" w:lineRule="exact"/>
        <w:rPr>
          <w:sz w:val="20"/>
          <w:szCs w:val="20"/>
          <w:color w:val="auto"/>
        </w:rPr>
      </w:pPr>
    </w:p>
    <w:p>
      <w:pPr>
        <w:ind w:left="960" w:right="2659"/>
        <w:spacing w:after="0" w:line="247" w:lineRule="auto"/>
        <w:rPr>
          <w:sz w:val="20"/>
          <w:szCs w:val="20"/>
          <w:color w:val="auto"/>
        </w:rPr>
      </w:pPr>
      <w:r>
        <w:rPr>
          <w:rFonts w:ascii="Courier New" w:cs="Courier New" w:eastAsia="Courier New" w:hAnsi="Courier New"/>
          <w:sz w:val="16"/>
          <w:szCs w:val="16"/>
          <w:color w:val="auto"/>
        </w:rPr>
        <w:t>(including but not limited to, Losses, Claims, Liens and Liabilities that arise with respect to violations existing after the Closing Date which violations arose prior to the Closing Date).</w:t>
      </w:r>
    </w:p>
    <w:p>
      <w:pPr>
        <w:spacing w:after="0" w:line="372"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18. Section 1.163 of the Acquisition Agreement is amended by deleting Section 1.163 in its entirety and replacing it with the following:</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83"/>
        </w:trPr>
        <w:tc>
          <w:tcPr>
            <w:tcW w:w="1120" w:type="dxa"/>
            <w:vAlign w:val="bottom"/>
          </w:tcPr>
          <w:p>
            <w:pPr>
              <w:ind w:left="500"/>
              <w:spacing w:after="0"/>
              <w:rPr>
                <w:sz w:val="20"/>
                <w:szCs w:val="20"/>
                <w:color w:val="auto"/>
              </w:rPr>
            </w:pPr>
            <w:r>
              <w:rPr>
                <w:rFonts w:ascii="Courier New" w:cs="Courier New" w:eastAsia="Courier New" w:hAnsi="Courier New"/>
                <w:sz w:val="16"/>
                <w:szCs w:val="16"/>
                <w:color w:val="auto"/>
              </w:rPr>
              <w:t>1.163</w:t>
            </w:r>
          </w:p>
        </w:tc>
        <w:tc>
          <w:tcPr>
            <w:tcW w:w="1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"TECH Amendments"</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means</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Amendment Agreement No. 4 to the</w:t>
            </w:r>
          </w:p>
        </w:tc>
      </w:tr>
      <w:tr>
        <w:trPr>
          <w:trHeight w:val="186"/>
        </w:trPr>
        <w:tc>
          <w:tcPr>
            <w:tcW w:w="11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86"/>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Shareholders' Agreement</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among</w:t>
            </w:r>
          </w:p>
        </w:tc>
        <w:tc>
          <w:tcPr>
            <w:tcW w:w="3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Seller, EDB, Canon Inc., a corporation</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established</w:t>
            </w:r>
          </w:p>
        </w:tc>
        <w:tc>
          <w:tcPr>
            <w:tcW w:w="1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under the laws of</w:t>
            </w:r>
          </w:p>
        </w:tc>
        <w:tc>
          <w:tcPr>
            <w:tcW w:w="3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Japan, Hewlett-Packard Company, a</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established</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under</w:t>
            </w:r>
          </w:p>
        </w:tc>
        <w:tc>
          <w:tcPr>
            <w:tcW w:w="3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laws of the State of California,</w:t>
            </w:r>
          </w:p>
        </w:tc>
      </w:tr>
      <w:tr>
        <w:trPr>
          <w:trHeight w:val="186"/>
        </w:trPr>
        <w:tc>
          <w:tcPr>
            <w:tcW w:w="2860" w:type="dxa"/>
            <w:vAlign w:val="bottom"/>
            <w:gridSpan w:val="3"/>
          </w:tcPr>
          <w:p>
            <w:pPr>
              <w:spacing w:after="0"/>
              <w:rPr>
                <w:sz w:val="20"/>
                <w:szCs w:val="20"/>
                <w:color w:val="auto"/>
              </w:rPr>
            </w:pPr>
            <w:r>
              <w:rPr>
                <w:rFonts w:ascii="Courier New" w:cs="Courier New" w:eastAsia="Courier New" w:hAnsi="Courier New"/>
                <w:sz w:val="16"/>
                <w:szCs w:val="16"/>
                <w:color w:val="auto"/>
              </w:rPr>
              <w:t>U.S.A., TECH, Hewlett-Packard</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World</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Trade, Inc., a corporation</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established</w:t>
            </w:r>
          </w:p>
        </w:tc>
        <w:tc>
          <w:tcPr>
            <w:tcW w:w="1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under the laws of</w:t>
            </w:r>
          </w:p>
        </w:tc>
        <w:tc>
          <w:tcPr>
            <w:tcW w:w="3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State of Delaware, U.S.A., EDB</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Pte Ltd., a</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corporation</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established under the laws of</w:t>
            </w:r>
          </w:p>
        </w:tc>
      </w:tr>
      <w:tr>
        <w:trPr>
          <w:trHeight w:val="186"/>
        </w:trPr>
        <w:tc>
          <w:tcPr>
            <w:tcW w:w="6600" w:type="dxa"/>
            <w:vAlign w:val="bottom"/>
            <w:gridSpan w:val="5"/>
          </w:tcPr>
          <w:p>
            <w:pPr>
              <w:spacing w:after="0"/>
              <w:rPr>
                <w:sz w:val="20"/>
                <w:szCs w:val="20"/>
                <w:color w:val="auto"/>
              </w:rPr>
            </w:pPr>
            <w:r>
              <w:rPr>
                <w:rFonts w:ascii="Courier New" w:cs="Courier New" w:eastAsia="Courier New" w:hAnsi="Courier New"/>
                <w:sz w:val="16"/>
                <w:szCs w:val="16"/>
                <w:color w:val="auto"/>
              </w:rPr>
              <w:t>Singapore, and Hewlett-Packard Singapore (Private) Limited, a</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established</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under</w:t>
            </w:r>
          </w:p>
        </w:tc>
        <w:tc>
          <w:tcPr>
            <w:tcW w:w="3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laws of Singapore, and the</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amendments,</w:t>
            </w:r>
          </w:p>
        </w:tc>
        <w:tc>
          <w:tcPr>
            <w:tcW w:w="23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to the other agreements</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and related transactions</w:t>
            </w:r>
          </w:p>
        </w:tc>
      </w:tr>
    </w:tbl>
    <w:p>
      <w:pPr>
        <w:spacing w:after="0" w:line="4" w:lineRule="exact"/>
        <w:rPr>
          <w:sz w:val="20"/>
          <w:szCs w:val="20"/>
          <w:color w:val="auto"/>
        </w:rPr>
      </w:pPr>
    </w:p>
    <w:p>
      <w:pPr>
        <w:ind w:left="960" w:right="3039"/>
        <w:spacing w:after="0" w:line="248" w:lineRule="auto"/>
        <w:rPr>
          <w:sz w:val="20"/>
          <w:szCs w:val="20"/>
          <w:color w:val="auto"/>
        </w:rPr>
      </w:pPr>
      <w:r>
        <w:rPr>
          <w:rFonts w:ascii="Courier New" w:cs="Courier New" w:eastAsia="Courier New" w:hAnsi="Courier New"/>
          <w:sz w:val="16"/>
          <w:szCs w:val="16"/>
          <w:color w:val="auto"/>
        </w:rPr>
        <w:t>contemplated by such amendment to be entered into or occur at or prior to Closing.</w:t>
      </w:r>
    </w:p>
    <w:p>
      <w:pPr>
        <w:spacing w:after="0" w:line="184"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19. Section 1.164 of the Acquisition Agreement is amended by deleting Section 1.164 in its entirety and replacing it with the following:</w:t>
      </w:r>
    </w:p>
    <w:p>
      <w:pPr>
        <w:spacing w:after="0" w:line="184" w:lineRule="exact"/>
        <w:rPr>
          <w:sz w:val="20"/>
          <w:szCs w:val="20"/>
          <w:color w:val="auto"/>
        </w:rPr>
      </w:pPr>
    </w:p>
    <w:p>
      <w:pPr>
        <w:ind w:left="1460"/>
        <w:spacing w:after="0"/>
        <w:tabs>
          <w:tab w:leader="none" w:pos="2120" w:val="left"/>
        </w:tabs>
        <w:rPr>
          <w:sz w:val="20"/>
          <w:szCs w:val="20"/>
          <w:color w:val="auto"/>
        </w:rPr>
      </w:pPr>
      <w:r>
        <w:rPr>
          <w:rFonts w:ascii="Courier New" w:cs="Courier New" w:eastAsia="Courier New" w:hAnsi="Courier New"/>
          <w:sz w:val="16"/>
          <w:szCs w:val="16"/>
          <w:color w:val="auto"/>
        </w:rPr>
        <w:t>1.164</w:t>
        <w:tab/>
        <w:t>"TECH Shareholders' Agreement" means the shareholders'</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agreement entered into by Seller, EDB, Canon, Inc. and Hewlett Packard Company effective on April 11, 1991 and ratified by TECH Semiconductor Singapore Pte. Ltd. on May 13, 1991, as amended August 22, 1991, February 15, 1993 and August 4, 1995 and subject to the waivers dated May 31, 1991, December 19, 1991 and February 15, 1997.</w:t>
      </w:r>
    </w:p>
    <w:p>
      <w:pPr>
        <w:spacing w:after="0" w:line="185"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Section 20. Section 1.179 of the Acquisition Agreement is amended by deleting Section 1.179 in its entirety and by replacing it with the following:</w:t>
      </w:r>
    </w:p>
    <w:p>
      <w:pPr>
        <w:spacing w:after="0" w:line="184" w:lineRule="exact"/>
        <w:rPr>
          <w:sz w:val="20"/>
          <w:szCs w:val="20"/>
          <w:color w:val="auto"/>
        </w:rPr>
      </w:pPr>
    </w:p>
    <w:p>
      <w:pPr>
        <w:ind w:left="1460"/>
        <w:spacing w:after="0"/>
        <w:tabs>
          <w:tab w:leader="none" w:pos="2120" w:val="left"/>
        </w:tabs>
        <w:rPr>
          <w:sz w:val="20"/>
          <w:szCs w:val="20"/>
          <w:color w:val="auto"/>
        </w:rPr>
      </w:pPr>
      <w:r>
        <w:rPr>
          <w:rFonts w:ascii="Courier New" w:cs="Courier New" w:eastAsia="Courier New" w:hAnsi="Courier New"/>
          <w:sz w:val="16"/>
          <w:szCs w:val="16"/>
          <w:color w:val="auto"/>
        </w:rPr>
        <w:t>1.179</w:t>
        <w:tab/>
        <w:t>"Transition Services Agreement" means each of the</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following agreements to be executed and delivered by the parties in accordance with Sections 9.2(c) and 9.3(c) hereof: (i) the master Transition Services Agreement substantially in the form of Exhibit I-1 hereto and the individual agreements contemplated by the master Transition Services Agreement including, (ii) the IT Transition Service Agreement between Seller and Buyer; (iii) the General Administrative Services Agreement between Seller and Buyer; (iv) the EPROM Products Agreement between Seller and Buyer; (v) the Wire Bonder Equipment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7" w:name="page8"/>
    <w:bookmarkEnd w:id="7"/>
    <w:p>
      <w:pPr>
        <w:ind w:left="960" w:right="2659"/>
        <w:spacing w:after="0" w:line="246" w:lineRule="auto"/>
        <w:rPr>
          <w:sz w:val="20"/>
          <w:szCs w:val="20"/>
          <w:color w:val="auto"/>
        </w:rPr>
      </w:pPr>
      <w:r>
        <w:rPr>
          <w:rFonts w:ascii="Courier New" w:cs="Courier New" w:eastAsia="Courier New" w:hAnsi="Courier New"/>
          <w:sz w:val="16"/>
          <w:szCs w:val="16"/>
          <w:color w:val="auto"/>
        </w:rPr>
        <w:t>Service and Support Agreement between Seller and Buyer; (vi) the Military Memory Products Service Agreement between Seller and Buyer;</w:t>
      </w:r>
    </w:p>
    <w:p>
      <w:pPr>
        <w:spacing w:after="0" w:line="1" w:lineRule="exact"/>
        <w:rPr>
          <w:sz w:val="20"/>
          <w:szCs w:val="20"/>
          <w:color w:val="auto"/>
        </w:rPr>
      </w:pPr>
    </w:p>
    <w:p>
      <w:pPr>
        <w:ind w:left="960" w:right="2759" w:firstLine="8"/>
        <w:spacing w:after="0" w:line="246" w:lineRule="auto"/>
        <w:tabs>
          <w:tab w:leader="none" w:pos="15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Human Resources Administration Transition Services Agreement between Seller and Buyer; (viii) the Miho, Japan Engineering Consulting Services Agreement between Seller and Buyer;</w:t>
      </w:r>
    </w:p>
    <w:p>
      <w:pPr>
        <w:spacing w:after="0" w:line="1" w:lineRule="exact"/>
        <w:rPr>
          <w:rFonts w:ascii="Courier New" w:cs="Courier New" w:eastAsia="Courier New" w:hAnsi="Courier New"/>
          <w:sz w:val="16"/>
          <w:szCs w:val="16"/>
          <w:color w:val="auto"/>
        </w:rPr>
      </w:pPr>
    </w:p>
    <w:p>
      <w:pPr>
        <w:ind w:left="960" w:right="2659" w:firstLine="8"/>
        <w:spacing w:after="0" w:line="246" w:lineRule="auto"/>
        <w:tabs>
          <w:tab w:leader="none" w:pos="14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PTEC Purchase Agreement between Seller and Buyer; (x) the Labeling Agreement between Seller and Buyer; (xi) the Flash Products Agreement between Seller and Buyer; (xii) the Field Memory Products Services Agreement between Seller and Buyer; (xiii) the Transition Lease -Stafford (Houston) Facility between Seller and Buyer; and</w:t>
      </w:r>
    </w:p>
    <w:p>
      <w:pPr>
        <w:spacing w:after="0" w:line="2" w:lineRule="exact"/>
        <w:rPr>
          <w:rFonts w:ascii="Courier New" w:cs="Courier New" w:eastAsia="Courier New" w:hAnsi="Courier New"/>
          <w:sz w:val="16"/>
          <w:szCs w:val="16"/>
          <w:color w:val="auto"/>
        </w:rPr>
      </w:pPr>
    </w:p>
    <w:p>
      <w:pPr>
        <w:ind w:left="960" w:right="2759" w:firstLine="8"/>
        <w:spacing w:after="0" w:line="248" w:lineRule="auto"/>
        <w:tabs>
          <w:tab w:leader="none" w:pos="154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Transition Sublease, Floyd Road (Dallas) Facility between Seller and Buyer each as set forth as Exhibit I-2 - I-14 hereto.</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21. Section 1.183 of the Acquisition Agreement is amended by deleting the reference to "other than up to 345,296 million Italian Lire principal amount of indebtedness for borrowed money directly related to Seller's assets in Italy constituting Acquired Assets".</w:t>
      </w:r>
    </w:p>
    <w:p>
      <w:pPr>
        <w:spacing w:after="0" w:line="186"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22. Sections 3.3(a) and 3.3(b) of the Acquisition Agreement are amended by deleting Sections 3.3(a) and 3.3(b) in their entirety and replacing them with the following:</w:t>
      </w:r>
    </w:p>
    <w:p>
      <w:pPr>
        <w:spacing w:after="0" w:line="186" w:lineRule="exact"/>
        <w:rPr>
          <w:sz w:val="20"/>
          <w:szCs w:val="20"/>
          <w:color w:val="auto"/>
        </w:rPr>
      </w:pPr>
    </w:p>
    <w:p>
      <w:pPr>
        <w:ind w:left="960" w:right="2859" w:firstLine="977"/>
        <w:spacing w:after="0" w:line="248" w:lineRule="auto"/>
        <w:tabs>
          <w:tab w:leader="none" w:pos="231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28,933,092 fully paid and nonassessable unregistered shares of Buyer Common Stock;</w:t>
      </w:r>
    </w:p>
    <w:p>
      <w:pPr>
        <w:spacing w:after="0" w:line="184" w:lineRule="exact"/>
        <w:rPr>
          <w:rFonts w:ascii="Courier New" w:cs="Courier New" w:eastAsia="Courier New" w:hAnsi="Courier New"/>
          <w:sz w:val="16"/>
          <w:szCs w:val="16"/>
          <w:color w:val="auto"/>
        </w:rPr>
      </w:pPr>
    </w:p>
    <w:p>
      <w:pPr>
        <w:ind w:left="2320" w:hanging="383"/>
        <w:spacing w:after="0"/>
        <w:tabs>
          <w:tab w:leader="none" w:pos="2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Notes in an aggregate principal amount of</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$ 324,703,000;</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23. Sections 3.4(a) and 3.4(b) of the Acquisition Agreement are amended by deleting Sections 3.4(a) and 3.4(b) in their entirety and replacing them with the following:</w:t>
      </w:r>
    </w:p>
    <w:p>
      <w:pPr>
        <w:spacing w:after="0" w:line="18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 Buyer shall deliver to Seller Note Purchasing</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Subsidiary (i) $210 million aggregate principal amount of Subordinated</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Notes, and (ii) Convertible Notes in an aggregate principal amount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$415,297,000.</w:t>
      </w:r>
    </w:p>
    <w:p>
      <w:pPr>
        <w:spacing w:after="0" w:line="191" w:lineRule="exact"/>
        <w:rPr>
          <w:sz w:val="20"/>
          <w:szCs w:val="20"/>
          <w:color w:val="auto"/>
        </w:rPr>
      </w:pPr>
    </w:p>
    <w:p>
      <w:pPr>
        <w:ind w:left="960" w:right="2459" w:firstLine="977"/>
        <w:spacing w:after="0" w:line="246" w:lineRule="auto"/>
        <w:tabs>
          <w:tab w:leader="none" w:pos="231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cause Seller Note Purchasing Subsidiary to deliver to Buyer U.S. $550,261,699 of immediately available funds (the "Cash Payment") to an account designated to Seller Note Purchasing Subsidiary by Buyer in writing on or prior to the Closing Date. The Notes shall be treated as debt instruments and the portion thereof delivered to Seller Note Purchasing Subsidiary shall be treated as having an aggregate issue price for purposes of Code Section 1273 (and the regulations promulgated thereunder) equal to the Cash Payment; the issue price per $1,000 of principal amount of Notes shall be equal to $880.00 (the "Issue Price"). The issue price per $1,000 of principal amount of the portion of the Convertible Notes not delivered to the Seller Note Purchasing Subsidiary shall also be equal to the Issue Price.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8" w:name="page9"/>
    <w:bookmarkEnd w:id="8"/>
    <w:p>
      <w:pPr>
        <w:jc w:val="both"/>
        <w:ind w:left="1" w:right="2759" w:firstLine="484"/>
        <w:spacing w:after="0" w:line="247" w:lineRule="auto"/>
        <w:rPr>
          <w:sz w:val="20"/>
          <w:szCs w:val="20"/>
          <w:color w:val="auto"/>
        </w:rPr>
      </w:pPr>
      <w:r>
        <w:rPr>
          <w:rFonts w:ascii="Courier New" w:cs="Courier New" w:eastAsia="Courier New" w:hAnsi="Courier New"/>
          <w:sz w:val="16"/>
          <w:szCs w:val="16"/>
          <w:color w:val="auto"/>
        </w:rPr>
        <w:t>Section 24. Section 3.4(c) of the Acquisition Agreement is amended to delete the first sentence of Section 3.4(c). The second sentence of Section 3.4(c) is amended to delete the phrase "the Debt Valuation and".</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25. Section 4.1(e)(i) of the Acquisition Agreement is amended by adding "(A)" immediately before the first sentence and "(B)" immediately before the second sentence.</w:t>
      </w:r>
    </w:p>
    <w:p>
      <w:pPr>
        <w:spacing w:after="0" w:line="186"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Section 26. Section 4.1(i) of the Acquisition Agreement is amended to replace the word "Business" in the second sentence thereof with the words "Acquired Assets and Assumed Liabilities."</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Section 27. Section 4.1(n)(ii) of the Acquisition Agreement is amended by deleting Section 4.1(n)(ii) in its entirety and replacing it with the following:</w:t>
      </w:r>
    </w:p>
    <w:p>
      <w:pPr>
        <w:spacing w:after="0" w:line="186" w:lineRule="exact"/>
        <w:rPr>
          <w:sz w:val="20"/>
          <w:szCs w:val="20"/>
          <w:color w:val="auto"/>
        </w:rPr>
      </w:pPr>
    </w:p>
    <w:p>
      <w:pPr>
        <w:ind w:left="1941" w:right="2659" w:hanging="972"/>
        <w:spacing w:after="0" w:line="246" w:lineRule="auto"/>
        <w:tabs>
          <w:tab w:leader="none" w:pos="19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leases or other written agreements necessary to establish a valid occupancy right or leasehold interest for the Leased Facilities are or, as of the Closing, will be in full force and effect for the benefit of the member of the Buyer Operating Group (indicated in Section 4.1(n) of the Seller Disclosure Letter), as lessee and there are no material defaults or breaches attributable to any member of the Seller Group or to the landlord or landowner thereunder.</w:t>
      </w:r>
    </w:p>
    <w:p>
      <w:pPr>
        <w:spacing w:after="0" w:line="191" w:lineRule="exact"/>
        <w:rPr>
          <w:sz w:val="20"/>
          <w:szCs w:val="20"/>
          <w:color w:val="auto"/>
        </w:rPr>
      </w:pPr>
    </w:p>
    <w:p>
      <w:pPr>
        <w:jc w:val="both"/>
        <w:ind w:left="1" w:right="2759" w:firstLine="484"/>
        <w:spacing w:after="0" w:line="247" w:lineRule="auto"/>
        <w:rPr>
          <w:sz w:val="20"/>
          <w:szCs w:val="20"/>
          <w:color w:val="auto"/>
        </w:rPr>
      </w:pPr>
      <w:r>
        <w:rPr>
          <w:rFonts w:ascii="Courier New" w:cs="Courier New" w:eastAsia="Courier New" w:hAnsi="Courier New"/>
          <w:sz w:val="16"/>
          <w:szCs w:val="16"/>
          <w:color w:val="auto"/>
        </w:rPr>
        <w:t>Section 28. Section 6.1(a) of the Acquisition Agreement is amended to add, in the third sentence immediately following the phrase "(other than the initial two subscriber shares already held by Seller)" the following:</w:t>
      </w:r>
    </w:p>
    <w:p>
      <w:pPr>
        <w:spacing w:after="0" w:line="186" w:lineRule="exact"/>
        <w:rPr>
          <w:sz w:val="20"/>
          <w:szCs w:val="20"/>
          <w:color w:val="auto"/>
        </w:rPr>
      </w:pPr>
    </w:p>
    <w:p>
      <w:pPr>
        <w:ind w:left="961" w:right="2659"/>
        <w:spacing w:after="0" w:line="248" w:lineRule="auto"/>
        <w:rPr>
          <w:sz w:val="20"/>
          <w:szCs w:val="20"/>
          <w:color w:val="auto"/>
        </w:rPr>
      </w:pPr>
      <w:r>
        <w:rPr>
          <w:rFonts w:ascii="Courier New" w:cs="Courier New" w:eastAsia="Courier New" w:hAnsi="Courier New"/>
          <w:sz w:val="16"/>
          <w:szCs w:val="16"/>
          <w:color w:val="auto"/>
        </w:rPr>
        <w:t>and Singapore Newco's $150,253,000 5.47% Promissory Note as attached hereto as Exhibit K (the "Singapore Newco Note")</w:t>
      </w:r>
    </w:p>
    <w:p>
      <w:pPr>
        <w:spacing w:after="0" w:line="184"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29. Section 6.1(b) of the Acquisition Agreement is amended by deleting the last sentence of Section 6.1(b) in its entirety and by replacing it with the following:</w:t>
      </w:r>
    </w:p>
    <w:p>
      <w:pPr>
        <w:spacing w:after="0" w:line="186" w:lineRule="exact"/>
        <w:rPr>
          <w:sz w:val="20"/>
          <w:szCs w:val="20"/>
          <w:color w:val="auto"/>
        </w:rPr>
      </w:pPr>
    </w:p>
    <w:p>
      <w:pPr>
        <w:ind w:left="961" w:right="2559" w:firstLine="969"/>
        <w:spacing w:after="0" w:line="247" w:lineRule="auto"/>
        <w:rPr>
          <w:sz w:val="20"/>
          <w:szCs w:val="20"/>
          <w:color w:val="auto"/>
        </w:rPr>
      </w:pPr>
      <w:r>
        <w:rPr>
          <w:rFonts w:ascii="Courier New" w:cs="Courier New" w:eastAsia="Courier New" w:hAnsi="Courier New"/>
          <w:sz w:val="16"/>
          <w:szCs w:val="16"/>
          <w:color w:val="auto"/>
        </w:rPr>
        <w:t>On or before the Closing Date, Seller shall cause Italian Operating Company and Italian Newco to execute a contribution-in-kind agreement (including appropriate schedules of assets to be assigned to, and specific liabilities (including Contract liabilities) to be assumed by, Italian Newco) with terms and conditions reasonably satisfactory to Buyer.</w:t>
      </w:r>
    </w:p>
    <w:p>
      <w:pPr>
        <w:spacing w:after="0" w:line="185"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Section 30. Section 6.4 of the Acquisition Agreement is amended (i) to delete the word "Business" wherever it appears in such Section 6.4 and to replace such word with the words "Acquired Assets and Assumed Liabilities" and</w:t>
      </w:r>
    </w:p>
    <w:p>
      <w:pPr>
        <w:spacing w:after="0" w:line="2" w:lineRule="exact"/>
        <w:rPr>
          <w:sz w:val="20"/>
          <w:szCs w:val="20"/>
          <w:color w:val="auto"/>
        </w:rPr>
      </w:pPr>
    </w:p>
    <w:p>
      <w:pPr>
        <w:ind w:left="1" w:right="2459" w:hanging="1"/>
        <w:spacing w:after="0" w:line="247" w:lineRule="auto"/>
        <w:tabs>
          <w:tab w:leader="none" w:pos="4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delete the words "GAAP consistently applied and consistent with the GAAP principles used to prepare the March Balance Sheet" wherever it appears in such Section 6.4 and to replace such words with the words "Exhibit L hereto".</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9" w:name="page10"/>
    <w:bookmarkEnd w:id="9"/>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6"/>
          <w:szCs w:val="16"/>
          <w:color w:val="auto"/>
        </w:rPr>
        <w:t>Section 6.4 is amended by adding, at the end thereof,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6.4 (g) and (h) as follows:</w:t>
      </w:r>
    </w:p>
    <w:p>
      <w:pPr>
        <w:spacing w:after="0" w:line="191" w:lineRule="exact"/>
        <w:rPr>
          <w:sz w:val="20"/>
          <w:szCs w:val="20"/>
          <w:color w:val="auto"/>
        </w:rPr>
      </w:pPr>
    </w:p>
    <w:p>
      <w:pPr>
        <w:ind w:left="1940" w:right="2659" w:hanging="972"/>
        <w:spacing w:after="0" w:line="246" w:lineRule="auto"/>
        <w:tabs>
          <w:tab w:leader="none" w:pos="1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the contribution-in-kind transaction contemplated in Section 6.1(b), Italian Operating Company, within 90 days after the Closing Date, contributes cash or marketable securities to Italian Newco solely in order to make the value of net assets contributed to Italian Newco equal to the contribution value of net assets reported prior to the Closing, then Buyer shall be obliged to promptly reimburse Seller for such contribution made by Italian Operating Company in satisfaction of such gross-up obligation. If Italian Operating Company makes any such payment, the Buyer's reimbursement obligation in respect thereof may be satisfied by adding such amount to any payment by Buyer, or deducting such amount from any payment by Seller, of the Working Capital Requirement.</w:t>
      </w:r>
    </w:p>
    <w:p>
      <w:pPr>
        <w:spacing w:after="0" w:line="194" w:lineRule="exact"/>
        <w:rPr>
          <w:rFonts w:ascii="Courier New" w:cs="Courier New" w:eastAsia="Courier New" w:hAnsi="Courier New"/>
          <w:sz w:val="16"/>
          <w:szCs w:val="16"/>
          <w:color w:val="auto"/>
        </w:rPr>
      </w:pPr>
    </w:p>
    <w:p>
      <w:pPr>
        <w:ind w:left="1940" w:right="2659" w:hanging="972"/>
        <w:spacing w:after="0" w:line="246" w:lineRule="auto"/>
        <w:tabs>
          <w:tab w:leader="none" w:pos="1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else in this Section 6.4, Seller may, at its option elect to reassume and attempt to collect for its benefit any accounts receivable of the Business shown on the Closing Balance Sheet which remain uncollected 90 days after the Closing Date, and in such event, such accounts receivable shall not be included in the Closing Balance Sheet. Moreover, from the Closing Date to the date on which the Closing Balance Sheet is delivered, Buyer agrees to use commercially reasonable efforts to sell inventory at prevailing market rates.</w:t>
      </w:r>
    </w:p>
    <w:p>
      <w:pPr>
        <w:spacing w:after="0" w:line="192"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32. Section 6.15 of the Acquisition Agreement is amended by adding to the end of the first sentence thereof the following:</w:t>
      </w:r>
    </w:p>
    <w:p>
      <w:pPr>
        <w:spacing w:after="0" w:line="184" w:lineRule="exact"/>
        <w:rPr>
          <w:sz w:val="20"/>
          <w:szCs w:val="20"/>
          <w:color w:val="auto"/>
        </w:rPr>
      </w:pPr>
    </w:p>
    <w:p>
      <w:pPr>
        <w:ind w:left="1160" w:hanging="192"/>
        <w:spacing w:after="0"/>
        <w:tabs>
          <w:tab w:leader="none" w:pos="11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however, that Licensed IP shall not include the words or</w:t>
      </w:r>
    </w:p>
    <w:p>
      <w:pPr>
        <w:spacing w:after="0" w:line="5"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name "Texas Instruments Incorporated", "Texas Instruments" or "TI", or Seller's related monograms, logos, trademarks, trade names, or any variations or combinations thereof.</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33. Section 6.18 of the Acquisition Agreement is amended by deleting Section 6.18 in its entirety and by replacing it with the following:</w:t>
      </w:r>
    </w:p>
    <w:p>
      <w:pPr>
        <w:spacing w:after="0" w:line="184" w:lineRule="exact"/>
        <w:rPr>
          <w:sz w:val="20"/>
          <w:szCs w:val="20"/>
          <w:color w:val="auto"/>
        </w:rPr>
      </w:pPr>
    </w:p>
    <w:p>
      <w:pPr>
        <w:ind w:left="960" w:right="2659"/>
        <w:spacing w:after="0" w:line="246" w:lineRule="auto"/>
        <w:rPr>
          <w:sz w:val="20"/>
          <w:szCs w:val="20"/>
          <w:color w:val="auto"/>
        </w:rPr>
      </w:pPr>
      <w:r>
        <w:rPr>
          <w:rFonts w:ascii="Courier New" w:cs="Courier New" w:eastAsia="Courier New" w:hAnsi="Courier New"/>
          <w:sz w:val="16"/>
          <w:szCs w:val="16"/>
          <w:color w:val="auto"/>
        </w:rPr>
        <w:t>The valuation and allocation of the purchase price and other consideration exchanged in connection with the transactions described herein (i) have been determined in accordance with the Issue Price, the Tax Parameters and the applicable provisions of Section 1060 of the Code, and (ii) are set forth in Exhibit M (such valuation and allocation being referred to herein as the "Price Allocation"). Exhibit M also sets forth certain assumptions that were used in preparing the Price Allocation. The Price Allocation shall be adjusted as necessary to reflect the Closing Balance Sheet or the incorrectness of such assumptions. Any disputes involving the Price Allocation shall</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0" w:name="page11"/>
    <w:bookmarkEnd w:id="10"/>
    <w:p>
      <w:pPr>
        <w:ind w:left="960" w:right="2659"/>
        <w:spacing w:after="0" w:line="246" w:lineRule="auto"/>
        <w:rPr>
          <w:sz w:val="20"/>
          <w:szCs w:val="20"/>
          <w:color w:val="auto"/>
        </w:rPr>
      </w:pPr>
      <w:r>
        <w:rPr>
          <w:rFonts w:ascii="Courier New" w:cs="Courier New" w:eastAsia="Courier New" w:hAnsi="Courier New"/>
          <w:sz w:val="16"/>
          <w:szCs w:val="16"/>
          <w:color w:val="auto"/>
        </w:rPr>
        <w:t>be resolved in accordance with the procedures set forth in Section 6.4(d) hereof and the provisions of this Section 6.18. Each party (and their respective Affiliates) hereto shall at its own expense adopt and abide by such Price Allocation, Issue Price and Tax Parameters for purposes of all Tax Returns filed by them and shall not take any position inconsistent therewith in connection with any examination of any Tax Return, any refund claim, or any judicial litigation proceeding but only if doing otherwise in such judicial litigation proceeding would materially prejudice the other party, or otherwise until there has been a final "determination" (within the meaning of Code Section 1313(a)) or any other event which finally and conclusively establishes the amount of any liability for Taxes. In the event that the Price Allocation is disputed by any Taxing authority, the party receiving notice of the dispute shall promptly notify the other parties hereto of such dispute and the parties hereto shall consult with each other concerning resolution of the dispute.</w:t>
      </w:r>
    </w:p>
    <w:p>
      <w:pPr>
        <w:spacing w:after="0" w:line="196" w:lineRule="exact"/>
        <w:rPr>
          <w:sz w:val="20"/>
          <w:szCs w:val="20"/>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34.</w:t>
      </w:r>
      <w:r>
        <w:rPr>
          <w:sz w:val="20"/>
          <w:szCs w:val="20"/>
          <w:color w:val="auto"/>
        </w:rPr>
        <w:tab/>
      </w:r>
      <w:r>
        <w:rPr>
          <w:rFonts w:ascii="Courier New" w:cs="Courier New" w:eastAsia="Courier New" w:hAnsi="Courier New"/>
          <w:sz w:val="16"/>
          <w:szCs w:val="16"/>
          <w:color w:val="auto"/>
        </w:rPr>
        <w:t>Section 6.29 is amended by deleting the reference to "U.S.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 million" and replacing it with "Cash Payment".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35. Article VI of the Acquisition Agreement is amended to add, immediately following Section 6.31, new Sections 6.32, 6.33, 6.34, 6.34 and 6.35 as set forth below:</w:t>
      </w:r>
    </w:p>
    <w:p>
      <w:pPr>
        <w:spacing w:after="0" w:line="186" w:lineRule="exact"/>
        <w:rPr>
          <w:sz w:val="20"/>
          <w:szCs w:val="20"/>
          <w:color w:val="auto"/>
        </w:rPr>
      </w:pPr>
    </w:p>
    <w:p>
      <w:pPr>
        <w:ind w:left="1460"/>
        <w:spacing w:after="0"/>
        <w:tabs>
          <w:tab w:leader="none" w:pos="2020" w:val="left"/>
          <w:tab w:leader="none" w:pos="4640" w:val="left"/>
        </w:tabs>
        <w:rPr>
          <w:sz w:val="20"/>
          <w:szCs w:val="20"/>
          <w:color w:val="auto"/>
        </w:rPr>
      </w:pPr>
      <w:r>
        <w:rPr>
          <w:rFonts w:ascii="Courier New" w:cs="Courier New" w:eastAsia="Courier New" w:hAnsi="Courier New"/>
          <w:sz w:val="16"/>
          <w:szCs w:val="16"/>
          <w:color w:val="auto"/>
        </w:rPr>
        <w:t>6.32</w:t>
        <w:tab/>
        <w:t>Cross-License Agreement.</w:t>
      </w:r>
      <w:r>
        <w:rPr>
          <w:sz w:val="20"/>
          <w:szCs w:val="20"/>
          <w:color w:val="auto"/>
        </w:rPr>
        <w:tab/>
      </w:r>
      <w:r>
        <w:rPr>
          <w:rFonts w:ascii="Courier New" w:cs="Courier New" w:eastAsia="Courier New" w:hAnsi="Courier New"/>
          <w:sz w:val="16"/>
          <w:szCs w:val="16"/>
          <w:color w:val="auto"/>
        </w:rPr>
        <w:t>Buyer and Seller agree that the</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provisions of Section 4.5 of the Cross-License Agreement relating to the consequences of an action for patent infringement brought by Seller or any of its SUBSIDIARIES (as defined in the Cross-License Agreement) against Micron Electronics, Inc. ("MEI") and/or Micron Communications, Inc. ("MCC") shall remain applicable in the event such action is brought against any successor in interest to all or substantially all of the business and patents of MEI or MCC, as the case may be.</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6.33 Certain Technology Agreements.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960" w:right="2659" w:firstLine="493"/>
        <w:spacing w:after="0" w:line="246" w:lineRule="auto"/>
        <w:tabs>
          <w:tab w:leader="none" w:pos="18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represents that it is a party to agreements, dated December 9, 1988, November 15, 1991 and May 1, 1995 with Hitachi ("GT Projects"), agreements, dated January 30, 1997 and December 25, 1997 between Seller, Hitachi and Mitsubishi Electric Corporation ("Orion Project"), a License and Technical Assistance Agreement, dated December 19, 1997, between Mitsubishi Electric Corporation and Seller ("Project M"), and an agreement, dated August 1, 1989 between Seller, Universita' degli Studi dell'Aquila and European Engineering and Technologies ("Eagle Consortium"), each relating to the development and manufacture of semiconductor products. To the extent intellectual property has resulted from the sole and/or joint activities of the parties to each of the foregoing agreements, Seller and Buyer desire now to clarify Buyer's rights and Seller's obligations with respect to such intellectual property as follows, without limiting or</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diminishing any rights or licenses granted by other agreements between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Buyer and Seller:</w:t>
      </w:r>
    </w:p>
    <w:p>
      <w:pPr>
        <w:spacing w:after="0" w:line="191" w:lineRule="exact"/>
        <w:rPr>
          <w:sz w:val="20"/>
          <w:szCs w:val="20"/>
          <w:color w:val="auto"/>
        </w:rPr>
      </w:pPr>
    </w:p>
    <w:p>
      <w:pPr>
        <w:ind w:left="500" w:right="2559" w:firstLine="671"/>
        <w:spacing w:after="0" w:line="246" w:lineRule="auto"/>
        <w:tabs>
          <w:tab w:leader="none" w:pos="185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hereby grants to Buyer and its Subsidiaries a perpetual, non-exclusive, royalty-free, worldwide license under any know how, trade secret, copyright and mask work rights arising out of or transferred to Seller pursuant to the Eagle Consortium as to which Seller and/or any of its Subsidiaries ever had, acquired, or presently have a right to use, such license to grant rights to Buyer to develop, manufacture, have manufactured, use, sell, import or otherwise dispose of semiconductor products for the respective lives of the know-how, trade secret, copyright, and mask work rights.</w:t>
      </w:r>
    </w:p>
    <w:p>
      <w:pPr>
        <w:spacing w:after="0" w:line="191" w:lineRule="exact"/>
        <w:rPr>
          <w:rFonts w:ascii="Courier New" w:cs="Courier New" w:eastAsia="Courier New" w:hAnsi="Courier New"/>
          <w:sz w:val="16"/>
          <w:szCs w:val="16"/>
          <w:color w:val="auto"/>
        </w:rPr>
      </w:pPr>
    </w:p>
    <w:p>
      <w:pPr>
        <w:ind w:left="500" w:right="2659" w:firstLine="671"/>
        <w:spacing w:after="0" w:line="246" w:lineRule="auto"/>
        <w:tabs>
          <w:tab w:leader="none" w:pos="185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hereby grants to Buyer and its Subsidiaries a perpetual, non-exclusive, royalty-free, worldwide license of maximum scope (except that such license shall be non-exclusive), including sublicensing rights, which Seller is permitted to grant to Buyer under the "Termination Agreement of GT Agreements," dated September 28, 1998, "Termination Agreement of Orion Agreements," dated September 29, 1998, or "Memorandum on Termination of License and Technical Assistance Agreement," dated September 29, 1998, respectively, as to any know how, trade secret, copyright and mask work rights arising out of or transferred to Seller pursuant to the GT Projects, the Orion Project, or Project M, respectively, such license to grant rights to Buyer to develop, manufacture, have manufactured, use, sell, import or otherwise dispose of semiconductor products for the respective lives of the know-how, trade secret, copyright, and mask work rights.</w:t>
      </w:r>
    </w:p>
    <w:p>
      <w:pPr>
        <w:spacing w:after="0" w:line="195" w:lineRule="exact"/>
        <w:rPr>
          <w:rFonts w:ascii="Courier New" w:cs="Courier New" w:eastAsia="Courier New" w:hAnsi="Courier New"/>
          <w:sz w:val="16"/>
          <w:szCs w:val="16"/>
          <w:color w:val="auto"/>
        </w:rPr>
      </w:pPr>
    </w:p>
    <w:p>
      <w:pPr>
        <w:ind w:left="500" w:right="2759" w:firstLine="671"/>
        <w:spacing w:after="0" w:line="246" w:lineRule="auto"/>
        <w:tabs>
          <w:tab w:leader="none" w:pos="185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patents jointly owned by Seller arising out of the GT Projects or the Orion Project, Seller agrees that it will not consent to any licensing framework for any such joint patent that would allow any party to license or enforce such joint patent to or against Buyer on terms that would require Buyer to pay or offer any consideration of any kind in exchange for such license. The terms "joint patents" and "licensing framework" shall have the meaning ascribed to them in the agreements relating to the GT Projects and the Orion Project.</w:t>
      </w:r>
    </w:p>
    <w:p>
      <w:pPr>
        <w:spacing w:after="0" w:line="191" w:lineRule="exact"/>
        <w:rPr>
          <w:rFonts w:ascii="Courier New" w:cs="Courier New" w:eastAsia="Courier New" w:hAnsi="Courier New"/>
          <w:sz w:val="16"/>
          <w:szCs w:val="16"/>
          <w:color w:val="auto"/>
        </w:rPr>
      </w:pPr>
    </w:p>
    <w:p>
      <w:pPr>
        <w:ind w:right="2559" w:firstLine="493"/>
        <w:spacing w:after="0" w:line="247" w:lineRule="auto"/>
        <w:tabs>
          <w:tab w:leader="none" w:pos="96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represents and warrants that there are no patents, pending applications for patent, or disclosures which will result in applications for patent arising out of or resulting from Project M that are jointly owned by Seller and Mitsubishi Electric Corporation.</w:t>
      </w:r>
    </w:p>
    <w:p>
      <w:pPr>
        <w:spacing w:after="0" w:line="185" w:lineRule="exact"/>
        <w:rPr>
          <w:rFonts w:ascii="Courier New" w:cs="Courier New" w:eastAsia="Courier New" w:hAnsi="Courier New"/>
          <w:sz w:val="16"/>
          <w:szCs w:val="16"/>
          <w:color w:val="auto"/>
        </w:rPr>
      </w:pPr>
    </w:p>
    <w:p>
      <w:pPr>
        <w:ind w:right="2459" w:firstLine="493"/>
        <w:spacing w:after="0" w:line="247" w:lineRule="auto"/>
        <w:tabs>
          <w:tab w:leader="none" w:pos="96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that any patent(s) arising out of or resulting from the Eagle Consortium shall be considered "TI PATENTS" as that term is used in the Cross-License Agreement, attached as Exhibit C to the Acquisition Agreement.</w:t>
      </w:r>
    </w:p>
    <w:p>
      <w:pPr>
        <w:spacing w:after="0" w:line="18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259"/>
          </w:cols>
          <w:pgMar w:left="1200" w:top="676" w:right="1440" w:bottom="1440" w:gutter="0" w:footer="0" w:header="0"/>
        </w:sectPr>
      </w:pPr>
    </w:p>
    <w:bookmarkStart w:id="12" w:name="page13"/>
    <w:bookmarkEnd w:id="12"/>
    <w:p>
      <w:pPr>
        <w:ind w:right="2459" w:firstLine="784"/>
        <w:spacing w:after="0" w:line="246" w:lineRule="auto"/>
        <w:tabs>
          <w:tab w:leader="none" w:pos="12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indemnity provision in this Agreement or any agreement or amendment associated with this Agreement, and not subject to any limitations on any other indemnity provision in this Agreement or any agreement or amendment associated with this Agreement, Seller agrees to indemnify, defend and hold Buyer and any Buyer subsidiary, including their respective directors, officers, employees and agents harmless with respect to any claim that any manufacture, use, sale, offer to sell or importation of any product, any combination of such product with any other hardware and/or software, any method or process used in the manufacture or testing of such product, or any tools or equipment used for accomplishing any of the foregoing infringes (a) any know how, trade secret, copyright or mask work rights of the Eagle Consortium to which Buyer received a license under subparagraph 1, above, (b) any Joint Patent arising out of the GT Projects or the Orion Project, or (c) any patent arising out of or resulting from the Eagle Consortium. This indemnity shall apply regardless of whether such claim is brought by Hitachi, Mitsubishi, parties to the Eagle Consortium, or any successor in interest to any intellectual property identified in (a), (b) and</w:t>
      </w:r>
    </w:p>
    <w:p>
      <w:pPr>
        <w:spacing w:after="0" w:line="10" w:lineRule="exact"/>
        <w:rPr>
          <w:rFonts w:ascii="Courier New" w:cs="Courier New" w:eastAsia="Courier New" w:hAnsi="Courier New"/>
          <w:sz w:val="16"/>
          <w:szCs w:val="16"/>
          <w:color w:val="auto"/>
        </w:rPr>
      </w:pPr>
    </w:p>
    <w:p>
      <w:pPr>
        <w:ind w:right="2559" w:firstLine="8"/>
        <w:spacing w:after="0" w:line="247" w:lineRule="auto"/>
        <w:tabs>
          <w:tab w:leader="none" w:pos="3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 Seller agrees to pay all costs, expenses and fees arising out of defense and investigation of such claim, including any and all damages award or settlement amount resulting therefrom. In the event an injunction is obtained against activities of Buyer or its subsidiaries, Seller shall use all commercially reasonable efforts to procure for Buyer the right to continue the activities which resulted in the claim.</w:t>
      </w:r>
    </w:p>
    <w:p>
      <w:pPr>
        <w:spacing w:after="0" w:line="185" w:lineRule="exact"/>
        <w:rPr>
          <w:sz w:val="20"/>
          <w:szCs w:val="20"/>
          <w:color w:val="auto"/>
        </w:rPr>
      </w:pPr>
    </w:p>
    <w:p>
      <w:pPr>
        <w:ind w:left="500"/>
        <w:spacing w:after="0"/>
        <w:tabs>
          <w:tab w:leader="none" w:pos="1060" w:val="left"/>
          <w:tab w:leader="none" w:pos="5520" w:val="left"/>
        </w:tabs>
        <w:rPr>
          <w:sz w:val="20"/>
          <w:szCs w:val="20"/>
          <w:color w:val="auto"/>
        </w:rPr>
      </w:pPr>
      <w:r>
        <w:rPr>
          <w:rFonts w:ascii="Courier New" w:cs="Courier New" w:eastAsia="Courier New" w:hAnsi="Courier New"/>
          <w:sz w:val="16"/>
          <w:szCs w:val="16"/>
          <w:color w:val="auto"/>
        </w:rPr>
        <w:t>6.34</w:t>
        <w:tab/>
        <w:t>Transfers of Acquired Intellectual Property.</w:t>
      </w:r>
      <w:r>
        <w:rPr>
          <w:sz w:val="20"/>
          <w:szCs w:val="20"/>
          <w:color w:val="auto"/>
        </w:rPr>
        <w:tab/>
      </w:r>
      <w:r>
        <w:rPr>
          <w:rFonts w:ascii="Courier New" w:cs="Courier New" w:eastAsia="Courier New" w:hAnsi="Courier New"/>
          <w:sz w:val="15"/>
          <w:szCs w:val="15"/>
          <w:color w:val="auto"/>
        </w:rPr>
        <w:t>To permit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Buyer to specifically document the assignment of specific items of Intellectual Property transferred to Buyer as Acquired Intellectual Property, or to facilitate the recordation of such assignments, the parties agree that it is desirable to have specific documents of assignment. Accordingly, attached hereto as Exhibit N is an "Assignment of Trademarks" currently recognized to be included within Acquired Intellectual Property. To the extent that additional trademarks may be identified within the Acquired Intellectual Property, the parties agree that an assignment in the form of Exhibit N may be utilized to document such assignment. Similarly, attached hereto as Exhibit O is a "Form of Copyright Assignment" which the parties agree is appropriate for use to document the assignment(s) of Copyrights included within Acquired Intellectual Property, as agreed upon by the parties subsequent to Closing.</w:t>
      </w:r>
    </w:p>
    <w:p>
      <w:pPr>
        <w:spacing w:after="0" w:line="194" w:lineRule="exact"/>
        <w:rPr>
          <w:sz w:val="20"/>
          <w:szCs w:val="20"/>
          <w:color w:val="auto"/>
        </w:rPr>
      </w:pPr>
    </w:p>
    <w:p>
      <w:pPr>
        <w:ind w:left="500"/>
        <w:spacing w:after="0"/>
        <w:tabs>
          <w:tab w:leader="none" w:pos="1060" w:val="left"/>
          <w:tab w:leader="none" w:pos="2020" w:val="left"/>
        </w:tabs>
        <w:rPr>
          <w:sz w:val="20"/>
          <w:szCs w:val="20"/>
          <w:color w:val="auto"/>
        </w:rPr>
      </w:pPr>
      <w:r>
        <w:rPr>
          <w:rFonts w:ascii="Courier New" w:cs="Courier New" w:eastAsia="Courier New" w:hAnsi="Courier New"/>
          <w:sz w:val="16"/>
          <w:szCs w:val="16"/>
          <w:color w:val="auto"/>
        </w:rPr>
        <w:t>6.35</w:t>
        <w:tab/>
        <w:t>Backlog.</w:t>
        <w:tab/>
        <w:t>Backlog of DRAM products on the books of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Seller Group as of the Closing Date and scheduled for delivery to any Seller Group customer (other than distributors) within thirty (30) days of the Closing Date shall, to the extent such commitments were entered into in the normal course of the Business consistent with past practices, become backlog of Buyer or one of its Subsidiaries, which shall honor applicable price, quantities and delivery dates; provided that if Buyer or its Subsidiary reasonably determines that price, quantities, delivery dates, credit or payment terms associated with such backlog are not consistent with its</w:t>
      </w: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259"/>
          </w:cols>
          <w:pgMar w:left="1200" w:top="676" w:right="1440" w:bottom="1440" w:gutter="0" w:footer="0" w:header="0"/>
        </w:sectPr>
      </w:pPr>
    </w:p>
    <w:bookmarkStart w:id="13" w:name="page14"/>
    <w:bookmarkEnd w:id="13"/>
    <w:p>
      <w:pPr>
        <w:ind w:left="960" w:right="2459"/>
        <w:spacing w:after="0" w:line="246" w:lineRule="auto"/>
        <w:rPr>
          <w:sz w:val="20"/>
          <w:szCs w:val="20"/>
          <w:color w:val="auto"/>
        </w:rPr>
      </w:pPr>
      <w:r>
        <w:rPr>
          <w:rFonts w:ascii="Courier New" w:cs="Courier New" w:eastAsia="Courier New" w:hAnsi="Courier New"/>
          <w:sz w:val="16"/>
          <w:szCs w:val="16"/>
          <w:color w:val="auto"/>
        </w:rPr>
        <w:t>customary policies and Buyer or its Subsidiary is unable to negotiate acceptable terms with such customer, Buyer or its Subsidiary may reject such backlog. Backlog scheduled for delivery to, and DRAM inventory held at, the common distributors designated in the letter agreements attached hereto as Exhibit P shall be treated in accordance with the provisions of such letter agreements. The Seller Group shall exercise commercially reasonable efforts to avoid scheduling backlog for delivery within five (5) Business Days of the Closing Date.</w:t>
      </w:r>
    </w:p>
    <w:p>
      <w:pPr>
        <w:spacing w:after="0" w:line="191"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36. Section 6.6 of the Acquisition Agreement is amended by deleting Section 6.6 in its entirety and by replacing it with the following:</w:t>
      </w:r>
    </w:p>
    <w:p>
      <w:pPr>
        <w:spacing w:after="0" w:line="184" w:lineRule="exact"/>
        <w:rPr>
          <w:sz w:val="20"/>
          <w:szCs w:val="20"/>
          <w:color w:val="auto"/>
        </w:rPr>
      </w:pPr>
    </w:p>
    <w:p>
      <w:pPr>
        <w:ind w:left="1460"/>
        <w:spacing w:after="0"/>
        <w:tabs>
          <w:tab w:leader="none" w:pos="1920" w:val="left"/>
        </w:tabs>
        <w:rPr>
          <w:sz w:val="20"/>
          <w:szCs w:val="20"/>
          <w:color w:val="auto"/>
        </w:rPr>
      </w:pPr>
      <w:r>
        <w:rPr>
          <w:rFonts w:ascii="Courier New" w:cs="Courier New" w:eastAsia="Courier New" w:hAnsi="Courier New"/>
          <w:sz w:val="16"/>
          <w:szCs w:val="16"/>
          <w:color w:val="auto"/>
        </w:rPr>
        <w:t>6.6</w:t>
        <w:tab/>
        <w:t>Italian Operations.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960" w:right="2559" w:firstLine="493"/>
        <w:spacing w:after="0" w:line="246" w:lineRule="auto"/>
        <w:tabs>
          <w:tab w:leader="none" w:pos="192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cause employment levels in Italian Newco to remain substantially equivalent to the level of employment as of the Closing Date for a period commencing on the Closing Date and terminating on the earlier to occur of (x) the publication in the Italian Official Gazette of a CIPE resolution stating that investment under the 1989 Program Contract is complete (the "Publication Date") or (y) 18 months after the Closing Date; provided, however, that</w:t>
      </w:r>
    </w:p>
    <w:p>
      <w:pPr>
        <w:spacing w:after="0" w:line="4" w:lineRule="exact"/>
        <w:rPr>
          <w:sz w:val="20"/>
          <w:szCs w:val="20"/>
          <w:color w:val="auto"/>
        </w:rPr>
      </w:pPr>
    </w:p>
    <w:p>
      <w:pPr>
        <w:ind w:left="4940"/>
        <w:spacing w:after="0"/>
        <w:tabs>
          <w:tab w:leader="none" w:pos="59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960" w:right="2659"/>
        <w:spacing w:after="0" w:line="246" w:lineRule="auto"/>
        <w:rPr>
          <w:sz w:val="20"/>
          <w:szCs w:val="20"/>
          <w:color w:val="auto"/>
        </w:rPr>
      </w:pPr>
      <w:r>
        <w:rPr>
          <w:rFonts w:ascii="Courier New" w:cs="Courier New" w:eastAsia="Courier New" w:hAnsi="Courier New"/>
          <w:sz w:val="16"/>
          <w:szCs w:val="16"/>
          <w:color w:val="auto"/>
        </w:rPr>
        <w:t>Italian Newco shall be entitled to terminate Italian Newco employees for good reason and shall be allowed to reduce employment levels through Italian Newco employee attrition; provided, further, that in</w:t>
      </w:r>
    </w:p>
    <w:p>
      <w:pPr>
        <w:spacing w:after="0" w:line="2" w:lineRule="exact"/>
        <w:rPr>
          <w:sz w:val="20"/>
          <w:szCs w:val="20"/>
          <w:color w:val="auto"/>
        </w:rPr>
      </w:pPr>
    </w:p>
    <w:p>
      <w:pPr>
        <w:ind w:left="5040"/>
        <w:spacing w:after="0"/>
        <w:tabs>
          <w:tab w:leader="none" w:pos="598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all events Buyer shall cause Italian Newco to maintain levels of employment consistent with the minimum requirements under the 1989 Program Contract (i.e. 1,270 employees) during such period. Buyer shall cause employment levels in Italian Newco to remain at least equal to the Required Employment Levels as in effect from time to time for a period commencing on the earlier of (i) the Publication Date and</w:t>
      </w:r>
    </w:p>
    <w:p>
      <w:pPr>
        <w:spacing w:after="0" w:line="3" w:lineRule="exact"/>
        <w:rPr>
          <w:sz w:val="20"/>
          <w:szCs w:val="20"/>
          <w:color w:val="auto"/>
        </w:rPr>
      </w:pPr>
    </w:p>
    <w:p>
      <w:pPr>
        <w:ind w:left="960" w:right="2459" w:firstLine="8"/>
        <w:spacing w:after="0" w:line="246" w:lineRule="auto"/>
        <w:tabs>
          <w:tab w:leader="none" w:pos="144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 months after the Closing Date and terminating 30 months from the Closing Date. The restrictions in this Section 6.6(a) shall not apply to Buyer or any of its affiliates to the extent Buyer or its affiliates obtain appropriate approvals from competent Italian Governmental Agencies permitting or otherwise authorizing the reduction or elimination of the Required Employment Levels but only to the extent of such reduction or elimination. For purposes of this Agreement, "Required Employment Levels" means, on any particular date, the number of Italian employees that Italian Newco is required to employ at such date in accordance with the Ministerial Decrees issued by the Italian Ministry of Treasury, Budget and Economic Programming in connection with subsidies granted under the 1989 Program Contract.</w:t>
      </w:r>
    </w:p>
    <w:p>
      <w:pPr>
        <w:spacing w:after="0" w:line="193" w:lineRule="exact"/>
        <w:rPr>
          <w:rFonts w:ascii="Courier New" w:cs="Courier New" w:eastAsia="Courier New" w:hAnsi="Courier New"/>
          <w:sz w:val="16"/>
          <w:szCs w:val="16"/>
          <w:color w:val="auto"/>
        </w:rPr>
      </w:pPr>
    </w:p>
    <w:p>
      <w:pPr>
        <w:ind w:left="960" w:right="2459" w:firstLine="493"/>
        <w:spacing w:after="0" w:line="246" w:lineRule="auto"/>
        <w:tabs>
          <w:tab w:leader="none" w:pos="192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not sell or dispose of any item of Restricted Equipment for a period commencing on the Closing Date and terminating on the earlier to occur of (x) the Equipment Restriction Expiration Date for that particular item of Restricted Equipment or (y) thirty (30) months after the Closing Date, unless Buyer replaces such Restricted Equipment with equipment more technologically advanced and with greater book value; provided, however, that in no event shall any</w:t>
      </w:r>
    </w:p>
    <w:p>
      <w:pPr>
        <w:spacing w:after="0" w:line="4" w:lineRule="exact"/>
        <w:rPr>
          <w:sz w:val="20"/>
          <w:szCs w:val="20"/>
          <w:color w:val="auto"/>
        </w:rPr>
      </w:pPr>
    </w:p>
    <w:p>
      <w:pPr>
        <w:ind w:left="3400"/>
        <w:spacing w:after="0"/>
        <w:tabs>
          <w:tab w:leader="none" w:pos="43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restriction extend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beyond 30 months; provided, further, that the restrictions in this</w:t>
      </w:r>
    </w:p>
    <w:p>
      <w:pPr>
        <w:spacing w:after="0" w:line="5" w:lineRule="exact"/>
        <w:rPr>
          <w:sz w:val="20"/>
          <w:szCs w:val="20"/>
          <w:color w:val="auto"/>
        </w:rPr>
      </w:pPr>
    </w:p>
    <w:p>
      <w:pPr>
        <w:ind w:left="1760"/>
        <w:spacing w:after="0"/>
        <w:tabs>
          <w:tab w:leader="none" w:pos="27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Section 6.6(b) shall not apply to Buyer or its Affiliates with respect to any item of Restricted Equipment to the extent Buyer or its Affiliates obtains approval in accordance with Article 8 of the Gaspari Decree permitting such sale or disposition. For purposes of this Agreement, (A) "Restricted Equipment" means equipment constituting Acquired Assets subject to use restrictions under Article 8 of the Gaspari Decree, and (B) "Equipment Restriction Expiration Date" means, with respect to any item of Restricted Equipment, the date on which the restrictions under Article 8 of the Gaspari Decree lapse or otherwise become inapplicable to such item of Restricted Equipment.</w:t>
      </w:r>
    </w:p>
    <w:p>
      <w:pPr>
        <w:spacing w:after="0" w:line="193" w:lineRule="exact"/>
        <w:rPr>
          <w:sz w:val="20"/>
          <w:szCs w:val="20"/>
          <w:color w:val="auto"/>
        </w:rPr>
      </w:pPr>
    </w:p>
    <w:p>
      <w:pPr>
        <w:ind w:right="2559" w:firstLine="493"/>
        <w:spacing w:after="0" w:line="246" w:lineRule="auto"/>
        <w:tabs>
          <w:tab w:leader="none" w:pos="9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commencing on the Closing Date and terminating on the earlier to occur of (x) the Facility Restriction Expiration Date for any particular Restricted Facility Portion or (y) 30 months after the Closing Date, Buyer shall use such Restricted Facility Portion for the manufacture of electronics products at levels of activity that in the aggregate are substantially consistent with activity levels at the Closing Date, taking into account the contemplated conversion of the 6-inch line to the 8-inch line and the implementation of new technology provided, however, that in no event</w:t>
      </w:r>
    </w:p>
    <w:p>
      <w:pPr>
        <w:spacing w:after="0" w:line="5" w:lineRule="exact"/>
        <w:rPr>
          <w:sz w:val="20"/>
          <w:szCs w:val="20"/>
          <w:color w:val="auto"/>
        </w:rPr>
      </w:pPr>
    </w:p>
    <w:p>
      <w:pPr>
        <w:ind w:left="3200"/>
        <w:spacing w:after="0"/>
        <w:tabs>
          <w:tab w:leader="none" w:pos="41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any restriction extend beyond 30 months; provided, further, that</w:t>
      </w:r>
    </w:p>
    <w:p>
      <w:pPr>
        <w:spacing w:after="0" w:line="5" w:lineRule="exact"/>
        <w:rPr>
          <w:sz w:val="20"/>
          <w:szCs w:val="20"/>
          <w:color w:val="auto"/>
        </w:rPr>
      </w:pPr>
    </w:p>
    <w:p>
      <w:pPr>
        <w:ind w:left="4560"/>
        <w:spacing w:after="0"/>
        <w:tabs>
          <w:tab w:leader="none" w:pos="552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restrictions in this Section 6.6(c) shall not apply to Buyer or any of its Affiliates with respect to any Restricted Facility Portion to the extent Buyer or its Affiliates obtain approval in accordance with Article 8 of the Gaspari Decree eliminating the restrictions with respect to that Restricted Facility Portion. For purposes of this Agreement, (A) "Restricted Facility Portion" means each portion of the facility located at Avezzano, Italy constituting Acquired Assets subject to the use restrictions under Article 8 of the Gaspari Decree, and (B) "Facility Restriction Expiration Date" means, with respect to each Restricted Facility Portion, the date on which all restrictions under Article 8 of the Gaspari Decree lapse or otherwise become inapplicable to such Restricted Facility Portion.</w:t>
      </w:r>
    </w:p>
    <w:p>
      <w:pPr>
        <w:spacing w:after="0" w:line="193" w:lineRule="exact"/>
        <w:rPr>
          <w:sz w:val="20"/>
          <w:szCs w:val="20"/>
          <w:color w:val="auto"/>
        </w:rPr>
      </w:pPr>
    </w:p>
    <w:p>
      <w:pPr>
        <w:jc w:val="both"/>
        <w:ind w:right="2559" w:firstLine="493"/>
        <w:spacing w:after="0" w:line="246" w:lineRule="auto"/>
        <w:tabs>
          <w:tab w:leader="none" w:pos="106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determining (i) the Required Employment Levels applicable from time to time, (ii) the Equipment Restriction Expiration Date with respect to any item of Restricted Equipment, and</w:t>
      </w:r>
    </w:p>
    <w:p>
      <w:pPr>
        <w:spacing w:after="0" w:line="1" w:lineRule="exact"/>
        <w:rPr>
          <w:rFonts w:ascii="Courier New" w:cs="Courier New" w:eastAsia="Courier New" w:hAnsi="Courier New"/>
          <w:sz w:val="16"/>
          <w:szCs w:val="16"/>
          <w:color w:val="auto"/>
        </w:rPr>
      </w:pPr>
    </w:p>
    <w:p>
      <w:pPr>
        <w:ind w:right="2759" w:firstLine="8"/>
        <w:spacing w:after="0" w:line="246" w:lineRule="auto"/>
        <w:tabs>
          <w:tab w:leader="none" w:pos="5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Facility Restriction Expiration Date with respect to any Restricted Facility Portion for purposes of this Section 6.6, Buyer shall be entitled to rely on the books and records included in the Acquired Assets relating to the operations at Avezzano, and Buyer's good faith determination thereof shall be conclusive and binding.</w:t>
      </w:r>
    </w:p>
    <w:p>
      <w:pPr>
        <w:spacing w:after="0" w:line="2"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and shall cause its Affiliates to, retain such books and records and afford Seller and its representatives access thereto in accordance with Section 6.28.</w:t>
      </w:r>
    </w:p>
    <w:p>
      <w:pPr>
        <w:spacing w:after="0" w:line="185" w:lineRule="exact"/>
        <w:rPr>
          <w:rFonts w:ascii="Courier New" w:cs="Courier New" w:eastAsia="Courier New" w:hAnsi="Courier New"/>
          <w:sz w:val="16"/>
          <w:szCs w:val="16"/>
          <w:color w:val="auto"/>
        </w:rPr>
      </w:pPr>
    </w:p>
    <w:p>
      <w:pPr>
        <w:jc w:val="both"/>
        <w:ind w:right="2459" w:firstLine="493"/>
        <w:spacing w:after="0" w:line="247" w:lineRule="auto"/>
        <w:tabs>
          <w:tab w:leader="none" w:pos="969"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cause all bank Liens on the Acquired Assets in Italy arising with respect to the indebtedness described in item 1 of Exhibit J hereto (the "Avezzano Debt") to be fully released within six months from the Closing Date and in</w:t>
      </w:r>
    </w:p>
    <w:p>
      <w:pPr>
        <w:spacing w:after="0" w:line="18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259"/>
          </w:cols>
          <w:pgMar w:left="1200" w:top="676" w:right="1440" w:bottom="1440" w:gutter="0" w:footer="0" w:header="0"/>
        </w:sectPr>
      </w:pPr>
    </w:p>
    <w:bookmarkStart w:id="15" w:name="page16"/>
    <w:bookmarkEnd w:id="15"/>
    <w:p>
      <w:pPr>
        <w:ind w:left="960" w:right="2759"/>
        <w:spacing w:after="0" w:line="247" w:lineRule="auto"/>
        <w:rPr>
          <w:sz w:val="20"/>
          <w:szCs w:val="20"/>
          <w:color w:val="auto"/>
        </w:rPr>
      </w:pPr>
      <w:r>
        <w:rPr>
          <w:rFonts w:ascii="Courier New" w:cs="Courier New" w:eastAsia="Courier New" w:hAnsi="Courier New"/>
          <w:sz w:val="16"/>
          <w:szCs w:val="16"/>
          <w:color w:val="auto"/>
        </w:rPr>
        <w:t>no event shall any such Liens constitute Permitted Liens notwithstanding anything to the contrary contained herein or in the Seller Disclosure Letter.</w:t>
      </w:r>
    </w:p>
    <w:p>
      <w:pPr>
        <w:spacing w:after="0" w:line="186" w:lineRule="exact"/>
        <w:rPr>
          <w:sz w:val="20"/>
          <w:szCs w:val="20"/>
          <w:color w:val="auto"/>
        </w:rPr>
      </w:pPr>
    </w:p>
    <w:p>
      <w:pPr>
        <w:ind w:left="960" w:right="2659" w:firstLine="493"/>
        <w:spacing w:after="0" w:line="246" w:lineRule="auto"/>
        <w:tabs>
          <w:tab w:leader="none" w:pos="192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prior to the date 30 months following the Closing Date, the Italian government fails to pay interest subsidies in respect of the Avezzano Debt when due or within any applicable grace periods, Buyer shall pay Seller or its designee, promptly on demand, (x) 50% of any additional interest Seller or any of its Affiliates is required to pay as a result thereof, and (y), without duplication, 50% of any amounts paid by Seller of any of its Affiliates in connection with the prepayment or acceleration of the Avezzano Debt, provided that the aggregate amount payable by Buyer pursuant to this Section 6.6(f) shall not exceed $30 million.</w:t>
      </w:r>
    </w:p>
    <w:p>
      <w:pPr>
        <w:spacing w:after="0" w:line="191" w:lineRule="exact"/>
        <w:rPr>
          <w:rFonts w:ascii="Courier New" w:cs="Courier New" w:eastAsia="Courier New" w:hAnsi="Courier New"/>
          <w:sz w:val="16"/>
          <w:szCs w:val="16"/>
          <w:color w:val="auto"/>
        </w:rPr>
      </w:pPr>
    </w:p>
    <w:p>
      <w:pPr>
        <w:ind w:left="960" w:right="2659" w:firstLine="493"/>
        <w:spacing w:after="0" w:line="247" w:lineRule="auto"/>
        <w:tabs>
          <w:tab w:leader="none" w:pos="192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and shall cause its Affiliates to, provide to the Italian Ministry of Treasury, Budget and Economic Programming reasonable access to their facilities, books, records, auditors, employees and agents in order to allow the completion of any verification and audits relating to the 1989 Program Contract.</w:t>
      </w:r>
    </w:p>
    <w:p>
      <w:pPr>
        <w:spacing w:after="0" w:line="185"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37. Section 6.7 of the Acquisition Agreement is amended by deleting Section 6.7 in its entirety and by replacing it with the following:</w:t>
      </w:r>
    </w:p>
    <w:p>
      <w:pPr>
        <w:spacing w:after="0" w:line="184" w:lineRule="exact"/>
        <w:rPr>
          <w:sz w:val="20"/>
          <w:szCs w:val="20"/>
          <w:color w:val="auto"/>
        </w:rPr>
      </w:pPr>
    </w:p>
    <w:p>
      <w:pPr>
        <w:ind w:left="1460"/>
        <w:spacing w:after="0"/>
        <w:tabs>
          <w:tab w:leader="none" w:pos="1920" w:val="left"/>
          <w:tab w:leader="none" w:pos="5020" w:val="left"/>
        </w:tabs>
        <w:rPr>
          <w:sz w:val="20"/>
          <w:szCs w:val="20"/>
          <w:color w:val="auto"/>
        </w:rPr>
      </w:pPr>
      <w:r>
        <w:rPr>
          <w:rFonts w:ascii="Courier New" w:cs="Courier New" w:eastAsia="Courier New" w:hAnsi="Courier New"/>
          <w:sz w:val="16"/>
          <w:szCs w:val="16"/>
          <w:color w:val="auto"/>
        </w:rPr>
        <w:t>6.7</w:t>
        <w:tab/>
        <w:t>Transition Services Agreement.</w:t>
        <w:tab/>
        <w:t>Seller and Buyer shall</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execute and deliver each Transition Services Agreement.</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38. Sections 6.10, 6.11 and 6.12 of the Acquisition Agreement are amended by deleting such Sections 6.10, 6.11 and 6.12 in their entirety and replacing them with the following:</w:t>
      </w:r>
    </w:p>
    <w:p>
      <w:pPr>
        <w:spacing w:after="0" w:line="186" w:lineRule="exact"/>
        <w:rPr>
          <w:sz w:val="20"/>
          <w:szCs w:val="20"/>
          <w:color w:val="auto"/>
        </w:rPr>
      </w:pPr>
    </w:p>
    <w:p>
      <w:pPr>
        <w:ind w:left="1460"/>
        <w:spacing w:after="0"/>
        <w:tabs>
          <w:tab w:leader="none" w:pos="4540" w:val="left"/>
        </w:tabs>
        <w:rPr>
          <w:sz w:val="20"/>
          <w:szCs w:val="20"/>
          <w:color w:val="auto"/>
        </w:rPr>
      </w:pPr>
      <w:r>
        <w:rPr>
          <w:rFonts w:ascii="Courier New" w:cs="Courier New" w:eastAsia="Courier New" w:hAnsi="Courier New"/>
          <w:sz w:val="16"/>
          <w:szCs w:val="16"/>
          <w:color w:val="auto"/>
        </w:rPr>
        <w:t>6.10 Seller Disclosure Letter.</w:t>
        <w:tab/>
        <w:t>On or prior to the Closing Date,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Seller shall deliver to Buyer the Seller Disclosure Letter which shall include all of Seller's disclosure schedules contemplated by this Agreement. The Seller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and warranty), then such disclosure schedule shall include a specific cross-reference to the other Sections (or other representations and warranties) to which such disclosure schedule relates.</w:t>
      </w:r>
    </w:p>
    <w:p>
      <w:pPr>
        <w:spacing w:after="0" w:line="193" w:lineRule="exact"/>
        <w:rPr>
          <w:sz w:val="20"/>
          <w:szCs w:val="20"/>
          <w:color w:val="auto"/>
        </w:rPr>
      </w:pPr>
    </w:p>
    <w:p>
      <w:pPr>
        <w:ind w:left="1460"/>
        <w:spacing w:after="0"/>
        <w:tabs>
          <w:tab w:leader="none" w:pos="4440" w:val="left"/>
        </w:tabs>
        <w:rPr>
          <w:sz w:val="20"/>
          <w:szCs w:val="20"/>
          <w:color w:val="auto"/>
        </w:rPr>
      </w:pPr>
      <w:r>
        <w:rPr>
          <w:rFonts w:ascii="Courier New" w:cs="Courier New" w:eastAsia="Courier New" w:hAnsi="Courier New"/>
          <w:sz w:val="16"/>
          <w:szCs w:val="16"/>
          <w:color w:val="auto"/>
        </w:rPr>
        <w:t>6.11 Buyer Disclosure Letter.</w:t>
        <w:tab/>
        <w:t>On or prior to the Closing Date,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559"/>
        <w:spacing w:after="0" w:line="246" w:lineRule="auto"/>
        <w:rPr>
          <w:sz w:val="20"/>
          <w:szCs w:val="20"/>
          <w:color w:val="auto"/>
        </w:rPr>
      </w:pPr>
      <w:r>
        <w:rPr>
          <w:rFonts w:ascii="Courier New" w:cs="Courier New" w:eastAsia="Courier New" w:hAnsi="Courier New"/>
          <w:sz w:val="16"/>
          <w:szCs w:val="16"/>
          <w:color w:val="auto"/>
        </w:rPr>
        <w:t>Buyer shall deliver to Seller the Buyer Disclosure Letter which shall include all of Buyer's disclosure schedules contemplated by this Agreement. The Buyer Disclosure Letter shall make specific reference to only that particular Section (or, with respect to representations and warranties, that particular subsection) as to which each disclosure schedule included therein relates and, to the extent any disclosure schedule included</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6" w:name="page17"/>
    <w:bookmarkEnd w:id="16"/>
    <w:p>
      <w:pPr>
        <w:ind w:left="960" w:right="2859"/>
        <w:spacing w:after="0" w:line="247" w:lineRule="auto"/>
        <w:rPr>
          <w:sz w:val="20"/>
          <w:szCs w:val="20"/>
          <w:color w:val="auto"/>
        </w:rPr>
      </w:pPr>
      <w:r>
        <w:rPr>
          <w:rFonts w:ascii="Courier New" w:cs="Courier New" w:eastAsia="Courier New" w:hAnsi="Courier New"/>
          <w:sz w:val="16"/>
          <w:szCs w:val="16"/>
          <w:color w:val="auto"/>
        </w:rPr>
        <w:t>therein relates to more than one Section (or more than one representation or warranty), then such disclosure schedule shall include a specific cross-reference to the other Sections (or other representations and warranties) to which such disclosure schedule relates.</w:t>
      </w:r>
    </w:p>
    <w:p>
      <w:pPr>
        <w:spacing w:after="0" w:line="185" w:lineRule="exact"/>
        <w:rPr>
          <w:sz w:val="20"/>
          <w:szCs w:val="20"/>
          <w:color w:val="auto"/>
        </w:rPr>
      </w:pPr>
    </w:p>
    <w:p>
      <w:pPr>
        <w:ind w:left="1460"/>
        <w:spacing w:after="0"/>
        <w:tabs>
          <w:tab w:leader="none" w:pos="2020" w:val="left"/>
          <w:tab w:leader="none" w:pos="3560" w:val="left"/>
        </w:tabs>
        <w:rPr>
          <w:sz w:val="20"/>
          <w:szCs w:val="20"/>
          <w:color w:val="auto"/>
        </w:rPr>
      </w:pPr>
      <w:r>
        <w:rPr>
          <w:rFonts w:ascii="Courier New" w:cs="Courier New" w:eastAsia="Courier New" w:hAnsi="Courier New"/>
          <w:sz w:val="16"/>
          <w:szCs w:val="16"/>
          <w:color w:val="auto"/>
        </w:rPr>
        <w:t>6.12</w:t>
        <w:tab/>
        <w:t>JV Amendments.</w:t>
        <w:tab/>
        <w:t>On or prior to the Closing Date, Buyer and</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759"/>
        <w:spacing w:after="0" w:line="247" w:lineRule="auto"/>
        <w:rPr>
          <w:sz w:val="20"/>
          <w:szCs w:val="20"/>
          <w:color w:val="auto"/>
        </w:rPr>
      </w:pPr>
      <w:r>
        <w:rPr>
          <w:rFonts w:ascii="Courier New" w:cs="Courier New" w:eastAsia="Courier New" w:hAnsi="Courier New"/>
          <w:sz w:val="16"/>
          <w:szCs w:val="16"/>
          <w:color w:val="auto"/>
        </w:rPr>
        <w:t>Seller shall use commercially reasonable efforts to cause the JV Amendments to be duly executed, delivered, and in full force and effect, and the transactions contemplated to occur thereunder on or prior to the Closing to occur on or prior to the Closing.</w:t>
      </w:r>
    </w:p>
    <w:p>
      <w:pPr>
        <w:spacing w:after="0" w:line="186" w:lineRule="exact"/>
        <w:rPr>
          <w:sz w:val="20"/>
          <w:szCs w:val="20"/>
          <w:color w:val="auto"/>
        </w:rPr>
      </w:pPr>
    </w:p>
    <w:p>
      <w:pPr>
        <w:ind w:right="3139" w:firstLine="291"/>
        <w:spacing w:after="0" w:line="248" w:lineRule="auto"/>
        <w:rPr>
          <w:sz w:val="20"/>
          <w:szCs w:val="20"/>
          <w:color w:val="auto"/>
        </w:rPr>
      </w:pPr>
      <w:r>
        <w:rPr>
          <w:rFonts w:ascii="Courier New" w:cs="Courier New" w:eastAsia="Courier New" w:hAnsi="Courier New"/>
          <w:sz w:val="16"/>
          <w:szCs w:val="16"/>
          <w:color w:val="auto"/>
        </w:rPr>
        <w:t>Section 39. Section 6.25 of the Acquisition Agreement is amended by adding the following language at the end thereof:</w:t>
      </w:r>
    </w:p>
    <w:p>
      <w:pPr>
        <w:spacing w:after="0" w:line="184" w:lineRule="exact"/>
        <w:rPr>
          <w:sz w:val="20"/>
          <w:szCs w:val="20"/>
          <w:color w:val="auto"/>
        </w:rPr>
      </w:pPr>
    </w:p>
    <w:p>
      <w:pPr>
        <w:ind w:left="960" w:right="2459" w:firstLine="493"/>
        <w:spacing w:after="0" w:line="246" w:lineRule="auto"/>
        <w:tabs>
          <w:tab w:leader="none" w:pos="202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hereby agrees to waive any claim that Buyer may have against Seller arising out of: (i) Seller's manufacture and sale of Low Density Flash, EPROM, Field Memory or PTEC products (collectively "Waived Products"), (ii) Seller's sale of products fabricated based upon Flash-type EPROM Wafers-in-Process originating in Seller's Avezzano facility on or before the Closing Date (including completed devices in inventory); and (iii) Seller's sale of 1 Meg and 4 Meg DRAM devices in inventory as of the Closing Date, not to exceed 350,000 devices total ("DRAM" in this subsection (iii) shall not include Field Memory), where such claim is based on a violation of the Covenant Not to Compete in Section 6.25 of this Agreement. To the extent the manufacture or sale of any product is permitted by the foregoing waiver (i.e., such product is a Waived Product; a Flash-type EPROM under subsection (ii) above; or a DRAM under subsection (iii) above), such product shall be deemed a Licensed Product under the Cross License Agreement attached as Exhibit C to this Agreement. This waiver shall apply without regard to the fabrication facility utilized by Seller in the manufacture of Waived Products, provided that Seller has an ownership interest either directly or through a wholly owned subsidiary in any such fabrication facility so utilized of fifty percent (50%) or more.</w:t>
      </w:r>
    </w:p>
    <w:p>
      <w:pPr>
        <w:spacing w:after="0" w:line="198" w:lineRule="exact"/>
        <w:rPr>
          <w:rFonts w:ascii="Courier New" w:cs="Courier New" w:eastAsia="Courier New" w:hAnsi="Courier New"/>
          <w:sz w:val="16"/>
          <w:szCs w:val="16"/>
          <w:color w:val="auto"/>
        </w:rPr>
      </w:pPr>
    </w:p>
    <w:p>
      <w:pPr>
        <w:ind w:left="2040" w:hanging="587"/>
        <w:spacing w:after="0"/>
        <w:tabs>
          <w:tab w:leader="none" w:pos="20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the right to transfer to a third</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party the entirety of its manufacturing operations relating to any one of the Waived Products (whether or not equipment or facilities are included in such transfer), and in connection with such transfer Seller shall transfer or terminate its contractual commitments, relating to such Waived Products; and, without otherwise diminishing the provisions of Section 6.15, in the event of such transfer as to a Waived Product, Buyer grants to Seller the right to sublicense to such transferee Acquired Intellectual Property that is licensed to Seller pursuant to Section 6.15(b) and that is directly related to and used in the manufacturing of such Waived Product, the scope of such sublicense being strictly limited to the manufacturing of such Waived Product.</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7" w:name="page18"/>
    <w:bookmarkEnd w:id="17"/>
    <w:p>
      <w:pPr>
        <w:ind w:left="-240" w:right="2759" w:firstLine="493"/>
        <w:spacing w:after="0" w:line="247" w:lineRule="auto"/>
        <w:tabs>
          <w:tab w:leader="none" w:pos="82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waiver provided in this Section is personal to Seller, and in the event of such transfer, Buyer's waiver described herein shall terminate and shall subsequently be void as to such Waived Product. Nothing in the preceding sentence shall limit any sublicense rights granted in subsection (f) above.</w:t>
      </w:r>
    </w:p>
    <w:p>
      <w:pPr>
        <w:spacing w:after="0" w:line="185" w:lineRule="exact"/>
        <w:rPr>
          <w:rFonts w:ascii="Courier New" w:cs="Courier New" w:eastAsia="Courier New" w:hAnsi="Courier New"/>
          <w:sz w:val="16"/>
          <w:szCs w:val="16"/>
          <w:color w:val="auto"/>
        </w:rPr>
      </w:pPr>
    </w:p>
    <w:p>
      <w:pPr>
        <w:ind w:left="-240" w:right="2459" w:firstLine="493"/>
        <w:spacing w:after="0" w:line="246" w:lineRule="auto"/>
        <w:tabs>
          <w:tab w:leader="none" w:pos="82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waived in this Section, the provisions of the Covenant not to Compete of Section 6.25 remain undiminished and in full force and effect. Seller agrees that Buyer's granting of the limited waiver and limited right to sublicense in this Section shall not be considered to or deemed to in any way establish any course of dealing between the parties; and further agrees that Buyer shall not in any way be obligated to grant any further waiver under the Covenant not to Compete or any further right to sublicense under Section 6.15(b) in the future.</w:t>
      </w:r>
    </w:p>
    <w:p>
      <w:pPr>
        <w:spacing w:after="0" w:line="191" w:lineRule="exact"/>
        <w:rPr>
          <w:rFonts w:ascii="Courier New" w:cs="Courier New" w:eastAsia="Courier New" w:hAnsi="Courier New"/>
          <w:sz w:val="16"/>
          <w:szCs w:val="16"/>
          <w:color w:val="auto"/>
        </w:rPr>
      </w:pPr>
    </w:p>
    <w:p>
      <w:pPr>
        <w:ind w:left="-240" w:right="2859" w:firstLine="493"/>
        <w:spacing w:after="0" w:line="248" w:lineRule="auto"/>
        <w:tabs>
          <w:tab w:leader="none" w:pos="82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the following definitions shall apply:</w:t>
      </w:r>
    </w:p>
    <w:p>
      <w:pPr>
        <w:spacing w:after="0" w:line="184" w:lineRule="exact"/>
        <w:rPr>
          <w:sz w:val="20"/>
          <w:szCs w:val="20"/>
          <w:color w:val="auto"/>
        </w:rPr>
      </w:pPr>
    </w:p>
    <w:p>
      <w:pPr>
        <w:ind w:left="340" w:right="2559" w:firstLine="581"/>
        <w:spacing w:after="0" w:line="247" w:lineRule="auto"/>
        <w:rPr>
          <w:sz w:val="20"/>
          <w:szCs w:val="20"/>
          <w:color w:val="auto"/>
        </w:rPr>
      </w:pPr>
      <w:r>
        <w:rPr>
          <w:rFonts w:ascii="Courier New" w:cs="Courier New" w:eastAsia="Courier New" w:hAnsi="Courier New"/>
          <w:sz w:val="16"/>
          <w:szCs w:val="16"/>
          <w:color w:val="auto"/>
        </w:rPr>
        <w:t>"Low Density Flash" as used herein shall mean: (a) Flash-type EPROM memory products having the density levels up to 4 megabits manufactured at Seller's facility in Lubbock, Texas as of the Closing Date and subject to lifetime buy orders deadlines no later than January 1, 1999.</w:t>
      </w:r>
    </w:p>
    <w:p>
      <w:pPr>
        <w:spacing w:after="0" w:line="185" w:lineRule="exact"/>
        <w:rPr>
          <w:sz w:val="20"/>
          <w:szCs w:val="20"/>
          <w:color w:val="auto"/>
        </w:rPr>
      </w:pPr>
    </w:p>
    <w:p>
      <w:pPr>
        <w:ind w:left="340" w:right="2659" w:firstLine="581"/>
        <w:spacing w:after="0" w:line="247" w:lineRule="auto"/>
        <w:rPr>
          <w:sz w:val="20"/>
          <w:szCs w:val="20"/>
          <w:color w:val="auto"/>
        </w:rPr>
      </w:pPr>
      <w:r>
        <w:rPr>
          <w:rFonts w:ascii="Courier New" w:cs="Courier New" w:eastAsia="Courier New" w:hAnsi="Courier New"/>
          <w:sz w:val="16"/>
          <w:szCs w:val="16"/>
          <w:color w:val="auto"/>
        </w:rPr>
        <w:t>"EPROM" shall mean erasable programmable read only memory products wherein erasure is accomplished through exposure to ultraviolet light; EPROM shall not include "Flash-type EPROM" memory products.</w:t>
      </w:r>
    </w:p>
    <w:p>
      <w:pPr>
        <w:spacing w:after="0" w:line="186" w:lineRule="exact"/>
        <w:rPr>
          <w:sz w:val="20"/>
          <w:szCs w:val="20"/>
          <w:color w:val="auto"/>
        </w:rPr>
      </w:pPr>
    </w:p>
    <w:p>
      <w:pPr>
        <w:ind w:left="340" w:right="2759" w:firstLine="581"/>
        <w:spacing w:after="0" w:line="247" w:lineRule="auto"/>
        <w:rPr>
          <w:sz w:val="20"/>
          <w:szCs w:val="20"/>
          <w:color w:val="auto"/>
        </w:rPr>
      </w:pPr>
      <w:r>
        <w:rPr>
          <w:rFonts w:ascii="Courier New" w:cs="Courier New" w:eastAsia="Courier New" w:hAnsi="Courier New"/>
          <w:sz w:val="16"/>
          <w:szCs w:val="16"/>
          <w:color w:val="auto"/>
        </w:rPr>
        <w:t>"Flash-type EPROM" (also known as "Flash-type EEPROM") shall mean non volatile, reprogrammable memory devices in which the storage cells include a floating gate, and in which erasure of the storage cells is achieved through application of electrical current.</w:t>
      </w:r>
    </w:p>
    <w:p>
      <w:pPr>
        <w:spacing w:after="0" w:line="185" w:lineRule="exact"/>
        <w:rPr>
          <w:sz w:val="20"/>
          <w:szCs w:val="20"/>
          <w:color w:val="auto"/>
        </w:rPr>
      </w:pPr>
    </w:p>
    <w:p>
      <w:pPr>
        <w:ind w:left="340" w:right="2659" w:firstLine="581"/>
        <w:spacing w:after="0" w:line="247" w:lineRule="auto"/>
        <w:rPr>
          <w:sz w:val="20"/>
          <w:szCs w:val="20"/>
          <w:color w:val="auto"/>
        </w:rPr>
      </w:pPr>
      <w:r>
        <w:rPr>
          <w:rFonts w:ascii="Courier New" w:cs="Courier New" w:eastAsia="Courier New" w:hAnsi="Courier New"/>
          <w:sz w:val="16"/>
          <w:szCs w:val="16"/>
          <w:color w:val="auto"/>
        </w:rPr>
        <w:t>"Field Memory" shall mean an application specific DRAM-based memory product specifically designed for use in consumer electronics applications and having dual I/O ports offering independent and asynchronous serial read/write with limited or no random accessing capabilities of the types manufactured by Seller as of the Closing Date, which Seller believes to be the following:</w:t>
      </w:r>
    </w:p>
    <w:p>
      <w:pPr>
        <w:spacing w:after="0" w:line="371" w:lineRule="exact"/>
        <w:rPr>
          <w:sz w:val="20"/>
          <w:szCs w:val="20"/>
          <w:color w:val="auto"/>
        </w:rPr>
      </w:pPr>
    </w:p>
    <w:tbl>
      <w:tblPr>
        <w:tblLayout w:type="fixed"/>
        <w:tblInd w:w="1220" w:type="dxa"/>
        <w:tblCellMar>
          <w:top w:w="0" w:type="dxa"/>
          <w:left w:w="0" w:type="dxa"/>
          <w:bottom w:w="0" w:type="dxa"/>
          <w:right w:w="0" w:type="dxa"/>
        </w:tblCellMar>
      </w:tblPr>
      <w:tr>
        <w:trPr>
          <w:trHeight w:val="183"/>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Devices</w:t>
            </w:r>
          </w:p>
        </w:tc>
        <w:tc>
          <w:tcPr>
            <w:tcW w:w="920" w:type="dxa"/>
            <w:vAlign w:val="bottom"/>
          </w:tcPr>
          <w:p>
            <w:pPr>
              <w:spacing w:after="0"/>
              <w:rPr>
                <w:sz w:val="15"/>
                <w:szCs w:val="15"/>
                <w:color w:val="auto"/>
              </w:rPr>
            </w:pP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w w:val="99"/>
              </w:rPr>
              <w:t>TI Part Number</w:t>
            </w: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spacing w:after="0"/>
              <w:rPr>
                <w:sz w:val="16"/>
                <w:szCs w:val="16"/>
                <w:color w:val="auto"/>
              </w:rPr>
            </w:pP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rPr>
              <w:t>4C2072</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SSOP</w:t>
            </w: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rPr>
              <w:t>TMS4C2072DT</w:t>
            </w: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rPr>
              <w:t>4C2970</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SSOP</w:t>
            </w: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rPr>
              <w:t>TMS4C2970DT</w:t>
            </w: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rPr>
              <w:t>4C2972</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SSOP</w:t>
            </w: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rPr>
              <w:t>TMS4C2972DT</w:t>
            </w: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rPr>
              <w:t>4C2973</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SSOP</w:t>
            </w: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rPr>
              <w:t>TMS4C2973DT</w:t>
            </w: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rPr>
              <w:t>4C2973</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TSSOP</w:t>
            </w:r>
          </w:p>
        </w:tc>
        <w:tc>
          <w:tcPr>
            <w:tcW w:w="1800" w:type="dxa"/>
            <w:vAlign w:val="bottom"/>
          </w:tcPr>
          <w:p>
            <w:pPr>
              <w:ind w:left="440"/>
              <w:spacing w:after="0"/>
              <w:rPr>
                <w:sz w:val="20"/>
                <w:szCs w:val="20"/>
                <w:color w:val="auto"/>
              </w:rPr>
            </w:pPr>
            <w:r>
              <w:rPr>
                <w:rFonts w:ascii="Courier New" w:cs="Courier New" w:eastAsia="Courier New" w:hAnsi="Courier New"/>
                <w:sz w:val="16"/>
                <w:szCs w:val="16"/>
                <w:color w:val="auto"/>
              </w:rPr>
              <w:t>TMS4C2973DGL</w:t>
            </w:r>
          </w:p>
        </w:tc>
      </w:tr>
    </w:tbl>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4035 SSOP</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676" w:right="1440" w:bottom="1440" w:gutter="0" w:footer="0" w:header="0"/>
        </w:sectPr>
      </w:pPr>
    </w:p>
    <w:bookmarkStart w:id="18" w:name="page19"/>
    <w:bookmarkEnd w:id="18"/>
    <w:p>
      <w:pPr>
        <w:ind w:left="2420"/>
        <w:spacing w:after="0"/>
        <w:rPr>
          <w:sz w:val="20"/>
          <w:szCs w:val="20"/>
          <w:color w:val="auto"/>
        </w:rPr>
      </w:pPr>
      <w:r>
        <w:rPr>
          <w:rFonts w:ascii="Courier New" w:cs="Courier New" w:eastAsia="Courier New" w:hAnsi="Courier New"/>
          <w:sz w:val="16"/>
          <w:szCs w:val="16"/>
          <w:color w:val="auto"/>
        </w:rPr>
        <w:t>92040 CSP</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92040 QFP</w:t>
      </w:r>
    </w:p>
    <w:p>
      <w:pPr>
        <w:spacing w:after="0" w:line="5" w:lineRule="exact"/>
        <w:rPr>
          <w:sz w:val="20"/>
          <w:szCs w:val="20"/>
          <w:color w:val="auto"/>
        </w:rPr>
      </w:pPr>
    </w:p>
    <w:p>
      <w:pPr>
        <w:ind w:left="2420"/>
        <w:spacing w:after="0"/>
        <w:tabs>
          <w:tab w:leader="none" w:pos="4440" w:val="left"/>
        </w:tabs>
        <w:rPr>
          <w:sz w:val="20"/>
          <w:szCs w:val="20"/>
          <w:color w:val="auto"/>
        </w:rPr>
      </w:pPr>
      <w:r>
        <w:rPr>
          <w:rFonts w:ascii="Courier New" w:cs="Courier New" w:eastAsia="Courier New" w:hAnsi="Courier New"/>
          <w:sz w:val="16"/>
          <w:szCs w:val="16"/>
          <w:color w:val="auto"/>
        </w:rPr>
        <w:t>UvFM</w:t>
      </w:r>
      <w:r>
        <w:rPr>
          <w:sz w:val="20"/>
          <w:szCs w:val="20"/>
          <w:color w:val="auto"/>
        </w:rPr>
        <w:tab/>
      </w:r>
      <w:r>
        <w:rPr>
          <w:rFonts w:ascii="Courier New" w:cs="Courier New" w:eastAsia="Courier New" w:hAnsi="Courier New"/>
          <w:sz w:val="16"/>
          <w:szCs w:val="16"/>
          <w:color w:val="auto"/>
        </w:rPr>
        <w:t>4C397X</w:t>
      </w:r>
    </w:p>
    <w:p>
      <w:pPr>
        <w:spacing w:after="0" w:line="191" w:lineRule="exact"/>
        <w:rPr>
          <w:sz w:val="20"/>
          <w:szCs w:val="20"/>
          <w:color w:val="auto"/>
        </w:rPr>
      </w:pPr>
    </w:p>
    <w:p>
      <w:pPr>
        <w:ind w:left="1460" w:right="2659" w:hanging="7"/>
        <w:spacing w:after="0" w:line="247" w:lineRule="auto"/>
        <w:tabs>
          <w:tab w:leader="none" w:pos="165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such products are within the technical description above and are products manufactured by Seller as of the Closing Date. In no event shall Field Memory include any product designed for use as main, cache or graphics memory in the PC or High Definition Television (HDTV) space.</w:t>
      </w:r>
    </w:p>
    <w:p>
      <w:pPr>
        <w:spacing w:after="0" w:line="185" w:lineRule="exact"/>
        <w:rPr>
          <w:sz w:val="20"/>
          <w:szCs w:val="20"/>
          <w:color w:val="auto"/>
        </w:rPr>
      </w:pPr>
    </w:p>
    <w:p>
      <w:pPr>
        <w:ind w:left="1460" w:right="2559" w:firstLine="485"/>
        <w:spacing w:after="0" w:line="246" w:lineRule="auto"/>
        <w:rPr>
          <w:sz w:val="20"/>
          <w:szCs w:val="20"/>
          <w:color w:val="auto"/>
        </w:rPr>
      </w:pPr>
      <w:r>
        <w:rPr>
          <w:rFonts w:ascii="Courier New" w:cs="Courier New" w:eastAsia="Courier New" w:hAnsi="Courier New"/>
          <w:sz w:val="16"/>
          <w:szCs w:val="16"/>
          <w:color w:val="auto"/>
        </w:rPr>
        <w:t>"PTEC" shall mean a custom Low Density Flash product which consists of a flash core embedded within the control logic and bus interface logic required by the microcontroller or other processor devices and which is used within an engine control system, and which Seller sells to Ford Motor Company ("Ford") pursuant to a contract between Seller and Ford dated August 6, 1996; except that, without in any way limiting the definition of Low Density Flash, PTEC products shall not be subject to the lifetime buy order deadline of January 1, 1999 set forth in the definition of Low Density Flash.</w:t>
      </w:r>
    </w:p>
    <w:p>
      <w:pPr>
        <w:spacing w:after="0" w:line="192" w:lineRule="exact"/>
        <w:rPr>
          <w:sz w:val="20"/>
          <w:szCs w:val="20"/>
          <w:color w:val="auto"/>
        </w:rPr>
      </w:pPr>
    </w:p>
    <w:p>
      <w:pPr>
        <w:ind w:left="780" w:right="2659" w:firstLine="678"/>
        <w:spacing w:after="0" w:line="247" w:lineRule="auto"/>
        <w:rPr>
          <w:sz w:val="20"/>
          <w:szCs w:val="20"/>
          <w:color w:val="auto"/>
        </w:rPr>
      </w:pPr>
      <w:r>
        <w:rPr>
          <w:rFonts w:ascii="Courier New" w:cs="Courier New" w:eastAsia="Courier New" w:hAnsi="Courier New"/>
          <w:sz w:val="16"/>
          <w:szCs w:val="16"/>
          <w:color w:val="auto"/>
        </w:rPr>
        <w:t>Without limiting the above in any way, the definition of each of Field Memory and PTEC shall include, but not be limited to, any such product as it may be modified from time to time after the Closing to address customer-requested design changes and manufacturing maintenance requirements, provided such modified product is consistent in general form, functionality and operation with the specific products identified above in the pertinent definitions.</w:t>
      </w:r>
    </w:p>
    <w:p>
      <w:pPr>
        <w:spacing w:after="0" w:line="185"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Section 40. Section 6.31(a) of the Acquisition Agreement is amended by deleting Section 6.31(a) in its entirety and replacing it with the following:</w:t>
      </w:r>
    </w:p>
    <w:p>
      <w:pPr>
        <w:spacing w:after="0" w:line="184" w:lineRule="exact"/>
        <w:rPr>
          <w:sz w:val="20"/>
          <w:szCs w:val="20"/>
          <w:color w:val="auto"/>
        </w:rPr>
      </w:pPr>
    </w:p>
    <w:p>
      <w:pPr>
        <w:ind w:left="960" w:right="2459" w:firstLine="493"/>
        <w:spacing w:after="0" w:line="246" w:lineRule="auto"/>
        <w:tabs>
          <w:tab w:leader="none" w:pos="202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including Sections 2.1 and 2.2 hereof, "Transferred Contracts" shall mean each Contract to which Seller, any of its Subsidiaries or any of their Affiliates is a party primarily related to or primarily used in the Business (i) that was entered into in the ordinary course of business consistent with past practices and not of a type required to be listed in the Seller Disclosure Letter pursuant to Section 4.1 or 4.2 hereof, or (ii) listed on Schedule 6.31 to this Agreement (the "Transferred Contract Schedule"). The Transferred Contract Schedule shall be prepared by Buyer and delivered to Seller on or prior to the Closing Date and upon delivery thereof, such schedule shall become a part of this Agreement as if attached hereto as of the date hereof.</w:t>
      </w:r>
    </w:p>
    <w:p>
      <w:pPr>
        <w:spacing w:after="0" w:line="193"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41. Section 7.1(b) of the Acquisition Agreement is amended by deleting subclause (i) thereof in its entirety and replacing it with the following:</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9" w:name="page20"/>
    <w:bookmarkEnd w:id="19"/>
    <w:p>
      <w:pPr>
        <w:ind w:left="960" w:right="3139"/>
        <w:spacing w:after="0" w:line="247" w:lineRule="auto"/>
        <w:rPr>
          <w:sz w:val="20"/>
          <w:szCs w:val="20"/>
          <w:color w:val="auto"/>
        </w:rPr>
      </w:pPr>
      <w:r>
        <w:rPr>
          <w:rFonts w:ascii="Courier New" w:cs="Courier New" w:eastAsia="Courier New" w:hAnsi="Courier New"/>
          <w:sz w:val="16"/>
          <w:szCs w:val="16"/>
          <w:color w:val="auto"/>
        </w:rPr>
        <w:t>there are not pending or threatened any audits, examinations, assessments, asserted deficiencies or written claims for Taxes except as would not adversely affect the Acquired Assets or the Business</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42. Section 7.1(c) of the Acquisition Agreement is amended by adding, at the end thereof, the following:</w:t>
      </w:r>
    </w:p>
    <w:p>
      <w:pPr>
        <w:spacing w:after="0" w:line="184" w:lineRule="exact"/>
        <w:rPr>
          <w:sz w:val="20"/>
          <w:szCs w:val="20"/>
          <w:color w:val="auto"/>
        </w:rPr>
      </w:pPr>
    </w:p>
    <w:p>
      <w:pPr>
        <w:ind w:left="960" w:right="2459" w:firstLine="8"/>
        <w:spacing w:after="0" w:line="248" w:lineRule="auto"/>
        <w:tabs>
          <w:tab w:leader="none" w:pos="115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but not limited to, a "Section 24" election under the tax laws of Singapore.</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43. Section 7.1(e) of the Acquisition Agreement is amended by deleting the parenthetical phrase at the end thereof and replacing it with the following:</w:t>
      </w:r>
    </w:p>
    <w:p>
      <w:pPr>
        <w:spacing w:after="0" w:line="186" w:lineRule="exact"/>
        <w:rPr>
          <w:sz w:val="20"/>
          <w:szCs w:val="20"/>
          <w:color w:val="auto"/>
        </w:rPr>
      </w:pPr>
    </w:p>
    <w:p>
      <w:pPr>
        <w:ind w:left="960" w:right="2659"/>
        <w:spacing w:after="0" w:line="248" w:lineRule="auto"/>
        <w:rPr>
          <w:sz w:val="20"/>
          <w:szCs w:val="20"/>
          <w:color w:val="auto"/>
        </w:rPr>
      </w:pPr>
      <w:r>
        <w:rPr>
          <w:rFonts w:ascii="Courier New" w:cs="Courier New" w:eastAsia="Courier New" w:hAnsi="Courier New"/>
          <w:sz w:val="16"/>
          <w:szCs w:val="16"/>
          <w:color w:val="auto"/>
        </w:rPr>
        <w:t>(other than Seller with respect to Taxes not related to or adversely affecting the Business or the Acquired Assets).</w:t>
      </w:r>
    </w:p>
    <w:p>
      <w:pPr>
        <w:spacing w:after="0" w:line="184" w:lineRule="exact"/>
        <w:rPr>
          <w:sz w:val="20"/>
          <w:szCs w:val="20"/>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44.</w:t>
      </w:r>
      <w:r>
        <w:rPr>
          <w:sz w:val="20"/>
          <w:szCs w:val="20"/>
          <w:color w:val="auto"/>
        </w:rPr>
        <w:tab/>
      </w:r>
      <w:r>
        <w:rPr>
          <w:rFonts w:ascii="Courier New" w:cs="Courier New" w:eastAsia="Courier New" w:hAnsi="Courier New"/>
          <w:sz w:val="16"/>
          <w:szCs w:val="16"/>
          <w:color w:val="auto"/>
        </w:rPr>
        <w:t>Article VII of the Acquisition Agreement is amended by</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adding, immediately following Section 7.1(o), new Sections 7.1(p) and 7.1(q) as set forth below:</w:t>
      </w:r>
    </w:p>
    <w:p>
      <w:pPr>
        <w:spacing w:after="0" w:line="184" w:lineRule="exact"/>
        <w:rPr>
          <w:sz w:val="20"/>
          <w:szCs w:val="20"/>
          <w:color w:val="auto"/>
        </w:rPr>
      </w:pPr>
    </w:p>
    <w:p>
      <w:pPr>
        <w:ind w:left="960" w:right="2459" w:firstLine="493"/>
        <w:spacing w:after="0" w:line="247" w:lineRule="auto"/>
        <w:tabs>
          <w:tab w:leader="none" w:pos="192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owns all right, title and interest in and to all of the issued and outstanding capital stock of Singapore Newco and Seller is the registered owner of such shares.</w:t>
      </w:r>
    </w:p>
    <w:p>
      <w:pPr>
        <w:spacing w:after="0" w:line="185" w:lineRule="exact"/>
        <w:rPr>
          <w:rFonts w:ascii="Courier New" w:cs="Courier New" w:eastAsia="Courier New" w:hAnsi="Courier New"/>
          <w:sz w:val="16"/>
          <w:szCs w:val="16"/>
          <w:color w:val="auto"/>
        </w:rPr>
      </w:pPr>
    </w:p>
    <w:p>
      <w:pPr>
        <w:ind w:left="960" w:right="2659" w:firstLine="493"/>
        <w:spacing w:after="0" w:line="246" w:lineRule="auto"/>
        <w:tabs>
          <w:tab w:leader="none" w:pos="192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caused Italian Operating Company to sell, transfer, assign and deliver to Seller, and Seller has purchased and accepted, all right, title and interest in and to all of the quota of Italian Newco; the purchase price for such quota was $301,087,000; appropriate steps have been taken to document the transfer of such sale to Seller and Seller is the beneficial and equitable owner of such quota and, after the making of any appropriate filings and registrations, will be the registered owner of such quota; and Seller has caused Italian Operating Company to assign, transfer, and deliver to Italian Newco the "Plafond" certification of Italian Operating Company and Italian Newco has accepted such assignment, transfer, and delivery and such "Plafond" certification is in full force and effect as of the date hereof.</w:t>
      </w:r>
    </w:p>
    <w:p>
      <w:pPr>
        <w:spacing w:after="0" w:line="19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45. Section 8.1(a) of the Acquisition Agreement is amended by deleting, in its entirety, the following:</w:t>
      </w:r>
    </w:p>
    <w:p>
      <w:pPr>
        <w:spacing w:after="0" w:line="184"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Notwithstanding the foregoing sentence, Italian Operating Company employees employed in the Business who are on maternity, disability or other employer-approved leave of absence as of the Closing Date shall only have their employment transferred as of the date, if any, upon which they return to work at Buyer's facility. From the Closing Date until the earlier to occur of (x) completion of the Italian government's final audit relating to the 1989 Program Contract, or (y) eighteen (18)</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0" w:name="page21"/>
    <w:bookmarkEnd w:id="20"/>
    <w:p>
      <w:pPr>
        <w:ind w:left="960" w:right="2759"/>
        <w:spacing w:after="0" w:line="246" w:lineRule="auto"/>
        <w:rPr>
          <w:sz w:val="20"/>
          <w:szCs w:val="20"/>
          <w:color w:val="auto"/>
        </w:rPr>
      </w:pPr>
      <w:r>
        <w:rPr>
          <w:rFonts w:ascii="Courier New" w:cs="Courier New" w:eastAsia="Courier New" w:hAnsi="Courier New"/>
          <w:sz w:val="16"/>
          <w:szCs w:val="16"/>
          <w:color w:val="auto"/>
        </w:rPr>
        <w:t>months after the Closing Date, Buyer shall cause employment levels in Italian Newco to remain substantially equivalent to the level of employment as of the Closing Date; provided, however, that Italian</w:t>
      </w:r>
    </w:p>
    <w:p>
      <w:pPr>
        <w:spacing w:after="0" w:line="2" w:lineRule="exact"/>
        <w:rPr>
          <w:sz w:val="20"/>
          <w:szCs w:val="20"/>
          <w:color w:val="auto"/>
        </w:rPr>
      </w:pPr>
    </w:p>
    <w:p>
      <w:pPr>
        <w:ind w:left="4360"/>
        <w:spacing w:after="0"/>
        <w:tabs>
          <w:tab w:leader="none" w:pos="53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960" w:right="2659"/>
        <w:spacing w:after="0" w:line="246" w:lineRule="auto"/>
        <w:rPr>
          <w:sz w:val="20"/>
          <w:szCs w:val="20"/>
          <w:color w:val="auto"/>
        </w:rPr>
      </w:pPr>
      <w:r>
        <w:rPr>
          <w:rFonts w:ascii="Courier New" w:cs="Courier New" w:eastAsia="Courier New" w:hAnsi="Courier New"/>
          <w:sz w:val="16"/>
          <w:szCs w:val="16"/>
          <w:color w:val="auto"/>
        </w:rPr>
        <w:t>Newco shall be entitled to terminate Italian Newco employees for good reason and shall be allowed to reduce employment levels through Italian Newco employee attrition; provided, further, that in all</w:t>
      </w:r>
    </w:p>
    <w:p>
      <w:pPr>
        <w:spacing w:after="0" w:line="2" w:lineRule="exact"/>
        <w:rPr>
          <w:sz w:val="20"/>
          <w:szCs w:val="20"/>
          <w:color w:val="auto"/>
        </w:rPr>
      </w:pPr>
    </w:p>
    <w:p>
      <w:pPr>
        <w:ind w:left="4260"/>
        <w:spacing w:after="0"/>
        <w:tabs>
          <w:tab w:leader="none" w:pos="522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960" w:right="2859"/>
        <w:spacing w:after="0" w:line="247" w:lineRule="auto"/>
        <w:rPr>
          <w:sz w:val="20"/>
          <w:szCs w:val="20"/>
          <w:color w:val="auto"/>
        </w:rPr>
      </w:pPr>
      <w:r>
        <w:rPr>
          <w:rFonts w:ascii="Courier New" w:cs="Courier New" w:eastAsia="Courier New" w:hAnsi="Courier New"/>
          <w:sz w:val="16"/>
          <w:szCs w:val="16"/>
          <w:color w:val="auto"/>
        </w:rPr>
        <w:t>events Buyer shall cause Italian Newco to maintain levels of employment consistent with the minimum requirements under the 1989 Program Contract (i.e. 1,270 employees) during such</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46. Section 8.1(b) of the Acquisition Agreement is amended by deleting, in its entirety, the following:</w:t>
      </w:r>
    </w:p>
    <w:p>
      <w:pPr>
        <w:spacing w:after="0" w:line="184"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Notwithstanding the foregoing sentence, Singapore Operating Company employees employed in the Business who are on maternity, disability or other employer-approved leave of absence as of the Closing Date shall only have their employment transferred as of the date, if any, upon which they return to work at Buyer's facility.</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Section 47. Section 8.1(c) of the Acquisition Agreement is amended to delete "(e)" immediately after the phrase "set forth in Section 8.1" in line 2.</w:t>
      </w:r>
    </w:p>
    <w:p>
      <w:pPr>
        <w:spacing w:after="0" w:line="18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48. Section 8.2(a) of the Acquisition Agreement is amended by deleting Section 8.2(a) in its entirety and replacing it with the following:</w:t>
      </w:r>
    </w:p>
    <w:p>
      <w:pPr>
        <w:spacing w:after="0" w:line="184" w:lineRule="exact"/>
        <w:rPr>
          <w:sz w:val="20"/>
          <w:szCs w:val="20"/>
          <w:color w:val="auto"/>
        </w:rPr>
      </w:pPr>
    </w:p>
    <w:p>
      <w:pPr>
        <w:ind w:left="960" w:right="2659" w:firstLine="493"/>
        <w:spacing w:after="0" w:line="246" w:lineRule="auto"/>
        <w:tabs>
          <w:tab w:leader="none" w:pos="202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and thereafter while employed by Italian Newco, each Transferred Business Employee employed by Italian Newco shall continue, at Buyer's cost, to be covered by the Employee Benefit Plans under which they were covered immediately prior to the Closing Date that were established, maintained and sponsored solely at the Italian Operating Company level to the extent permitted by law and contract. On and after the Closing Date, Transferred Business Employees employed by Singapore Newco ("Singapore Transferred Business Employees") shall continue, at Buyer's cost, to be covered by the following Seller's Employee Benefit Plans through December 31, 1998: Group Term Life Insurance, Group Personal Accident Insurance, Group Hospitalization and Surgical Insurance, Major Medical Insurance and Workmen's Compensation Insurance. Except as set out in the immediately preceding sentence, Seller agrees to use commercially reasonable efforts to cause Singapore Operating Company to transfer the Employee Benefit Plans under which Singapore Transferred Business Employees were covered. immediately prior to the Closing Date to Singapore Newco.</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1" w:name="page22"/>
    <w:bookmarkEnd w:id="21"/>
    <w:p>
      <w:pPr>
        <w:ind w:right="2759" w:firstLine="484"/>
        <w:spacing w:after="0" w:line="248" w:lineRule="auto"/>
        <w:rPr>
          <w:sz w:val="20"/>
          <w:szCs w:val="20"/>
          <w:color w:val="auto"/>
        </w:rPr>
      </w:pPr>
      <w:r>
        <w:rPr>
          <w:rFonts w:ascii="Courier New" w:cs="Courier New" w:eastAsia="Courier New" w:hAnsi="Courier New"/>
          <w:sz w:val="16"/>
          <w:szCs w:val="16"/>
          <w:color w:val="auto"/>
        </w:rPr>
        <w:t>Section 49. Section 8.2(b) of the Acquisition Agreement is amended by deleting the following:</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provided, however, that with respect to Transferred Business</w:t>
      </w:r>
    </w:p>
    <w:p>
      <w:pPr>
        <w:spacing w:after="0" w:line="5" w:lineRule="exact"/>
        <w:rPr>
          <w:sz w:val="20"/>
          <w:szCs w:val="20"/>
          <w:color w:val="auto"/>
        </w:rPr>
      </w:pPr>
    </w:p>
    <w:p>
      <w:pPr>
        <w:ind w:left="1160"/>
        <w:spacing w:after="0"/>
        <w:tabs>
          <w:tab w:leader="none" w:pos="2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Employees located in Texas ("Texas Transferred Business Employees"), Buyer may elect in writing to Seller, but not less than thirty (30) days prior to the Closing Date (the "Buyer COBRA Election"), not to cover such employees under Buyer's group health and dental plans and instead require Seller to offer COBRA continuation coverage to the Texas Transferred Business Employees, with Buyer subsidizing the employees' cost of COBRA coverage of the Texas Transferred Business Employees who elect to receive COBRA coverage in the same dollar amount as Buyer subsidizes the premium payments of Buyer's similarly situated U.S. employees under Buyer's group health and dental plans. In the event Buyer elects to sue the Buyer COBRA Election, Buyer agrees to cover such Texas Transferred Business Employees as are still employed by Buyer under Buyer's group health and dental plans no later than January 1, 2000.</w:t>
      </w:r>
    </w:p>
    <w:p>
      <w:pPr>
        <w:spacing w:after="0" w:line="19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50. Section 8.2(d) of the Acquisition Agreement is amended by adding the phrase "and COBRA" immediately following the phrase "(HIPAA)".</w:t>
      </w:r>
    </w:p>
    <w:p>
      <w:pPr>
        <w:spacing w:after="0" w:line="184"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Section 51. Section 8.3 of the Acquisition Agreement is amended by deleting Section 8.3 in its entirety and replacing it with the following:</w:t>
      </w:r>
    </w:p>
    <w:p>
      <w:pPr>
        <w:spacing w:after="0" w:line="184" w:lineRule="exact"/>
        <w:rPr>
          <w:sz w:val="20"/>
          <w:szCs w:val="20"/>
          <w:color w:val="auto"/>
        </w:rPr>
      </w:pPr>
    </w:p>
    <w:p>
      <w:pPr>
        <w:ind w:left="960"/>
        <w:spacing w:after="0"/>
        <w:tabs>
          <w:tab w:leader="none" w:pos="1440" w:val="left"/>
        </w:tabs>
        <w:rPr>
          <w:sz w:val="20"/>
          <w:szCs w:val="20"/>
          <w:color w:val="auto"/>
        </w:rPr>
      </w:pPr>
      <w:r>
        <w:rPr>
          <w:rFonts w:ascii="Courier New" w:cs="Courier New" w:eastAsia="Courier New" w:hAnsi="Courier New"/>
          <w:sz w:val="16"/>
          <w:szCs w:val="16"/>
          <w:color w:val="auto"/>
        </w:rPr>
        <w:t>8.3</w:t>
        <w:tab/>
        <w:t>General Matters.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040" w:hanging="587"/>
        <w:spacing w:after="0"/>
        <w:tabs>
          <w:tab w:leader="none" w:pos="20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Crediting of Service.  Buyer, Italian Newco and Singapore</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659"/>
        <w:spacing w:after="0" w:line="247" w:lineRule="auto"/>
        <w:rPr>
          <w:sz w:val="20"/>
          <w:szCs w:val="20"/>
          <w:color w:val="auto"/>
        </w:rPr>
      </w:pPr>
      <w:r>
        <w:rPr>
          <w:rFonts w:ascii="Courier New" w:cs="Courier New" w:eastAsia="Courier New" w:hAnsi="Courier New"/>
          <w:sz w:val="16"/>
          <w:szCs w:val="16"/>
          <w:color w:val="auto"/>
        </w:rPr>
        <w:t>Newco, as appropriate, shall credit each Transferred Business Employee with all service with Seller and its Affiliates prior to the Closing Date and with all amounts paid to each such Transferred Business Employee prior to the Closing Date to the extent that service or pay is relevant under any Employee Benefit Plan of Buyer, Italian Newco or Singapore Newco for purposes of determining eligibility to participate, vesting and benefit accrual.</w:t>
      </w:r>
    </w:p>
    <w:p>
      <w:pPr>
        <w:spacing w:after="0" w:line="185" w:lineRule="exact"/>
        <w:rPr>
          <w:sz w:val="20"/>
          <w:szCs w:val="20"/>
          <w:color w:val="auto"/>
        </w:rPr>
      </w:pPr>
    </w:p>
    <w:p>
      <w:pPr>
        <w:ind w:left="2040" w:hanging="587"/>
        <w:spacing w:after="0"/>
        <w:tabs>
          <w:tab w:leader="none" w:pos="20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of Deductible and Co-Payment Expenses.  Buyer shall</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659"/>
        <w:spacing w:after="0" w:line="246" w:lineRule="auto"/>
        <w:rPr>
          <w:sz w:val="20"/>
          <w:szCs w:val="20"/>
          <w:color w:val="auto"/>
        </w:rPr>
      </w:pPr>
      <w:r>
        <w:rPr>
          <w:rFonts w:ascii="Courier New" w:cs="Courier New" w:eastAsia="Courier New" w:hAnsi="Courier New"/>
          <w:sz w:val="16"/>
          <w:szCs w:val="16"/>
          <w:color w:val="auto"/>
        </w:rPr>
        <w:t>also provide Transferred Business Employees with credit under Buyer's Medical Plan and Dental Plan for deductible and co-payment amounts made by Transferred Business Employees under Seller's Medical and Dental Plans prior to the Closing Date in the plan years in which the Closing Date occurs. Seller agrees to provide deductible and co-payment information with respect to the Transferred Business Employees as soon as it practicable following the Closing Date to effectuate such crediting of deductibles and co-payment amounts. Seller agrees to provide Buyer with service commencement date and prior compensation information with respect to each potential Transferred Business Employee as soon as practicable after the date upon which this Agreement is executed.</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2" w:name="page23"/>
    <w:bookmarkEnd w:id="22"/>
    <w:p>
      <w:pPr>
        <w:ind w:left="2040" w:hanging="587"/>
        <w:spacing w:after="0"/>
        <w:tabs>
          <w:tab w:leader="none" w:pos="20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Pre-Existing Condition Limitation.  Buyer shall provide</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960" w:right="2959"/>
        <w:spacing w:after="0" w:line="247" w:lineRule="auto"/>
        <w:rPr>
          <w:sz w:val="20"/>
          <w:szCs w:val="20"/>
          <w:color w:val="auto"/>
        </w:rPr>
      </w:pPr>
      <w:r>
        <w:rPr>
          <w:rFonts w:ascii="Courier New" w:cs="Courier New" w:eastAsia="Courier New" w:hAnsi="Courier New"/>
          <w:sz w:val="16"/>
          <w:szCs w:val="16"/>
          <w:color w:val="auto"/>
        </w:rPr>
        <w:t>Transferred Business Employees with credit under Buyer's Medical Plan pre-existing condition limitation for time spent on Seller's Medical Plan.</w:t>
      </w:r>
    </w:p>
    <w:p>
      <w:pPr>
        <w:spacing w:after="0" w:line="186" w:lineRule="exact"/>
        <w:rPr>
          <w:sz w:val="20"/>
          <w:szCs w:val="20"/>
          <w:color w:val="auto"/>
        </w:rPr>
      </w:pPr>
    </w:p>
    <w:p>
      <w:pPr>
        <w:ind w:left="2040" w:hanging="587"/>
        <w:spacing w:after="0"/>
        <w:tabs>
          <w:tab w:leader="none" w:pos="20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Commencing with the date upon which this</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759"/>
        <w:spacing w:after="0" w:line="246" w:lineRule="auto"/>
        <w:rPr>
          <w:sz w:val="20"/>
          <w:szCs w:val="20"/>
          <w:color w:val="auto"/>
        </w:rPr>
      </w:pPr>
      <w:r>
        <w:rPr>
          <w:rFonts w:ascii="Courier New" w:cs="Courier New" w:eastAsia="Courier New" w:hAnsi="Courier New"/>
          <w:sz w:val="16"/>
          <w:szCs w:val="16"/>
          <w:color w:val="auto"/>
        </w:rPr>
        <w:t>Agreement is executed, Seller and Buyer agree to cooperate fully with respect to the employment-related actions which are necessary or reasonably desirable to accomplish the transactions contemplated pursuant to this Agreement, including the provision of records and information as each may reasonably request (including job titles, short and long-term disability coverage, life insurance coverage, operator certification and workers' compensation records and information) and the making of all appropriate filings under the Law.</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52. Section 8.5(d) of the Acquisition Agreement is amended by replacing the word "whom" with the word "who".</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53. Sections 9.2(b), 9.2(c) and 9.2(g) are amended by deleting Sections 9.2(b), 9.2(c) and 9.2(g) in their entirety and replacing them with the following:</w:t>
      </w:r>
    </w:p>
    <w:p>
      <w:pPr>
        <w:spacing w:after="0" w:line="186" w:lineRule="exact"/>
        <w:rPr>
          <w:sz w:val="20"/>
          <w:szCs w:val="20"/>
          <w:color w:val="auto"/>
        </w:rPr>
      </w:pPr>
    </w:p>
    <w:p>
      <w:pPr>
        <w:ind w:left="2040" w:hanging="587"/>
        <w:spacing w:after="0"/>
        <w:tabs>
          <w:tab w:leader="none" w:pos="20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JV Amendments.  The JV Amendments shall be duly executed,</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759"/>
        <w:spacing w:after="0" w:line="247" w:lineRule="auto"/>
        <w:rPr>
          <w:sz w:val="20"/>
          <w:szCs w:val="20"/>
          <w:color w:val="auto"/>
        </w:rPr>
      </w:pPr>
      <w:r>
        <w:rPr>
          <w:rFonts w:ascii="Courier New" w:cs="Courier New" w:eastAsia="Courier New" w:hAnsi="Courier New"/>
          <w:sz w:val="16"/>
          <w:szCs w:val="16"/>
          <w:color w:val="auto"/>
        </w:rPr>
        <w:t>delivered, in full force and effect and the transactions contemplated to occur on or prior to the Closing in accordance with the terms thereunder shall have occurred on or prior to the Closing Date.</w:t>
      </w:r>
    </w:p>
    <w:p>
      <w:pPr>
        <w:spacing w:after="0" w:line="186" w:lineRule="exact"/>
        <w:rPr>
          <w:sz w:val="20"/>
          <w:szCs w:val="20"/>
          <w:color w:val="auto"/>
        </w:rPr>
      </w:pPr>
    </w:p>
    <w:p>
      <w:pPr>
        <w:ind w:left="2040" w:hanging="587"/>
        <w:spacing w:after="0"/>
        <w:tabs>
          <w:tab w:leader="none" w:pos="20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Services Agreement.  Each Transition Services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759"/>
        <w:spacing w:after="0" w:line="248" w:lineRule="auto"/>
        <w:rPr>
          <w:sz w:val="20"/>
          <w:szCs w:val="20"/>
          <w:color w:val="auto"/>
        </w:rPr>
      </w:pPr>
      <w:r>
        <w:rPr>
          <w:rFonts w:ascii="Courier New" w:cs="Courier New" w:eastAsia="Courier New" w:hAnsi="Courier New"/>
          <w:sz w:val="16"/>
          <w:szCs w:val="16"/>
          <w:color w:val="auto"/>
        </w:rPr>
        <w:t>Agreement shall have been duly executed and delivered by Seller and shall be in full force and effect.</w:t>
      </w:r>
    </w:p>
    <w:p>
      <w:pPr>
        <w:spacing w:after="0" w:line="184" w:lineRule="exact"/>
        <w:rPr>
          <w:sz w:val="20"/>
          <w:szCs w:val="20"/>
          <w:color w:val="auto"/>
        </w:rPr>
      </w:pPr>
    </w:p>
    <w:p>
      <w:pPr>
        <w:ind w:left="2040" w:hanging="587"/>
        <w:spacing w:after="0"/>
        <w:tabs>
          <w:tab w:leader="none" w:pos="20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TECH shall have received financing in an</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3819"/>
        <w:spacing w:after="0" w:line="248" w:lineRule="auto"/>
        <w:rPr>
          <w:sz w:val="20"/>
          <w:szCs w:val="20"/>
          <w:color w:val="auto"/>
        </w:rPr>
      </w:pPr>
      <w:r>
        <w:rPr>
          <w:rFonts w:ascii="Courier New" w:cs="Courier New" w:eastAsia="Courier New" w:hAnsi="Courier New"/>
          <w:sz w:val="16"/>
          <w:szCs w:val="16"/>
          <w:color w:val="auto"/>
        </w:rPr>
        <w:t>aggregate amount of $450 million on terms and conditions satisfactory to Buyer.</w:t>
      </w:r>
    </w:p>
    <w:p>
      <w:pPr>
        <w:spacing w:after="0" w:line="184"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Section 54. Section 9.2 of the Acquisition Agreement is amended by adding, immediately following Section 9.2(k), new Section 9.2(1) as follows:</w:t>
      </w:r>
    </w:p>
    <w:p>
      <w:pPr>
        <w:spacing w:after="0" w:line="184" w:lineRule="exact"/>
        <w:rPr>
          <w:sz w:val="20"/>
          <w:szCs w:val="20"/>
          <w:color w:val="auto"/>
        </w:rPr>
      </w:pPr>
    </w:p>
    <w:p>
      <w:pPr>
        <w:ind w:left="2040" w:hanging="587"/>
        <w:spacing w:after="0"/>
        <w:tabs>
          <w:tab w:leader="none" w:pos="20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Statutory Declaration.  Buyer shall have received the</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Statutory Declaration as defined under Singapore Law.</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55. Sections 9.3(b) and 9.3(c) are hereby amended by deleting Sections 9.3(b) and 9.3(c) in their entirety and replacing them with the following:</w:t>
      </w:r>
    </w:p>
    <w:p>
      <w:pPr>
        <w:spacing w:after="0" w:line="186" w:lineRule="exact"/>
        <w:rPr>
          <w:sz w:val="20"/>
          <w:szCs w:val="20"/>
          <w:color w:val="auto"/>
        </w:rPr>
      </w:pPr>
    </w:p>
    <w:p>
      <w:pPr>
        <w:ind w:left="1460"/>
        <w:spacing w:after="0"/>
        <w:tabs>
          <w:tab w:leader="none" w:pos="3380" w:val="left"/>
        </w:tabs>
        <w:rPr>
          <w:sz w:val="20"/>
          <w:szCs w:val="20"/>
          <w:color w:val="auto"/>
        </w:rPr>
      </w:pPr>
      <w:r>
        <w:rPr>
          <w:rFonts w:ascii="Courier New" w:cs="Courier New" w:eastAsia="Courier New" w:hAnsi="Courier New"/>
          <w:sz w:val="16"/>
          <w:szCs w:val="16"/>
          <w:color w:val="auto"/>
        </w:rPr>
        <w:t>(b) JV Amendments.</w:t>
        <w:tab/>
        <w:t>The JV Amendments shall be duly executed,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3819"/>
        <w:spacing w:after="0" w:line="248" w:lineRule="auto"/>
        <w:rPr>
          <w:sz w:val="20"/>
          <w:szCs w:val="20"/>
          <w:color w:val="auto"/>
        </w:rPr>
      </w:pPr>
      <w:r>
        <w:rPr>
          <w:rFonts w:ascii="Courier New" w:cs="Courier New" w:eastAsia="Courier New" w:hAnsi="Courier New"/>
          <w:sz w:val="16"/>
          <w:szCs w:val="16"/>
          <w:color w:val="auto"/>
        </w:rPr>
        <w:t>delivered, in full force and effect and the transactions contemplated to occur on or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3" w:name="page24"/>
    <w:bookmarkEnd w:id="23"/>
    <w:p>
      <w:pPr>
        <w:ind w:left="960" w:right="3439"/>
        <w:spacing w:after="0" w:line="248" w:lineRule="auto"/>
        <w:rPr>
          <w:sz w:val="20"/>
          <w:szCs w:val="20"/>
          <w:color w:val="auto"/>
        </w:rPr>
      </w:pPr>
      <w:r>
        <w:rPr>
          <w:rFonts w:ascii="Courier New" w:cs="Courier New" w:eastAsia="Courier New" w:hAnsi="Courier New"/>
          <w:sz w:val="16"/>
          <w:szCs w:val="16"/>
          <w:color w:val="auto"/>
        </w:rPr>
        <w:t>prior to the Closing in accordance with the terms thereunder shall have occurred on or prior to the Closing Date.</w:t>
      </w:r>
    </w:p>
    <w:p>
      <w:pPr>
        <w:spacing w:after="0" w:line="184" w:lineRule="exact"/>
        <w:rPr>
          <w:sz w:val="20"/>
          <w:szCs w:val="20"/>
          <w:color w:val="auto"/>
        </w:rPr>
      </w:pPr>
    </w:p>
    <w:p>
      <w:pPr>
        <w:ind w:left="2040" w:hanging="587"/>
        <w:spacing w:after="0"/>
        <w:tabs>
          <w:tab w:leader="none" w:pos="20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Services Agreement.  Each Transition Service</w:t>
      </w:r>
    </w:p>
    <w:p>
      <w:pPr>
        <w:spacing w:after="0" w:line="5" w:lineRule="exact"/>
        <w:rPr>
          <w:rFonts w:ascii="Courier New" w:cs="Courier New" w:eastAsia="Courier New" w:hAnsi="Courier New"/>
          <w:sz w:val="16"/>
          <w:szCs w:val="16"/>
          <w:color w:val="auto"/>
        </w:rPr>
      </w:pPr>
    </w:p>
    <w:p>
      <w:pPr>
        <w:ind w:left="2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859"/>
        <w:spacing w:after="0" w:line="248" w:lineRule="auto"/>
        <w:rPr>
          <w:sz w:val="20"/>
          <w:szCs w:val="20"/>
          <w:color w:val="auto"/>
        </w:rPr>
      </w:pPr>
      <w:r>
        <w:rPr>
          <w:rFonts w:ascii="Courier New" w:cs="Courier New" w:eastAsia="Courier New" w:hAnsi="Courier New"/>
          <w:sz w:val="16"/>
          <w:szCs w:val="16"/>
          <w:color w:val="auto"/>
        </w:rPr>
        <w:t>Agreement shall have been duly executed and delivered by Buyer and shall be in full force and effect.</w:t>
      </w:r>
    </w:p>
    <w:p>
      <w:pPr>
        <w:spacing w:after="0" w:line="184" w:lineRule="exact"/>
        <w:rPr>
          <w:sz w:val="20"/>
          <w:szCs w:val="20"/>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56.</w:t>
      </w:r>
      <w:r>
        <w:rPr>
          <w:sz w:val="20"/>
          <w:szCs w:val="20"/>
          <w:color w:val="auto"/>
        </w:rPr>
        <w:tab/>
      </w:r>
      <w:r>
        <w:rPr>
          <w:rFonts w:ascii="Courier New" w:cs="Courier New" w:eastAsia="Courier New" w:hAnsi="Courier New"/>
          <w:sz w:val="16"/>
          <w:szCs w:val="16"/>
          <w:color w:val="auto"/>
        </w:rPr>
        <w:t>Section 10.2(c) is amended to add, immediately after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line 3 before the reference to "10.2(a)(iii)" the following:</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arising under Section</w:t>
      </w:r>
    </w:p>
    <w:p>
      <w:pPr>
        <w:spacing w:after="0" w:line="191" w:lineRule="exact"/>
        <w:rPr>
          <w:sz w:val="20"/>
          <w:szCs w:val="20"/>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57.</w:t>
      </w:r>
      <w:r>
        <w:rPr>
          <w:sz w:val="20"/>
          <w:szCs w:val="20"/>
          <w:color w:val="auto"/>
        </w:rPr>
        <w:tab/>
      </w:r>
      <w:r>
        <w:rPr>
          <w:rFonts w:ascii="Courier New" w:cs="Courier New" w:eastAsia="Courier New" w:hAnsi="Courier New"/>
          <w:sz w:val="16"/>
          <w:szCs w:val="16"/>
          <w:color w:val="auto"/>
        </w:rPr>
        <w:t>Article X is amended by adding, immediately following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10.11, new Sections 10.12 and 10.13 as follows:</w:t>
      </w:r>
    </w:p>
    <w:p>
      <w:pPr>
        <w:spacing w:after="0" w:line="191" w:lineRule="exact"/>
        <w:rPr>
          <w:sz w:val="20"/>
          <w:szCs w:val="20"/>
          <w:color w:val="auto"/>
        </w:rPr>
      </w:pPr>
    </w:p>
    <w:p>
      <w:pPr>
        <w:ind w:left="1460"/>
        <w:spacing w:after="0"/>
        <w:tabs>
          <w:tab w:leader="none" w:pos="2400" w:val="left"/>
          <w:tab w:leader="none" w:pos="424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Exclusive Remedy.</w:t>
        <w:tab/>
        <w:t>The indemnification provisions of</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759"/>
        <w:spacing w:after="0" w:line="247" w:lineRule="auto"/>
        <w:rPr>
          <w:sz w:val="20"/>
          <w:szCs w:val="20"/>
          <w:color w:val="auto"/>
        </w:rPr>
      </w:pPr>
      <w:r>
        <w:rPr>
          <w:rFonts w:ascii="Courier New" w:cs="Courier New" w:eastAsia="Courier New" w:hAnsi="Courier New"/>
          <w:sz w:val="16"/>
          <w:szCs w:val="16"/>
          <w:color w:val="auto"/>
        </w:rPr>
        <w:t>this Article X shall be the exclusive remedy available to any party hereto with respect to monetary damages in the event of any breach by any other party hereto of any representation, warranty, covenant or agreement set forth in this Agreement (other than any actions under Section 12.2 below).</w:t>
      </w:r>
    </w:p>
    <w:p>
      <w:pPr>
        <w:spacing w:after="0" w:line="185" w:lineRule="exact"/>
        <w:rPr>
          <w:sz w:val="20"/>
          <w:szCs w:val="20"/>
          <w:color w:val="auto"/>
        </w:rPr>
      </w:pPr>
    </w:p>
    <w:p>
      <w:pPr>
        <w:ind w:left="1460"/>
        <w:spacing w:after="0"/>
        <w:tabs>
          <w:tab w:leader="none" w:pos="2300" w:val="left"/>
          <w:tab w:leader="none" w:pos="638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Singapore Real Property Indemnification.</w:t>
        <w:tab/>
        <w:t>Seller hereby</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agrees to indemnify, defend and hold harmless the Indemnified Buyer Group from and against, for, and in respect of any and all Claims and Losses asserted against, arising out of, relating to, imposed upon or incurred by any member of the Indemnified Buyer Group, directly or indirectly, by reason of or resulting from any delay or refusal by the Jurong Town Corporation (a body corporate incorporated under the Jurong Town Corporation Act and located in Jurong Town Hall, Jurong Town Hall Road, Singapore)("JTC") to issue a lease upon the amalgamation of the lots comprising each of the Singapore Properties (defined below), to the extent arising from, or in connection with any failure or delay, prior to the Closing Date, by the Seller, or any of its affiliates or TECH, to carry out any action, or take any step required by any of the covenants, stipulations and conditions contained in, or implied into, any of the written agreements, deeds, or instruments between JTC and any member of the Seller Group (collectively, the "Title Documents") as necessary to cause such lease to be issued in respect of, or relating to, the following properties (hereinafter "Singapore Properties"):</w:t>
      </w:r>
    </w:p>
    <w:p>
      <w:pPr>
        <w:spacing w:after="0" w:line="197" w:lineRule="exact"/>
        <w:rPr>
          <w:sz w:val="20"/>
          <w:szCs w:val="20"/>
          <w:color w:val="auto"/>
        </w:rPr>
      </w:pPr>
    </w:p>
    <w:p>
      <w:pPr>
        <w:ind w:left="2040" w:right="2759" w:hanging="587"/>
        <w:spacing w:after="0" w:line="247" w:lineRule="auto"/>
        <w:tabs>
          <w:tab w:leader="none" w:pos="20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whole of Lot 1740 Town Subdivision 17 (also known as Private Lots A1627 and A1627 (a)) together with the buildings erected thereon and known as 990 Bendemeer Road, Singapore; and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4" w:name="page25"/>
    <w:bookmarkEnd w:id="24"/>
    <w:p>
      <w:pPr>
        <w:jc w:val="both"/>
        <w:ind w:left="1940" w:right="2559" w:hanging="487"/>
        <w:spacing w:after="0" w:line="247" w:lineRule="auto"/>
        <w:tabs>
          <w:tab w:leader="none" w:pos="19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whole of Lot 2801 (also known as Private Lot 12408) and Lot 2802 (also known as Private Lot 12408(a)) both of Mukin 13 together with the buildings erected thereon and known as No. 1 Woodlands Industrial Park D Street 1;</w:t>
      </w:r>
    </w:p>
    <w:p>
      <w:pPr>
        <w:spacing w:after="0" w:line="186"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For the purposes of this Agreement, the term "Governmental Agency" shall be defined to include the Jurong Town Corporation. For purposes of this Agreement, Seller's indemnification obligation under this Section 10.13 shall be treated as a "Buyer Indemnified Claim" and shall be subject to the Threshold Amount and Maximum Amount set forth in Section 10.2(b) hereof.</w:t>
      </w:r>
    </w:p>
    <w:p>
      <w:pPr>
        <w:spacing w:after="0" w:line="185"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The indemnification obligation set forth in this Section 10.13 shall in any event expire with respect to each of the Singapore Properties on the day that is thirty (30) days following the date of the issuance by the JTC of a lease to a member of the Indemnified Buyer Group for such property.</w:t>
      </w:r>
    </w:p>
    <w:p>
      <w:pPr>
        <w:spacing w:after="0" w:line="185" w:lineRule="exact"/>
        <w:rPr>
          <w:sz w:val="20"/>
          <w:szCs w:val="20"/>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58.</w:t>
      </w:r>
      <w:r>
        <w:rPr>
          <w:sz w:val="20"/>
          <w:szCs w:val="20"/>
          <w:color w:val="auto"/>
        </w:rPr>
        <w:tab/>
      </w:r>
      <w:r>
        <w:rPr>
          <w:rFonts w:ascii="Courier New" w:cs="Courier New" w:eastAsia="Courier New" w:hAnsi="Courier New"/>
          <w:sz w:val="16"/>
          <w:szCs w:val="16"/>
          <w:color w:val="auto"/>
        </w:rPr>
        <w:t>Section 11.1 of the Agreement is amended by deleting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 in its entirety and replacing it with the following:</w:t>
      </w:r>
    </w:p>
    <w:p>
      <w:pPr>
        <w:spacing w:after="0" w:line="191" w:lineRule="exact"/>
        <w:rPr>
          <w:sz w:val="20"/>
          <w:szCs w:val="20"/>
          <w:color w:val="auto"/>
        </w:rPr>
      </w:pPr>
    </w:p>
    <w:p>
      <w:pPr>
        <w:ind w:left="1460"/>
        <w:spacing w:after="0"/>
        <w:tabs>
          <w:tab w:leader="none" w:pos="212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Intentionally Omitted.</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Section 59. Article XII of the Acquisition Agreement is amended to add, immediately following Section 12.13, new Section 12.14 as follows:</w:t>
      </w:r>
    </w:p>
    <w:p>
      <w:pPr>
        <w:spacing w:after="0" w:line="184" w:lineRule="exact"/>
        <w:rPr>
          <w:sz w:val="20"/>
          <w:szCs w:val="20"/>
          <w:color w:val="auto"/>
        </w:rPr>
      </w:pPr>
    </w:p>
    <w:p>
      <w:pPr>
        <w:ind w:left="1460"/>
        <w:spacing w:after="0"/>
        <w:tabs>
          <w:tab w:leader="none" w:pos="2120" w:val="left"/>
          <w:tab w:leader="none" w:pos="4720" w:val="left"/>
        </w:tabs>
        <w:rPr>
          <w:sz w:val="20"/>
          <w:szCs w:val="20"/>
          <w:color w:val="auto"/>
        </w:rPr>
      </w:pPr>
      <w:r>
        <w:rPr>
          <w:rFonts w:ascii="Courier New" w:cs="Courier New" w:eastAsia="Courier New" w:hAnsi="Courier New"/>
          <w:sz w:val="16"/>
          <w:szCs w:val="16"/>
          <w:color w:val="auto"/>
        </w:rPr>
        <w:t>12.14</w:t>
        <w:tab/>
        <w:t>Royalty Bearing Products.</w:t>
        <w:tab/>
        <w:t>Buyer and Seller hereby agree</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that the term "Royalty Bearing Products" as defined in Section 1.18 of the previous Semiconductor Cross License between Buyer and Seller having an effective date of January 1, 1994 (the "Previous Cross-License"), the term of which and the respective licenses granted under which expire December 31, 1998, shall not include any product manufactured at any facility transferred by Seller to Buyer pursuant to this Agreement, and that the term "Net Sales Billed" as defined in Section 1.20 of the Previous Cross-License shall not include any revenues of any kind derived as a result of Buyer's operation of the Business or any of the Acquired Assets.</w:t>
      </w:r>
    </w:p>
    <w:p>
      <w:pPr>
        <w:spacing w:after="0" w:line="192"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Section 60. Seller agrees promptly following the Closing, but in no event later than 23 days after the date hereof, to supplement and reformat Section 4.1(e) of the Seller Disclosure Letter, as reasonably requested by Buyer, to be fully responsive to the requirements of Section 4.1(e) of the Agreement and Buyer agrees to negotiate such supplements and reformatting in good faith.</w:t>
      </w:r>
    </w:p>
    <w:p>
      <w:pPr>
        <w:spacing w:after="0" w:line="185"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61. THIS SECOND AMENDMENT SHALL BE GOVERNED BY AND CONSTRUED IN ACCORDANCE WITH THE LAWS OF THE STATE OF DELAWARE, WITHOUT GIVING EFFECT TO THE PRINCIPLES GOVERNING CONFLICTS OF LAW.</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5" w:name="page26"/>
    <w:bookmarkEnd w:id="25"/>
    <w:p>
      <w:pPr>
        <w:ind w:right="2459" w:firstLine="484"/>
        <w:spacing w:after="0" w:line="248" w:lineRule="auto"/>
        <w:rPr>
          <w:sz w:val="20"/>
          <w:szCs w:val="20"/>
          <w:color w:val="auto"/>
        </w:rPr>
      </w:pPr>
      <w:r>
        <w:rPr>
          <w:rFonts w:ascii="Courier New" w:cs="Courier New" w:eastAsia="Courier New" w:hAnsi="Courier New"/>
          <w:sz w:val="16"/>
          <w:szCs w:val="16"/>
          <w:color w:val="auto"/>
        </w:rPr>
        <w:t>IN WITNESS WHEREOF, the undersigned have caused this Second Amendment to be executed as of the date first above written.</w:t>
      </w:r>
    </w:p>
    <w:p>
      <w:pPr>
        <w:spacing w:after="0" w:line="18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MICRON TECHNOLOGY, INC.</w:t>
      </w:r>
    </w:p>
    <w:p>
      <w:pPr>
        <w:spacing w:after="0" w:line="37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 _____________________________________________</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TEXAS INSTRUMENTS INCORPORATED</w:t>
      </w:r>
    </w:p>
    <w:p>
      <w:pPr>
        <w:spacing w:after="0" w:line="37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 _____________________________________________</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6" w:name="page27"/>
    <w:bookmarkEnd w:id="26"/>
    <w:p>
      <w:pPr>
        <w:jc w:val="right"/>
        <w:ind w:right="2459"/>
        <w:spacing w:after="0"/>
        <w:rPr>
          <w:sz w:val="20"/>
          <w:szCs w:val="20"/>
          <w:color w:val="auto"/>
        </w:rPr>
      </w:pPr>
      <w:r>
        <w:rPr>
          <w:rFonts w:ascii="Courier New" w:cs="Courier New" w:eastAsia="Courier New" w:hAnsi="Courier New"/>
          <w:sz w:val="16"/>
          <w:szCs w:val="16"/>
          <w:color w:val="auto"/>
        </w:rPr>
        <w:t>EXHIBIT 10.125</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Trustee</w:t>
      </w:r>
    </w:p>
    <w:p>
      <w:pPr>
        <w:spacing w:after="0" w:line="3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Second Supplemental Trust Indenture</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Dated as of September 30, 1998</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Supplementing that certain</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Indenture</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Dated as of June 15, 1997</w:t>
      </w:r>
    </w:p>
    <w:p>
      <w:pPr>
        <w:spacing w:after="0" w:line="37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Authorizing the Issuance and Delivery of</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Subordinated Debt Notes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6-1/2% Convertible Subordinated Notes due October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28" w:right="1440" w:bottom="1440" w:gutter="0" w:footer="0" w:header="0"/>
        </w:sectPr>
      </w:pPr>
    </w:p>
    <w:bookmarkStart w:id="27" w:name="page28"/>
    <w:bookmarkEnd w:id="27"/>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8"/>
              </w:rPr>
              <w:t>PAGE</w:t>
            </w:r>
          </w:p>
        </w:tc>
      </w:tr>
      <w:tr>
        <w:trPr>
          <w:trHeight w:val="373"/>
        </w:trPr>
        <w:tc>
          <w:tcPr>
            <w:tcW w:w="8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ONE - ISSUANCE OF NOTES...................................................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13</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101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Issuance of Notes; Principal Amount; Maturity...............</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13</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102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Interest on the Notes; Payment of Interest..................</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13</w:t>
            </w:r>
          </w:p>
        </w:tc>
      </w:tr>
      <w:tr>
        <w:trPr>
          <w:trHeight w:val="373"/>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ARTICLE TWO - CERTAIN</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DEFINITIONS.................................................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15</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201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Certain Definitions.........................................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15</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ARTICLE THREE -</w:t>
            </w:r>
          </w:p>
        </w:tc>
        <w:tc>
          <w:tcPr>
            <w:tcW w:w="6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CERTAIN COVENANTS.................................................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16</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301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Registration and Listing....................................</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16</w:t>
            </w:r>
          </w:p>
        </w:tc>
      </w:tr>
      <w:tr>
        <w:trPr>
          <w:trHeight w:val="373"/>
        </w:trPr>
        <w:tc>
          <w:tcPr>
            <w:tcW w:w="8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FOUR - REDEMPTION OF NOTES................................................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16</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Right of Redemption.........................................</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16</w:t>
            </w:r>
          </w:p>
        </w:tc>
      </w:tr>
      <w:tr>
        <w:trPr>
          <w:trHeight w:val="373"/>
        </w:trPr>
        <w:tc>
          <w:tcPr>
            <w:tcW w:w="8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FIVE - CONVERSION OF NOTES................................................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17</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501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Conversion Privilege and Conversion Rate....................</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17</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502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Adjustment of Conversion Rate...............................</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17</w:t>
            </w:r>
          </w:p>
        </w:tc>
      </w:tr>
      <w:tr>
        <w:trPr>
          <w:trHeight w:val="373"/>
        </w:trPr>
        <w:tc>
          <w:tcPr>
            <w:tcW w:w="8000" w:type="dxa"/>
            <w:vAlign w:val="bottom"/>
            <w:gridSpan w:val="3"/>
          </w:tcPr>
          <w:p>
            <w:pPr>
              <w:spacing w:after="0"/>
              <w:rPr>
                <w:sz w:val="20"/>
                <w:szCs w:val="20"/>
                <w:color w:val="auto"/>
              </w:rPr>
            </w:pPr>
            <w:r>
              <w:rPr>
                <w:rFonts w:ascii="Courier New" w:cs="Courier New" w:eastAsia="Courier New" w:hAnsi="Courier New"/>
                <w:sz w:val="16"/>
                <w:szCs w:val="16"/>
                <w:color w:val="auto"/>
              </w:rPr>
              <w:t>ARTICLE SIX - REPURCHASE OF NOTES AT THE OPTION OF THE HOLDER UPON</w:t>
            </w:r>
          </w:p>
        </w:tc>
        <w:tc>
          <w:tcPr>
            <w:tcW w:w="420" w:type="dxa"/>
            <w:vAlign w:val="bottom"/>
          </w:tcPr>
          <w:p>
            <w:pPr>
              <w:spacing w:after="0"/>
              <w:rPr>
                <w:sz w:val="24"/>
                <w:szCs w:val="24"/>
                <w:color w:val="auto"/>
              </w:rPr>
            </w:pPr>
          </w:p>
        </w:tc>
      </w:tr>
      <w:tr>
        <w:trPr>
          <w:trHeight w:val="186"/>
        </w:trPr>
        <w:tc>
          <w:tcPr>
            <w:tcW w:w="8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 CHANGE OF CONTROL.......................................................</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22</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Right to Require Repurchase.................................</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22</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602</w:t>
            </w:r>
          </w:p>
        </w:tc>
        <w:tc>
          <w:tcPr>
            <w:tcW w:w="592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Conditions to the Company's Election to Pay the</w:t>
            </w:r>
          </w:p>
        </w:tc>
        <w:tc>
          <w:tcPr>
            <w:tcW w:w="420" w:type="dxa"/>
            <w:vAlign w:val="bottom"/>
          </w:tcPr>
          <w:p>
            <w:pPr>
              <w:spacing w:after="0"/>
              <w:rPr>
                <w:sz w:val="16"/>
                <w:szCs w:val="16"/>
                <w:color w:val="auto"/>
              </w:rPr>
            </w:pPr>
          </w:p>
        </w:tc>
      </w:tr>
      <w:tr>
        <w:trPr>
          <w:trHeight w:val="186"/>
        </w:trPr>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Repurchase Price in Common Stock............................</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23</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603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Notices; Method of Exercising Repurchase Right, Etc. .......</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23</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604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Certain Definitions. .......................................</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26</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605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Consolidation, Merger, etc .................................</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27</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ARTICLE SEVEN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EVENT</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OF DEFAULT..................................................</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28</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701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Event of Default............................................</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28</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ARTICLE EIGHT -</w:t>
            </w:r>
          </w:p>
        </w:tc>
        <w:tc>
          <w:tcPr>
            <w:tcW w:w="6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28</w:t>
            </w:r>
          </w:p>
        </w:tc>
      </w:tr>
      <w:tr>
        <w:trPr>
          <w:trHeight w:val="37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801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Applicability of Certain Indenture Provisions...............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28</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802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Reference to and Effect on the Indenture....................</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28</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803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Waiver of Certain Covenants.................................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28</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804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Supplemental Indenture May be Executed In Counterparts......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29</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805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Effect of Headings..........................................</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29</w:t>
            </w:r>
          </w:p>
        </w:tc>
      </w:tr>
    </w:tbl>
    <w:p>
      <w:pPr>
        <w:sectPr>
          <w:pgSz w:w="11900" w:h="16838" w:orient="portrait"/>
          <w:cols w:equalWidth="0" w:num="1">
            <w:col w:w="10219"/>
          </w:cols>
          <w:pgMar w:left="240" w:top="676" w:right="1440" w:bottom="1440" w:gutter="0" w:footer="0" w:header="0"/>
        </w:sectPr>
      </w:pPr>
    </w:p>
    <w:bookmarkStart w:id="28" w:name="page29"/>
    <w:bookmarkEnd w:id="28"/>
    <w:p>
      <w:pPr>
        <w:ind w:right="2459" w:firstLine="484"/>
        <w:spacing w:after="0" w:line="247" w:lineRule="auto"/>
        <w:rPr>
          <w:sz w:val="20"/>
          <w:szCs w:val="20"/>
          <w:color w:val="auto"/>
        </w:rPr>
      </w:pPr>
      <w:r>
        <w:rPr>
          <w:rFonts w:ascii="Courier New" w:cs="Courier New" w:eastAsia="Courier New" w:hAnsi="Courier New"/>
          <w:sz w:val="16"/>
          <w:szCs w:val="16"/>
          <w:color w:val="auto"/>
        </w:rPr>
        <w:t>This Second Supplemental Trust Indenture, dated as of September 30, 1998 (the "Supplemental Indenture"), between Micron Technology, Inc., a corporation duly organized and existing under the laws of the State of Delaware (the "Company"), and Norwest Bank Minnesota, National Association, a national banking association organized and existing under the laws of the United States of America, as Trustee (the "Trustee"), supplementing that certain Indenture, dated as of June 15, 1997, between the Company and the Trustee (the "Indenture").</w:t>
      </w:r>
    </w:p>
    <w:p>
      <w:pPr>
        <w:spacing w:after="0" w:line="37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Recitals</w:t>
      </w:r>
    </w:p>
    <w:p>
      <w:pPr>
        <w:spacing w:after="0" w:line="191" w:lineRule="exact"/>
        <w:rPr>
          <w:sz w:val="20"/>
          <w:szCs w:val="20"/>
          <w:color w:val="auto"/>
        </w:rPr>
      </w:pPr>
    </w:p>
    <w:p>
      <w:pPr>
        <w:ind w:right="2859" w:firstLine="484"/>
        <w:spacing w:after="0" w:line="247" w:lineRule="auto"/>
        <w:tabs>
          <w:tab w:leader="none" w:pos="9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85" w:lineRule="exact"/>
        <w:rPr>
          <w:rFonts w:ascii="Courier New" w:cs="Courier New" w:eastAsia="Courier New" w:hAnsi="Courier New"/>
          <w:sz w:val="16"/>
          <w:szCs w:val="16"/>
          <w:color w:val="auto"/>
        </w:rPr>
      </w:pPr>
    </w:p>
    <w:p>
      <w:pPr>
        <w:ind w:right="2559" w:firstLine="484"/>
        <w:spacing w:after="0" w:line="246" w:lineRule="auto"/>
        <w:tabs>
          <w:tab w:leader="none" w:pos="9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to be required by the officers executing such securities, as evidenced by their execution thereof.</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Trustee have agreed that the Company shall issue and deliver, and the Trustee shall authenticate, Securities denominated "6-1/2% Convertible Subordinated Notes due October 1, 2005" (the "Notes") pursuant to the terms of this Supplemental Indenture and substantially in the form set forth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such Securities.</w:t>
      </w:r>
    </w:p>
    <w:p>
      <w:pPr>
        <w:spacing w:after="0" w:line="193"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Face of Security]</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THE SECURITIES AND THE COMMON STOCK ISSUABLE UPON CONVERSION OF SUCH SECURITIES REPRESENTED BY THIS CERTIFICATE HAVE BEEN ACQUIRED</w:t>
      </w:r>
    </w:p>
    <w:p>
      <w:pPr>
        <w:sectPr>
          <w:pgSz w:w="11900" w:h="16838" w:orient="portrait"/>
          <w:cols w:equalWidth="0" w:num="1">
            <w:col w:w="10219"/>
          </w:cols>
          <w:pgMar w:left="240" w:top="1235" w:right="1440" w:bottom="1440" w:gutter="0" w:footer="0" w:header="0"/>
        </w:sectPr>
      </w:pPr>
    </w:p>
    <w:bookmarkStart w:id="29" w:name="page30"/>
    <w:bookmarkEnd w:id="29"/>
    <w:p>
      <w:pPr>
        <w:ind w:right="2759"/>
        <w:spacing w:after="0" w:line="247" w:lineRule="auto"/>
        <w:rPr>
          <w:sz w:val="20"/>
          <w:szCs w:val="20"/>
          <w:color w:val="auto"/>
        </w:rPr>
      </w:pPr>
      <w:r>
        <w:rPr>
          <w:rFonts w:ascii="Courier New" w:cs="Courier New" w:eastAsia="Courier New" w:hAnsi="Courier New"/>
          <w:sz w:val="16"/>
          <w:szCs w:val="16"/>
          <w:color w:val="auto"/>
        </w:rPr>
        <w:t>FOR INVESTMENT AND HAVE NOT BEEN REGISTERED UNDER THE SECURITIES ACT OF 1933. SUCH SECURITIES AND THE COMMON STOCK ISSUABLE UPON CONVERSION OF SUCH SECURITIES MAY NOT BE SOLD OR TRANSFERRED IN THE ABSENCE OF SUCH REGISTRATION OR AN OPINION OF COUNSEL SATISFACTORY TO MICRON AS TO THE AVAILABILITY OF AN EXEMPTION FROM REGISTRATION.</w:t>
      </w:r>
    </w:p>
    <w:p>
      <w:pPr>
        <w:spacing w:after="0" w:line="18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THE SECURITIES AND THE COMMON STOCK ISSUABLE UPON CONVERSION OF SUCH SECURITIES REPRESENTED BY THIS CERTIFICATE ARE SUBJECT TO RESTRICTIONS ON TRANSFER, INCLUDING ANY SALE, PLEDGE OR OTHER HYPOTHECATION SET FORTH IN AN AGREEMENT</w:t>
      </w:r>
    </w:p>
    <w:p>
      <w:pPr>
        <w:spacing w:after="0" w:line="2"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DATED AS OF , 1998 BETWEEN MICRON AND TEXAS INSTRUMENTS INCORPORATED, A COPY OF WHICH AGREEMENT MAY BE OBTAINED AT NO COST BY WRITTEN REQUEST MADE BY THE HOLDER OF RECORD OF THIS CERTIFICATE TO THE SECRETARY OF MICRON AT MICRON'S PRINCIPAL EXECUTIVE OFFICES.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30" w:name="page31"/>
    <w:bookmarkEnd w:id="30"/>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6-1/2% Convertible Subordinated Note due October 1, 2005</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_________</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w:t>
      </w:r>
    </w:p>
    <w:p>
      <w:pPr>
        <w:spacing w:after="0" w:line="191" w:lineRule="exact"/>
        <w:rPr>
          <w:sz w:val="20"/>
          <w:szCs w:val="20"/>
          <w:color w:val="auto"/>
        </w:rPr>
      </w:pPr>
    </w:p>
    <w:p>
      <w:pPr>
        <w:sectPr>
          <w:pgSz w:w="11900" w:h="16838" w:orient="portrait"/>
          <w:cols w:equalWidth="0" w:num="2">
            <w:col w:w="5680" w:space="720"/>
            <w:col w:w="3819"/>
          </w:cols>
          <w:pgMar w:left="240" w:top="676" w:right="1440" w:bottom="1440" w:gutter="0" w:footer="0" w:header="0"/>
          <w:type w:val="continuous"/>
        </w:sect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 or registered assigns,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sum of ___________________ Dollars on October 1, 2005 and to pay</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interest thereon from September 30, 1998 or from the most recent Interest Payment Date to which interest has been paid or duly provided for, semi-annually on April 1 and October 1 in each year, commencing April 1, 1999, at the rate of 6-1/2%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March 15 or September 15 (whether or not a Business Day), as the case may be, next preceding such Interest Payment Date, subject to the right of the Company to defer interest during an Extension Period.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9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So long as no Event of Default under the Indenture has occurred and is continuing, the Company shall have the right at any time during the term of the Securities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of the Securities. At the end of each Extension Period, the Company shall be responsible for the payment of, and the Company shall pay (subject to the exception set forth in the last two sentences of this paragraph) to the Person in whose name this Security is registered at the close of business on the Regular Record Date next preceding such payment date all interest then accrued and unpaid together with interest thereon compounded semi-annually at the rate specified for the Securities to the extent permitted by applicable law; provided, that during any Extension Period, the Company shall not, and shall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type w:val="continuous"/>
        </w:sectPr>
      </w:pPr>
    </w:p>
    <w:bookmarkStart w:id="31" w:name="page32"/>
    <w:bookmarkEnd w:id="31"/>
    <w:p>
      <w:pPr>
        <w:ind w:left="1" w:right="2659"/>
        <w:spacing w:after="0" w:line="246" w:lineRule="auto"/>
        <w:rPr>
          <w:sz w:val="20"/>
          <w:szCs w:val="20"/>
          <w:color w:val="auto"/>
        </w:rPr>
      </w:pPr>
      <w:r>
        <w:rPr>
          <w:rFonts w:ascii="Courier New" w:cs="Courier New" w:eastAsia="Courier New" w:hAnsi="Courier New"/>
          <w:sz w:val="16"/>
          <w:szCs w:val="16"/>
          <w:color w:val="auto"/>
        </w:rPr>
        <w:t>securities (including capital stock) that rank pari passu with or junior to the securities on which such dividend, redemption, interest, principal or guarantee payment is being made, (b) 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w:t>
      </w:r>
    </w:p>
    <w:p>
      <w:pPr>
        <w:spacing w:after="0" w:line="7" w:lineRule="exact"/>
        <w:rPr>
          <w:sz w:val="20"/>
          <w:szCs w:val="20"/>
          <w:color w:val="auto"/>
        </w:rPr>
      </w:pPr>
    </w:p>
    <w:p>
      <w:pPr>
        <w:ind w:left="60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such Extension Period together with all previous and further extensions thereof may not exceed 4 consecutive semi-annual interest payment periods and may not extend beyond the Stated Maturity of the Securities. Upon the termination of any Extension Period and the payment of all amounts then due, the Company may commence a new Extension Period, subject to the above requirements. No interest during an Extension Period shall be due and payable except at the end thereof. In the event that a Holder converts his or her Security (or portion thereof) within a period of 10 Business Days of the Stated Maturity of the Securities, such Holder will receive, in addition to the shares of Common Stock issuable upon conversion of such Security (or portion thereof) (including any cash paid for fractional shares as provided in Section 1403 of the Indenture), any accrued and unpaid interest that has accrued from the date of commencement of the Extension Period to the earlier to occur of (i) the date of termination of the Extension Period or (ii) the date of conversion. Any such payment shall be in lieu of the payment otherwise required to be made at the end of the Extension Period to the Holder of this Security in whose name this Security is registered at the close of business on the Regular Record Date next preceding the payment date for such interest.</w:t>
      </w:r>
    </w:p>
    <w:p>
      <w:pPr>
        <w:spacing w:after="0" w:line="197"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Company shall give written notice to the Trustee of its election to begin an Extension Period at least one Business Day prior to the earlier of (i) the Regular Record Date for the Interest Payment Date on the Securities that would have been payable but for the election to begin such Extension Period or</w:t>
      </w:r>
    </w:p>
    <w:p>
      <w:pPr>
        <w:spacing w:after="0" w:line="2" w:lineRule="exact"/>
        <w:rPr>
          <w:sz w:val="20"/>
          <w:szCs w:val="20"/>
          <w:color w:val="auto"/>
        </w:rPr>
      </w:pPr>
    </w:p>
    <w:p>
      <w:pPr>
        <w:ind w:left="1" w:right="2459" w:hanging="1"/>
        <w:spacing w:after="0" w:line="247" w:lineRule="auto"/>
        <w:tabs>
          <w:tab w:leader="none" w:pos="48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are listed on the New York Stock Exchange, Inc. ("NYSE") or other stock exchange or quotation system, the date the Company is required to give notice to the NYSE or other applicable self-regulatory organization or to Holders of the Securities of the Regular Record Date or the date such interest is payable.</w:t>
      </w:r>
    </w:p>
    <w:p>
      <w:pPr>
        <w:spacing w:after="0" w:line="185"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Payment of the principal of (and premium, if any) and any interest on this Security will be made at Corporate Trust Office of the Trustee in such coin or currency of the United States of America as at the time of payment is legal tender for payment of public and private debts; provided, however, that at the</w:t>
      </w:r>
    </w:p>
    <w:p>
      <w:pPr>
        <w:spacing w:after="0" w:line="2" w:lineRule="exact"/>
        <w:rPr>
          <w:sz w:val="20"/>
          <w:szCs w:val="20"/>
          <w:color w:val="auto"/>
        </w:rPr>
      </w:pPr>
    </w:p>
    <w:p>
      <w:pPr>
        <w:ind w:left="4661"/>
        <w:spacing w:after="0"/>
        <w:tabs>
          <w:tab w:leader="none" w:pos="56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1" w:right="2859"/>
        <w:spacing w:after="0" w:line="247" w:lineRule="auto"/>
        <w:rPr>
          <w:sz w:val="20"/>
          <w:szCs w:val="20"/>
          <w:color w:val="auto"/>
        </w:rPr>
      </w:pPr>
      <w:r>
        <w:rPr>
          <w:rFonts w:ascii="Courier New" w:cs="Courier New" w:eastAsia="Courier New" w:hAnsi="Courier New"/>
          <w:sz w:val="16"/>
          <w:szCs w:val="16"/>
          <w:color w:val="auto"/>
        </w:rPr>
        <w:t>option of the Company payment of interest may be made by check mailed to the address of the Person entitled thereto as such address shall appear in the Security Register.</w:t>
      </w:r>
    </w:p>
    <w:p>
      <w:pPr>
        <w:spacing w:after="0" w:line="186" w:lineRule="exact"/>
        <w:rPr>
          <w:sz w:val="20"/>
          <w:szCs w:val="20"/>
          <w:color w:val="auto"/>
        </w:rPr>
      </w:pPr>
    </w:p>
    <w:p>
      <w:pPr>
        <w:jc w:val="both"/>
        <w:ind w:left="1" w:right="2859" w:firstLine="484"/>
        <w:spacing w:after="0" w:line="247"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6"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76" w:right="1440" w:bottom="1440" w:gutter="0" w:footer="0" w:header="0"/>
        </w:sectPr>
      </w:pPr>
    </w:p>
    <w:bookmarkStart w:id="32" w:name="page33"/>
    <w:bookmarkEnd w:id="32"/>
    <w:p>
      <w:pPr>
        <w:ind w:right="3039" w:firstLine="484"/>
        <w:spacing w:after="0" w:line="248"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Trustee's certificates of authentication shall be in substantially the following form:</w:t>
      </w:r>
    </w:p>
    <w:p>
      <w:pPr>
        <w:spacing w:after="0" w:line="184"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ectPr>
          <w:pgSz w:w="11900" w:h="16838" w:orient="portrait"/>
          <w:cols w:equalWidth="0" w:num="1">
            <w:col w:w="10219"/>
          </w:cols>
          <w:pgMar w:left="240" w:top="676"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NORWEST BANK MINNESOTA, 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ectPr>
          <w:pgSz w:w="11900" w:h="16838" w:orient="portrait"/>
          <w:cols w:equalWidth="0" w:num="2">
            <w:col w:w="2760" w:space="720"/>
            <w:col w:w="6739"/>
          </w:cols>
          <w:pgMar w:left="240" w:top="676" w:right="1440" w:bottom="1440" w:gutter="0" w:footer="0" w:header="0"/>
          <w:type w:val="continuous"/>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Authorized Officer</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REVERSE OF SECURITY</w:t>
      </w:r>
    </w:p>
    <w:p>
      <w:pPr>
        <w:sectPr>
          <w:pgSz w:w="11900" w:h="16838" w:orient="portrait"/>
          <w:cols w:equalWidth="0" w:num="1">
            <w:col w:w="10219"/>
          </w:cols>
          <w:pgMar w:left="240" w:top="676" w:right="1440" w:bottom="1440" w:gutter="0" w:footer="0" w:header="0"/>
          <w:type w:val="continuous"/>
        </w:sectPr>
      </w:pP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(herein called the "Securities"), issued and to be issued in one or more series under an Indenture, dated as of June 15, 1997 (herein called the "Indenture,"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limited in aggregate principal amount to $740,000,000.</w:t>
      </w:r>
    </w:p>
    <w:p>
      <w:pPr>
        <w:spacing w:after="0" w:line="194"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Securities will not be subject to redemption prior to October 3, 2000 and will be redeemable on and after such date at the option of the Company, in whole or in part, upon not less than 20 nor more than 60 days notice to the Holders, at the Redemption Prices (expressed as percen tages of the principal amount) set forth below; provided, however, that the Securities will not be</w:t>
      </w:r>
    </w:p>
    <w:p>
      <w:pPr>
        <w:spacing w:after="0" w:line="3" w:lineRule="exact"/>
        <w:rPr>
          <w:sz w:val="20"/>
          <w:szCs w:val="20"/>
          <w:color w:val="auto"/>
        </w:rPr>
      </w:pPr>
    </w:p>
    <w:p>
      <w:pPr>
        <w:ind w:left="2420"/>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redeemable following October 3, 2000 and before October 2, 2002 unless the Closing Price Per Share of the Company's Common Stock is at least 130% of the Conversion Price for at least 20</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type w:val="continuous"/>
        </w:sectPr>
      </w:pPr>
    </w:p>
    <w:bookmarkStart w:id="33" w:name="page34"/>
    <w:bookmarkEnd w:id="33"/>
    <w:p>
      <w:pPr>
        <w:ind w:right="2659"/>
        <w:spacing w:after="0" w:line="248" w:lineRule="auto"/>
        <w:rPr>
          <w:sz w:val="20"/>
          <w:szCs w:val="20"/>
          <w:color w:val="auto"/>
        </w:rPr>
      </w:pPr>
      <w:r>
        <w:rPr>
          <w:rFonts w:ascii="Courier New" w:cs="Courier New" w:eastAsia="Courier New" w:hAnsi="Courier New"/>
          <w:sz w:val="16"/>
          <w:szCs w:val="16"/>
          <w:color w:val="auto"/>
        </w:rPr>
        <w:t>Trading Days within a period of 30 consecutive Trading Days ending within five Trading Days of the call for redemption.</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Redemption Price (expressed as a percentage of principal amount) is as follows for the twelve-month periods beginning on October 1 of the following years (beginning on October 3, 2000, and ending on September 30, 2001, in the case of the first such period):</w:t>
      </w:r>
    </w:p>
    <w:p>
      <w:pPr>
        <w:spacing w:after="0" w:line="186"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Redemption Price</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104.64%</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103.71%</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102.79%</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101.86%</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100.93%</w:t>
            </w:r>
          </w:p>
        </w:tc>
      </w:tr>
    </w:tbl>
    <w:p>
      <w:pPr>
        <w:spacing w:after="0" w:line="190"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and thereafter is equal to 100% of the principal amount, in each case together with accrued and unpaid interest (including any unpaid interest, compounded semi-annually, that has accrued during any Extension Period) to, but excluding, the Redemption Date; provided, however, that interest installments whose Stated</w:t>
      </w:r>
    </w:p>
    <w:p>
      <w:pPr>
        <w:spacing w:after="0" w:line="2" w:lineRule="exact"/>
        <w:rPr>
          <w:sz w:val="20"/>
          <w:szCs w:val="20"/>
          <w:color w:val="auto"/>
        </w:rPr>
      </w:pPr>
    </w:p>
    <w:p>
      <w:pPr>
        <w:ind w:left="2040"/>
        <w:spacing w:after="0"/>
        <w:tabs>
          <w:tab w:leader="none" w:pos="298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a Change in Control occurs, the Holder of this Security, at the Holder's option, shall have the right, in accordance with the provisions of the Indenture, to require the Company to repurchase this Security (or any portion of the principal amount hereof that is $1,000 or any integral multiple of $1,000 in excess thereof, provided that the portion of the principal amount of this</w:t>
      </w:r>
    </w:p>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Security to be Outstanding after such repurchase is at least equal to $1,000) for cash at a Repurchase Price equal to 100% of the principal amount thereof plus interest accrued to, but excluding, the Repurchase Date (including any unpaid interest, compounded semi-annually, that has accrued during any Extension Period). At the option of the Company, the Repurchase Price may be paid in cash or, subject to the conditions provided in the Indenture, by delivery of shares of Common Stock having a fair market value equal to the Repurchase Price. For purposes of this paragraph, the fair market value of shares of Common Stock shall be determined by the Company and shall be equal to 95% of the average of the Closing Prices Per Share for the five consecutive Trading Days immediately preceding the second Trading Day prior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 made; provided, however, that,</w:t>
      </w:r>
    </w:p>
    <w:p>
      <w:pPr>
        <w:spacing w:after="0" w:line="10" w:lineRule="exact"/>
        <w:rPr>
          <w:sz w:val="20"/>
          <w:szCs w:val="20"/>
          <w:color w:val="auto"/>
        </w:rPr>
      </w:pPr>
    </w:p>
    <w:p>
      <w:pPr>
        <w:ind w:left="5140"/>
        <w:spacing w:after="0"/>
        <w:tabs>
          <w:tab w:leader="none" w:pos="608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3780" w:right="3539" w:hanging="3778"/>
        <w:spacing w:after="0" w:line="495" w:lineRule="auto"/>
        <w:rPr>
          <w:sz w:val="20"/>
          <w:szCs w:val="20"/>
          <w:color w:val="auto"/>
        </w:rPr>
      </w:pPr>
      <w:r>
        <w:rPr>
          <w:rFonts w:ascii="Courier New" w:cs="Courier New" w:eastAsia="Courier New" w:hAnsi="Courier New"/>
          <w:sz w:val="16"/>
          <w:szCs w:val="16"/>
          <w:color w:val="auto"/>
        </w:rPr>
        <w:t>for the purposes of the succeeding paragraph, such reference shall be 6</w:t>
      </w:r>
    </w:p>
    <w:p>
      <w:pPr>
        <w:sectPr>
          <w:pgSz w:w="11900" w:h="16838" w:orient="portrait"/>
          <w:cols w:equalWidth="0" w:num="1">
            <w:col w:w="10219"/>
          </w:cols>
          <w:pgMar w:left="240" w:top="676" w:right="1440" w:bottom="1440" w:gutter="0" w:footer="0" w:header="0"/>
        </w:sectPr>
      </w:pPr>
    </w:p>
    <w:bookmarkStart w:id="34" w:name="page35"/>
    <w:bookmarkEnd w:id="34"/>
    <w:p>
      <w:pPr>
        <w:ind w:right="3039"/>
        <w:spacing w:after="0" w:line="248" w:lineRule="auto"/>
        <w:rPr>
          <w:sz w:val="20"/>
          <w:szCs w:val="20"/>
          <w:color w:val="auto"/>
        </w:rPr>
      </w:pPr>
      <w:r>
        <w:rPr>
          <w:rFonts w:ascii="Courier New" w:cs="Courier New" w:eastAsia="Courier New" w:hAnsi="Courier New"/>
          <w:sz w:val="16"/>
          <w:szCs w:val="16"/>
          <w:color w:val="auto"/>
        </w:rPr>
        <w:t>deemed to include reference to the Repurchase Price only to the extent the Repurchase Price is payable in cash.</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w:t>
      </w:r>
    </w:p>
    <w:p>
      <w:pPr>
        <w:spacing w:after="0" w:line="2"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Each Holder of this Security, by accepting the same, (a) agrees to and shall be bound by such provisions, (b) authorizes and directs the Trustee on his or her behalf to take such action as may be necessary or appropriate to effectuate the subordination so provided and (c) appoints the Trustee as his or her attorney-in-fact for any and all such purposes.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Subject to the provisions of the Indenture, the Holder of this Security is entitled, at its option, at any time on or before October 1, 2005 (except that, in case this Security or any portion hereof shall be called for redemption or submitted for repurchase, such right shall terminate with respect to this Security or portion hereof, as the case may be, so called for redemption or submitted for repurchase, as the case may be, at the close of business on the first Business Day next preceding the date fixed for redemption or repurchase, as the case may be, as provided in the Indenture unless the Company defaults in making the payment due upon redemption or repurchase, as the case may be), to convert the principal amount of this Security (or any portion hereof which is $1,000 or an integral multiple thereof) into fully paid and non-assessable shares of the Common Stock of the Company, as said shares shall be constituted at the date of conversion, at the Conversion Rate of 16.6667 shares of Common Stock for each $1,000 principal amount of Securities, or at the adjusted Conversion Rate in effect at the date of conversion determined as provided in the Indenture, upon surrender of this Security, together with the conversion notice hereon duly executed, to the Corporate Trust Office of the Trustee accompanied (if so required by the Company) by instruments of transfer, in form satisfactory to the Company and to the Trustee, duly executed by the Holder or by its duly authorized attorney in writing. Such surrender (other than during an Extension Period)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If, during any Extension Period, this Security (or portion hereof) called for</w:t>
      </w:r>
    </w:p>
    <w:p>
      <w:pPr>
        <w:spacing w:after="0" w:line="20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35" w:name="page36"/>
    <w:bookmarkEnd w:id="35"/>
    <w:p>
      <w:pPr>
        <w:ind w:right="2659"/>
        <w:spacing w:after="0" w:line="246" w:lineRule="auto"/>
        <w:rPr>
          <w:sz w:val="20"/>
          <w:szCs w:val="20"/>
          <w:color w:val="auto"/>
        </w:rPr>
      </w:pPr>
      <w:r>
        <w:rPr>
          <w:rFonts w:ascii="Courier New" w:cs="Courier New" w:eastAsia="Courier New" w:hAnsi="Courier New"/>
          <w:sz w:val="16"/>
          <w:szCs w:val="16"/>
          <w:color w:val="auto"/>
        </w:rPr>
        <w:t>redemption is surrendered for conversion, any accrued and unpaid interest on this Security (or portion hereof) as of the Interest Payment Date occurring on or immediately preceding the conversion date for this Security shall be paid in cash to the Holder surrendering such Security for conversion. The Company is not required to issue fractional shares upon any such conversion, but shall make adjustment therefor as provided in the Indenture. The Conversion Rate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198"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36" w:name="page37"/>
    <w:bookmarkEnd w:id="36"/>
    <w:p>
      <w:pPr>
        <w:ind w:right="2659"/>
        <w:spacing w:after="0" w:line="247" w:lineRule="auto"/>
        <w:rPr>
          <w:sz w:val="20"/>
          <w:szCs w:val="20"/>
          <w:color w:val="auto"/>
        </w:rPr>
      </w:pPr>
      <w:r>
        <w:rPr>
          <w:rFonts w:ascii="Courier New" w:cs="Courier New" w:eastAsia="Courier New" w:hAnsi="Courier New"/>
          <w:sz w:val="16"/>
          <w:szCs w:val="16"/>
          <w:color w:val="auto"/>
        </w:rPr>
        <w:t>foregoing shall not apply to any suit instituted by the Holder of this Security for the enforcement of any payment of principal hereof or any premium or interest hereon on or after the respective due dates expressed herein.</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5"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All terms used in this Security which are defined in the Indenture shall have the meanings assigned to them in the Indenture.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37" w:name="page38"/>
    <w:bookmarkEnd w:id="37"/>
    <w:p>
      <w:pPr>
        <w:ind w:left="3100"/>
        <w:spacing w:after="0"/>
        <w:rPr>
          <w:sz w:val="20"/>
          <w:szCs w:val="20"/>
          <w:color w:val="auto"/>
        </w:rPr>
      </w:pPr>
      <w:r>
        <w:rPr>
          <w:rFonts w:ascii="Courier New" w:cs="Courier New" w:eastAsia="Courier New" w:hAnsi="Courier New"/>
          <w:sz w:val="16"/>
          <w:szCs w:val="16"/>
          <w:color w:val="auto"/>
        </w:rPr>
        <w:t>ABBREVIATIONS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following abbreviations, when used in the inscription of the face of this Security, shall be construed as though they were written out in full according to applicable laws or regulations:</w:t>
      </w:r>
    </w:p>
    <w:p>
      <w:pPr>
        <w:sectPr>
          <w:pgSz w:w="11900" w:h="16838" w:orient="portrait"/>
          <w:cols w:equalWidth="0" w:num="1">
            <w:col w:w="10219"/>
          </w:cols>
          <w:pgMar w:left="240" w:top="676" w:right="1440" w:bottom="1440" w:gutter="0" w:footer="0" w:header="0"/>
        </w:sectPr>
      </w:pP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TEN COM - as tenants in common</w:t>
      </w:r>
    </w:p>
    <w:p>
      <w:pPr>
        <w:spacing w:after="0" w:line="5" w:lineRule="exact"/>
        <w:rPr>
          <w:sz w:val="20"/>
          <w:szCs w:val="20"/>
          <w:color w:val="auto"/>
        </w:rPr>
      </w:pPr>
    </w:p>
    <w:p>
      <w:pPr>
        <w:ind w:left="480"/>
        <w:spacing w:after="0"/>
        <w:tabs>
          <w:tab w:leader="none" w:pos="2600" w:val="left"/>
        </w:tabs>
        <w:rPr>
          <w:sz w:val="20"/>
          <w:szCs w:val="20"/>
          <w:color w:val="auto"/>
        </w:rPr>
      </w:pPr>
      <w:r>
        <w:rPr>
          <w:rFonts w:ascii="Courier New" w:cs="Courier New" w:eastAsia="Courier New" w:hAnsi="Courier New"/>
          <w:sz w:val="16"/>
          <w:szCs w:val="16"/>
          <w:color w:val="auto"/>
        </w:rPr>
        <w:t>TEN ENT - as tenants</w:t>
        <w:tab/>
        <w:t>by the entireties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(Cust)</w:t>
      </w:r>
    </w:p>
    <w:p>
      <w:pPr>
        <w:spacing w:after="0" w:line="5" w:lineRule="exact"/>
        <w:rPr>
          <w:sz w:val="20"/>
          <w:szCs w:val="20"/>
          <w:color w:val="auto"/>
        </w:rPr>
      </w:pPr>
    </w:p>
    <w:p>
      <w:pPr>
        <w:ind w:left="480"/>
        <w:spacing w:after="0"/>
        <w:tabs>
          <w:tab w:leader="none" w:pos="1240" w:val="left"/>
        </w:tabs>
        <w:rPr>
          <w:sz w:val="20"/>
          <w:szCs w:val="20"/>
          <w:color w:val="auto"/>
        </w:rPr>
      </w:pPr>
      <w:r>
        <w:rPr>
          <w:rFonts w:ascii="Courier New" w:cs="Courier New" w:eastAsia="Courier New" w:hAnsi="Courier New"/>
          <w:sz w:val="16"/>
          <w:szCs w:val="16"/>
          <w:color w:val="auto"/>
        </w:rPr>
        <w:t>JT TEN</w:t>
        <w:tab/>
        <w:t>- as joint tenants with right of</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Uniform</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survivorship and not as tenants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in common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 _______</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Custodian ____________ under</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(Minor)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Gifts to Minors Act___________</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(State)</w:t>
      </w:r>
    </w:p>
    <w:p>
      <w:pPr>
        <w:spacing w:after="0" w:line="191" w:lineRule="exact"/>
        <w:rPr>
          <w:sz w:val="20"/>
          <w:szCs w:val="20"/>
          <w:color w:val="auto"/>
        </w:rPr>
      </w:pPr>
    </w:p>
    <w:p>
      <w:pPr>
        <w:sectPr>
          <w:pgSz w:w="11900" w:h="16838" w:orient="portrait"/>
          <w:cols w:equalWidth="0" w:num="2">
            <w:col w:w="4460" w:space="200"/>
            <w:col w:w="5559"/>
          </w:cols>
          <w:pgMar w:left="240" w:top="676" w:right="1440" w:bottom="1440" w:gutter="0" w:footer="0" w:header="0"/>
          <w:type w:val="continuous"/>
        </w:sectPr>
      </w:pPr>
    </w:p>
    <w:p>
      <w:pPr>
        <w:jc w:val="center"/>
        <w:ind w:right="2559"/>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CONVERSION NOTICE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Micron Technology, Inc.:</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(other than during an Extension Period) on a date after the close of business on a Regular Record Date and prior to the opening of business on the related Interest Payment Date (unless this Security or the portion thereof being converted has been called for redemption on a Redemption Date after the close of business on a Regular Record Date and prior to the opening of business on the first Business Day after the next succeeding Interest Payment Date, or if such Interest Payment Date is not a Business Day, the next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type w:val="continuous"/>
        </w:sectPr>
      </w:pPr>
    </w:p>
    <w:bookmarkStart w:id="38" w:name="page39"/>
    <w:bookmarkEnd w:id="38"/>
    <w:p>
      <w:pPr>
        <w:ind w:left="680"/>
        <w:spacing w:after="0"/>
        <w:rPr>
          <w:sz w:val="20"/>
          <w:szCs w:val="20"/>
          <w:color w:val="auto"/>
        </w:rPr>
      </w:pPr>
      <w:r>
        <w:rPr>
          <w:rFonts w:ascii="Courier New" w:cs="Courier New" w:eastAsia="Courier New" w:hAnsi="Courier New"/>
          <w:sz w:val="16"/>
          <w:szCs w:val="16"/>
          <w:color w:val="auto"/>
        </w:rPr>
        <w:t>Principal Amount to be Converted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 an integral multiple of $1,000, if less</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than all)</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 __________</w:t>
      </w:r>
    </w:p>
    <w:p>
      <w:pPr>
        <w:spacing w:after="0" w:line="191"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6"/>
          <w:szCs w:val="16"/>
          <w:color w:val="auto"/>
        </w:rPr>
        <w:t>Dated:___________</w:t>
      </w:r>
      <w:r>
        <w:rPr>
          <w:sz w:val="20"/>
          <w:szCs w:val="20"/>
          <w:color w:val="auto"/>
        </w:rPr>
        <w:tab/>
      </w:r>
      <w:r>
        <w:rPr>
          <w:rFonts w:ascii="Courier New" w:cs="Courier New" w:eastAsia="Courier New" w:hAnsi="Courier New"/>
          <w:sz w:val="16"/>
          <w:szCs w:val="16"/>
          <w:color w:val="auto"/>
        </w:rPr>
        <w:t>_________________________</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_________________________</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Signature(s) must be</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guaranteed by a qualified</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guarantor institution if</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shares of Common Stock</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are to be delivered, or</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Securities to be issued,</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other than to and in the</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name of the registered</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owner.</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_________________________</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Signature Guaranty</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Fill in for registration of shares of Common Stock and Security if to be issued otherwise than to the registered Holder.</w:t>
      </w:r>
    </w:p>
    <w:p>
      <w:pPr>
        <w:sectPr>
          <w:pgSz w:w="11900" w:h="16838" w:orient="portrait"/>
          <w:cols w:equalWidth="0" w:num="1">
            <w:col w:w="10219"/>
          </w:cols>
          <w:pgMar w:left="240" w:top="676" w:right="1440" w:bottom="1440" w:gutter="0" w:footer="0" w:header="0"/>
        </w:sectPr>
      </w:pPr>
    </w:p>
    <w:p>
      <w:pPr>
        <w:spacing w:after="0" w:line="371" w:lineRule="exact"/>
        <w:rPr>
          <w:sz w:val="20"/>
          <w:szCs w:val="20"/>
          <w:color w:val="auto"/>
        </w:rPr>
      </w:pPr>
    </w:p>
    <w:p>
      <w:pPr>
        <w:ind w:right="340"/>
        <w:spacing w:after="0" w:line="248" w:lineRule="auto"/>
        <w:rPr>
          <w:sz w:val="20"/>
          <w:szCs w:val="20"/>
          <w:color w:val="auto"/>
        </w:rPr>
      </w:pPr>
      <w:r>
        <w:rPr>
          <w:rFonts w:ascii="Courier New" w:cs="Courier New" w:eastAsia="Courier New" w:hAnsi="Courier New"/>
          <w:sz w:val="16"/>
          <w:szCs w:val="16"/>
          <w:color w:val="auto"/>
        </w:rPr>
        <w:t>_________________________ (Name)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or Other Taxpayer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5" w:lineRule="exact"/>
        <w:rPr>
          <w:sz w:val="20"/>
          <w:szCs w:val="20"/>
          <w:color w:val="auto"/>
        </w:rPr>
      </w:pPr>
    </w:p>
    <w:p>
      <w:pPr>
        <w:sectPr>
          <w:pgSz w:w="11900" w:h="16838" w:orient="portrait"/>
          <w:cols w:equalWidth="0" w:num="2">
            <w:col w:w="2760" w:space="720"/>
            <w:col w:w="673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type w:val="continuous"/>
        </w:sectPr>
      </w:pPr>
    </w:p>
    <w:bookmarkStart w:id="39" w:name="page40"/>
    <w:bookmarkEnd w:id="39"/>
    <w:p>
      <w:pPr>
        <w:ind w:left="1840"/>
        <w:spacing w:after="0"/>
        <w:rPr>
          <w:sz w:val="20"/>
          <w:szCs w:val="20"/>
          <w:color w:val="auto"/>
        </w:rPr>
      </w:pPr>
      <w:r>
        <w:rPr>
          <w:rFonts w:ascii="Courier New" w:cs="Courier New" w:eastAsia="Courier New" w:hAnsi="Courier New"/>
          <w:sz w:val="16"/>
          <w:szCs w:val="16"/>
          <w:color w:val="auto"/>
        </w:rPr>
        <w:t>ELECTION OF HOLDER TO REQUIRE REPURCHASE</w:t>
      </w:r>
    </w:p>
    <w:p>
      <w:pPr>
        <w:spacing w:after="0" w:line="191" w:lineRule="exact"/>
        <w:rPr>
          <w:sz w:val="20"/>
          <w:szCs w:val="20"/>
          <w:color w:val="auto"/>
        </w:rPr>
      </w:pPr>
    </w:p>
    <w:p>
      <w:pPr>
        <w:ind w:right="2459" w:firstLine="484"/>
        <w:spacing w:after="0" w:line="248" w:lineRule="auto"/>
        <w:tabs>
          <w:tab w:leader="none" w:pos="96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601 of the Supplemental Indenture, the undersigned hereby elects to have this Security repurchased by the Company.</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directs the Trustee or the Company to pay it or</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 an amount in cash or, at the Company's election, Common Stock valued as set forth in the Indenture, equal to 100% of the principal amount to be repurchased (as set forth below), plus interest accrued to, but excluding, the Repurchase Date (including any unpaid interest, compounded semi-annually, that has accrued during any Extension Period), as provided in the Supplemental Indenture.</w:t>
      </w:r>
    </w:p>
    <w:p>
      <w:pPr>
        <w:spacing w:after="0" w:line="372"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6"/>
          <w:szCs w:val="16"/>
          <w:color w:val="auto"/>
        </w:rPr>
        <w:t>Dated:______________</w:t>
      </w:r>
      <w:r>
        <w:rPr>
          <w:sz w:val="20"/>
          <w:szCs w:val="20"/>
          <w:color w:val="auto"/>
        </w:rPr>
        <w:tab/>
      </w:r>
      <w:r>
        <w:rPr>
          <w:rFonts w:ascii="Courier New" w:cs="Courier New" w:eastAsia="Courier New" w:hAnsi="Courier New"/>
          <w:sz w:val="16"/>
          <w:szCs w:val="16"/>
          <w:color w:val="auto"/>
        </w:rPr>
        <w:t>_________________________</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Signature(s) must be guaranteed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by an Eligible Guarantor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Institution with membership in</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an approved signature guarantee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program pursuant to Rule 17Ad-15</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under the Securities Exchange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Act of 1943.</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Signature Guaranteed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to be repurchased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integral multiple of $1,000): 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Remaining principal amount following such repurchase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less than $1,000): ___________________________________</w:t>
      </w:r>
    </w:p>
    <w:p>
      <w:pPr>
        <w:spacing w:after="0" w:line="191"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NOTICE: The signature to the foregoing Election must correspond to the Name as written upon the face of this Security in every particular, without alteration or any change whatsoever.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40" w:name="page41"/>
    <w:bookmarkEnd w:id="40"/>
    <w:p>
      <w:pPr>
        <w:ind w:left="3300"/>
        <w:spacing w:after="0"/>
        <w:rPr>
          <w:sz w:val="20"/>
          <w:szCs w:val="20"/>
          <w:color w:val="auto"/>
        </w:rPr>
      </w:pPr>
      <w:r>
        <w:rPr>
          <w:rFonts w:ascii="Courier New" w:cs="Courier New" w:eastAsia="Courier New" w:hAnsi="Courier New"/>
          <w:sz w:val="16"/>
          <w:szCs w:val="16"/>
          <w:color w:val="auto"/>
        </w:rPr>
        <w:t>ARTICLE ONE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ISSUANCE OF NOTES.</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Issuance of Notes; Principal Amount; Maturity.</w:t>
      </w:r>
    </w:p>
    <w:p>
      <w:pPr>
        <w:spacing w:after="0" w:line="191" w:lineRule="exact"/>
        <w:rPr>
          <w:sz w:val="20"/>
          <w:szCs w:val="20"/>
          <w:color w:val="auto"/>
        </w:rPr>
      </w:pPr>
    </w:p>
    <w:p>
      <w:pPr>
        <w:ind w:right="2459" w:firstLine="484"/>
        <w:spacing w:after="0" w:line="246" w:lineRule="auto"/>
        <w:tabs>
          <w:tab w:leader="none" w:pos="9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30, 1998, the Company shall issue and deliver to the Trustee, and the Trustee shall authenticate, Notes substantially in the form set forth above,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such Notes.</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issued in the aggregate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$740,000,000 and shall mature on October 1, 2005.</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Interest on the Notes; Payment of Interest.</w:t>
      </w:r>
    </w:p>
    <w:p>
      <w:pPr>
        <w:spacing w:after="0" w:line="191" w:lineRule="exact"/>
        <w:rPr>
          <w:sz w:val="20"/>
          <w:szCs w:val="20"/>
          <w:color w:val="auto"/>
        </w:rPr>
      </w:pPr>
    </w:p>
    <w:p>
      <w:pPr>
        <w:ind w:right="2859" w:firstLine="484"/>
        <w:spacing w:after="0" w:line="248" w:lineRule="auto"/>
        <w:tabs>
          <w:tab w:leader="none" w:pos="96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bear interest at the rate of 6-1/2% per annum from September 30, 1998.</w:t>
      </w:r>
    </w:p>
    <w:p>
      <w:pPr>
        <w:spacing w:after="0" w:line="184"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so payable, and punctually paid or duty provided for, on any Interest Payment Date shall, as provided in such Indenture, be paid to the Person in whose name a Note is registered at the close of business on the Regular Record Date for such interest, which shall be the March 15 or September 15 (whether or not a Business Day), as the case may be, next preceding such Interest Payment Date, subject to the right of the Company to defer interest during an Extension Period pursuant to 102(c). Any such interest not so punctually paid or duly provided for shall forthwith cease to be payable to the Holder on such Regular Record Date and may either be paid to the Person in whose name the Note is registered at the close of business on a Special Record Date for the payment of such Defaulted Interest to be fixed by the Trustee, notice whereof shall be given to Holders of Notes of this series not less than 10 calendar days prior to such Special Record Date, or be paid at any time in any other lawful manner not inconsistent with the requirements of any Notes exchange on which the Notes of this series may be listed, and upon such notice as may be required by such exchange, all as more fully provided in the Indenture.</w:t>
      </w:r>
    </w:p>
    <w:p>
      <w:pPr>
        <w:spacing w:after="0" w:line="195"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no Event of Default under the Indenture has occurred and is continuing, the Company shall have the right at any time during the term of the Notes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spacing w:after="0" w:line="3"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Notes. At the end of each Extension Period, the Company shall be responsible for the payment of, and the Company shall pay (subject to the exception set forth in the last two sentences of this paragraph) to the Person in whose name this Security is registered at the close of business on the Regular Record Date next preceding such payment date all interest then accrued and unpaid together with interest thereon compounded semi-annually at the rate specified for the Notes to the extent permitted by applicable law; provided,</w:t>
      </w:r>
    </w:p>
    <w:p>
      <w:pPr>
        <w:spacing w:after="0" w:line="4" w:lineRule="exact"/>
        <w:rPr>
          <w:sz w:val="20"/>
          <w:szCs w:val="20"/>
          <w:color w:val="auto"/>
        </w:rPr>
      </w:pPr>
    </w:p>
    <w:p>
      <w:pPr>
        <w:ind w:left="65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right="3439" w:hanging="3778"/>
        <w:spacing w:after="0" w:line="495" w:lineRule="auto"/>
        <w:rPr>
          <w:sz w:val="20"/>
          <w:szCs w:val="20"/>
          <w:color w:val="auto"/>
        </w:rPr>
      </w:pPr>
      <w:r>
        <w:rPr>
          <w:rFonts w:ascii="Courier New" w:cs="Courier New" w:eastAsia="Courier New" w:hAnsi="Courier New"/>
          <w:sz w:val="16"/>
          <w:szCs w:val="16"/>
          <w:color w:val="auto"/>
        </w:rPr>
        <w:t>that during any Extension Period, the Company shall not, and shall not 13</w:t>
      </w:r>
    </w:p>
    <w:p>
      <w:pPr>
        <w:sectPr>
          <w:pgSz w:w="11900" w:h="16838" w:orient="portrait"/>
          <w:cols w:equalWidth="0" w:num="1">
            <w:col w:w="10219"/>
          </w:cols>
          <w:pgMar w:left="240" w:top="676" w:right="1440" w:bottom="1440" w:gutter="0" w:footer="0" w:header="0"/>
        </w:sectPr>
      </w:pPr>
    </w:p>
    <w:bookmarkStart w:id="41" w:name="page42"/>
    <w:bookmarkEnd w:id="41"/>
    <w:p>
      <w:pPr>
        <w:ind w:left="1" w:right="2459"/>
        <w:spacing w:after="0" w:line="246" w:lineRule="auto"/>
        <w:rPr>
          <w:sz w:val="20"/>
          <w:szCs w:val="20"/>
          <w:color w:val="auto"/>
        </w:rPr>
      </w:pPr>
      <w:r>
        <w:rPr>
          <w:rFonts w:ascii="Courier New" w:cs="Courier New" w:eastAsia="Courier New" w:hAnsi="Courier New"/>
          <w:sz w:val="16"/>
          <w:szCs w:val="16"/>
          <w:color w:val="auto"/>
        </w:rPr>
        <w:t>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6" w:lineRule="exact"/>
        <w:rPr>
          <w:sz w:val="20"/>
          <w:szCs w:val="20"/>
          <w:color w:val="auto"/>
        </w:rPr>
      </w:pPr>
    </w:p>
    <w:p>
      <w:pPr>
        <w:ind w:left="1" w:right="2459" w:hanging="1"/>
        <w:spacing w:after="0" w:line="246"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w:t>
      </w:r>
    </w:p>
    <w:p>
      <w:pPr>
        <w:spacing w:after="0" w:line="5"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28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further extensions thereof may not exceed 4 consecutive semi-annual interest payment periods and may not extend beyond the Stated Maturity of the Notes.</w:t>
      </w:r>
    </w:p>
    <w:p>
      <w:pPr>
        <w:spacing w:after="0" w:line="1"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termination of any Extension Period and the payment of all amounts then due, the Company may commence a new Extension Period, subject to the above requirements. No interest during an Extension Period shall be due and payable except at the end thereof. In the event that a Holder converts his or her Note (or portion thereof) within a period of 10 Business Days of the Stated Maturity of the Notes, such Holder will receive, in addition to the shares of Common Stock issuable upon conversion of such Note (or portion thereof) (including any cash paid for fractional shares as provided in Section 1403 of the Indenture), any accrued and unpaid interest that has accrued from the date of commencement of the Extension Period to the earlier to occur of (i) the date of termination of the Extension Period or (ii) the date of conversion. Any such payment shall be in lieu of the payment otherwise required to be made at the end of the Extension Period to the Holder of this Security in whose name this Security is registered at the close of business on the Regular Record Date next preceding the payment date for such interest.</w:t>
      </w:r>
    </w:p>
    <w:p>
      <w:pPr>
        <w:spacing w:after="0" w:line="195" w:lineRule="exact"/>
        <w:rPr>
          <w:sz w:val="20"/>
          <w:szCs w:val="20"/>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The Company shall give written notice to the Trustee of its election to begin such Extension Period at least one Business Day prior to the earlier of</w:t>
      </w:r>
    </w:p>
    <w:p>
      <w:pPr>
        <w:spacing w:after="0" w:line="1" w:lineRule="exact"/>
        <w:rPr>
          <w:sz w:val="20"/>
          <w:szCs w:val="20"/>
          <w:color w:val="auto"/>
        </w:rPr>
      </w:pPr>
    </w:p>
    <w:p>
      <w:pPr>
        <w:ind w:left="1" w:right="2659" w:hanging="1"/>
        <w:spacing w:after="0" w:line="246" w:lineRule="auto"/>
        <w:tabs>
          <w:tab w:leader="none" w:pos="38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Regular Record Date for the Interest Payment Date on the Notes that would have been payable but for the election to begin such Extension Period or</w:t>
      </w:r>
    </w:p>
    <w:p>
      <w:pPr>
        <w:spacing w:after="0" w:line="1" w:lineRule="exact"/>
        <w:rPr>
          <w:rFonts w:ascii="Courier New" w:cs="Courier New" w:eastAsia="Courier New" w:hAnsi="Courier New"/>
          <w:sz w:val="16"/>
          <w:szCs w:val="16"/>
          <w:color w:val="auto"/>
        </w:rPr>
      </w:pPr>
    </w:p>
    <w:p>
      <w:pPr>
        <w:ind w:left="1" w:right="2659" w:hanging="1"/>
        <w:spacing w:after="0" w:line="247" w:lineRule="auto"/>
        <w:tabs>
          <w:tab w:leader="none" w:pos="48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listed on the New York Stock Exchange, Inc. ("NYSE") or other stock exchange or quotation system, the date the Company is required to give notice to the NYSE or other applicable self-regulatory organization or to Holders of the Notes of the Regular Record Date or the date such interest is payable.</w:t>
      </w:r>
    </w:p>
    <w:p>
      <w:pPr>
        <w:spacing w:after="0" w:line="185" w:lineRule="exact"/>
        <w:rPr>
          <w:rFonts w:ascii="Courier New" w:cs="Courier New" w:eastAsia="Courier New" w:hAnsi="Courier New"/>
          <w:sz w:val="16"/>
          <w:szCs w:val="16"/>
          <w:color w:val="auto"/>
        </w:rPr>
      </w:pPr>
    </w:p>
    <w:p>
      <w:pPr>
        <w:ind w:left="1" w:right="2459" w:firstLine="484"/>
        <w:spacing w:after="0" w:line="247" w:lineRule="auto"/>
        <w:tabs>
          <w:tab w:leader="none" w:pos="97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principal of (and premium, if any) and any interest on the Notes shall be made at the Corporate Trust Office of the Trustee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appears in the Security Register.</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42" w:name="page43"/>
    <w:bookmarkEnd w:id="42"/>
    <w:p>
      <w:pPr>
        <w:ind w:left="3300"/>
        <w:spacing w:after="0"/>
        <w:rPr>
          <w:sz w:val="20"/>
          <w:szCs w:val="20"/>
          <w:color w:val="auto"/>
        </w:rPr>
      </w:pPr>
      <w:r>
        <w:rPr>
          <w:rFonts w:ascii="Courier New" w:cs="Courier New" w:eastAsia="Courier New" w:hAnsi="Courier New"/>
          <w:sz w:val="16"/>
          <w:szCs w:val="16"/>
          <w:color w:val="auto"/>
        </w:rPr>
        <w:t>ARTICLE TWO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CERTAIN DEFINITIONS.</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Certain Definitions.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terms defined in this Section 201 (except as herein otherwise expressly provided or unless the context of this Supplemental Indenture otherwise requires) for all purposes of this Supplemental Indenture and of any indenture supplemental hereto have the respective meanings specified in this Section 201. All other terms used in this Supplemental Indenture that are defined in the Indenture or the Trust Indenture Act, either directly or by reference therein (except as herein otherwise expressly provided or unless the context of this Supplemental Indenture otherwise requires), have the respective meanings assigned to such terms in the Indenture or the Trust Indenture Act, as the case may be, as in force at the date of this Supplemental Indenture as originally executed.</w:t>
      </w:r>
    </w:p>
    <w:p>
      <w:pPr>
        <w:spacing w:after="0" w:line="193" w:lineRule="exact"/>
        <w:rPr>
          <w:sz w:val="20"/>
          <w:szCs w:val="20"/>
          <w:color w:val="auto"/>
        </w:rPr>
      </w:pPr>
    </w:p>
    <w:p>
      <w:pPr>
        <w:ind w:right="3139" w:firstLine="484"/>
        <w:spacing w:after="0" w:line="248" w:lineRule="auto"/>
        <w:rPr>
          <w:sz w:val="20"/>
          <w:szCs w:val="20"/>
          <w:color w:val="auto"/>
        </w:rPr>
      </w:pPr>
      <w:r>
        <w:rPr>
          <w:rFonts w:ascii="Courier New" w:cs="Courier New" w:eastAsia="Courier New" w:hAnsi="Courier New"/>
          <w:sz w:val="16"/>
          <w:szCs w:val="16"/>
          <w:color w:val="auto"/>
        </w:rPr>
        <w:t>"Change of Control" has the meaning specified in Section 604 of this Supplemental Indenture.</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"Closing Price Per Share" means, with respect to the Common Stock of the Company, for any day, the reported last sales price regular way per share or, in case no such reported sale takes place on such day, the average of the reported closing bid and asked prices regular way, in either case (i) on the New York Stock Exchange as reported in The Wall Street Journal (or other similar newspaper) for New York Stock Exchange Composite Transactions or, if the Common Stock is not listed or admitted to trading on such Exchange, on the principal (as determined by the Company's Board of Directors) national securities exchange on which the Common Stock is listed or admitted to trading or (ii) if not listed or admitted to trading on any national securities exchange, on the Nasdaq National Market, or, if the Common Stock is not listed or admitted to trading on any national securities exchange or quoted on the Nasdaq National Market, the average of the closing bid and asked prices in the over-the-counter market as furnished by any New York Stock Exchange member firm selected from time to time by the Company for that purpose. If no such prices are available, the Closing Price Per Share shall be the fair value of a share as determined by the Board of Directors of the Company.</w:t>
      </w:r>
    </w:p>
    <w:p>
      <w:pPr>
        <w:spacing w:after="0" w:line="19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"Conversion Price" shall equal $1,000 divided by the Conversion Rate.</w:t>
      </w:r>
    </w:p>
    <w:p>
      <w:pPr>
        <w:spacing w:after="0" w:line="191" w:lineRule="exact"/>
        <w:rPr>
          <w:sz w:val="20"/>
          <w:szCs w:val="20"/>
          <w:color w:val="auto"/>
        </w:rPr>
      </w:pPr>
    </w:p>
    <w:p>
      <w:pPr>
        <w:ind w:right="3339" w:firstLine="484"/>
        <w:spacing w:after="0" w:line="248" w:lineRule="auto"/>
        <w:rPr>
          <w:sz w:val="20"/>
          <w:szCs w:val="20"/>
          <w:color w:val="auto"/>
        </w:rPr>
      </w:pPr>
      <w:r>
        <w:rPr>
          <w:rFonts w:ascii="Courier New" w:cs="Courier New" w:eastAsia="Courier New" w:hAnsi="Courier New"/>
          <w:sz w:val="16"/>
          <w:szCs w:val="16"/>
          <w:color w:val="auto"/>
        </w:rPr>
        <w:t>"Conversion Rate" has the meaning specified in Section 501 of this Supplemental Indenture.</w:t>
      </w:r>
    </w:p>
    <w:p>
      <w:pPr>
        <w:spacing w:after="0" w:line="184"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"Extension Period" has the meaning specified in Section 102(c) of this Supplemental Indenture.</w:t>
      </w:r>
    </w:p>
    <w:p>
      <w:pPr>
        <w:spacing w:after="0" w:line="184"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"Purchased Shares" has the meaning specified in Section 502(6) of this Supplemental Indenture.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"Record Date" shall mean any Regular Record Date or any Special Record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43" w:name="page44"/>
    <w:bookmarkEnd w:id="43"/>
    <w:p>
      <w:pPr>
        <w:ind w:right="2459" w:firstLine="484"/>
        <w:spacing w:after="0" w:line="247" w:lineRule="auto"/>
        <w:rPr>
          <w:sz w:val="20"/>
          <w:szCs w:val="20"/>
          <w:color w:val="auto"/>
        </w:rPr>
      </w:pPr>
      <w:r>
        <w:rPr>
          <w:rFonts w:ascii="Courier New" w:cs="Courier New" w:eastAsia="Courier New" w:hAnsi="Courier New"/>
          <w:sz w:val="16"/>
          <w:szCs w:val="16"/>
          <w:color w:val="auto"/>
        </w:rPr>
        <w:t>"Redemption Date", when used with respect to any Note to be redeemed, means the date fixed for such redemption by or pursuant to this Supplemental Indenture.</w:t>
      </w:r>
    </w:p>
    <w:p>
      <w:pPr>
        <w:spacing w:after="0" w:line="186" w:lineRule="exact"/>
        <w:rPr>
          <w:sz w:val="20"/>
          <w:szCs w:val="20"/>
          <w:color w:val="auto"/>
        </w:rPr>
      </w:pPr>
    </w:p>
    <w:p>
      <w:pPr>
        <w:jc w:val="both"/>
        <w:ind w:right="2959" w:firstLine="484"/>
        <w:spacing w:after="0" w:line="247" w:lineRule="auto"/>
        <w:rPr>
          <w:sz w:val="20"/>
          <w:szCs w:val="20"/>
          <w:color w:val="auto"/>
        </w:rPr>
      </w:pPr>
      <w:r>
        <w:rPr>
          <w:rFonts w:ascii="Courier New" w:cs="Courier New" w:eastAsia="Courier New" w:hAnsi="Courier New"/>
          <w:sz w:val="16"/>
          <w:szCs w:val="16"/>
          <w:color w:val="auto"/>
        </w:rPr>
        <w:t>"Redemption Price", when used with respect to any Note to be redeemed, means the price at which it is to be redeemed pursuant to this Supplemental Indenture.</w:t>
      </w:r>
    </w:p>
    <w:p>
      <w:pPr>
        <w:spacing w:after="0" w:line="186" w:lineRule="exact"/>
        <w:rPr>
          <w:sz w:val="20"/>
          <w:szCs w:val="20"/>
          <w:color w:val="auto"/>
        </w:rPr>
      </w:pPr>
    </w:p>
    <w:p>
      <w:pPr>
        <w:ind w:right="3339" w:firstLine="484"/>
        <w:spacing w:after="0" w:line="248" w:lineRule="auto"/>
        <w:rPr>
          <w:sz w:val="20"/>
          <w:szCs w:val="20"/>
          <w:color w:val="auto"/>
        </w:rPr>
      </w:pPr>
      <w:r>
        <w:rPr>
          <w:rFonts w:ascii="Courier New" w:cs="Courier New" w:eastAsia="Courier New" w:hAnsi="Courier New"/>
          <w:sz w:val="16"/>
          <w:szCs w:val="16"/>
          <w:color w:val="auto"/>
        </w:rPr>
        <w:t>"Repurchase Date" has the meaning specified in Section 601 of this Supplemental Indenture.</w:t>
      </w:r>
    </w:p>
    <w:p>
      <w:pPr>
        <w:spacing w:after="0" w:line="184" w:lineRule="exact"/>
        <w:rPr>
          <w:sz w:val="20"/>
          <w:szCs w:val="20"/>
          <w:color w:val="auto"/>
        </w:rPr>
      </w:pPr>
    </w:p>
    <w:p>
      <w:pPr>
        <w:ind w:right="3239" w:firstLine="484"/>
        <w:spacing w:after="0" w:line="248" w:lineRule="auto"/>
        <w:rPr>
          <w:sz w:val="20"/>
          <w:szCs w:val="20"/>
          <w:color w:val="auto"/>
        </w:rPr>
      </w:pPr>
      <w:r>
        <w:rPr>
          <w:rFonts w:ascii="Courier New" w:cs="Courier New" w:eastAsia="Courier New" w:hAnsi="Courier New"/>
          <w:sz w:val="16"/>
          <w:szCs w:val="16"/>
          <w:color w:val="auto"/>
        </w:rPr>
        <w:t>"Repurchase Price" has the meaning specified in Section 601 of this Supplemental Indenture.</w:t>
      </w:r>
    </w:p>
    <w:p>
      <w:pPr>
        <w:spacing w:after="0" w:line="184"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"Trading Days" means (i) if the Common Stock is listed or admitted for trading on any national securities exchange, days on which such national securities exchange is open for business or (ii) if the Common Stock is quoted on the Nasdaq National Market or any similar system of automated dissemination of quotations of securities prices, days on which trades may be made on such system or (iii) if the Common Stock is not listed or admitted to trading on any national securities exchange or quoted on the Nasdaq National Market or similar system, days on which the Common Stock is traded regular way in the over-the-counter market and for which a closing bid and a closing asked price for the Common Stock are available.</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THREE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CERTAIN COVENANTS.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following covenant shall be applicable to the Company for so long as any of the Notes are outstanding. Nothing in this paragraph will, however, affect the Company's obligations under any provision of the Indenture or, except for Article Three hereof, this Supplemental Indenture.</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Registration and Listing.</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(i)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Notes may be lawfully issued and delivered, and thereafter publicly traded, and qualified or listed as contemplated by clause (ii); and (ii) will list the shares of Common Stock required to be issued and delivered upon conversion of the Notes prior to such issuance or delivery on The New York Stock Exchange or such other exchange or automated quotation as the Common Stock is then listed at such date of conversion.</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FOUR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REDEMPTION OF NOTES</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Right of Redemption.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44" w:name="page45"/>
    <w:bookmarkEnd w:id="44"/>
    <w:p>
      <w:pPr>
        <w:ind w:right="2559" w:firstLine="484"/>
        <w:spacing w:after="0" w:line="248" w:lineRule="auto"/>
        <w:rPr>
          <w:sz w:val="20"/>
          <w:szCs w:val="20"/>
          <w:color w:val="auto"/>
        </w:rPr>
      </w:pPr>
      <w:r>
        <w:rPr>
          <w:rFonts w:ascii="Courier New" w:cs="Courier New" w:eastAsia="Courier New" w:hAnsi="Courier New"/>
          <w:sz w:val="16"/>
          <w:szCs w:val="16"/>
          <w:color w:val="auto"/>
        </w:rPr>
        <w:t>The Notes may be redeemed in accordance with the provisions of the form of Security set forth herein.</w:t>
      </w:r>
    </w:p>
    <w:p>
      <w:pPr>
        <w:spacing w:after="0" w:line="37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FIVE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CONVERSION OF NOTES</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Conversion Privilege and Conversion Rate.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Subject to and upon compliance with the provisions of this Article, at the option of the Holder thereof, any Note may be converted into fully paid and nonassessable shares (calculated as to each conversion to the nearest 1/10,000 of a share) of Common Stock of the Company at the Conversion Rate, determined as hereinafter provided, in effect at the time of conversion. Such conversion right shall commence immediately and expire at the close of business on October 1, 2005, subject, in the case of the conversion of any Global Security, to any applicable book-entry procedures of the Depositary therefor. In case a Note is called for redemption at the election of the Company or the Holder thereof exercises his right to require the Company to repurchase the Note, such conversion right in respect of the Note shall expire at the close of business on the Business Day next preceding the Redemption Date or the Repurchase Date (as defined in Article Six), as the case may be, unless the Company defaults in making the payment due upon redemption or repurchase, as the case may be (in each case subject as aforesaid to any applicable book entry procedures).</w:t>
      </w:r>
    </w:p>
    <w:p>
      <w:pPr>
        <w:spacing w:after="0" w:line="19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If, during any Extension Period, a Note (or portion thereof) called for redemption is surrendered for conversion, any accrued and unpaid interest on such Note (or portion thereof) as of the Interest Payment Date occurring on or immediately preceding the conversion date for such Note (or portion thereof) shall be paid in cash to the Holder surrendering such Note for conversion.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rate at which shares of Common Stock shall be delivered upon conversion (herein called the "Conversion Rate") shall be initially 16.6667 shares of Common Stock for each $1,000 principal amount of Notes. The Conversion Rate shall be adjusted in certain instances as provided in this Article Five.</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Adjustment of Conversion Rate.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rate at which shares of Common Stock shall be delivered upon conversion (herein called the "Conversion Rate") shall be initially 16.6667 shares of Common Stock for each $1,000 principal amount of Notes. The Conversion Rate shall be subject to adjustment from time to time as follows:</w:t>
      </w:r>
    </w:p>
    <w:p>
      <w:pPr>
        <w:spacing w:after="0" w:line="186" w:lineRule="exact"/>
        <w:rPr>
          <w:sz w:val="20"/>
          <w:szCs w:val="20"/>
          <w:color w:val="auto"/>
        </w:rPr>
      </w:pPr>
    </w:p>
    <w:p>
      <w:pPr>
        <w:ind w:right="2459" w:firstLine="484"/>
        <w:spacing w:after="0" w:line="246" w:lineRule="auto"/>
        <w:tabs>
          <w:tab w:leader="none" w:pos="96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pay or make a dividend or other distribution on Common Stock payable in shares of Common Stock, the Conversion Rate in effect at the opening of business on the day following the date fixed for the determination of stockholders entitled to receive such 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45" w:name="page46"/>
    <w:bookmarkEnd w:id="45"/>
    <w:p>
      <w:pPr>
        <w:ind w:right="2459"/>
        <w:spacing w:after="0" w:line="246" w:lineRule="auto"/>
        <w:rPr>
          <w:sz w:val="20"/>
          <w:szCs w:val="20"/>
          <w:color w:val="auto"/>
        </w:rPr>
      </w:pPr>
      <w:r>
        <w:rPr>
          <w:rFonts w:ascii="Courier New" w:cs="Courier New" w:eastAsia="Courier New" w:hAnsi="Courier New"/>
          <w:sz w:val="16"/>
          <w:szCs w:val="16"/>
          <w:color w:val="auto"/>
        </w:rPr>
        <w:t>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93" w:lineRule="exact"/>
        <w:rPr>
          <w:sz w:val="20"/>
          <w:szCs w:val="20"/>
          <w:color w:val="auto"/>
        </w:rPr>
      </w:pPr>
    </w:p>
    <w:p>
      <w:pPr>
        <w:ind w:right="2459" w:firstLine="484"/>
        <w:spacing w:after="0" w:line="246" w:lineRule="auto"/>
        <w:tabs>
          <w:tab w:leader="none" w:pos="96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502) of the Common Stock on the date fixed for the determination of stockholders entitled to receive such rights, options or warrants (other than any rights, options or warrants that by their terms will also be issued to any Holder upon conversion of a Note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204" w:lineRule="exact"/>
        <w:rPr>
          <w:rFonts w:ascii="Courier New" w:cs="Courier New" w:eastAsia="Courier New" w:hAnsi="Courier New"/>
          <w:sz w:val="16"/>
          <w:szCs w:val="16"/>
          <w:color w:val="auto"/>
        </w:rPr>
      </w:pPr>
    </w:p>
    <w:p>
      <w:pPr>
        <w:ind w:right="2559" w:firstLine="484"/>
        <w:spacing w:after="0" w:line="246" w:lineRule="auto"/>
        <w:tabs>
          <w:tab w:leader="none" w:pos="96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case outstanding shares of Common Stock shall each be combined into a smaller number of shares of Common Stock, the Conversion Rate in effect at the opening of business on the day following the day upon which such combination becomes effective shall be propor tionately reduced, such increase or reduction, as the case may be, to become effective immediately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46" w:name="page47"/>
    <w:bookmarkEnd w:id="46"/>
    <w:p>
      <w:pPr>
        <w:ind w:right="3039"/>
        <w:spacing w:after="0" w:line="248" w:lineRule="auto"/>
        <w:rPr>
          <w:sz w:val="20"/>
          <w:szCs w:val="20"/>
          <w:color w:val="auto"/>
        </w:rPr>
      </w:pPr>
      <w:r>
        <w:rPr>
          <w:rFonts w:ascii="Courier New" w:cs="Courier New" w:eastAsia="Courier New" w:hAnsi="Courier New"/>
          <w:sz w:val="16"/>
          <w:szCs w:val="16"/>
          <w:color w:val="auto"/>
        </w:rPr>
        <w:t>after the opening of business on the day following the day upon which such subdivision or combination becomes effective.</w:t>
      </w:r>
    </w:p>
    <w:p>
      <w:pPr>
        <w:spacing w:after="0" w:line="184" w:lineRule="exact"/>
        <w:rPr>
          <w:sz w:val="20"/>
          <w:szCs w:val="20"/>
          <w:color w:val="auto"/>
        </w:rPr>
      </w:pPr>
    </w:p>
    <w:p>
      <w:pPr>
        <w:ind w:right="2459" w:firstLine="484"/>
        <w:spacing w:after="0" w:line="246" w:lineRule="auto"/>
        <w:tabs>
          <w:tab w:leader="none" w:pos="96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Common Stock evidences of its indebtedness, shares of any class of capital stock, or other property (including securities, but excluding (i) any rights, options or warrants referred to in paragraph (2) of this Section, (ii) any dividend or distribution paid exclusively in cash, (iii) any dividend or distribution referred to in paragraph (1) of this Section)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502)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the Board of Directors determines not to make such distribution, to the Conversion Rate that would have been in effect if such determination date had not been fixed.</w:t>
      </w:r>
    </w:p>
    <w:p>
      <w:pPr>
        <w:spacing w:after="0" w:line="199"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Common Stock cash (excluding any cash that is distributed as part of a distribution referred to in paragraph (4) of this Section) in an aggregate amount that, combined together with (I) the aggregate amount of any other cash distributions to all holders of its Common Stock made exclusively in cash within the 12 months preceding the date of payment of such distribution and in respect of which no adjustment pursuant to this paragraph (5) 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(6) of this Section 502 has been made (the "combined cash and tender amount") exceeds 12.5% of the product of the current market price per share (determined as provided in paragraph (8) of this Section 502)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502) of the Common Stock on the date fixed for such determination less an amount equal to the quotient of (x) the excess of such combined cash and tender amount over such aggregate current</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47" w:name="page48"/>
    <w:bookmarkEnd w:id="47"/>
    <w:p>
      <w:pPr>
        <w:jc w:val="both"/>
        <w:ind w:left="1" w:right="2559"/>
        <w:spacing w:after="0" w:line="247" w:lineRule="auto"/>
        <w:rPr>
          <w:sz w:val="20"/>
          <w:szCs w:val="20"/>
          <w:color w:val="auto"/>
        </w:rPr>
      </w:pPr>
      <w:r>
        <w:rPr>
          <w:rFonts w:ascii="Courier New" w:cs="Courier New" w:eastAsia="Courier New" w:hAnsi="Courier New"/>
          <w:sz w:val="16"/>
          <w:szCs w:val="16"/>
          <w:color w:val="auto"/>
        </w:rPr>
        <w:t>market price divided by (y) the number of shares of Common Stock outstanding on such date for determination and (ii) the denominator of which shall be equal to the current market price per share (determined as provided in paragraph (8) of this Section 502) of the Common Stock on such date for determination.</w:t>
      </w:r>
    </w:p>
    <w:p>
      <w:pPr>
        <w:spacing w:after="0" w:line="186" w:lineRule="exact"/>
        <w:rPr>
          <w:sz w:val="20"/>
          <w:szCs w:val="20"/>
          <w:color w:val="auto"/>
        </w:rPr>
      </w:pPr>
    </w:p>
    <w:p>
      <w:pPr>
        <w:ind w:left="1" w:right="2459" w:firstLine="484"/>
        <w:spacing w:after="0" w:line="246" w:lineRule="auto"/>
        <w:tabs>
          <w:tab w:leader="none" w:pos="97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 (I)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cash distributions to all holders of the Company's Common Stock within 12 months preceding the expiration of such tender offer and in respect of which no adjustment pursuant to paragraph (5) of this Section has been made (the "combined tender and cash amount") exceeds 12.5% of the product of the current market price per share of the Common Stock (determined as provided in paragraph (8) of this Section 502)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502) on the date of the Expiration Time multiplied by (II) the number of shares of Common Stock outstanding (including any tendered shares) on the Expiration Time less (B) the combined tender and cash amount, and</w:t>
      </w:r>
    </w:p>
    <w:p>
      <w:pPr>
        <w:spacing w:after="0" w:line="18" w:lineRule="exact"/>
        <w:rPr>
          <w:rFonts w:ascii="Courier New" w:cs="Courier New" w:eastAsia="Courier New" w:hAnsi="Courier New"/>
          <w:sz w:val="16"/>
          <w:szCs w:val="16"/>
          <w:color w:val="auto"/>
        </w:rPr>
      </w:pPr>
    </w:p>
    <w:p>
      <w:pPr>
        <w:ind w:left="1" w:right="2559" w:hanging="1"/>
        <w:spacing w:after="0" w:line="246" w:lineRule="auto"/>
        <w:tabs>
          <w:tab w:leader="none" w:pos="4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which shall be equal to the product of (A) the current market price per share of the Common Stock (determined as provided in paragraph</w:t>
      </w:r>
    </w:p>
    <w:p>
      <w:pPr>
        <w:spacing w:after="0" w:line="1" w:lineRule="exact"/>
        <w:rPr>
          <w:rFonts w:ascii="Courier New" w:cs="Courier New" w:eastAsia="Courier New" w:hAnsi="Courier New"/>
          <w:sz w:val="16"/>
          <w:szCs w:val="16"/>
          <w:color w:val="auto"/>
        </w:rPr>
      </w:pPr>
    </w:p>
    <w:p>
      <w:pPr>
        <w:ind w:left="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 of this Section 502)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85" w:lineRule="exact"/>
        <w:rPr>
          <w:rFonts w:ascii="Courier New" w:cs="Courier New" w:eastAsia="Courier New" w:hAnsi="Courier New"/>
          <w:sz w:val="16"/>
          <w:szCs w:val="16"/>
          <w:color w:val="auto"/>
        </w:rPr>
      </w:pPr>
    </w:p>
    <w:p>
      <w:pPr>
        <w:ind w:left="1" w:right="2459" w:firstLine="484"/>
        <w:spacing w:after="0" w:line="246" w:lineRule="auto"/>
        <w:tabs>
          <w:tab w:leader="none" w:pos="97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reclassification of Common Stock into securities including other than Common Stock (other than any reclassification upon a consolidation or merger to which Section 1409 of the Indenture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0"/>
          </w:cols>
          <w:pgMar w:left="239" w:top="676" w:right="1440" w:bottom="1440" w:gutter="0" w:footer="0" w:header="0"/>
        </w:sectPr>
      </w:pPr>
    </w:p>
    <w:bookmarkStart w:id="48" w:name="page49"/>
    <w:bookmarkEnd w:id="48"/>
    <w:p>
      <w:pPr>
        <w:ind w:left="1" w:right="2459"/>
        <w:spacing w:after="0" w:line="246" w:lineRule="auto"/>
        <w:rPr>
          <w:sz w:val="20"/>
          <w:szCs w:val="20"/>
          <w:color w:val="auto"/>
        </w:rPr>
      </w:pPr>
      <w:r>
        <w:rPr>
          <w:rFonts w:ascii="Courier New" w:cs="Courier New" w:eastAsia="Courier New" w:hAnsi="Courier New"/>
          <w:sz w:val="16"/>
          <w:szCs w:val="16"/>
          <w:color w:val="auto"/>
        </w:rPr>
        <w:t>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w:t>
      </w:r>
    </w:p>
    <w:p>
      <w:pPr>
        <w:spacing w:after="0" w:line="3" w:lineRule="exact"/>
        <w:rPr>
          <w:sz w:val="20"/>
          <w:szCs w:val="20"/>
          <w:color w:val="auto"/>
        </w:rPr>
      </w:pPr>
    </w:p>
    <w:p>
      <w:pPr>
        <w:ind w:left="381" w:hanging="381"/>
        <w:spacing w:after="0"/>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502).</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paragraphs (2), (4), (5) or</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38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502, the current market price per share of Common Stock on any date shall be calculated by the Company and be deemed to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192" w:lineRule="exact"/>
        <w:rPr>
          <w:rFonts w:ascii="Courier New" w:cs="Courier New" w:eastAsia="Courier New" w:hAnsi="Courier New"/>
          <w:sz w:val="16"/>
          <w:szCs w:val="16"/>
          <w:color w:val="auto"/>
        </w:rPr>
      </w:pPr>
    </w:p>
    <w:p>
      <w:pPr>
        <w:ind w:left="1" w:right="2459" w:firstLine="484"/>
        <w:spacing w:after="0" w:line="246" w:lineRule="auto"/>
        <w:tabs>
          <w:tab w:leader="none" w:pos="97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Rate shall be required unless such adjustment (plus any adjustments not previously made by reason of this paragraph</w:t>
      </w:r>
    </w:p>
    <w:p>
      <w:pPr>
        <w:spacing w:after="0" w:line="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 would require an increase or decrease of at least one percent in such rate;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provided, however, that any adjustments which by reason of this paragraph (9)</w:t>
      </w:r>
    </w:p>
    <w:p>
      <w:pPr>
        <w:spacing w:after="0" w:line="5" w:lineRule="exact"/>
        <w:rPr>
          <w:sz w:val="20"/>
          <w:szCs w:val="20"/>
          <w:color w:val="auto"/>
        </w:rPr>
      </w:pPr>
    </w:p>
    <w:p>
      <w:pPr>
        <w:ind w:left="1"/>
        <w:spacing w:after="0"/>
        <w:tabs>
          <w:tab w:leader="none" w:pos="1140" w:val="left"/>
        </w:tabs>
        <w:rPr>
          <w:sz w:val="20"/>
          <w:szCs w:val="20"/>
          <w:color w:val="auto"/>
        </w:rPr>
      </w:pPr>
      <w:r>
        <w:rPr>
          <w:rFonts w:ascii="Courier New" w:cs="Courier New" w:eastAsia="Courier New" w:hAnsi="Courier New"/>
          <w:sz w:val="16"/>
          <w:szCs w:val="16"/>
          <w:color w:val="auto"/>
        </w:rPr>
        <w:t>- --------</w:t>
        <w:tab/>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are not required to be made shall be carried forward and taken into account in any subsequent adjustment. All calculations under this Article shall be made to the nearest cent or to the nearest one-hundredth of a share, as the case may be.</w:t>
      </w:r>
    </w:p>
    <w:p>
      <w:pPr>
        <w:spacing w:after="0" w:line="186" w:lineRule="exact"/>
        <w:rPr>
          <w:sz w:val="20"/>
          <w:szCs w:val="20"/>
          <w:color w:val="auto"/>
        </w:rPr>
      </w:pPr>
    </w:p>
    <w:p>
      <w:pPr>
        <w:ind w:left="1" w:right="2459" w:firstLine="484"/>
        <w:spacing w:after="0" w:line="246" w:lineRule="auto"/>
        <w:tabs>
          <w:tab w:leader="none" w:pos="97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increases in the Conversion Rate, for the remaining term of the Notes or any shorter term, in addition to those required by paragraphs (1), (2), (3), (4), (5) and (6) of this Section 502,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91" w:lineRule="exact"/>
        <w:rPr>
          <w:rFonts w:ascii="Courier New" w:cs="Courier New" w:eastAsia="Courier New" w:hAnsi="Courier New"/>
          <w:sz w:val="16"/>
          <w:szCs w:val="16"/>
          <w:color w:val="auto"/>
        </w:rPr>
      </w:pPr>
    </w:p>
    <w:p>
      <w:pPr>
        <w:ind w:left="1" w:right="2759" w:firstLine="484"/>
        <w:spacing w:after="0" w:line="247" w:lineRule="auto"/>
        <w:tabs>
          <w:tab w:leader="none" w:pos="97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 exchange offer of the character described in Rule 13e-4(h)(5) under the Exchange Act or any successor rule thereto.</w:t>
      </w:r>
    </w:p>
    <w:p>
      <w:pPr>
        <w:spacing w:after="0" w:line="185" w:lineRule="exact"/>
        <w:rPr>
          <w:rFonts w:ascii="Courier New" w:cs="Courier New" w:eastAsia="Courier New" w:hAnsi="Courier New"/>
          <w:sz w:val="16"/>
          <w:szCs w:val="16"/>
          <w:color w:val="auto"/>
        </w:rPr>
      </w:pPr>
    </w:p>
    <w:p>
      <w:pPr>
        <w:ind w:left="1" w:right="2459" w:firstLine="484"/>
        <w:spacing w:after="0" w:line="246" w:lineRule="auto"/>
        <w:tabs>
          <w:tab w:leader="none" w:pos="97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provided, however, that no such increase shall be taken</w:t>
      </w:r>
    </w:p>
    <w:p>
      <w:pPr>
        <w:spacing w:after="0" w:line="3" w:lineRule="exact"/>
        <w:rPr>
          <w:sz w:val="20"/>
          <w:szCs w:val="20"/>
          <w:color w:val="auto"/>
        </w:rPr>
      </w:pPr>
    </w:p>
    <w:p>
      <w:pPr>
        <w:ind w:left="2041"/>
        <w:spacing w:after="0"/>
        <w:tabs>
          <w:tab w:leader="none" w:pos="298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into account for purposes of determining whether the Closing Price Per Share of the Common Stock exceeds the Conversion Price by 105% in connection with an event which would otherwise be a</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0"/>
          </w:cols>
          <w:pgMar w:left="239" w:top="676" w:right="1440" w:bottom="1440" w:gutter="0" w:footer="0" w:header="0"/>
        </w:sectPr>
      </w:pPr>
    </w:p>
    <w:bookmarkStart w:id="49" w:name="page50"/>
    <w:bookmarkEnd w:id="49"/>
    <w:p>
      <w:pPr>
        <w:ind w:right="2459"/>
        <w:spacing w:after="0" w:line="247" w:lineRule="auto"/>
        <w:rPr>
          <w:sz w:val="20"/>
          <w:szCs w:val="20"/>
          <w:color w:val="auto"/>
        </w:rPr>
      </w:pPr>
      <w:r>
        <w:rPr>
          <w:rFonts w:ascii="Courier New" w:cs="Courier New" w:eastAsia="Courier New" w:hAnsi="Courier New"/>
          <w:sz w:val="16"/>
          <w:szCs w:val="16"/>
          <w:color w:val="auto"/>
        </w:rPr>
        <w:t>Change of Control pursuant to Section 604(4). Whenever the Conversion Rate is increased pursuant to the preceding sentence, the Company shall give notice of the increase to the Holders in the manner provided in Section 106 of the Indenture at least fifteen (15) days prior to the date the increased Conversion Rate takes effect, and such notice shall state the increased Conversion Rate and the period during which it will be in effect.</w:t>
      </w:r>
    </w:p>
    <w:p>
      <w:pPr>
        <w:spacing w:after="0" w:line="37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SIX</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REPURCHASE OF NOTES AT THE OPTION OF THE</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HOLDER UPON A CHANGE OF CONTROL.</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Right to Require Repurchase.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the event that a Change in Control (as hereinafter defined) shall occur, then each Holder shall have the right, at the Holder's option, but subject to the provisions of Section 602, to require the Company to repurchase, and upon the exercise of such right the Company shall repurchase, all of such Holder's Notes not theretofore called for redemption, or any portion of the principal amount thereof that is equal to $1,000 or any integral multiple of $1,000 in excess thereof (provided that no single Note may be repurchased in part unless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portion of the principal amount of such Note to be Outstanding after such repurchase is equal to $1,000 or integral multiples of $1,000 in excess thereof), on the date (the "Repurchase Date") that is 45 days after the date of the Company Notice (as defined in Section 603) at a purchase price equal to 100% of the principal amount of the Notes to be repurchased plus interest accrued to, but excluding, the Repurchase Date (including any unpaid interest that has accrued during the Extension Period) (the "Repurchase Price"); provided,</w:t>
      </w:r>
    </w:p>
    <w:p>
      <w:pPr>
        <w:spacing w:after="0" w:line="4"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installments of interest on Notes whose Stated Maturity is 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prior to the Repurchase Date shall be payable to the Holders of such Notes, or one or more Predecessor Notes, registered as such on the relevant Record Date according to their terms and the provisions of Section 307 of the Indenture. Such right to require the repurchase of the Notes shall not continue after a discharge of the Company from its obligations with respect to the Notes in accordance with Article Four of the Indenture, unless a Change in Control shall have occurred prior to such discharge. At the option of the Company, the Repurchase Price may be paid in cash or, subject to the fulfillment by the Company of the conditions set forth Section 602, by delivery of shares of Common Stock having a fair market value equal to the Repurchase Price. Whenever in this Supplemental Indenture or the Indenture (including in the Form of Note, Section 101 of this Supplemental Indenture, and Sections 501(1) and 508 of the Indenture) there is a reference, in any context, to the principal of any Note as of any time, such reference shall be deemed to include reference to the Repurchase Price payable in respect of such Note to the extent that such Repurchase Price is, was or would be so payable at such time, and express mention of the Repurchase Price in any provision of this Supplemental Indenture shall not be construed as excluding the Repurchase Price in those provisions of this Supplemental Indenture or Indenture when such express mention is not made; provided, however, that for the purposes of Article Fifteen of the Indenture</w:t>
      </w:r>
    </w:p>
    <w:p>
      <w:pPr>
        <w:spacing w:after="0" w:line="1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tab/>
        <w:t>-------</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such reference shall be deemed to include reference to the Repurchase Price only to the extent the Repurchase Price is payable in cash.</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50" w:name="page51"/>
    <w:bookmarkEnd w:id="50"/>
    <w:p>
      <w:pPr>
        <w:ind w:left="1540" w:right="2459" w:hanging="1549"/>
        <w:spacing w:after="0" w:line="248" w:lineRule="auto"/>
        <w:tabs>
          <w:tab w:leader="none" w:pos="152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Conditions to the Company's Election to Pay the Repurchase Price in Common Stock.</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may elect to pay the Repurchase Price by delivery of shares of Common Stock pursuant to Section 601 if and only if the following conditions shall have been satisfied:</w:t>
      </w:r>
    </w:p>
    <w:p>
      <w:pPr>
        <w:spacing w:after="0" w:line="186" w:lineRule="exact"/>
        <w:rPr>
          <w:sz w:val="20"/>
          <w:szCs w:val="20"/>
          <w:color w:val="auto"/>
        </w:rPr>
      </w:pPr>
    </w:p>
    <w:p>
      <w:pPr>
        <w:ind w:right="2459" w:firstLine="484"/>
        <w:spacing w:after="0" w:line="247" w:lineRule="auto"/>
        <w:tabs>
          <w:tab w:leader="none" w:pos="9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deliverable in payment of the Repurchase Price shall have a fair market value as of the Repurchase Date of not less than the Repurchase Price. For purposes of Section 601 and this Section 602, the fair market value of shares of Common Stock shall be determined by the Company and shall be equal to 95% of the average of the Closing Prices Per Share for the five consecutive Trading Days immediately preceding the second Trading Day prior to the Repurchase Date;</w:t>
      </w:r>
    </w:p>
    <w:p>
      <w:pPr>
        <w:spacing w:after="0" w:line="185" w:lineRule="exact"/>
        <w:rPr>
          <w:rFonts w:ascii="Courier New" w:cs="Courier New" w:eastAsia="Courier New" w:hAnsi="Courier New"/>
          <w:sz w:val="16"/>
          <w:szCs w:val="16"/>
          <w:color w:val="auto"/>
        </w:rPr>
      </w:pPr>
    </w:p>
    <w:p>
      <w:pPr>
        <w:ind w:right="2559" w:firstLine="484"/>
        <w:spacing w:after="0" w:line="246" w:lineRule="auto"/>
        <w:tabs>
          <w:tab w:leader="none" w:pos="9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Price shall be paid only in cash in the event any shares of Common Stock to be issued upon repurchase of Notes hereunder (i) require registration under any federal securities law before such shares may be freely transferrable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91" w:lineRule="exact"/>
        <w:rPr>
          <w:rFonts w:ascii="Courier New" w:cs="Courier New" w:eastAsia="Courier New" w:hAnsi="Courier New"/>
          <w:sz w:val="16"/>
          <w:szCs w:val="16"/>
          <w:color w:val="auto"/>
        </w:rPr>
      </w:pPr>
    </w:p>
    <w:p>
      <w:pPr>
        <w:ind w:right="2459" w:firstLine="484"/>
        <w:spacing w:after="0" w:line="247" w:lineRule="auto"/>
        <w:tabs>
          <w:tab w:leader="none" w:pos="9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Repurchase Price may not be made in Common Stock unless such stock is, or shall have been, approved for listing on the New York Stock Exchange or quotation on the Nasdaq National Market, in either case, prior to the Repurchase Date; and</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9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Common Stock which may be issued upon repurchase of Notes will be issued out of the Company's authorized but unissued Common Stock and, will upon issue, be duly and validly issued and fully paid and non-assessable and free of any preemptive rights.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all of the conditions set forth in this Section 602 are not satisfied in accordance with the terms thereof, the Repurchase Price shall be paid by the Company only in cash.</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Notices; Method of Exercising Repurchase Right, Etc.</w:t>
      </w:r>
    </w:p>
    <w:p>
      <w:pPr>
        <w:spacing w:after="0" w:line="191" w:lineRule="exact"/>
        <w:rPr>
          <w:sz w:val="20"/>
          <w:szCs w:val="20"/>
          <w:color w:val="auto"/>
        </w:rPr>
      </w:pPr>
    </w:p>
    <w:p>
      <w:pPr>
        <w:ind w:right="2459" w:firstLine="484"/>
        <w:spacing w:after="0" w:line="246" w:lineRule="auto"/>
        <w:tabs>
          <w:tab w:leader="none" w:pos="96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theretofore called for redemption all of the Outstanding Notes, on or before the 30th day after the occurrence of a Change in Control, the Company or, at the request and expense of the Company on or before the 15th day after such occurrence, the Trustee, shall give to all Holders of Notes, in the manner provided in Section 106 of the Indenture, notice (the "Company Notice") of the occurrence of the Change in Control and of the repurchase right set forth herein arising as a result thereof. The Company shall also deliver a copy of such notice of a repurchase right to the Trustee.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51" w:name="page52"/>
    <w:bookmarkEnd w:id="51"/>
    <w:p>
      <w:pPr>
        <w:ind w:left="480"/>
        <w:spacing w:after="0"/>
        <w:rPr>
          <w:sz w:val="20"/>
          <w:szCs w:val="20"/>
          <w:color w:val="auto"/>
        </w:rPr>
      </w:pPr>
      <w:r>
        <w:rPr>
          <w:rFonts w:ascii="Courier New" w:cs="Courier New" w:eastAsia="Courier New" w:hAnsi="Courier New"/>
          <w:sz w:val="16"/>
          <w:szCs w:val="16"/>
          <w:color w:val="auto"/>
        </w:rPr>
        <w:t>Each notice of a repurchase right shall state:</w:t>
      </w:r>
    </w:p>
    <w:p>
      <w:pPr>
        <w:spacing w:after="0" w:line="191" w:lineRule="exact"/>
        <w:rPr>
          <w:sz w:val="20"/>
          <w:szCs w:val="20"/>
          <w:color w:val="auto"/>
        </w:rPr>
      </w:pPr>
    </w:p>
    <w:p>
      <w:pPr>
        <w:ind w:left="1640" w:hanging="478"/>
        <w:spacing w:after="0"/>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Date,</w:t>
      </w:r>
    </w:p>
    <w:p>
      <w:pPr>
        <w:spacing w:after="0" w:line="191" w:lineRule="exact"/>
        <w:rPr>
          <w:rFonts w:ascii="Courier New" w:cs="Courier New" w:eastAsia="Courier New" w:hAnsi="Courier New"/>
          <w:sz w:val="16"/>
          <w:szCs w:val="16"/>
          <w:color w:val="auto"/>
        </w:rPr>
      </w:pPr>
    </w:p>
    <w:p>
      <w:pPr>
        <w:ind w:left="1640" w:hanging="575"/>
        <w:spacing w:after="0"/>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by which the repurchase right must be exercised,</w:t>
      </w:r>
    </w:p>
    <w:p>
      <w:pPr>
        <w:spacing w:after="0" w:line="191" w:lineRule="exact"/>
        <w:rPr>
          <w:rFonts w:ascii="Courier New" w:cs="Courier New" w:eastAsia="Courier New" w:hAnsi="Courier New"/>
          <w:sz w:val="16"/>
          <w:szCs w:val="16"/>
          <w:color w:val="auto"/>
        </w:rPr>
      </w:pPr>
    </w:p>
    <w:p>
      <w:pPr>
        <w:ind w:left="1640" w:right="2459" w:hanging="672"/>
        <w:spacing w:after="0" w:line="247" w:lineRule="auto"/>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Price, and whether the Repurchase Price shall be paid by the Company in cash or by delivery of shares of Common Stock,</w:t>
      </w:r>
    </w:p>
    <w:p>
      <w:pPr>
        <w:spacing w:after="0" w:line="185" w:lineRule="exact"/>
        <w:rPr>
          <w:rFonts w:ascii="Courier New" w:cs="Courier New" w:eastAsia="Courier New" w:hAnsi="Courier New"/>
          <w:sz w:val="16"/>
          <w:szCs w:val="16"/>
          <w:color w:val="auto"/>
        </w:rPr>
      </w:pPr>
    </w:p>
    <w:p>
      <w:pPr>
        <w:ind w:left="1640" w:right="2459" w:hanging="575"/>
        <w:spacing w:after="0" w:line="247" w:lineRule="auto"/>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procedure which a Holder must follow to exercise a repurchase right, and the place or places where such Notes, are to be surrendered for payment of the Repurchase Price and accrued interest, if any,</w:t>
      </w:r>
    </w:p>
    <w:p>
      <w:pPr>
        <w:spacing w:after="0" w:line="185" w:lineRule="exact"/>
        <w:rPr>
          <w:rFonts w:ascii="Courier New" w:cs="Courier New" w:eastAsia="Courier New" w:hAnsi="Courier New"/>
          <w:sz w:val="16"/>
          <w:szCs w:val="16"/>
          <w:color w:val="auto"/>
        </w:rPr>
      </w:pPr>
    </w:p>
    <w:p>
      <w:pPr>
        <w:ind w:left="1640" w:right="2559" w:hanging="478"/>
        <w:spacing w:after="0" w:line="247" w:lineRule="auto"/>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Repurchase Date the Repurchase Price, and accrued interest, if any, will become due and payable upon each such Note designated by the Holder to be repurchased, and that interest thereon shall cease to accrue on and after said date,</w:t>
      </w:r>
    </w:p>
    <w:p>
      <w:pPr>
        <w:spacing w:after="0" w:line="185" w:lineRule="exact"/>
        <w:rPr>
          <w:rFonts w:ascii="Courier New" w:cs="Courier New" w:eastAsia="Courier New" w:hAnsi="Courier New"/>
          <w:sz w:val="16"/>
          <w:szCs w:val="16"/>
          <w:color w:val="auto"/>
        </w:rPr>
      </w:pPr>
    </w:p>
    <w:p>
      <w:pPr>
        <w:ind w:left="1640" w:right="2459" w:hanging="575"/>
        <w:spacing w:after="0" w:line="247" w:lineRule="auto"/>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Rate then in effect, the date on which the right to convert the principal amount of the Notes to be repurchased will terminate and the place or places where such Notes may be surrendered for conversion, and</w:t>
      </w:r>
    </w:p>
    <w:p>
      <w:pPr>
        <w:spacing w:after="0" w:line="185" w:lineRule="exact"/>
        <w:rPr>
          <w:rFonts w:ascii="Courier New" w:cs="Courier New" w:eastAsia="Courier New" w:hAnsi="Courier New"/>
          <w:sz w:val="16"/>
          <w:szCs w:val="16"/>
          <w:color w:val="auto"/>
        </w:rPr>
      </w:pPr>
    </w:p>
    <w:p>
      <w:pPr>
        <w:ind w:left="1640" w:right="2459" w:hanging="672"/>
        <w:spacing w:after="0" w:line="247" w:lineRule="auto"/>
        <w:tabs>
          <w:tab w:leader="none" w:pos="1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that the Note certificate with the Election of Holder to Require Repurchase as specified in the form of Note shall be delivered.</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No failure of the Company to give the foregoing notices or defect therein shall limit any Holder's right to exercise a repurchase right or affect the validity of the proceedings for the repurchase of Notes.</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If any of the foregoing provisions or other provisions of this Article Six are inconsistent with applicable law, such law shall govern.</w:t>
      </w:r>
    </w:p>
    <w:p>
      <w:pPr>
        <w:spacing w:after="0" w:line="184" w:lineRule="exact"/>
        <w:rPr>
          <w:sz w:val="20"/>
          <w:szCs w:val="20"/>
          <w:color w:val="auto"/>
        </w:rPr>
      </w:pPr>
    </w:p>
    <w:p>
      <w:pPr>
        <w:ind w:right="2459" w:firstLine="484"/>
        <w:spacing w:after="0" w:line="246" w:lineRule="auto"/>
        <w:tabs>
          <w:tab w:leader="none" w:pos="96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Notes to be repurchased (and, if any Note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in the event that the Repurchase Price shall be paid in shares of Common Stock, the name or names (with addresses) in which the certificate or certificates for shares of Common Stock shall be issued, and (ii) the Notes with respect to which the repurchase right is being exercised. Such written notice shall be irrevocable, except that the right of the Holder to convert the Notes with respect to which the repurchase right is being exercised shall continue until the close of business on the Business Day prior to the Repurchase Date.</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52" w:name="page53"/>
    <w:bookmarkEnd w:id="52"/>
    <w:p>
      <w:pPr>
        <w:ind w:right="2559" w:firstLine="484"/>
        <w:spacing w:after="0" w:line="246" w:lineRule="auto"/>
        <w:tabs>
          <w:tab w:leader="none" w:pos="96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 repurchase right shall be exercised in accordance with the terms hereof, the Company shall pay or cause to be paid to the Trustee the Repurchase Price in cash or shares of Common Stock, as provided above, for payment to the Holder on the Repurchase Date or, if shares of Common Stock are to be paid, as promptly after the Repurchase Date as practicable, together with accrued and unpaid interest to the Repurchase Date payable with respect to the Notes as to which the repurchase right has been exercised; provided, however,</w:t>
      </w:r>
    </w:p>
    <w:p>
      <w:pPr>
        <w:spacing w:after="0" w:line="4" w:lineRule="exact"/>
        <w:rPr>
          <w:sz w:val="20"/>
          <w:szCs w:val="20"/>
          <w:color w:val="auto"/>
        </w:rPr>
      </w:pPr>
    </w:p>
    <w:p>
      <w:pPr>
        <w:ind w:left="5720"/>
        <w:spacing w:after="0"/>
        <w:tabs>
          <w:tab w:leader="none" w:pos="66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that installments of interest that mature on or prior to the Repurchase Date shall be payable in cash to the Holders of such Notes, or one or more Predecessor Securities, registered as such at the close of business on the relevant Regular Record Date.</w:t>
      </w:r>
    </w:p>
    <w:p>
      <w:pPr>
        <w:spacing w:after="0" w:line="186" w:lineRule="exact"/>
        <w:rPr>
          <w:sz w:val="20"/>
          <w:szCs w:val="20"/>
          <w:color w:val="auto"/>
        </w:rPr>
      </w:pPr>
    </w:p>
    <w:p>
      <w:pPr>
        <w:ind w:right="2459" w:firstLine="484"/>
        <w:spacing w:after="0" w:line="247" w:lineRule="auto"/>
        <w:tabs>
          <w:tab w:leader="none" w:pos="96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Note (or portion thereof) surrendered for repurchase shall not be so paid on the Repurchase Date, the principal amount of such Note (or portion thereof, as the case may be) shall, until paid, bear interest to the extent permitted by applicable law from the Repurchase Date at the rate of 6-1/2% per annum, and each Note shall remain convertible into Common Stock until the principal of such Note (or portion thereof, as the case may be) shall have been paid or duly provided for.</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Note without service charge, a new Note or Notes, containing identical terms and conditions, each in an authorized denomination in aggregate principal amount equal to and in exchange for the unrepurchased portion of the principal of the Note so surrendered.</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provided,</w:t>
      </w:r>
    </w:p>
    <w:p>
      <w:pPr>
        <w:spacing w:after="0" w:line="3"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any surrender for repurchase on a date when the stock transfer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Common Stock issued upon repurchase of any Note declared prior to the Repurchase Date.</w:t>
      </w:r>
    </w:p>
    <w:p>
      <w:pPr>
        <w:spacing w:after="0" w:line="185" w:lineRule="exact"/>
        <w:rPr>
          <w:sz w:val="20"/>
          <w:szCs w:val="20"/>
          <w:color w:val="auto"/>
        </w:rPr>
      </w:pPr>
    </w:p>
    <w:p>
      <w:pPr>
        <w:ind w:right="2559" w:firstLine="484"/>
        <w:spacing w:after="0" w:line="246" w:lineRule="auto"/>
        <w:tabs>
          <w:tab w:leader="none" w:pos="9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fractions of shares shall be issued upon repurchase of Notes. If more than one Note shall be repurchased from the same Holder and the Repurchase Price shall be payable in shares of Common Stock, the number of full shares which shall be issuable upon such repurchase shall be computed on the basis of the aggregate principal amount of the Notes so repurchased. Instead of any fractional share of Common Stock which would otherwise be issuable on the repurchase of any Note or Notes, the Company will deliver to the applicable Holder a check for the current market value of such fractional share. The current market value of a fraction of a share is determined by multiplying</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53" w:name="page54"/>
    <w:bookmarkEnd w:id="53"/>
    <w:p>
      <w:pPr>
        <w:ind w:left="1" w:right="2759"/>
        <w:spacing w:after="0" w:line="247" w:lineRule="auto"/>
        <w:rPr>
          <w:sz w:val="20"/>
          <w:szCs w:val="20"/>
          <w:color w:val="auto"/>
        </w:rPr>
      </w:pPr>
      <w:r>
        <w:rPr>
          <w:rFonts w:ascii="Courier New" w:cs="Courier New" w:eastAsia="Courier New" w:hAnsi="Courier New"/>
          <w:sz w:val="16"/>
          <w:szCs w:val="16"/>
          <w:color w:val="auto"/>
        </w:rPr>
        <w:t>the current market price of a full share by the fraction, and rounding the result to the nearest cent. For purposes of this Section, the current market price of a share of Common Stock is the Closing Price Per Share of the Common Stock on the Trading Day immediately preceding the Repurchase Date.</w:t>
      </w:r>
    </w:p>
    <w:p>
      <w:pPr>
        <w:spacing w:after="0" w:line="186" w:lineRule="exact"/>
        <w:rPr>
          <w:sz w:val="20"/>
          <w:szCs w:val="20"/>
          <w:color w:val="auto"/>
        </w:rPr>
      </w:pPr>
    </w:p>
    <w:p>
      <w:pPr>
        <w:ind w:left="1" w:right="2459" w:firstLine="484"/>
        <w:spacing w:after="0" w:line="246" w:lineRule="auto"/>
        <w:tabs>
          <w:tab w:leader="none" w:pos="97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issuance and delivery of certificates for shares of Common Stock on repurchase of Notes shall be made without charge to the Holder of Notes being repurchased for such certificates or for any tax or duty in respect of the issuance or delivery of such certificates or the Notes represented thereby; provided, however, that the Company shall not be required to pay any tax or duty</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which may be payable in respect of (i) income of the Holder or (ii) any transfer involved in the issuance or delivery of certificates for shares of Common Stock in a name other than that of the Holder of the Notes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85" w:lineRule="exact"/>
        <w:rPr>
          <w:sz w:val="20"/>
          <w:szCs w:val="20"/>
          <w:color w:val="auto"/>
        </w:rPr>
      </w:pPr>
    </w:p>
    <w:p>
      <w:pPr>
        <w:ind w:left="1" w:right="2559" w:firstLine="484"/>
        <w:spacing w:after="0" w:line="247" w:lineRule="auto"/>
        <w:tabs>
          <w:tab w:leader="none" w:pos="97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delivered for repurchase shall be delivered to the Trustee to be canceled at the direction of the Trustee, which shall dispose of the same as provided in Section 309 of the Indenture.</w:t>
      </w:r>
    </w:p>
    <w:p>
      <w:pPr>
        <w:spacing w:after="0" w:line="186" w:lineRule="exact"/>
        <w:rPr>
          <w:sz w:val="20"/>
          <w:szCs w:val="20"/>
          <w:color w:val="auto"/>
        </w:rPr>
      </w:pPr>
    </w:p>
    <w:p>
      <w:pPr>
        <w:ind w:left="1"/>
        <w:spacing w:after="0"/>
        <w:tabs>
          <w:tab w:leader="none" w:pos="152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Certain Definitions.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For purposes of this Article Six,</w:t>
      </w:r>
    </w:p>
    <w:p>
      <w:pPr>
        <w:spacing w:after="0" w:line="191" w:lineRule="exact"/>
        <w:rPr>
          <w:sz w:val="20"/>
          <w:szCs w:val="20"/>
          <w:color w:val="auto"/>
        </w:rPr>
      </w:pPr>
    </w:p>
    <w:p>
      <w:pPr>
        <w:ind w:left="1" w:right="2659" w:firstLine="484"/>
        <w:spacing w:after="0" w:line="247" w:lineRule="auto"/>
        <w:tabs>
          <w:tab w:leader="none" w:pos="97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"beneficial owner" shall be determined in accordance with Rule 13d-3, as in effect on the date of the original execution of this Supplemental Indenture, promulgated by the Commission pursuant to the Exchange Act;</w:t>
      </w:r>
    </w:p>
    <w:p>
      <w:pPr>
        <w:spacing w:after="0" w:line="185" w:lineRule="exact"/>
        <w:rPr>
          <w:rFonts w:ascii="Courier New" w:cs="Courier New" w:eastAsia="Courier New" w:hAnsi="Courier New"/>
          <w:sz w:val="16"/>
          <w:szCs w:val="16"/>
          <w:color w:val="auto"/>
        </w:rPr>
      </w:pPr>
    </w:p>
    <w:p>
      <w:pPr>
        <w:ind w:left="1" w:right="2759" w:firstLine="484"/>
        <w:spacing w:after="0" w:line="248" w:lineRule="auto"/>
        <w:tabs>
          <w:tab w:leader="none" w:pos="97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be deemed to have occurred at the time, after the original issuance of the Notes, of:</w:t>
      </w:r>
    </w:p>
    <w:p>
      <w:pPr>
        <w:spacing w:after="0" w:line="184" w:lineRule="exact"/>
        <w:rPr>
          <w:rFonts w:ascii="Courier New" w:cs="Courier New" w:eastAsia="Courier New" w:hAnsi="Courier New"/>
          <w:sz w:val="16"/>
          <w:szCs w:val="16"/>
          <w:color w:val="auto"/>
        </w:rPr>
      </w:pPr>
    </w:p>
    <w:p>
      <w:pPr>
        <w:ind w:left="1" w:right="2459" w:firstLine="1065"/>
        <w:spacing w:after="0" w:line="246" w:lineRule="auto"/>
        <w:tabs>
          <w:tab w:leader="none" w:pos="1648"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(any shares of voting stock of which such person or group is the beneficial owner that are not then outstanding being deemed outstanding for purposes of calculating such percentage), other than any such acquisition by the Company, any Subsidiary of the Company or any employee benefit plan of the Company existing on the date of this Supplemental Indenture; or</w:t>
      </w:r>
    </w:p>
    <w:p>
      <w:pPr>
        <w:spacing w:after="0" w:line="193" w:lineRule="exact"/>
        <w:rPr>
          <w:rFonts w:ascii="Courier New" w:cs="Courier New" w:eastAsia="Courier New" w:hAnsi="Courier New"/>
          <w:sz w:val="16"/>
          <w:szCs w:val="16"/>
          <w:color w:val="auto"/>
        </w:rPr>
      </w:pPr>
    </w:p>
    <w:p>
      <w:pPr>
        <w:ind w:left="1" w:right="2459" w:firstLine="1065"/>
        <w:spacing w:after="0" w:line="247" w:lineRule="auto"/>
        <w:tabs>
          <w:tab w:leader="none" w:pos="1648"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0"/>
          </w:cols>
          <w:pgMar w:left="239" w:top="676" w:right="1440" w:bottom="1440" w:gutter="0" w:footer="0" w:header="0"/>
        </w:sectPr>
      </w:pPr>
    </w:p>
    <w:bookmarkStart w:id="54" w:name="page55"/>
    <w:bookmarkEnd w:id="54"/>
    <w:p>
      <w:pPr>
        <w:ind w:right="2459"/>
        <w:spacing w:after="0" w:line="246" w:lineRule="auto"/>
        <w:rPr>
          <w:sz w:val="20"/>
          <w:szCs w:val="20"/>
          <w:color w:val="auto"/>
        </w:rPr>
      </w:pPr>
      <w:r>
        <w:rPr>
          <w:rFonts w:ascii="Courier New" w:cs="Courier New" w:eastAsia="Courier New" w:hAnsi="Courier New"/>
          <w:sz w:val="16"/>
          <w:szCs w:val="16"/>
          <w:color w:val="auto"/>
        </w:rPr>
        <w:t>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 a Change in Control shall not be deemed to have occurred</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tab/>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if either (a)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604(2)(i) above) or the period of 10 consecutive Trading Days ending immediately before the Change in Control (in the case of a Change in Control under clause 604(2)(ii)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the Change in Control described in clause 604(2)(i) and/or clause 604(2)(ii)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w:t>
      </w:r>
    </w:p>
    <w:p>
      <w:pPr>
        <w:spacing w:after="0" w:line="195" w:lineRule="exact"/>
        <w:rPr>
          <w:sz w:val="20"/>
          <w:szCs w:val="20"/>
          <w:color w:val="auto"/>
        </w:rPr>
      </w:pPr>
    </w:p>
    <w:p>
      <w:pPr>
        <w:jc w:val="both"/>
        <w:ind w:right="2459" w:firstLine="484"/>
        <w:spacing w:after="0" w:line="247" w:lineRule="auto"/>
        <w:tabs>
          <w:tab w:leader="none" w:pos="96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 604(2)(i), the term "person" shall include any syndicate or group which would be deemed to be a "person" under Section 13(d)(3) of the Exchange Act, as in effect on the date of the original execution of this Supplemental Indenture.</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Consolidation, Merger, etc.</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the case of any consolidation, conveyance, sale, transfer or lease of all or substantially all of the assets of the Company to which Section 1409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Supplemental Indenture relating to the right of Holders to cause the Company to repurchase the Notes following a Change in Control,</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55" w:name="page56"/>
    <w:bookmarkEnd w:id="55"/>
    <w:p>
      <w:pPr>
        <w:ind w:right="2559"/>
        <w:spacing w:after="0" w:line="247" w:lineRule="auto"/>
        <w:rPr>
          <w:sz w:val="20"/>
          <w:szCs w:val="20"/>
          <w:color w:val="auto"/>
        </w:rPr>
      </w:pPr>
      <w:r>
        <w:rPr>
          <w:rFonts w:ascii="Courier New" w:cs="Courier New" w:eastAsia="Courier New" w:hAnsi="Courier New"/>
          <w:sz w:val="16"/>
          <w:szCs w:val="16"/>
          <w:color w:val="auto"/>
        </w:rPr>
        <w:t>including without limitation the applicable provisions of this Article Six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of Control to the common stock and the issuer thereof if different from the Company and Common Stock of the Company (in lieu of the Company and the Common Stock of the Company).</w:t>
      </w:r>
    </w:p>
    <w:p>
      <w:pPr>
        <w:spacing w:after="0" w:line="37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SEVEN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EVENT OF DEFAULT</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Event of Default.</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 addition to the Events of Default set forth in Section 501 of the Indenture, the following will be an Event of Default under the Supplemental Indenture: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there has been given, by registered or certified mail, to the Company by the Trustee or to the Company and the Trustee by the Holders of at least 25% in principal amount of the Outstanding Notes a written notice specifying such default or breach and requiring it to be remedied and stating that such notice is a "Notice of Default" hereunder.</w:t>
      </w:r>
    </w:p>
    <w:p>
      <w:pPr>
        <w:spacing w:after="0" w:line="379"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EIGHT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Applicability of Certain Indenture Provisions.</w:t>
      </w:r>
    </w:p>
    <w:p>
      <w:pPr>
        <w:spacing w:after="0" w:line="191" w:lineRule="exact"/>
        <w:rPr>
          <w:sz w:val="20"/>
          <w:szCs w:val="20"/>
          <w:color w:val="auto"/>
        </w:rPr>
      </w:pPr>
    </w:p>
    <w:p>
      <w:pPr>
        <w:ind w:right="3139" w:firstLine="484"/>
        <w:spacing w:after="0" w:line="248" w:lineRule="auto"/>
        <w:rPr>
          <w:sz w:val="20"/>
          <w:szCs w:val="20"/>
          <w:color w:val="auto"/>
        </w:rPr>
      </w:pPr>
      <w:r>
        <w:rPr>
          <w:rFonts w:ascii="Courier New" w:cs="Courier New" w:eastAsia="Courier New" w:hAnsi="Courier New"/>
          <w:sz w:val="16"/>
          <w:szCs w:val="16"/>
          <w:color w:val="auto"/>
        </w:rPr>
        <w:t>Each of the defeasance and covenant defeasance provisions of Article Thirteen of the Indenture shall apply to the Notes.</w:t>
      </w:r>
    </w:p>
    <w:p>
      <w:pPr>
        <w:spacing w:after="0" w:line="18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Reference to and Effect on the Indenture.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This Supplemental Indenture shall be construed as supplemental to the Indenture and all the terms and conditions of this Supplemental Indenture shall be deemed to be part of the terms and conditions of the Indenture. Except as set forth herein, the Indenture heretofore executed and delivered is hereby (i) incorporated by reference in this Supplemental Indenture and (ii) ratified, approved and confirmed.</w:t>
      </w:r>
    </w:p>
    <w:p>
      <w:pPr>
        <w:spacing w:after="0" w:line="18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803</w:t>
      </w:r>
      <w:r>
        <w:rPr>
          <w:sz w:val="20"/>
          <w:szCs w:val="20"/>
          <w:color w:val="auto"/>
        </w:rPr>
        <w:tab/>
      </w:r>
      <w:r>
        <w:rPr>
          <w:rFonts w:ascii="Courier New" w:cs="Courier New" w:eastAsia="Courier New" w:hAnsi="Courier New"/>
          <w:sz w:val="16"/>
          <w:szCs w:val="16"/>
          <w:color w:val="auto"/>
        </w:rPr>
        <w:t>Waiver of Certain Covenants.</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The Company may omit in any particular instance to comply with any term, provision, or condition set forth in Article Three hereof if the Holders of a majority in principal amount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56" w:name="page57"/>
    <w:bookmarkEnd w:id="56"/>
    <w:p>
      <w:pPr>
        <w:ind w:right="2459"/>
        <w:spacing w:after="0" w:line="247" w:lineRule="auto"/>
        <w:rPr>
          <w:sz w:val="20"/>
          <w:szCs w:val="20"/>
          <w:color w:val="auto"/>
        </w:rPr>
      </w:pPr>
      <w:r>
        <w:rPr>
          <w:rFonts w:ascii="Courier New" w:cs="Courier New" w:eastAsia="Courier New" w:hAnsi="Courier New"/>
          <w:sz w:val="16"/>
          <w:szCs w:val="16"/>
          <w:color w:val="auto"/>
        </w:rPr>
        <w:t>outstanding Notes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804</w:t>
      </w:r>
      <w:r>
        <w:rPr>
          <w:sz w:val="20"/>
          <w:szCs w:val="20"/>
          <w:color w:val="auto"/>
        </w:rPr>
        <w:tab/>
      </w:r>
      <w:r>
        <w:rPr>
          <w:rFonts w:ascii="Courier New" w:cs="Courier New" w:eastAsia="Courier New" w:hAnsi="Courier New"/>
          <w:sz w:val="16"/>
          <w:szCs w:val="16"/>
          <w:color w:val="auto"/>
        </w:rPr>
        <w:t>Supplemental Indenture May be Executed In Counterparts.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This instrument may be executed in any number of counterparts, each of which shall be an original; but such counterparts shall together constitute but one and the same instrument.</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Section 805</w:t>
      </w:r>
      <w:r>
        <w:rPr>
          <w:sz w:val="20"/>
          <w:szCs w:val="20"/>
          <w:color w:val="auto"/>
        </w:rPr>
        <w:tab/>
      </w:r>
      <w:r>
        <w:rPr>
          <w:rFonts w:ascii="Courier New" w:cs="Courier New" w:eastAsia="Courier New" w:hAnsi="Courier New"/>
          <w:sz w:val="16"/>
          <w:szCs w:val="16"/>
          <w:color w:val="auto"/>
        </w:rPr>
        <w:t>Effect of Headings.</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Article and Section headings herein are for convenience only and shall not affect the construction hereof.</w:t>
      </w:r>
    </w:p>
    <w:p>
      <w:pPr>
        <w:spacing w:after="0" w:line="18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IN WITNESS WHEREOF, the parties hereto have caused this Supplemental Indenture to be duly executed all as of the day and year first above written.</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5" w:lineRule="exact"/>
        <w:rPr>
          <w:sz w:val="20"/>
          <w:szCs w:val="20"/>
          <w:color w:val="auto"/>
        </w:rPr>
      </w:pPr>
    </w:p>
    <w:p>
      <w:pPr>
        <w:ind w:left="3480"/>
        <w:spacing w:after="0"/>
        <w:tabs>
          <w:tab w:leader="none" w:pos="4140" w:val="left"/>
        </w:tabs>
        <w:rPr>
          <w:sz w:val="20"/>
          <w:szCs w:val="20"/>
          <w:color w:val="auto"/>
        </w:rPr>
      </w:pPr>
      <w:r>
        <w:rPr>
          <w:rFonts w:ascii="Courier New" w:cs="Courier New" w:eastAsia="Courier New" w:hAnsi="Courier New"/>
          <w:sz w:val="16"/>
          <w:szCs w:val="16"/>
          <w:color w:val="auto"/>
        </w:rPr>
        <w:t>Name:</w:t>
        <w:tab/>
        <w:t>Steven R. Appleton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Title: Chairman of the Board of Directors,</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Norwest Bank of Minnesota, National</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Association, as Trustee</w:t>
      </w: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57" w:name="page58"/>
    <w:bookmarkEnd w:id="57"/>
    <w:p>
      <w:pPr>
        <w:ind w:left="6400"/>
        <w:spacing w:after="0"/>
        <w:rPr>
          <w:sz w:val="20"/>
          <w:szCs w:val="20"/>
          <w:color w:val="auto"/>
        </w:rPr>
      </w:pPr>
      <w:r>
        <w:rPr>
          <w:rFonts w:ascii="Courier New" w:cs="Courier New" w:eastAsia="Courier New" w:hAnsi="Courier New"/>
          <w:sz w:val="16"/>
          <w:szCs w:val="16"/>
          <w:color w:val="auto"/>
        </w:rPr>
        <w:t>EXHIBIT 10.126</w:t>
      </w:r>
    </w:p>
    <w:p>
      <w:pPr>
        <w:spacing w:after="0" w:line="191" w:lineRule="exact"/>
        <w:rPr>
          <w:sz w:val="20"/>
          <w:szCs w:val="20"/>
          <w:color w:val="auto"/>
        </w:rPr>
      </w:pPr>
    </w:p>
    <w:p>
      <w:pPr>
        <w:ind w:left="480" w:right="2559"/>
        <w:spacing w:after="0" w:line="247" w:lineRule="auto"/>
        <w:rPr>
          <w:sz w:val="20"/>
          <w:szCs w:val="20"/>
          <w:color w:val="auto"/>
        </w:rPr>
      </w:pPr>
      <w:r>
        <w:rPr>
          <w:rFonts w:ascii="Courier New" w:cs="Courier New" w:eastAsia="Courier New" w:hAnsi="Courier New"/>
          <w:sz w:val="16"/>
          <w:szCs w:val="16"/>
          <w:color w:val="auto"/>
        </w:rPr>
        <w:t>THIS NOTE HAS NOT BEEN REGISTERED UNDER THE SECURITIES ACT OF 1933, AS AMENDED (THE "SECURITIES ACT"), OR THE SECURITIES LAWS OF ANY STATE OR OTHER JURISDICTION. NEITHER THIS NOTE NOR ANY INTEREST OR PARTICIPATION HEREIN MAY BE OFFERED, SOLD, ASSIGNED, TRANSFERRED, PLEDGED, ENCUMBERED OR OTHERWISE DISPOSED OF IN THE ABSENCE OF SUCH REGISTRATION OR UNLESS SUCH TRANSACTION IS EXEMPT FROM, OR NOT SUBJECT TO, REGISTRATION.</w:t>
      </w:r>
    </w:p>
    <w:p>
      <w:pPr>
        <w:spacing w:after="0" w:line="185"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THIS NOTE IS SUBJECT TO THE TERMS OF A SECURITIES RIGHTS AND RESTRICTIONS AGREEMENT AMONG THE COMPANY AND CERTAIN OTHER PARTIES INCLUDING THE INITIAL HOLDER OF THIS NOTE. THE HOLDER OF THIS NOTE BY ITS ACCEPTANCE HEREOF ACKNOWLEDGES AND AGREES THAT IT IS BOUND BY THE TERMS OF SUCH AGREEMENT, INCLUDING, WITHOUT LIMITATION, A PROVISION THAT IT MAY NOT OFFER, SELL, ASSIGN, TRANSFER, PLEDGE, ENCUMBER OR OTHERWISE DISPOSE OF THIS NOTE OR ANY PORTION THEREOF OR INTEREST THEREIN TO ANY PERSON OTHER THAN (A) THE COMPANY, OR (B) PURSUANT TO A SALE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193"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NOT LATER THAN 10 DAYS AFTER THE DATE OF ISSUANCE OF THIS NOTE, INFORMATION REGARDING THE ISSUE PRICE, AMOUNT OF ORIGINAL ISSUE DISCOUNT, ISSUE DATE AND YIELD TO MATURITY OF THIS NOTE WILL BE MADE AVAILABLE TO THE HOLDER OF THIS NOTE UPON REQUEST TO THE CHIEF FINANCIAL OFFICER OF THE COMPANY.</w:t>
      </w:r>
    </w:p>
    <w:p>
      <w:pPr>
        <w:spacing w:after="0" w:line="372"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SUBORDINATED PROMISSORY NOTE</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Due September 30, 2005</w:t>
      </w:r>
    </w:p>
    <w:p>
      <w:pPr>
        <w:sectPr>
          <w:pgSz w:w="11900" w:h="16838" w:orient="portrait"/>
          <w:cols w:equalWidth="0" w:num="1">
            <w:col w:w="10219"/>
          </w:cols>
          <w:pgMar w:left="240" w:top="514"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SN-1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$210,000,000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Boise, Idaho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30,1998</w:t>
      </w:r>
    </w:p>
    <w:p>
      <w:pPr>
        <w:spacing w:after="0" w:line="191" w:lineRule="exact"/>
        <w:rPr>
          <w:sz w:val="20"/>
          <w:szCs w:val="20"/>
          <w:color w:val="auto"/>
        </w:rPr>
      </w:pPr>
    </w:p>
    <w:p>
      <w:pPr>
        <w:sectPr>
          <w:pgSz w:w="11900" w:h="16838" w:orient="portrait"/>
          <w:cols w:equalWidth="0" w:num="2">
            <w:col w:w="5380" w:space="720"/>
            <w:col w:w="4119"/>
          </w:cols>
          <w:pgMar w:left="240" w:top="514" w:right="1440" w:bottom="1440" w:gutter="0" w:footer="0" w:header="0"/>
          <w:type w:val="continuous"/>
        </w:sectPr>
      </w:pPr>
    </w:p>
    <w:p>
      <w:pPr>
        <w:ind w:right="2559" w:firstLine="484"/>
        <w:spacing w:after="0" w:line="246" w:lineRule="auto"/>
        <w:rPr>
          <w:sz w:val="20"/>
          <w:szCs w:val="20"/>
          <w:color w:val="auto"/>
        </w:rPr>
      </w:pPr>
      <w:r>
        <w:rPr>
          <w:rFonts w:ascii="Courier New" w:cs="Courier New" w:eastAsia="Courier New" w:hAnsi="Courier New"/>
          <w:sz w:val="16"/>
          <w:szCs w:val="16"/>
          <w:color w:val="auto"/>
        </w:rPr>
        <w:t>FOR VALUE RECEIVED, the undersigned, MICRON TECHNOLOGY, INC., a Delaware corporation (the "Company"), hereby promises to pay to the order of TEXAS INSTRUMENTS INCORPORATED, a Delaware corporation (together with its successors and assigns, "Holder" or "Holders"), the principal sum of Two Hundred Ten Million Dollars ($210,000,000) on September 30, 2005, with interest from the date hereof (or the last interest payment date as to which interest has been paid, if earlier) on the unpaid balance at a rate of six and one-half percent (6.5%) per annum. Accrued interest shall be payable semi-annually in arrears as</w:t>
      </w:r>
    </w:p>
    <w:p>
      <w:pPr>
        <w:sectPr>
          <w:pgSz w:w="11900" w:h="16838" w:orient="portrait"/>
          <w:cols w:equalWidth="0" w:num="1">
            <w:col w:w="10219"/>
          </w:cols>
          <w:pgMar w:left="240" w:top="514" w:right="1440" w:bottom="1440" w:gutter="0" w:footer="0" w:header="0"/>
          <w:type w:val="continuous"/>
        </w:sectPr>
      </w:pPr>
    </w:p>
    <w:bookmarkStart w:id="58" w:name="page59"/>
    <w:bookmarkEnd w:id="58"/>
    <w:p>
      <w:pPr>
        <w:ind w:right="2759"/>
        <w:spacing w:after="0" w:line="247" w:lineRule="auto"/>
        <w:rPr>
          <w:sz w:val="20"/>
          <w:szCs w:val="20"/>
          <w:color w:val="auto"/>
        </w:rPr>
      </w:pPr>
      <w:r>
        <w:rPr>
          <w:rFonts w:ascii="Courier New" w:cs="Courier New" w:eastAsia="Courier New" w:hAnsi="Courier New"/>
          <w:sz w:val="16"/>
          <w:szCs w:val="16"/>
          <w:color w:val="auto"/>
        </w:rPr>
        <w:t>provided in Section 2.1 hereof. Interest shall be calculated based on a 365/366-day year and the actual days elapsed. Payments of both principal and interest are to be made in lawful money of the United States of America as provided herein.</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Note, together with any other substantially identical (except as to denomination and name of the holder thereof) subordinated promissory notes of the Company which may be issued from time to time upon partial transfer hereof, are in an aggregate principal amount equal to $210,000,000 (collectively, the "Notes"). As used herein, the term "Note" includes this Note and any Note issued in exchange for this Note or in replacement hereof. Notes shall only be issued in denominations of $10,000,000 or any integral multiple of $1,000,000 in excess thereof.</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Each Note shall be dated the date of its issuance, shall bear interest from its date of issuance stated therein (or the last interest payment date as to which interest had been paid (or the date of issuance of the first Note to have been issued, if no interest has yet been paid), if earlier). The Notes shall otherwise be substantially identical, except as to denomination and name of the Holder thereof. The Notes shall be issued only in fully registered form and shall each be substantially in the form hereof, appropriately completed. The Notes may have such letters, numbers or other marks of identification and such legends or endorsements not included hereon placed thereon as may be required to comply with any law or with any rules made pursuant thereto or with the rules of any securities exchange or governmental agency or as may, consistently herewith, be determined by the Company, as conclusively evidenced by its execution of such Notes.</w:t>
      </w:r>
    </w:p>
    <w:p>
      <w:pPr>
        <w:spacing w:after="0" w:line="194"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The following is a statement of the rights of the Holder of this Note and the conditions to which this Note is subject, and to which the Holder hereof, by the acceptance of this Note, agrees:</w:t>
      </w:r>
    </w:p>
    <w:p>
      <w:pPr>
        <w:spacing w:after="0" w:line="186" w:lineRule="exact"/>
        <w:rPr>
          <w:sz w:val="20"/>
          <w:szCs w:val="20"/>
          <w:color w:val="auto"/>
        </w:rPr>
      </w:pPr>
    </w:p>
    <w:p>
      <w:pPr>
        <w:ind w:left="960" w:hanging="476"/>
        <w:spacing w:after="0"/>
        <w:tabs>
          <w:tab w:leader="none" w:pos="9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The following terms, as used herein, have the following</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meanings:</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"Bankruptcy Code" means Title 11 of the United States Code.</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"Bankruptcy, Insolvency or Liquidation Proceeding" means (i) any case commenced by or against the Company under any chapter of the Bankruptcy Code, any other proceeding for the reorganization, recapitalization or adjustment or marshaling of the assets or liabilities of the Company, any receivership or assignment for the benefit of creditors relating to the Company or any similar case or proceeding relative to the Company or its creditors, as such, in each case whether or not voluntary, (ii) any liquidation, dissolution, marshaling of assets or liabilities or other winding up of or relating to the Company, in each case whether or not voluntary and whether or not involving bankruptcy or insolvency, and (iii) any other proceeding of any type or nature in which Claims against the Company generally are determined, proven or paid.</w:t>
      </w:r>
    </w:p>
    <w:p>
      <w:pPr>
        <w:spacing w:after="0" w:line="193" w:lineRule="exact"/>
        <w:rPr>
          <w:sz w:val="20"/>
          <w:szCs w:val="20"/>
          <w:color w:val="auto"/>
        </w:rPr>
      </w:pPr>
    </w:p>
    <w:p>
      <w:pPr>
        <w:ind w:right="2859" w:firstLine="969"/>
        <w:spacing w:after="0" w:line="247" w:lineRule="auto"/>
        <w:rPr>
          <w:sz w:val="20"/>
          <w:szCs w:val="20"/>
          <w:color w:val="auto"/>
        </w:rPr>
      </w:pPr>
      <w:r>
        <w:rPr>
          <w:rFonts w:ascii="Courier New" w:cs="Courier New" w:eastAsia="Courier New" w:hAnsi="Courier New"/>
          <w:sz w:val="16"/>
          <w:szCs w:val="16"/>
          <w:color w:val="auto"/>
        </w:rPr>
        <w:t>"Business Day" means each Monday, Tuesday, Wednesday, Thursday and Friday, which is not a day in which banking institutions in Boise, Idaho, Dallas, Texas or New York, New York are authorized or obligated by law or executive order to close.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59" w:name="page60"/>
    <w:bookmarkEnd w:id="59"/>
    <w:p>
      <w:pPr>
        <w:ind w:right="2559" w:firstLine="969"/>
        <w:spacing w:after="0" w:line="248" w:lineRule="auto"/>
        <w:rPr>
          <w:sz w:val="20"/>
          <w:szCs w:val="20"/>
          <w:color w:val="auto"/>
        </w:rPr>
      </w:pPr>
      <w:r>
        <w:rPr>
          <w:rFonts w:ascii="Courier New" w:cs="Courier New" w:eastAsia="Courier New" w:hAnsi="Courier New"/>
          <w:sz w:val="16"/>
          <w:szCs w:val="16"/>
          <w:color w:val="auto"/>
        </w:rPr>
        <w:t>"Claim" is used as defined in the Bankruptcy Code, whether or not, in the context in which it appears, a case under the Bankruptcy Code is pending.</w:t>
      </w:r>
    </w:p>
    <w:p>
      <w:pPr>
        <w:spacing w:after="0" w:line="184"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"Convertible Notes" means the 2005 Convertible Notes and the 2004 Convertible Notes.</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Note (provided that such instrument, agreement or other document may place limitations and conditions on the right of such Senior Debt to exercise the rights of Designated Senior Debt).</w:t>
      </w:r>
    </w:p>
    <w:p>
      <w:pPr>
        <w:spacing w:after="0" w:line="18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"Holder" or "Holders" has the meaning given in the second paragraph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hereof.</w:t>
      </w:r>
    </w:p>
    <w:p>
      <w:pPr>
        <w:spacing w:after="0" w:line="191"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"Indenture" means that Indenture, dated as of June 15, 1997, between the Company and Norwest Bank Minnesota, National Association, as trustee, together with all amendments and supplements thereto.</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"Note" and "Notes" have the meanings given in the preamble hereto.</w:t>
      </w:r>
    </w:p>
    <w:p>
      <w:pPr>
        <w:spacing w:after="0" w:line="191" w:lineRule="exact"/>
        <w:rPr>
          <w:sz w:val="20"/>
          <w:szCs w:val="20"/>
          <w:color w:val="auto"/>
        </w:rPr>
      </w:pPr>
    </w:p>
    <w:p>
      <w:pPr>
        <w:ind w:right="3039" w:firstLine="969"/>
        <w:spacing w:after="0" w:line="247" w:lineRule="auto"/>
        <w:rPr>
          <w:sz w:val="20"/>
          <w:szCs w:val="20"/>
          <w:color w:val="auto"/>
        </w:rPr>
      </w:pPr>
      <w:r>
        <w:rPr>
          <w:rFonts w:ascii="Courier New" w:cs="Courier New" w:eastAsia="Courier New" w:hAnsi="Courier New"/>
          <w:sz w:val="16"/>
          <w:szCs w:val="16"/>
          <w:color w:val="auto"/>
        </w:rPr>
        <w:t>"Person" shall mean and include an individual, a partnership, a corporation (including a business trust), a joint stock company, a limited liability company, an unincorporated association, a joint venture or other entity or a governmental authority.</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"Securities Act" means the Securities Act of 1933, as amended.</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hereof or hereafter created, incurred or assumed: (a) indebtedness of the Company evidenced by a credit or loan agreement, note, bond, debenture or other written obligation, including without limiting the generality of the foregoing the Convertible Notes,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 after the date hereof for financing purposes (as determined by the Company), (iii) under any lease or related document (including a purchase agreement) that provides that the Company is contractually obligated to purchase or cause a third party to purchase the leased property, and (iv)</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60" w:name="page61"/>
    <w:bookmarkEnd w:id="60"/>
    <w:p>
      <w:pPr>
        <w:ind w:right="2459"/>
        <w:spacing w:after="0" w:line="246" w:lineRule="auto"/>
        <w:rPr>
          <w:sz w:val="20"/>
          <w:szCs w:val="20"/>
          <w:color w:val="auto"/>
        </w:rPr>
      </w:pPr>
      <w:r>
        <w:rPr>
          <w:rFonts w:ascii="Courier New" w:cs="Courier New" w:eastAsia="Courier New" w:hAnsi="Courier New"/>
          <w:sz w:val="16"/>
          <w:szCs w:val="16"/>
          <w:color w:val="auto"/>
        </w:rPr>
        <w:t>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and standby or commitment fees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 (a) through (h) of this paragraph; provided, however, that</w:t>
      </w:r>
    </w:p>
    <w:p>
      <w:pPr>
        <w:spacing w:after="0" w:line="11" w:lineRule="exact"/>
        <w:rPr>
          <w:sz w:val="20"/>
          <w:szCs w:val="20"/>
          <w:color w:val="auto"/>
        </w:rPr>
      </w:pPr>
    </w:p>
    <w:p>
      <w:pPr>
        <w:ind w:left="5420"/>
        <w:spacing w:after="0"/>
        <w:tabs>
          <w:tab w:leader="none" w:pos="638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Debt shall not include the Notes or any such indebtedness</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or obligation if the terms of such indebtedness or obligation (or the terms of the instrument under which, or pursuant to which it is issued) expressly provide that such indebtedness or obligation is not superior in right of payment to the Notes.</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"Subordinated Claims" means all present and future indebtedness and obligations of every type and description arising under or in respect of the Notes or other instrument, agreement, transaction, act or event in respect thereof and all other Claims in any manner based on, arising from or related to any such indebtedness or obligation, whether based on a contract or quasi-contract or founded on a tort or arising by law or otherwise.</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"2004 Convertible Notes" means the Company's 7% Convertible Subordinated Notes due July 1, 2004 issued under the Indenture, as supplemented by the Supplemental Indenture dated as of June 15, 1997, between the Company and Norwest Bank Minnesota, National Association, as trustee.</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"2005 Convertible Notes" means the Company's 6-1/2% Convertible Subordinated Notes due October 1, 2005 issued under the Indenture, as supplemented by that certain supplemental indenture dated as of September 30, 1998, between the Company and Norwest Bank Minnesota, National Association, as trustee.</w:t>
      </w:r>
    </w:p>
    <w:p>
      <w:pPr>
        <w:spacing w:after="0" w:line="185" w:lineRule="exact"/>
        <w:rPr>
          <w:sz w:val="20"/>
          <w:szCs w:val="20"/>
          <w:color w:val="auto"/>
        </w:rPr>
      </w:pPr>
    </w:p>
    <w:p>
      <w:pPr>
        <w:ind w:left="960" w:hanging="476"/>
        <w:spacing w:after="0"/>
        <w:tabs>
          <w:tab w:leader="none" w:pos="9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Repayments and Payments of Principal and Interest on Notes.</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Interest.  Subject to the provisions of Section 6, interest is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payable in arrears in cash on the last business day of each March 30 and September 30 beginning September 30, 1998. Payment of all amounts due under the Notes shall be made by mail to the registered address of each Holder, or if such Holder shall elect, by wire transfer to the account designated by such Holder of immediately available funds; provided, however, that for any Holder to receive</w:t>
      </w:r>
    </w:p>
    <w:p>
      <w:pPr>
        <w:spacing w:after="0" w:line="3" w:lineRule="exact"/>
        <w:rPr>
          <w:sz w:val="20"/>
          <w:szCs w:val="20"/>
          <w:color w:val="auto"/>
        </w:rPr>
      </w:pPr>
    </w:p>
    <w:p>
      <w:pPr>
        <w:ind w:left="2800"/>
        <w:spacing w:after="0"/>
        <w:tabs>
          <w:tab w:leader="none" w:pos="37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interest or</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61" w:name="page62"/>
    <w:bookmarkEnd w:id="61"/>
    <w:p>
      <w:pPr>
        <w:ind w:right="2459"/>
        <w:spacing w:after="0" w:line="246" w:lineRule="auto"/>
        <w:rPr>
          <w:sz w:val="20"/>
          <w:szCs w:val="20"/>
          <w:color w:val="auto"/>
        </w:rPr>
      </w:pPr>
      <w:r>
        <w:rPr>
          <w:rFonts w:ascii="Courier New" w:cs="Courier New" w:eastAsia="Courier New" w:hAnsi="Courier New"/>
          <w:sz w:val="16"/>
          <w:szCs w:val="16"/>
          <w:color w:val="auto"/>
        </w:rPr>
        <w:t>principal payments by wire transfer, the Company must receive such Holder's written bank wire transfer instructions by the record date (as defined below) for such payment. The Person in whose name any Note is registered at the close of business on the third business day prior to any interest or principal payment date (the "record date") shall be entitled to receive the interest, if any, payable on such interest payment date notwithstanding any transfer or exchange of such Note subsequent to the record date and prior to such interest or principal payment date.</w:t>
      </w:r>
    </w:p>
    <w:p>
      <w:pPr>
        <w:spacing w:after="0" w:line="191" w:lineRule="exact"/>
        <w:rPr>
          <w:sz w:val="20"/>
          <w:szCs w:val="20"/>
          <w:color w:val="auto"/>
        </w:rPr>
      </w:pPr>
    </w:p>
    <w:p>
      <w:pPr>
        <w:ind w:left="960"/>
        <w:spacing w:after="0"/>
        <w:tabs>
          <w:tab w:leader="none" w:pos="1440" w:val="left"/>
          <w:tab w:leader="none" w:pos="4540" w:val="left"/>
        </w:tabs>
        <w:rPr>
          <w:sz w:val="20"/>
          <w:szCs w:val="20"/>
          <w:color w:val="auto"/>
        </w:rPr>
      </w:pPr>
      <w:r>
        <w:rPr>
          <w:rFonts w:ascii="Courier New" w:cs="Courier New" w:eastAsia="Courier New" w:hAnsi="Courier New"/>
          <w:sz w:val="16"/>
          <w:szCs w:val="16"/>
          <w:color w:val="auto"/>
        </w:rPr>
        <w:t>2.2</w:t>
        <w:tab/>
        <w:t>Optional Prepayments of Notes.</w:t>
        <w:tab/>
        <w:t>Subject to the provisions of</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Section 6, the Company may, at its option, prepay all or, from time to time, part of the principal amount of the Notes, without penalty or premium, together with interest on the principal amount so prepaid accrued to (but not including) the date fixed for such prepayment.</w:t>
      </w:r>
    </w:p>
    <w:p>
      <w:pPr>
        <w:spacing w:after="0" w:line="186" w:lineRule="exact"/>
        <w:rPr>
          <w:sz w:val="20"/>
          <w:szCs w:val="20"/>
          <w:color w:val="auto"/>
        </w:rPr>
      </w:pPr>
    </w:p>
    <w:p>
      <w:pPr>
        <w:ind w:left="960"/>
        <w:spacing w:after="0"/>
        <w:tabs>
          <w:tab w:leader="none" w:pos="1440" w:val="left"/>
          <w:tab w:leader="none" w:pos="5400" w:val="left"/>
        </w:tabs>
        <w:rPr>
          <w:sz w:val="20"/>
          <w:szCs w:val="20"/>
          <w:color w:val="auto"/>
        </w:rPr>
      </w:pPr>
      <w:r>
        <w:rPr>
          <w:rFonts w:ascii="Courier New" w:cs="Courier New" w:eastAsia="Courier New" w:hAnsi="Courier New"/>
          <w:sz w:val="16"/>
          <w:szCs w:val="16"/>
          <w:color w:val="auto"/>
        </w:rPr>
        <w:t>2.3</w:t>
        <w:tab/>
        <w:t>Allocation of Payments and Prepayments.</w:t>
        <w:tab/>
        <w:t>Each payment or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prepayment of principal of less than the entire unpaid principal amount of the Notes shall be allocated (in units of $1,000) by the Company among the Holders of the Notes at the time outstanding, in proportion, as nearly as practicable, to the respective aggregate unpaid principal amount of the Notes (not theretofore called for prepayment) then held by them, respectively, with adjustments, to the extent practicable, to equalize for any prior payments or prepayments not made in such proportion.</w:t>
      </w:r>
    </w:p>
    <w:p>
      <w:pPr>
        <w:spacing w:after="0" w:line="185" w:lineRule="exact"/>
        <w:rPr>
          <w:sz w:val="20"/>
          <w:szCs w:val="20"/>
          <w:color w:val="auto"/>
        </w:rPr>
      </w:pPr>
    </w:p>
    <w:p>
      <w:pPr>
        <w:ind w:left="960"/>
        <w:spacing w:after="0"/>
        <w:tabs>
          <w:tab w:leader="none" w:pos="1620" w:val="left"/>
          <w:tab w:leader="none" w:pos="492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Notice of Prepayment to Holders.</w:t>
        <w:tab/>
        <w:t>Not less than three (3) nor</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more than ten (10) days prior to the date fixed for each optional prepayment, the Company shall give notice thereof to the registered Holders of the Notes, specifying the date fixed for prepayment and the aggregate principal amount to be prepaid on such date. Such notice shall also contain instructions for the delivery of the Notes by the Holders to the Company. Subject to the provisions of Section 6, such notice shall be irrevocable.</w:t>
      </w:r>
    </w:p>
    <w:p>
      <w:pPr>
        <w:spacing w:after="0" w:line="185" w:lineRule="exact"/>
        <w:rPr>
          <w:sz w:val="20"/>
          <w:szCs w:val="20"/>
          <w:color w:val="auto"/>
        </w:rPr>
      </w:pPr>
    </w:p>
    <w:p>
      <w:pPr>
        <w:jc w:val="right"/>
        <w:ind w:right="2459"/>
        <w:spacing w:after="0"/>
        <w:tabs>
          <w:tab w:leader="none" w:pos="6100" w:val="left"/>
          <w:tab w:leader="none" w:pos="444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Legal Holidays.</w:t>
        <w:tab/>
        <w:t>In any case where any interest payment date or</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maturity date is not a Business Day, then (notwithstanding any other provision of the Notes), payment of interest or principal, as applicable, with respect to the Notes need not be made on such date, but may be made on the next succeeding Business Day with the same force and effect as if made on the Interest Payment Date or Maturity Date, as the case may be.</w:t>
      </w:r>
    </w:p>
    <w:p>
      <w:pPr>
        <w:spacing w:after="0" w:line="185" w:lineRule="exact"/>
        <w:rPr>
          <w:sz w:val="20"/>
          <w:szCs w:val="20"/>
          <w:color w:val="auto"/>
        </w:rPr>
      </w:pPr>
    </w:p>
    <w:p>
      <w:pPr>
        <w:ind w:left="960" w:hanging="476"/>
        <w:spacing w:after="0"/>
        <w:tabs>
          <w:tab w:leader="none" w:pos="9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Covenants of the Company.</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  Existence.  The Company will do or cause to be done all things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necessary to preserve and keep in full force and effect its existence, provided that this Section 3.1 shall not apply to a consolidation or merger of the Company with or into another Person in which the Company is not the surviving Person or conveyance, transfer or lease of the properties and assets of the Company substantially as an entirety to another Person provided that the transferee Person expressly assumes the due and punctual payment of the principal and interest on all of the Notes and the performance or observance of every covenant set forth in the Notes on the part of the Company to be performed or observed.</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62" w:name="page63"/>
    <w:bookmarkEnd w:id="62"/>
    <w:p>
      <w:pPr>
        <w:jc w:val="right"/>
        <w:ind w:right="2459"/>
        <w:spacing w:after="0"/>
        <w:tabs>
          <w:tab w:leader="none" w:pos="6280" w:val="left"/>
          <w:tab w:leader="none" w:pos="3580" w:val="left"/>
        </w:tabs>
        <w:rPr>
          <w:sz w:val="20"/>
          <w:szCs w:val="20"/>
          <w:color w:val="auto"/>
        </w:rPr>
      </w:pPr>
      <w:r>
        <w:rPr>
          <w:rFonts w:ascii="Courier New" w:cs="Courier New" w:eastAsia="Courier New" w:hAnsi="Courier New"/>
          <w:sz w:val="16"/>
          <w:szCs w:val="16"/>
          <w:color w:val="auto"/>
        </w:rPr>
        <w:t>3.2</w:t>
        <w:tab/>
        <w:t>Maintenance of Properties.</w:t>
        <w:tab/>
        <w:t>The Company will cause all properties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92" w:lineRule="exact"/>
        <w:rPr>
          <w:sz w:val="20"/>
          <w:szCs w:val="20"/>
          <w:color w:val="auto"/>
        </w:rPr>
      </w:pPr>
    </w:p>
    <w:p>
      <w:pPr>
        <w:ind w:left="960"/>
        <w:spacing w:after="0"/>
        <w:tabs>
          <w:tab w:leader="none" w:pos="1440" w:val="left"/>
          <w:tab w:leader="none" w:pos="4920" w:val="left"/>
        </w:tabs>
        <w:rPr>
          <w:sz w:val="20"/>
          <w:szCs w:val="20"/>
          <w:color w:val="auto"/>
        </w:rPr>
      </w:pPr>
      <w:r>
        <w:rPr>
          <w:rFonts w:ascii="Courier New" w:cs="Courier New" w:eastAsia="Courier New" w:hAnsi="Courier New"/>
          <w:sz w:val="16"/>
          <w:szCs w:val="16"/>
          <w:color w:val="auto"/>
        </w:rPr>
        <w:t>3.3</w:t>
        <w:tab/>
        <w:t>Payment of Taxes and Other Claims.</w:t>
        <w:tab/>
        <w:t>The Company will pay or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discharge or cause to be paid or discharged, before the same shall become delinquent, (a) all taxes, assessments and governmental charges levied or imposed upon the Company or upon the income, profits or property of the Company, and (b) all lawful claims for labor, materials and supplies which, if unpaid, might by law become a lien upon the property of the Company; provided, however,</w:t>
      </w:r>
    </w:p>
    <w:p>
      <w:pPr>
        <w:spacing w:after="0" w:line="3" w:lineRule="exact"/>
        <w:rPr>
          <w:sz w:val="20"/>
          <w:szCs w:val="20"/>
          <w:color w:val="auto"/>
        </w:rPr>
      </w:pPr>
    </w:p>
    <w:p>
      <w:pPr>
        <w:ind w:left="5920"/>
        <w:spacing w:after="0"/>
        <w:tabs>
          <w:tab w:leader="none" w:pos="68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85" w:lineRule="exact"/>
        <w:rPr>
          <w:sz w:val="20"/>
          <w:szCs w:val="20"/>
          <w:color w:val="auto"/>
        </w:rPr>
      </w:pPr>
    </w:p>
    <w:p>
      <w:pPr>
        <w:ind w:left="960"/>
        <w:spacing w:after="0"/>
        <w:tabs>
          <w:tab w:leader="none" w:pos="1440" w:val="left"/>
          <w:tab w:leader="none" w:pos="3280" w:val="left"/>
        </w:tabs>
        <w:rPr>
          <w:sz w:val="20"/>
          <w:szCs w:val="20"/>
          <w:color w:val="auto"/>
        </w:rPr>
      </w:pPr>
      <w:r>
        <w:rPr>
          <w:rFonts w:ascii="Courier New" w:cs="Courier New" w:eastAsia="Courier New" w:hAnsi="Courier New"/>
          <w:sz w:val="16"/>
          <w:szCs w:val="16"/>
          <w:color w:val="auto"/>
        </w:rPr>
        <w:t>3.4</w:t>
        <w:tab/>
        <w:t>144A Information.</w:t>
        <w:tab/>
        <w:t>For so long as any Notes remain outstanding,</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if the Company is not subject to Section 13 or 15(d) of the Securities Exchange Act of 1934, the Company will furnish to Holders of Notes and to prospective purchasers of such Notes designated by such Holders the information required to be delivered pursuant to 144A(d)(4) under the Securities Act to permit compliance with Rule 144A under the Securities Act in connection with resales of Notes.</w:t>
      </w:r>
    </w:p>
    <w:p>
      <w:pPr>
        <w:spacing w:after="0" w:line="185" w:lineRule="exact"/>
        <w:rPr>
          <w:sz w:val="20"/>
          <w:szCs w:val="20"/>
          <w:color w:val="auto"/>
        </w:rPr>
      </w:pPr>
    </w:p>
    <w:p>
      <w:pPr>
        <w:ind w:left="960" w:hanging="476"/>
        <w:spacing w:after="0"/>
        <w:tabs>
          <w:tab w:leader="none" w:pos="9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of Default; Acceleration.</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960"/>
        <w:spacing w:after="0"/>
        <w:tabs>
          <w:tab w:leader="none" w:pos="1440" w:val="left"/>
        </w:tabs>
        <w:rPr>
          <w:sz w:val="20"/>
          <w:szCs w:val="20"/>
          <w:color w:val="auto"/>
        </w:rPr>
      </w:pPr>
      <w:r>
        <w:rPr>
          <w:rFonts w:ascii="Courier New" w:cs="Courier New" w:eastAsia="Courier New" w:hAnsi="Courier New"/>
          <w:sz w:val="16"/>
          <w:szCs w:val="16"/>
          <w:color w:val="auto"/>
        </w:rPr>
        <w:t>4.1</w:t>
        <w:tab/>
        <w:t>Events of Default. The occurrence of any of the following</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shall constitute an "Event of Default" with respect to the Notes:</w:t>
      </w:r>
    </w:p>
    <w:p>
      <w:pPr>
        <w:spacing w:after="0" w:line="191" w:lineRule="exact"/>
        <w:rPr>
          <w:sz w:val="20"/>
          <w:szCs w:val="20"/>
          <w:color w:val="auto"/>
        </w:rPr>
      </w:pPr>
    </w:p>
    <w:p>
      <w:pPr>
        <w:ind w:right="2559" w:firstLine="1453"/>
        <w:spacing w:after="0" w:line="247" w:lineRule="auto"/>
        <w:tabs>
          <w:tab w:leader="none" w:pos="184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defaults in the payment of the principal of any Note when the same becomes due and payable at maturity or otherwise (other than a default in the payment of principal resulting from application of Section 6 hereof); or</w:t>
      </w:r>
    </w:p>
    <w:p>
      <w:pPr>
        <w:spacing w:after="0" w:line="185" w:lineRule="exact"/>
        <w:rPr>
          <w:rFonts w:ascii="Courier New" w:cs="Courier New" w:eastAsia="Courier New" w:hAnsi="Courier New"/>
          <w:sz w:val="16"/>
          <w:szCs w:val="16"/>
          <w:color w:val="auto"/>
        </w:rPr>
      </w:pPr>
    </w:p>
    <w:p>
      <w:pPr>
        <w:ind w:right="2659" w:firstLine="1453"/>
        <w:spacing w:after="0" w:line="247" w:lineRule="auto"/>
        <w:tabs>
          <w:tab w:leader="none" w:pos="184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defaults in the payment of interest on any Note (other than a failure to pay interest resulting from application of Section 6 hereof) for 30 days after the same becomes due and payable; or</w:t>
      </w:r>
    </w:p>
    <w:p>
      <w:pPr>
        <w:spacing w:after="0" w:line="185" w:lineRule="exact"/>
        <w:rPr>
          <w:rFonts w:ascii="Courier New" w:cs="Courier New" w:eastAsia="Courier New" w:hAnsi="Courier New"/>
          <w:sz w:val="16"/>
          <w:szCs w:val="16"/>
          <w:color w:val="auto"/>
        </w:rPr>
      </w:pPr>
    </w:p>
    <w:p>
      <w:pPr>
        <w:ind w:right="2759" w:firstLine="1453"/>
        <w:spacing w:after="0" w:line="247" w:lineRule="auto"/>
        <w:tabs>
          <w:tab w:leader="none" w:pos="184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defaults in the performance of or breaches any covenant or warranty of the Company in this Note (other than a covenant or warranty a default in whose performance or whose breach is elsewhere in this Section specifically dealt with), and continuance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3" w:name="page64"/>
    <w:bookmarkEnd w:id="63"/>
    <w:p>
      <w:pPr>
        <w:ind w:left="1" w:right="2459"/>
        <w:spacing w:after="0" w:line="247" w:lineRule="auto"/>
        <w:rPr>
          <w:sz w:val="20"/>
          <w:szCs w:val="20"/>
          <w:color w:val="auto"/>
        </w:rPr>
      </w:pPr>
      <w:r>
        <w:rPr>
          <w:rFonts w:ascii="Courier New" w:cs="Courier New" w:eastAsia="Courier New" w:hAnsi="Courier New"/>
          <w:sz w:val="16"/>
          <w:szCs w:val="16"/>
          <w:color w:val="auto"/>
        </w:rPr>
        <w:t>of such default or breach for a period of 60 days after there has been given, by registered or certified mail, to the Company by the Holders of at least 25% in principal amount of the Notes at that time outstanding a written notice specifying such default or breach and requiring it to be remedied and stating that such notice is a "Notice of Default" hereunder;</w:t>
      </w:r>
    </w:p>
    <w:p>
      <w:pPr>
        <w:spacing w:after="0" w:line="185" w:lineRule="exact"/>
        <w:rPr>
          <w:sz w:val="20"/>
          <w:szCs w:val="20"/>
          <w:color w:val="auto"/>
        </w:rPr>
      </w:pPr>
    </w:p>
    <w:p>
      <w:pPr>
        <w:ind w:left="1" w:right="2459" w:firstLine="1453"/>
        <w:spacing w:after="0" w:line="246" w:lineRule="auto"/>
        <w:tabs>
          <w:tab w:leader="none" w:pos="184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or condition occurs which results in the acceleration of the maturity of any indebtedness under any bond, debenture, note or other evidence of indebtedness for money borrowed having an aggregate principal amount in excess of $50,000,000 or the Company fails to pay any such indebtedness at the final maturity thereof, and such indebtedness is not discharged, or such acceleration is not rescinded or annulled, within a period of 30 days after there has been given, by registered or certified mail, to the Company by the Holders of at least 25% in principal amount of the Notes at that time outstanding a written notice specifying such acceleration or failure to pay and stating that such notice is a "Notice of Default" hereunder; provided,</w:t>
      </w:r>
    </w:p>
    <w:p>
      <w:pPr>
        <w:spacing w:after="0" w:line="6" w:lineRule="exact"/>
        <w:rPr>
          <w:sz w:val="20"/>
          <w:szCs w:val="20"/>
          <w:color w:val="auto"/>
        </w:rPr>
      </w:pPr>
    </w:p>
    <w:p>
      <w:pPr>
        <w:ind w:left="63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however, that if any such failure, default or acceleration shall thereafter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cease or be cured, waived, rescinded or annulled, then the Event of Default hereunder by reason thereof shall be deemed likewise to have been thereupon cured, notwithstanding any receipt by the Company of a Notice of Default with respect thereto; or</w:t>
      </w:r>
    </w:p>
    <w:p>
      <w:pPr>
        <w:spacing w:after="0" w:line="186" w:lineRule="exact"/>
        <w:rPr>
          <w:sz w:val="20"/>
          <w:szCs w:val="20"/>
          <w:color w:val="auto"/>
        </w:rPr>
      </w:pPr>
    </w:p>
    <w:p>
      <w:pPr>
        <w:ind w:left="1841" w:hanging="387"/>
        <w:spacing w:after="0"/>
        <w:tabs>
          <w:tab w:leader="none" w:pos="184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w:t>
      </w:r>
    </w:p>
    <w:p>
      <w:pPr>
        <w:spacing w:after="0" w:line="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for relief in respect of the Company in an involuntary</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1" w:lineRule="exact"/>
        <w:rPr>
          <w:rFonts w:ascii="Courier New" w:cs="Courier New" w:eastAsia="Courier New" w:hAnsi="Courier New"/>
          <w:sz w:val="16"/>
          <w:szCs w:val="16"/>
          <w:color w:val="auto"/>
        </w:rPr>
      </w:pPr>
    </w:p>
    <w:p>
      <w:pPr>
        <w:ind w:left="1" w:right="2459" w:firstLine="1453"/>
        <w:spacing w:after="0" w:line="246" w:lineRule="auto"/>
        <w:tabs>
          <w:tab w:leader="none" w:pos="184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w:t>
      </w:r>
    </w:p>
    <w:p>
      <w:pPr>
        <w:spacing w:after="0" w:line="19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676" w:right="1440" w:bottom="1440" w:gutter="0" w:footer="0" w:header="0"/>
        </w:sectPr>
      </w:pPr>
    </w:p>
    <w:bookmarkStart w:id="64" w:name="page65"/>
    <w:bookmarkEnd w:id="64"/>
    <w:p>
      <w:pPr>
        <w:ind w:left="960"/>
        <w:spacing w:after="0"/>
        <w:tabs>
          <w:tab w:leader="none" w:pos="1440" w:val="left"/>
          <w:tab w:leader="none" w:pos="2880" w:val="left"/>
        </w:tabs>
        <w:rPr>
          <w:sz w:val="20"/>
          <w:szCs w:val="20"/>
          <w:color w:val="auto"/>
        </w:rPr>
      </w:pPr>
      <w:r>
        <w:rPr>
          <w:rFonts w:ascii="Courier New" w:cs="Courier New" w:eastAsia="Courier New" w:hAnsi="Courier New"/>
          <w:sz w:val="16"/>
          <w:szCs w:val="16"/>
          <w:color w:val="auto"/>
        </w:rPr>
        <w:t>4.2</w:t>
        <w:tab/>
        <w:t>Acceleration.</w:t>
        <w:tab/>
        <w:t>In the event an Event of Default has occurred and</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is continuing, subject to the provisions of Section 6, the Holder or Holders of 25% or more in principal amount of the Notes at the time outstanding at its or their option may, by written notice or notices to the Company, declare the Notes due and payable, whereupon the same shall forthwith mature and become due and payable together with interest accrued thereon, without presentment, demand, protest or notice, all of which are hereby waived; provided, however, that such acceleration shall be automatic without the necessity of any such notice in the case of Events of Default under clause (e) or (f) above.</w:t>
      </w:r>
    </w:p>
    <w:p>
      <w:pPr>
        <w:spacing w:after="0" w:line="191" w:lineRule="exact"/>
        <w:rPr>
          <w:sz w:val="20"/>
          <w:szCs w:val="20"/>
          <w:color w:val="auto"/>
        </w:rPr>
      </w:pPr>
    </w:p>
    <w:p>
      <w:pPr>
        <w:jc w:val="right"/>
        <w:ind w:right="2459"/>
        <w:spacing w:after="0"/>
        <w:tabs>
          <w:tab w:leader="none" w:pos="6280" w:val="left"/>
          <w:tab w:leader="none" w:pos="3760" w:val="left"/>
        </w:tabs>
        <w:rPr>
          <w:sz w:val="20"/>
          <w:szCs w:val="20"/>
          <w:color w:val="auto"/>
        </w:rPr>
      </w:pPr>
      <w:r>
        <w:rPr>
          <w:rFonts w:ascii="Courier New" w:cs="Courier New" w:eastAsia="Courier New" w:hAnsi="Courier New"/>
          <w:sz w:val="16"/>
          <w:szCs w:val="16"/>
          <w:color w:val="auto"/>
        </w:rPr>
        <w:t>4.3</w:t>
        <w:tab/>
        <w:t>Waiver of Past Defaults.</w:t>
        <w:tab/>
        <w:t>The Holders of not less than a majority</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principal amount of the outstanding Notes may on behalf of the Holders of the Notes waive any past default thereunder and its consequences, except a default in the payment of principal of or any interest on the Note. Upon any such waiver, such default shall cease to exist, and any Event of Default arising therefrom shall be deemed to have been cured, for all purposes; but no such waiver shall extend to any subsequent or other default or impair any right consequent thereon.</w:t>
      </w:r>
    </w:p>
    <w:p>
      <w:pPr>
        <w:spacing w:after="0" w:line="185" w:lineRule="exact"/>
        <w:rPr>
          <w:sz w:val="20"/>
          <w:szCs w:val="20"/>
          <w:color w:val="auto"/>
        </w:rPr>
      </w:pPr>
    </w:p>
    <w:p>
      <w:pPr>
        <w:ind w:left="960"/>
        <w:spacing w:after="0"/>
        <w:tabs>
          <w:tab w:leader="none" w:pos="1440" w:val="left"/>
          <w:tab w:leader="none" w:pos="4040" w:val="left"/>
        </w:tabs>
        <w:rPr>
          <w:sz w:val="20"/>
          <w:szCs w:val="20"/>
          <w:color w:val="auto"/>
        </w:rPr>
      </w:pPr>
      <w:r>
        <w:rPr>
          <w:rFonts w:ascii="Courier New" w:cs="Courier New" w:eastAsia="Courier New" w:hAnsi="Courier New"/>
          <w:sz w:val="16"/>
          <w:szCs w:val="16"/>
          <w:color w:val="auto"/>
        </w:rPr>
        <w:t>4.4</w:t>
        <w:tab/>
        <w:t>Rescission and Annulment.</w:t>
        <w:tab/>
        <w:t>At any time after a declaration of</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acceleration with respect to the Notes has been made and before a judgment or decree for payment of the money due has been obtained, the Holders of a majority in principal amount of the outstanding Notes, by written notice to the Company, may rescind and annul such declaration and its consequences if the Company has paid all overdue interest on all Notes and the principal of any Notes which has become due otherwise than by such declaration of acceleration and all Events of Default with respect to the Notes, other than the non-payment of the principal of Notes which have become due solely by such declaration of acceleration, have been cured or waived as provided in Section 4.3.</w:t>
      </w:r>
    </w:p>
    <w:p>
      <w:pPr>
        <w:spacing w:after="0" w:line="191" w:lineRule="exact"/>
        <w:rPr>
          <w:sz w:val="20"/>
          <w:szCs w:val="20"/>
          <w:color w:val="auto"/>
        </w:rPr>
      </w:pPr>
    </w:p>
    <w:p>
      <w:pPr>
        <w:ind w:left="1160" w:hanging="676"/>
        <w:spacing w:after="0"/>
        <w:tabs>
          <w:tab w:leader="none" w:pos="11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Subject to the provisions of Section 6 hereof, upon the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acceleration of the amounts due under the Notes in accordance with Section 4 or if such amounts remain unpaid after the maturity date of the Notes, any Holder may proceed to protect and enforce any right, power or remedy granted to it under applicable law. If any Holder of any Note or holder of any other indebtedness of the Company gives any notice or takes any other action in respect of a claimed default, the Company will forthwith give written notice thereof to all Holders of the Notes at the time outstanding describing the notice or action and the nature of the claimed default. No course of dealing and no delay on the part of any Holder of any Note in exercising any right, power or remedy will operate as a waiver thereof or otherwise prejudice such Holder's rights, powers or remedies. No right, power or remedy conferred hereby is exclusive of any other right, power or remedy referred to herein or now or hereafter available at law, in equity, by statute or otherwise.</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65" w:name="page66"/>
    <w:bookmarkEnd w:id="65"/>
    <w:p>
      <w:pPr>
        <w:ind w:left="961" w:hanging="379"/>
        <w:spacing w:after="0"/>
        <w:tabs>
          <w:tab w:leader="none" w:pos="96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Subordination of Notes.</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961"/>
        <w:spacing w:after="0"/>
        <w:tabs>
          <w:tab w:leader="none" w:pos="1440" w:val="left"/>
          <w:tab w:leader="none" w:pos="2980" w:val="left"/>
        </w:tabs>
        <w:rPr>
          <w:sz w:val="20"/>
          <w:szCs w:val="20"/>
          <w:color w:val="auto"/>
        </w:rPr>
      </w:pPr>
      <w:r>
        <w:rPr>
          <w:rFonts w:ascii="Courier New" w:cs="Courier New" w:eastAsia="Courier New" w:hAnsi="Courier New"/>
          <w:sz w:val="16"/>
          <w:szCs w:val="16"/>
          <w:color w:val="auto"/>
        </w:rPr>
        <w:t>6.1</w:t>
        <w:tab/>
        <w:t>Subordination.</w:t>
        <w:tab/>
        <w:t>The Company hereby agrees and each Holder by its</w:t>
      </w:r>
    </w:p>
    <w:p>
      <w:pPr>
        <w:spacing w:after="0" w:line="5"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acceptance of this Note agrees that the Subordinated Claims are and shall be postponed, subordinated and junior in right of payment to the prior payment in full of all Senior Debt on the terms and conditions herein set forth.</w:t>
      </w:r>
    </w:p>
    <w:p>
      <w:pPr>
        <w:spacing w:after="0" w:line="186" w:lineRule="exact"/>
        <w:rPr>
          <w:sz w:val="20"/>
          <w:szCs w:val="20"/>
          <w:color w:val="auto"/>
        </w:rPr>
      </w:pPr>
    </w:p>
    <w:p>
      <w:pPr>
        <w:jc w:val="right"/>
        <w:ind w:right="2459"/>
        <w:spacing w:after="0"/>
        <w:tabs>
          <w:tab w:leader="none" w:pos="6280" w:val="left"/>
          <w:tab w:leader="none" w:pos="2120" w:val="left"/>
        </w:tabs>
        <w:rPr>
          <w:sz w:val="20"/>
          <w:szCs w:val="20"/>
          <w:color w:val="auto"/>
        </w:rPr>
      </w:pPr>
      <w:r>
        <w:rPr>
          <w:rFonts w:ascii="Courier New" w:cs="Courier New" w:eastAsia="Courier New" w:hAnsi="Courier New"/>
          <w:sz w:val="16"/>
          <w:szCs w:val="16"/>
          <w:color w:val="auto"/>
        </w:rPr>
        <w:t>6.2</w:t>
        <w:tab/>
        <w:t>Permitted Payments; Deferral of Payments.</w:t>
        <w:tab/>
        <w:t>So long as there shall</w:t>
      </w:r>
    </w:p>
    <w:p>
      <w:pPr>
        <w:spacing w:after="0" w:line="5"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not have occurred and be continuing (i) a default in the payment of principal, premium, if any, or interest (including a default under any repurchase or redemption obligation) or other amounts with respect to any Senior Debt or (ii) any other event of default which has been declared in writing, or is automatically effective in the case of Bankruptcy, Insolvency or Liquidation Proceedings, with respect to any Designated Senior Debt (as such event of default is defined therein or in the instrument under which it is outstanding) and of which the Holder has received a notice (a "Blockage Notice") from the holders of such Designated Senior Debt (each of the events specified in clause</w:t>
      </w:r>
    </w:p>
    <w:p>
      <w:pPr>
        <w:spacing w:after="0" w:line="5" w:lineRule="exact"/>
        <w:rPr>
          <w:sz w:val="20"/>
          <w:szCs w:val="20"/>
          <w:color w:val="auto"/>
        </w:rPr>
      </w:pPr>
    </w:p>
    <w:p>
      <w:pPr>
        <w:ind w:left="1" w:right="2459" w:hanging="1"/>
        <w:spacing w:after="0" w:line="246" w:lineRule="auto"/>
        <w:tabs>
          <w:tab w:leader="none" w:pos="38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clause (ii), a "Senior Default"), the Company shall be permitted to make, and each Holder to accept and receive, regularly scheduled payments of principal and accrued interest under this Note and any prepayment of principal that the Company has decided to make, as heretofore set forth. Notwithstanding any provision to the contrary contained in this Note, the Company shall not make, and no Holder shall demand, accept, receive or retain, any payment or distribution of any kind or character, whether in cash, property, securities or otherwise, on account or in respect of any Subordinated Claim after a Senior Default has occurred or deferral of interest on any Convertible Notes for a period of time (a "Deferral Period") in accordance with the terms thereof has occurred. Payments due under the Notes may be resumed (x) in the case of a deferral of interest, after the end of a Deferral Period (such payment to resume as set forth in the next paragraph of this Note), and (y) in the case of defaults referred to in clauses (i) and (ii) above, upon the earlier of:</w:t>
      </w:r>
    </w:p>
    <w:p>
      <w:pPr>
        <w:spacing w:after="0" w:line="194"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upon which the default is cured or waived or ceases to exist,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spacing w:after="0" w:line="191" w:lineRule="exact"/>
        <w:rPr>
          <w:rFonts w:ascii="Courier New" w:cs="Courier New" w:eastAsia="Courier New" w:hAnsi="Courier New"/>
          <w:sz w:val="16"/>
          <w:szCs w:val="16"/>
          <w:color w:val="auto"/>
        </w:rPr>
      </w:pPr>
    </w:p>
    <w:p>
      <w:pPr>
        <w:ind w:left="1" w:right="2859" w:firstLine="484"/>
        <w:spacing w:after="0" w:line="248" w:lineRule="auto"/>
        <w:tabs>
          <w:tab w:leader="none" w:pos="873"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default referred to in clause (ii) above, the date which is 179 days after the Blockage Notice is received,</w:t>
      </w:r>
    </w:p>
    <w:p>
      <w:pPr>
        <w:spacing w:after="0" w:line="184"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unless this Section 6.2 otherwise prohibits the payment at the time of such payment (including, without limitation, as a result of a payment default with respect to the applicable Senior Debt as a consequence of the acceleration of the maturity thereof or otherwise).</w:t>
      </w:r>
    </w:p>
    <w:p>
      <w:pPr>
        <w:spacing w:after="0" w:line="186"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If a Deferral Period shall occur, interest payable on all of the Notes on regular payment dates occurring during such Deferral Period shall be deferred and the Company shall be responsible for the payment of, and the Company shall pay to the Person in whose name this Note is registered at the close of business on the record date immediately preceding the regular payment date hereunder next occurring after the termination of the Deferral Period, all interest then accrued and unpaid together with, to the extent permitted by law, interest thereon (compounded semi-annually on regular payment dates) at the rate specified for the Notes. The foregoing provisions shall apply during</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676" w:right="1440" w:bottom="1440" w:gutter="0" w:footer="0" w:header="0"/>
        </w:sectPr>
      </w:pPr>
    </w:p>
    <w:bookmarkStart w:id="66" w:name="page67"/>
    <w:bookmarkEnd w:id="66"/>
    <w:p>
      <w:pPr>
        <w:ind w:right="2459"/>
        <w:spacing w:after="0" w:line="247" w:lineRule="auto"/>
        <w:rPr>
          <w:sz w:val="20"/>
          <w:szCs w:val="20"/>
          <w:color w:val="auto"/>
        </w:rPr>
      </w:pPr>
      <w:r>
        <w:rPr>
          <w:rFonts w:ascii="Courier New" w:cs="Courier New" w:eastAsia="Courier New" w:hAnsi="Courier New"/>
          <w:sz w:val="16"/>
          <w:szCs w:val="16"/>
          <w:color w:val="auto"/>
        </w:rPr>
        <w:t>successive Deferral Periods with respect to the 2004 Convertible Notes and the 2005 Convertible Notes. The Company shall provide to the Holders written notice of the occurrence of any Deferral Period at the time notice thereof is given to the trustee under the Indenture, provided that any failure to do so shall not affect the deferral of interest payments which would occur pursuant to the terms hereof.</w:t>
      </w:r>
    </w:p>
    <w:p>
      <w:pPr>
        <w:spacing w:after="0" w:line="185" w:lineRule="exact"/>
        <w:rPr>
          <w:sz w:val="20"/>
          <w:szCs w:val="20"/>
          <w:color w:val="auto"/>
        </w:rPr>
      </w:pPr>
    </w:p>
    <w:p>
      <w:pPr>
        <w:ind w:left="960"/>
        <w:spacing w:after="0"/>
        <w:tabs>
          <w:tab w:leader="none" w:pos="1440" w:val="left"/>
          <w:tab w:leader="none" w:pos="6180" w:val="left"/>
        </w:tabs>
        <w:rPr>
          <w:sz w:val="20"/>
          <w:szCs w:val="20"/>
          <w:color w:val="auto"/>
        </w:rPr>
      </w:pPr>
      <w:r>
        <w:rPr>
          <w:rFonts w:ascii="Courier New" w:cs="Courier New" w:eastAsia="Courier New" w:hAnsi="Courier New"/>
          <w:sz w:val="16"/>
          <w:szCs w:val="16"/>
          <w:color w:val="auto"/>
        </w:rPr>
        <w:t>6.3</w:t>
        <w:tab/>
        <w:t>Prior Payment to Senior Debt Upon Acceleration.</w:t>
        <w:tab/>
        <w:t>In the event</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that any Notes are declared due and payable before their stated maturity, then and in such event the Holders of the Senior Debt outstanding at the time such Notes so become due and payable shall be entitled to receive payment in full in cash or other payment satisfactory to the Holders of Senior Debt of all amounts due or to become due on or in respect of all Senior Debt before the Holders of the Notes are entitled to receive any payment by the Company on account of any Subordinated Claim. If the payment of Notes is accelerated because of an Event of Default, the Company shall promptly notify Holders of Senior Debt of the acceleration.</w:t>
      </w:r>
    </w:p>
    <w:p>
      <w:pPr>
        <w:spacing w:after="0" w:line="191" w:lineRule="exact"/>
        <w:rPr>
          <w:sz w:val="20"/>
          <w:szCs w:val="20"/>
          <w:color w:val="auto"/>
        </w:rPr>
      </w:pPr>
    </w:p>
    <w:p>
      <w:pPr>
        <w:ind w:right="2459" w:firstLine="1453"/>
        <w:spacing w:after="0" w:line="248" w:lineRule="auto"/>
        <w:rPr>
          <w:sz w:val="20"/>
          <w:szCs w:val="20"/>
          <w:color w:val="auto"/>
        </w:rPr>
      </w:pPr>
      <w:r>
        <w:rPr>
          <w:rFonts w:ascii="Courier New" w:cs="Courier New" w:eastAsia="Courier New" w:hAnsi="Courier New"/>
          <w:sz w:val="16"/>
          <w:szCs w:val="16"/>
          <w:color w:val="auto"/>
        </w:rPr>
        <w:t>The provisions of this Section 6.3 shall not apply to any payment with respect to which Section 6.4 would be applicable.</w:t>
      </w:r>
    </w:p>
    <w:p>
      <w:pPr>
        <w:spacing w:after="0" w:line="184" w:lineRule="exact"/>
        <w:rPr>
          <w:sz w:val="20"/>
          <w:szCs w:val="20"/>
          <w:color w:val="auto"/>
        </w:rPr>
      </w:pPr>
    </w:p>
    <w:p>
      <w:pPr>
        <w:ind w:left="960"/>
        <w:spacing w:after="0"/>
        <w:tabs>
          <w:tab w:leader="none" w:pos="1440" w:val="left"/>
          <w:tab w:leader="none" w:pos="6480" w:val="left"/>
        </w:tabs>
        <w:rPr>
          <w:sz w:val="20"/>
          <w:szCs w:val="20"/>
          <w:color w:val="auto"/>
        </w:rPr>
      </w:pPr>
      <w:r>
        <w:rPr>
          <w:rFonts w:ascii="Courier New" w:cs="Courier New" w:eastAsia="Courier New" w:hAnsi="Courier New"/>
          <w:sz w:val="16"/>
          <w:szCs w:val="16"/>
          <w:color w:val="auto"/>
        </w:rPr>
        <w:t>6.4</w:t>
        <w:tab/>
        <w:t>Bankruptcy, Insolvency or Liquidation Proceedings.</w:t>
        <w:tab/>
        <w:t>In the event</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any Bankruptcy, Insolvency or Liquidation Proceeding:</w:t>
      </w:r>
    </w:p>
    <w:p>
      <w:pPr>
        <w:spacing w:after="0" w:line="191" w:lineRule="exact"/>
        <w:rPr>
          <w:sz w:val="20"/>
          <w:szCs w:val="20"/>
          <w:color w:val="auto"/>
        </w:rPr>
      </w:pPr>
    </w:p>
    <w:p>
      <w:pPr>
        <w:ind w:left="1840" w:hanging="387"/>
        <w:spacing w:after="0"/>
        <w:tabs>
          <w:tab w:leader="none" w:pos="18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of Payment. All Senior Debt shall be paid in full in</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cash (but excluding indemnification obligations which are then contingent and as to which no payment is then due and no claim or demand has then been made) before any Holder shall be entitled to receive any payment or distribution of any kind or character, whether in cash, property, securities or otherwise, in respect of this Note in such Bankruptcy, Insolvency or Liquidation Proceeding.</w:t>
      </w:r>
    </w:p>
    <w:p>
      <w:pPr>
        <w:spacing w:after="0" w:line="18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(b) Payments and Distributions on Subordinated Claims. Each</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holder of Senior Debt shall be entitled to receive any 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the Subordinated Claims), that may become payable or deliverable to Holders on account or in respect of any Subordinated Claim, for application to the payment of all Senior Debt, until all holders of Senior Debt have received payment in full in cash of all Senior Debt (but excluding indemnification obligations which are then contingent and as to which no payment is then due and no claim or demand has then been made).</w:t>
      </w:r>
    </w:p>
    <w:p>
      <w:pPr>
        <w:spacing w:after="0" w:line="193" w:lineRule="exact"/>
        <w:rPr>
          <w:sz w:val="20"/>
          <w:szCs w:val="20"/>
          <w:color w:val="auto"/>
        </w:rPr>
      </w:pPr>
    </w:p>
    <w:p>
      <w:pPr>
        <w:ind w:left="1840" w:hanging="387"/>
        <w:spacing w:after="0"/>
        <w:tabs>
          <w:tab w:leader="none" w:pos="18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and Application. All such payments and distributions</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on account or in respect of Subordinated Claims shall be delivered by the debtor, trustee, receiver, disbursing agent or other Person making such payment or distribution in such Bankruptcy, Insolvency or Liquidation Proceeding directly to the holders of Senior Debt. If such payment or distribution consists of any property or securities other than cash, (i) such payment or distribution shall not be deemed applied to the payment of Senior Debt at any adjudicated or imputed value and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67" w:name="page68"/>
    <w:bookmarkEnd w:id="67"/>
    <w:p>
      <w:pPr>
        <w:ind w:left="1" w:right="2459" w:hanging="1"/>
        <w:spacing w:after="0" w:line="246" w:lineRule="auto"/>
        <w:tabs>
          <w:tab w:leader="none" w:pos="4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payment or distribution and all other and future non-cash payments and distributions on account or in respect of Subordinated Claims shall be delivered to and held by the holders of Senior Debt, until cash proceeds from such non-cash payments and distributions have been received by the holders of Senior Debt in an amount sufficient (with any other cash paid or distributed to them by or on behalf of the Company) to pay, in full and in cash, all of the Senior Debt (but excluding indemnification obligations which are then contingent and as to which no payment is then due and no claim or demand has then been made).</w:t>
      </w:r>
    </w:p>
    <w:p>
      <w:pPr>
        <w:spacing w:after="0" w:line="190" w:lineRule="exact"/>
        <w:rPr>
          <w:rFonts w:ascii="Courier New" w:cs="Courier New" w:eastAsia="Courier New" w:hAnsi="Courier New"/>
          <w:sz w:val="16"/>
          <w:szCs w:val="16"/>
          <w:color w:val="auto"/>
        </w:rPr>
      </w:pPr>
    </w:p>
    <w:p>
      <w:pPr>
        <w:ind w:left="1941" w:hanging="487"/>
        <w:spacing w:after="0"/>
        <w:tabs>
          <w:tab w:leader="none" w:pos="19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Proof of Claim.</w:t>
      </w:r>
    </w:p>
    <w:p>
      <w:pPr>
        <w:spacing w:after="0" w:line="5" w:lineRule="exact"/>
        <w:rPr>
          <w:rFonts w:ascii="Courier New" w:cs="Courier New" w:eastAsia="Courier New" w:hAnsi="Courier New"/>
          <w:sz w:val="16"/>
          <w:szCs w:val="16"/>
          <w:color w:val="auto"/>
        </w:rPr>
      </w:pPr>
    </w:p>
    <w:p>
      <w:pPr>
        <w:ind w:left="19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 w:right="2459" w:firstLine="1937"/>
        <w:spacing w:after="0" w:line="246" w:lineRule="auto"/>
        <w:tabs>
          <w:tab w:leader="none" w:pos="2326"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fails to file a proof of claim or other statement or demand in respect of its Subordinated Claims in such Bankruptcy, Insolvency or Liquidation Proceeding prior to the 30th day preceding any bar date or other deadline for filing a proof of claim or other such statement or demand therein, or if any such proof of claim, statement or demand filed by any Holder prior to such day is in any respect inadequate or insufficient (in the good faith opinion of any holder of Senior Debt), then each holder of Senior Debt shall have the right, but not the obligation, to execute and deliver (in the name of such Holder or in its own name but on behalf of such Holder, as such holder of Senior Debt may elect) and file in such Bankruptcy, Insolvency or Liquidation Proceeding any proof of claim, statement or demand which such holder of Senior Debt may determine to be required or appropriate in respect of such Subordinated Claim.</w:t>
      </w:r>
    </w:p>
    <w:p>
      <w:pPr>
        <w:spacing w:after="0" w:line="193" w:lineRule="exact"/>
        <w:rPr>
          <w:rFonts w:ascii="Courier New" w:cs="Courier New" w:eastAsia="Courier New" w:hAnsi="Courier New"/>
          <w:sz w:val="16"/>
          <w:szCs w:val="16"/>
          <w:color w:val="auto"/>
        </w:rPr>
      </w:pPr>
    </w:p>
    <w:p>
      <w:pPr>
        <w:ind w:left="1" w:right="2559" w:firstLine="1937"/>
        <w:spacing w:after="0" w:line="247" w:lineRule="auto"/>
        <w:tabs>
          <w:tab w:leader="none" w:pos="2326"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necessary or reasonably appropriate to permit the holders of Senior Debt to exercise the right granted to them under this Section 6.4(d), each Holder hereby constitutes and appoints each holder of Senior Debt as its attorney-in-fact and agent, with full power of substitution and delegation, to execute, deliver and file any such proof of claim, statement or demand as herein provided, and the power of attorney granted herein (being coupled with an interest) is and shall be in all respects irrevocable.</w:t>
      </w:r>
    </w:p>
    <w:p>
      <w:pPr>
        <w:spacing w:after="0" w:line="185" w:lineRule="exact"/>
        <w:rPr>
          <w:rFonts w:ascii="Courier New" w:cs="Courier New" w:eastAsia="Courier New" w:hAnsi="Courier New"/>
          <w:sz w:val="16"/>
          <w:szCs w:val="16"/>
          <w:color w:val="auto"/>
        </w:rPr>
      </w:pPr>
    </w:p>
    <w:p>
      <w:pPr>
        <w:ind w:left="1" w:right="2459" w:firstLine="1937"/>
        <w:spacing w:after="0" w:line="247" w:lineRule="auto"/>
        <w:tabs>
          <w:tab w:leader="none" w:pos="2326"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Senior Debt shall, by executing, delivering or filing any such proof of claim, statement or demand, become liable or responsible in any respect for the legality, adequacy or sufficiency thereof.</w:t>
      </w:r>
    </w:p>
    <w:p>
      <w:pPr>
        <w:spacing w:after="0" w:line="185" w:lineRule="exact"/>
        <w:rPr>
          <w:rFonts w:ascii="Courier New" w:cs="Courier New" w:eastAsia="Courier New" w:hAnsi="Courier New"/>
          <w:sz w:val="16"/>
          <w:szCs w:val="16"/>
          <w:color w:val="auto"/>
        </w:rPr>
      </w:pPr>
    </w:p>
    <w:p>
      <w:pPr>
        <w:ind w:left="1" w:right="2459" w:firstLine="1937"/>
        <w:spacing w:after="0" w:line="246" w:lineRule="auto"/>
        <w:tabs>
          <w:tab w:leader="none" w:pos="2326"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Senior Debt filing any such proof of claim, statement or demand shall deliver or mail a copy thereof to the Company at least 10 days prior to filing such proof of claim, statement or demand, but the failure to deliver or mail such copy shall not in any respect (i) impose any liability on such holder or upon any other holder of Senior Debt or (ii) destroy, affect or impair the subordination provided hereby or any right, power or benefit hereby granted to any holder of Senior Debt. The Company shall, promptly after its receipt thereof, deliver or mail a copy of such proof of claim, statement or demand to each Holder.</w:t>
      </w:r>
    </w:p>
    <w:p>
      <w:pPr>
        <w:spacing w:after="0" w:line="191" w:lineRule="exact"/>
        <w:rPr>
          <w:sz w:val="20"/>
          <w:szCs w:val="20"/>
          <w:color w:val="auto"/>
        </w:rPr>
      </w:pPr>
    </w:p>
    <w:p>
      <w:pPr>
        <w:ind w:left="961"/>
        <w:spacing w:after="0"/>
        <w:tabs>
          <w:tab w:leader="none" w:pos="1440" w:val="left"/>
          <w:tab w:leader="none" w:pos="3460" w:val="left"/>
        </w:tabs>
        <w:rPr>
          <w:sz w:val="20"/>
          <w:szCs w:val="20"/>
          <w:color w:val="auto"/>
        </w:rPr>
      </w:pPr>
      <w:r>
        <w:rPr>
          <w:rFonts w:ascii="Courier New" w:cs="Courier New" w:eastAsia="Courier New" w:hAnsi="Courier New"/>
          <w:sz w:val="16"/>
          <w:szCs w:val="16"/>
          <w:color w:val="auto"/>
        </w:rPr>
        <w:t>6.5</w:t>
        <w:tab/>
        <w:t>Enforcement Rights.</w:t>
        <w:tab/>
        <w:t>No Holder shall have any right to enforce</w:t>
      </w:r>
    </w:p>
    <w:p>
      <w:pPr>
        <w:spacing w:after="0" w:line="5"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any Subordinated Claim, institute or attempt to institute any Bankruptcy, Insolvency or Liquidation Proceeding against the Company or otherwise to take any action against the Company or the</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676" w:right="1440" w:bottom="1440" w:gutter="0" w:footer="0" w:header="0"/>
        </w:sectPr>
      </w:pPr>
    </w:p>
    <w:bookmarkStart w:id="68" w:name="page69"/>
    <w:bookmarkEnd w:id="68"/>
    <w:p>
      <w:pPr>
        <w:ind w:right="2459"/>
        <w:spacing w:after="0" w:line="248" w:lineRule="auto"/>
        <w:rPr>
          <w:sz w:val="20"/>
          <w:szCs w:val="20"/>
          <w:color w:val="auto"/>
        </w:rPr>
      </w:pPr>
      <w:r>
        <w:rPr>
          <w:rFonts w:ascii="Courier New" w:cs="Courier New" w:eastAsia="Courier New" w:hAnsi="Courier New"/>
          <w:sz w:val="16"/>
          <w:szCs w:val="16"/>
          <w:color w:val="auto"/>
        </w:rPr>
        <w:t>Company's property during any periods payments on or distributions in respect of Subordinated Claims are prohibited under Section 6.2, 6.3 or 6.4 hereof.</w:t>
      </w:r>
    </w:p>
    <w:p>
      <w:pPr>
        <w:spacing w:after="0" w:line="184" w:lineRule="exact"/>
        <w:rPr>
          <w:sz w:val="20"/>
          <w:szCs w:val="20"/>
          <w:color w:val="auto"/>
        </w:rPr>
      </w:pPr>
    </w:p>
    <w:p>
      <w:pPr>
        <w:ind w:left="960"/>
        <w:spacing w:after="0"/>
        <w:tabs>
          <w:tab w:leader="none" w:pos="1440" w:val="left"/>
          <w:tab w:leader="none" w:pos="2500" w:val="left"/>
        </w:tabs>
        <w:rPr>
          <w:sz w:val="20"/>
          <w:szCs w:val="20"/>
          <w:color w:val="auto"/>
        </w:rPr>
      </w:pPr>
      <w:r>
        <w:rPr>
          <w:rFonts w:ascii="Courier New" w:cs="Courier New" w:eastAsia="Courier New" w:hAnsi="Courier New"/>
          <w:sz w:val="16"/>
          <w:szCs w:val="16"/>
          <w:color w:val="auto"/>
        </w:rPr>
        <w:t>6.6</w:t>
        <w:tab/>
        <w:t>Turnover.</w:t>
        <w:tab/>
        <w:t>If and in each instance that any Holder receives any</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any Subordinated Claim) on account or in respect of any Subordinated Claim which payment or distribution is prohibited by Section 6.2, 6.3 or 6.4, at any time when any Senior Debt or any commitment to extend credit which would constitute Senior Debt is outstanding, or at any time when payment of interest on any Convertible Notes is deferred as aforesaid, then and in each such event:</w:t>
      </w:r>
    </w:p>
    <w:p>
      <w:pPr>
        <w:spacing w:after="0" w:line="191" w:lineRule="exact"/>
        <w:rPr>
          <w:sz w:val="20"/>
          <w:szCs w:val="20"/>
          <w:color w:val="auto"/>
        </w:rPr>
      </w:pPr>
    </w:p>
    <w:p>
      <w:pPr>
        <w:ind w:left="1840" w:hanging="387"/>
        <w:spacing w:after="0"/>
        <w:tabs>
          <w:tab w:leader="none" w:pos="18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Delivery. Each Holder shall forthwith pay over,</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transfer and deliver such payment or distribution to the holders of Senior Debt, whether or not any Bankruptcy, Insolvency or Liquidation Proceeding is then pending, until the holders of Senior Debt have received payment in full and in cash of all outstanding Senior Debt (but excluding indemnification obligations which are then contingent and as to which no payment is then due and no claim or demand has then been made).</w:t>
      </w:r>
    </w:p>
    <w:p>
      <w:pPr>
        <w:spacing w:after="0" w:line="185" w:lineRule="exact"/>
        <w:rPr>
          <w:sz w:val="20"/>
          <w:szCs w:val="20"/>
          <w:color w:val="auto"/>
        </w:rPr>
      </w:pPr>
    </w:p>
    <w:p>
      <w:pPr>
        <w:ind w:left="1840" w:hanging="387"/>
        <w:spacing w:after="0"/>
        <w:tabs>
          <w:tab w:leader="none" w:pos="18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Held in Trust. Each Holder hereby agrees to hold in trust for</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6"/>
          <w:szCs w:val="16"/>
          <w:color w:val="auto"/>
        </w:rPr>
        <w:t>the holders of Senior Debt, in the identical form received (except for any necessary endorsement to the holders of Senior Debt) and as trustee of an express trust, all payments and distributions required to be paid over, transferred and delivered pursuant to this Section 6.6.</w:t>
      </w:r>
    </w:p>
    <w:p>
      <w:pPr>
        <w:spacing w:after="0" w:line="186" w:lineRule="exact"/>
        <w:rPr>
          <w:sz w:val="20"/>
          <w:szCs w:val="20"/>
          <w:color w:val="auto"/>
        </w:rPr>
      </w:pPr>
    </w:p>
    <w:p>
      <w:pPr>
        <w:ind w:left="960"/>
        <w:spacing w:after="0"/>
        <w:tabs>
          <w:tab w:leader="none" w:pos="1440" w:val="left"/>
          <w:tab w:leader="none" w:pos="2780" w:val="left"/>
        </w:tabs>
        <w:rPr>
          <w:sz w:val="20"/>
          <w:szCs w:val="20"/>
          <w:color w:val="auto"/>
        </w:rPr>
      </w:pPr>
      <w:r>
        <w:rPr>
          <w:rFonts w:ascii="Courier New" w:cs="Courier New" w:eastAsia="Courier New" w:hAnsi="Courier New"/>
          <w:sz w:val="16"/>
          <w:szCs w:val="16"/>
          <w:color w:val="auto"/>
        </w:rPr>
        <w:t>6.7</w:t>
        <w:tab/>
        <w:t>Subrogation.</w:t>
        <w:tab/>
        <w:t>Subject to the prior payment in full and cash of</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any and all Senior Debt (but excluding indemnification obligations which are then contingent and as to which no payment is then due and no claim or demand has then been made), each Holder shall be subrogated to the rights of the holders of such Senior Debt to receive payments and distributions, whether in cash, property, securities or otherwise, applicable to the Senior Debt until such Holder's Subordinated Claim is paid in full. For such purposes:</w:t>
      </w:r>
    </w:p>
    <w:p>
      <w:pPr>
        <w:spacing w:after="0" w:line="1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 Postponement of Subrogation. No right of subrogation shall be</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available to or may be enforced by any Holder, unless and until the payment in full and in cash of all outstanding Senior Debt (but excluding indemnification obligations which are then contingent and as to which no payment is then due and no claim or demand has then been made).</w:t>
      </w:r>
    </w:p>
    <w:p>
      <w:pPr>
        <w:spacing w:after="0" w:line="186" w:lineRule="exact"/>
        <w:rPr>
          <w:sz w:val="20"/>
          <w:szCs w:val="20"/>
          <w:color w:val="auto"/>
        </w:rPr>
      </w:pPr>
    </w:p>
    <w:p>
      <w:pPr>
        <w:ind w:left="1840" w:hanging="387"/>
        <w:spacing w:after="0"/>
        <w:tabs>
          <w:tab w:leader="none" w:pos="18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Representation, Warranty or Responsibility. No holder of</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any Senior Debt makes any representation or warranty, or shall otherwise have any responsibility, as to whether any such right of subrogation is accorded or available to any Holder or is enforceable by it in any particular circumstance.</w:t>
      </w:r>
    </w:p>
    <w:p>
      <w:pPr>
        <w:spacing w:after="0" w:line="186" w:lineRule="exact"/>
        <w:rPr>
          <w:sz w:val="20"/>
          <w:szCs w:val="20"/>
          <w:color w:val="auto"/>
        </w:rPr>
      </w:pPr>
    </w:p>
    <w:p>
      <w:pPr>
        <w:ind w:left="1840" w:hanging="387"/>
        <w:spacing w:after="0"/>
        <w:tabs>
          <w:tab w:leader="none" w:pos="18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Duty; No Exoneration. No holder of any Senior Debt shall</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have any duty to any Holder to ensure, perfect, protect, enforce or maintain any right of subrogation that</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69" w:name="page70"/>
    <w:bookmarkEnd w:id="69"/>
    <w:p>
      <w:pPr>
        <w:ind w:right="2459"/>
        <w:spacing w:after="0" w:line="246" w:lineRule="auto"/>
        <w:rPr>
          <w:sz w:val="20"/>
          <w:szCs w:val="20"/>
          <w:color w:val="auto"/>
        </w:rPr>
      </w:pPr>
      <w:r>
        <w:rPr>
          <w:rFonts w:ascii="Courier New" w:cs="Courier New" w:eastAsia="Courier New" w:hAnsi="Courier New"/>
          <w:sz w:val="16"/>
          <w:szCs w:val="16"/>
          <w:color w:val="auto"/>
        </w:rPr>
        <w:t>might otherwise be accorded or available to or enforceable by such Holder. The subordination provided herein and the rights of the holders of Senior Debt hereunder shall remain fully enforceable on the terms set forth herein, regardless of any act, omission or circumstance (whether or not attributable to any holder of any Senior Debt and whether or not wrongful) which does or might in any manner or in any respect destroy, limit, reduce, affect or impair any right of subrogation otherwise accorded or available to or enforceable by any Holder. Each holder of any Senior Debt shall remain utterly free to take or fail to take any and all actions in respect of any Senior Debt or any Person liable therefor or any collateral security therefor (including, without limitation, each and all of the acts, omissions and matters described in Section 6.8), without exonerating Holders, even if any right of subrogation is destroyed, limited, reduced, affected or impaired thereby.</w:t>
      </w:r>
    </w:p>
    <w:p>
      <w:pPr>
        <w:spacing w:after="0" w:line="19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(d) Disallowed Senior Debt. The subordination provided herein and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rights of the holders of Senior Debt hereunder shall be fully enforceable as to all Senior Debt which is not allowed, allowable or enforceable in any Bankruptcy, Insolvency or Liquidation Proceeding, even if and even though no right of subrogation is available in respect of such Senior Debt.</w:t>
      </w:r>
    </w:p>
    <w:p>
      <w:pPr>
        <w:spacing w:after="0" w:line="186" w:lineRule="exact"/>
        <w:rPr>
          <w:sz w:val="20"/>
          <w:szCs w:val="20"/>
          <w:color w:val="auto"/>
        </w:rPr>
      </w:pPr>
    </w:p>
    <w:p>
      <w:pPr>
        <w:ind w:left="1840" w:hanging="387"/>
        <w:spacing w:after="0"/>
        <w:tabs>
          <w:tab w:leader="none" w:pos="18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Senior Debt. For purposes of enforcing any right</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of subrogation on the terms set forth in this Section 6.7, no payment or distribution on account of any Subordinated Claim arising in respect of this Note applied to the payment of Senior Debt shall, as between the Company and Holders and to the extent of the payment or distribution so applied, discharge the liability of the Company for the payment of such Senior Debt and, to this end, the Company shall remain obligated to pay such Senior Debt in full notwithstanding any such application.</w:t>
      </w:r>
    </w:p>
    <w:p>
      <w:pPr>
        <w:spacing w:after="0" w:line="185" w:lineRule="exact"/>
        <w:rPr>
          <w:sz w:val="20"/>
          <w:szCs w:val="20"/>
          <w:color w:val="auto"/>
        </w:rPr>
      </w:pPr>
    </w:p>
    <w:p>
      <w:pPr>
        <w:ind w:left="960"/>
        <w:spacing w:after="0"/>
        <w:tabs>
          <w:tab w:leader="none" w:pos="1440" w:val="left"/>
          <w:tab w:leader="none" w:pos="6560" w:val="left"/>
        </w:tabs>
        <w:rPr>
          <w:sz w:val="20"/>
          <w:szCs w:val="20"/>
          <w:color w:val="auto"/>
        </w:rPr>
      </w:pPr>
      <w:r>
        <w:rPr>
          <w:rFonts w:ascii="Courier New" w:cs="Courier New" w:eastAsia="Courier New" w:hAnsi="Courier New"/>
          <w:sz w:val="16"/>
          <w:szCs w:val="16"/>
          <w:color w:val="auto"/>
        </w:rPr>
        <w:t>6.8</w:t>
        <w:tab/>
        <w:t>Subordination Not Prejudiced, Affected or Impaired.</w:t>
        <w:tab/>
        <w:t>No right of</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any present or future holder of any Senior Debt to enforce subordination as provided in this Note shall at any time in any way be prejudiced, affected or impaired by any act or failure to act on the part of the Company or by any act or failure to act on the part of any holder of Senior Debt or by any breach or default by the Company in the performance or observance of any promise, covenant or obligation enforceable by any Holder, regardless of any knowledge thereof that any holder of Senior Debt may have or otherwise be charged with.</w:t>
      </w:r>
    </w:p>
    <w:p>
      <w:pPr>
        <w:spacing w:after="0" w:line="185" w:lineRule="exact"/>
        <w:rPr>
          <w:sz w:val="20"/>
          <w:szCs w:val="20"/>
          <w:color w:val="auto"/>
        </w:rPr>
      </w:pPr>
    </w:p>
    <w:p>
      <w:pPr>
        <w:ind w:left="1840" w:hanging="387"/>
        <w:spacing w:after="0"/>
        <w:tabs>
          <w:tab w:leader="none" w:pos="18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Acts, Omissions and Events. Without in any way</w:t>
      </w:r>
    </w:p>
    <w:p>
      <w:pPr>
        <w:spacing w:after="0" w:line="5" w:lineRule="exact"/>
        <w:rPr>
          <w:rFonts w:ascii="Courier New" w:cs="Courier New" w:eastAsia="Courier New" w:hAnsi="Courier New"/>
          <w:sz w:val="16"/>
          <w:szCs w:val="16"/>
          <w:color w:val="auto"/>
        </w:rPr>
      </w:pPr>
    </w:p>
    <w:p>
      <w:pPr>
        <w:ind w:left="1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limiting the generality of the foregoing, each holder of any Senior Debt may at any time and from time to time, without the consent of or notice to Holder, without incurring any responsibility or liability to any Holder and without in any manner prejudicing, affecting or impairing the subordination provided herein or the obligations of Holders to the holders of Senior Debt:</w:t>
      </w:r>
    </w:p>
    <w:p>
      <w:pPr>
        <w:spacing w:after="0" w:line="185" w:lineRule="exact"/>
        <w:rPr>
          <w:sz w:val="20"/>
          <w:szCs w:val="20"/>
          <w:color w:val="auto"/>
        </w:rPr>
      </w:pPr>
    </w:p>
    <w:p>
      <w:pPr>
        <w:ind w:right="2459" w:firstLine="1840"/>
        <w:spacing w:after="0" w:line="247" w:lineRule="auto"/>
        <w:tabs>
          <w:tab w:leader="none" w:pos="222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and advances to the Company or issue, guaranty or obtain letters of credit for the account of the Company or otherwise extend credit to the Company, in any amount and on any terms, whether pursuant to a commitment or as a discretionary advance and whether or not any default or event of default or failure of condition is then continuing;</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70" w:name="page71"/>
    <w:bookmarkEnd w:id="70"/>
    <w:p>
      <w:pPr>
        <w:ind w:right="2459" w:firstLine="1840"/>
        <w:spacing w:after="0" w:line="247" w:lineRule="auto"/>
        <w:tabs>
          <w:tab w:leader="none" w:pos="22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manner, place or terms of payment or extend the time of payment of, or renew or alter, compromise, accelerate, extend or refinance, any Senior Debt or any agreement, guaranty, lien or obligation of the Company or any other Person in any manner related thereto, or otherwise amend, supplement or change in any manner any Senior Debt or any such agreement, guaranty, lien or obligation;</w:t>
      </w:r>
    </w:p>
    <w:p>
      <w:pPr>
        <w:spacing w:after="0" w:line="185" w:lineRule="exact"/>
        <w:rPr>
          <w:rFonts w:ascii="Courier New" w:cs="Courier New" w:eastAsia="Courier New" w:hAnsi="Courier New"/>
          <w:sz w:val="16"/>
          <w:szCs w:val="16"/>
          <w:color w:val="auto"/>
        </w:rPr>
      </w:pPr>
    </w:p>
    <w:p>
      <w:pPr>
        <w:ind w:right="2659" w:firstLine="1840"/>
        <w:spacing w:after="0" w:line="248" w:lineRule="auto"/>
        <w:tabs>
          <w:tab w:leader="none" w:pos="22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or reduce the amount of any Senior Debt or the interest accruing thereon;</w:t>
      </w:r>
    </w:p>
    <w:p>
      <w:pPr>
        <w:spacing w:after="0" w:line="184" w:lineRule="exact"/>
        <w:rPr>
          <w:rFonts w:ascii="Courier New" w:cs="Courier New" w:eastAsia="Courier New" w:hAnsi="Courier New"/>
          <w:sz w:val="16"/>
          <w:szCs w:val="16"/>
          <w:color w:val="auto"/>
        </w:rPr>
      </w:pPr>
    </w:p>
    <w:p>
      <w:pPr>
        <w:ind w:right="2659" w:firstLine="1840"/>
        <w:spacing w:after="0" w:line="247" w:lineRule="auto"/>
        <w:tabs>
          <w:tab w:leader="none" w:pos="22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or discharge any Senior Debt or any guaranty thereof or any agreement or obligation of the Company or any other Person with respect thereto;</w:t>
      </w:r>
    </w:p>
    <w:p>
      <w:pPr>
        <w:spacing w:after="0" w:line="185" w:lineRule="exact"/>
        <w:rPr>
          <w:rFonts w:ascii="Courier New" w:cs="Courier New" w:eastAsia="Courier New" w:hAnsi="Courier New"/>
          <w:sz w:val="16"/>
          <w:szCs w:val="16"/>
          <w:color w:val="auto"/>
        </w:rPr>
      </w:pPr>
    </w:p>
    <w:p>
      <w:pPr>
        <w:ind w:right="2659" w:firstLine="1840"/>
        <w:spacing w:after="0" w:line="247" w:lineRule="auto"/>
        <w:tabs>
          <w:tab w:leader="none" w:pos="22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fail to take any collateral security for any Senior Debt or take or fail to take any action which may be necessary or appropriate to ensure that any lien upon any property securing any Senior Debt is duly enforceable or perfected or entitled to priority as against any other lien or to ensure that any proceeds of any property subject to any lien are applied to the payment of any Senior Debt;</w:t>
      </w:r>
    </w:p>
    <w:p>
      <w:pPr>
        <w:spacing w:after="0" w:line="185" w:lineRule="exact"/>
        <w:rPr>
          <w:rFonts w:ascii="Courier New" w:cs="Courier New" w:eastAsia="Courier New" w:hAnsi="Courier New"/>
          <w:sz w:val="16"/>
          <w:szCs w:val="16"/>
          <w:color w:val="auto"/>
        </w:rPr>
      </w:pPr>
    </w:p>
    <w:p>
      <w:pPr>
        <w:ind w:left="2220" w:hanging="380"/>
        <w:spacing w:after="0"/>
        <w:tabs>
          <w:tab w:leader="none" w:pos="22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discharge or permit the lapse of any or all</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liens upon any property at any time securing any Senior Debt;</w:t>
      </w:r>
    </w:p>
    <w:p>
      <w:pPr>
        <w:spacing w:after="0" w:line="191" w:lineRule="exact"/>
        <w:rPr>
          <w:rFonts w:ascii="Courier New" w:cs="Courier New" w:eastAsia="Courier New" w:hAnsi="Courier New"/>
          <w:sz w:val="16"/>
          <w:szCs w:val="16"/>
          <w:color w:val="auto"/>
        </w:rPr>
      </w:pPr>
    </w:p>
    <w:p>
      <w:pPr>
        <w:ind w:right="2459" w:firstLine="1840"/>
        <w:spacing w:after="0" w:line="247" w:lineRule="auto"/>
        <w:tabs>
          <w:tab w:leader="none" w:pos="22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or enforce, in any manner, order or sequence, or fail to exercise or enforce, any right or remedy against the Company or any collateral security or any other Person or property in respect of any Senior Debt or lien securing any Senior Debt or any right under this Note; or</w:t>
      </w:r>
    </w:p>
    <w:p>
      <w:pPr>
        <w:spacing w:after="0" w:line="185" w:lineRule="exact"/>
        <w:rPr>
          <w:rFonts w:ascii="Courier New" w:cs="Courier New" w:eastAsia="Courier New" w:hAnsi="Courier New"/>
          <w:sz w:val="16"/>
          <w:szCs w:val="16"/>
          <w:color w:val="auto"/>
        </w:rPr>
      </w:pPr>
    </w:p>
    <w:p>
      <w:pPr>
        <w:ind w:right="2459" w:firstLine="1840"/>
        <w:spacing w:after="0" w:line="247" w:lineRule="auto"/>
        <w:tabs>
          <w:tab w:leader="none" w:pos="22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exchange, release, foreclose upon or otherwise deal with any property that may at any time be subject to any lien securing any Senior Debt.</w:t>
      </w:r>
    </w:p>
    <w:p>
      <w:pPr>
        <w:spacing w:after="0" w:line="185"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Release or Exoneration. No exercise, delay in exercising or</w:t>
      </w:r>
    </w:p>
    <w:p>
      <w:pPr>
        <w:spacing w:after="0" w:line="5"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failure to exercise any right arising under this Section 6, no act or omission of any holder of any Senior Debt in respect of the Company or any other Person or any collateral security for any Senior Debt or any right arising under this Section 6, no change, impairment, or suspension of any right or remedy of any holder of any Senior Debt, and no other act, failure to act, circumstance, occurrence or event which, but for this provision, would or could act as a release or exoneration of the obligations of any Holder hereunder shall in any way affect, decrease, diminish or impair any of the obligations of any Holder under this Note or give any Holder or any other Person any recourse or defense against any holder of Senior Debt in respect of any right arising under this Section 6.</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6.9 Reinstatement. If any payment or distribution at any time made 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account or in respect of any Senior Debt is thereafter rescinded, recovered, set aside, avoided or required to be returned, then such Senior Debt and all rights of the holder of such Senior Debt to enforce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71" w:name="page72"/>
    <w:bookmarkEnd w:id="71"/>
    <w:p>
      <w:pPr>
        <w:jc w:val="both"/>
        <w:ind w:right="2859"/>
        <w:spacing w:after="0" w:line="248" w:lineRule="auto"/>
        <w:rPr>
          <w:sz w:val="20"/>
          <w:szCs w:val="20"/>
          <w:color w:val="auto"/>
        </w:rPr>
      </w:pPr>
      <w:r>
        <w:rPr>
          <w:rFonts w:ascii="Courier New" w:cs="Courier New" w:eastAsia="Courier New" w:hAnsi="Courier New"/>
          <w:sz w:val="16"/>
          <w:szCs w:val="16"/>
          <w:color w:val="auto"/>
        </w:rPr>
        <w:t>subordination as set forth herein shall be automatically and unconditionally reinstated, as fully as if such payment or distribution had never been made.</w:t>
      </w:r>
    </w:p>
    <w:p>
      <w:pPr>
        <w:spacing w:after="0" w:line="184" w:lineRule="exact"/>
        <w:rPr>
          <w:sz w:val="20"/>
          <w:szCs w:val="20"/>
          <w:color w:val="auto"/>
        </w:rPr>
      </w:pPr>
    </w:p>
    <w:p>
      <w:pPr>
        <w:ind w:left="960" w:hanging="476"/>
        <w:spacing w:after="0"/>
        <w:tabs>
          <w:tab w:leader="none" w:pos="9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Neither this Note nor any term hereof may be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amended or waived orally or in writing, except that any term of the Notes may be amended and the observance of any term of the Notes may be waived (either generally or in a particular instance and either retroactively or prospectively), and such amendment or waiver shall be applicable to all of the Notes, upon the approval of the Company and the Holders of fifty percent (50%) or more of the outstanding principal amount of all then outstanding Notes; provided, however, that any amendment to (i) the outstanding principal amount of</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tab/>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Notes, (ii) the rate of interest borne by the Notes, (iii) the date of maturity or interest payment dates of the Notes or (iv) this Section 7 shall require the approval of the Holder of each Note to which such amendment shall apply. The Company will not amend any provision of any other Note in a manner favorable to any Holder thereof unless a similar amendment is made or offered with respect to all of the Notes. Each Holder of this Note by its acceptance hereof acknowledges and agrees that the subordination provisions of this instrument are for the benefit of the holders of the Senior Debt and that, accordingly, no provision of Section 6 hereof may be amended or otherwise modified without the prior written consent of each holder of Senior Debt at such time outstanding.</w:t>
      </w:r>
    </w:p>
    <w:p>
      <w:pPr>
        <w:spacing w:after="0" w:line="193" w:lineRule="exact"/>
        <w:rPr>
          <w:sz w:val="20"/>
          <w:szCs w:val="20"/>
          <w:color w:val="auto"/>
        </w:rPr>
      </w:pPr>
    </w:p>
    <w:p>
      <w:pPr>
        <w:ind w:left="960" w:hanging="476"/>
        <w:spacing w:after="0"/>
        <w:tabs>
          <w:tab w:leader="none" w:pos="9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or communication to the Company shall be given in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writing and delivered in person or by overnight courier or mailed by certified or registered mail, return receipt requested, addressed as follows:</w:t>
      </w:r>
    </w:p>
    <w:p>
      <w:pPr>
        <w:spacing w:after="0" w:line="184"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8000 South Federal Way</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Boise, Idaho 8379-9632</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Attention: General Counsel.</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Any notice or communication to a Holder shall be given in writing and delivered by telecopier, in person or by overnight courier or mailed by certified or registered mail, return receipt requested, addressed to the address of the Holder in the Note Register on the date of such notice or communication. The address of Seller, as original Holder, is as follows:</w:t>
      </w:r>
    </w:p>
    <w:p>
      <w:pPr>
        <w:spacing w:after="0" w:line="18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7839 Churchill Way - MS</w:t>
      </w:r>
    </w:p>
    <w:p>
      <w:pPr>
        <w:spacing w:after="0" w:line="5" w:lineRule="exact"/>
        <w:rPr>
          <w:sz w:val="20"/>
          <w:szCs w:val="20"/>
          <w:color w:val="auto"/>
        </w:rPr>
      </w:pPr>
    </w:p>
    <w:p>
      <w:pPr>
        <w:ind w:left="1460"/>
        <w:spacing w:after="0"/>
        <w:tabs>
          <w:tab w:leader="none" w:pos="2880" w:val="left"/>
        </w:tabs>
        <w:rPr>
          <w:sz w:val="20"/>
          <w:szCs w:val="20"/>
          <w:color w:val="auto"/>
        </w:rPr>
      </w:pPr>
      <w:r>
        <w:rPr>
          <w:rFonts w:ascii="Courier New" w:cs="Courier New" w:eastAsia="Courier New" w:hAnsi="Courier New"/>
          <w:sz w:val="16"/>
          <w:szCs w:val="16"/>
          <w:color w:val="auto"/>
        </w:rPr>
        <w:t>Dallas, Texas</w:t>
        <w:tab/>
        <w:t>75215</w:t>
      </w:r>
    </w:p>
    <w:p>
      <w:pPr>
        <w:spacing w:after="0" w:line="5" w:lineRule="exact"/>
        <w:rPr>
          <w:sz w:val="20"/>
          <w:szCs w:val="20"/>
          <w:color w:val="auto"/>
        </w:rPr>
      </w:pPr>
    </w:p>
    <w:p>
      <w:pPr>
        <w:ind w:left="1460"/>
        <w:spacing w:after="0"/>
        <w:tabs>
          <w:tab w:leader="none" w:pos="28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Any such notice or communication shall be effective (x) when received, if delivered in person, (y) on the next business day, if delivered by overnight courier and (z) when received, if delivered by mail.</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72" w:name="page73"/>
    <w:bookmarkEnd w:id="72"/>
    <w:p>
      <w:pPr>
        <w:ind w:left="880" w:hanging="396"/>
        <w:spacing w:after="0"/>
        <w:tabs>
          <w:tab w:leader="none" w:pos="8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This Note has not been registered under the</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 Each Holder by its acceptance of this Note agrees that it shall not offer, sell, assign, transfer, pledge, encumber or otherwise dispose of this note or any portion thereof or interest therein other than in a minimum denomination of $10,000,000 principal amount (or any integral multiple of $1,000,000 in excess thereof) and then only (a) to the Company, or (b) for so long as the securities are eligible for resale pursuant to Rule 144A, pursuant to a sale to a Person it reasonably believes is a "qualified institutional buyer" as defined in Rule 144A.</w:t>
      </w:r>
    </w:p>
    <w:p>
      <w:pPr>
        <w:spacing w:after="0" w:line="193" w:lineRule="exact"/>
        <w:rPr>
          <w:sz w:val="20"/>
          <w:szCs w:val="20"/>
          <w:color w:val="auto"/>
        </w:rPr>
      </w:pPr>
    </w:p>
    <w:p>
      <w:pPr>
        <w:ind w:left="880" w:hanging="396"/>
        <w:spacing w:after="0"/>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Agent and Registrar; Transfers of Notes.</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10.1  Company Own Transfer Agent and Note Registrar.  The Company shall</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serve as its own agent for the transfer and exchange of Notes and registrar to keep a register or registers in which, subject to such reasonable regulations as it may prescribe, the Company will provide for the registration of Notes and the registration of transfers of Notes (the "Note Register"). The Note Register will be maintained at the office of the Company set forth in Section 8 hereof.</w:t>
      </w:r>
    </w:p>
    <w:p>
      <w:pPr>
        <w:spacing w:after="0" w:line="185" w:lineRule="exact"/>
        <w:rPr>
          <w:sz w:val="20"/>
          <w:szCs w:val="20"/>
          <w:color w:val="auto"/>
        </w:rPr>
      </w:pPr>
    </w:p>
    <w:p>
      <w:pPr>
        <w:ind w:left="880"/>
        <w:spacing w:after="0"/>
        <w:tabs>
          <w:tab w:leader="none" w:pos="1440" w:val="left"/>
          <w:tab w:leader="none" w:pos="3380" w:val="left"/>
        </w:tabs>
        <w:rPr>
          <w:sz w:val="20"/>
          <w:szCs w:val="20"/>
          <w:color w:val="auto"/>
        </w:rPr>
      </w:pPr>
      <w:r>
        <w:rPr>
          <w:rFonts w:ascii="Courier New" w:cs="Courier New" w:eastAsia="Courier New" w:hAnsi="Courier New"/>
          <w:sz w:val="16"/>
          <w:szCs w:val="16"/>
          <w:color w:val="auto"/>
        </w:rPr>
        <w:t>10.2</w:t>
        <w:tab/>
        <w:t>Transfer of Notes.</w:t>
        <w:tab/>
        <w:t>Upon presentation of any Note for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registration of transfer at the office of the Company set forth in Section 8 hereof accompanied by (i) certification by the transferor that such transfer is in compliance with the terms hereof and (ii) by a written instrument of transfer in a form approved by the Company executed by the registered Holder, in person or by such holder's attorney thereunto duly authorized in writing, and including the name, address and telephone and fax numbers of the transferee and name of the contact person of the transferee, such Note shall be transferred on the Note Register, and a new Note of like tenor and bearing the same legends shall be issued in the name of the transferee and sent to the transferee at the address and c/o the contact person so indicated. Transfers and exchanges of Notes shall be subject to such additional restrictions as are set forth in the legends on the Notes and to such additional reasonable regulations as may be prescribed by the Company. Successive registrations of transfers as aforesaid may be made from time to time as desired, and each such registration shall be noted on the Note Register. No service charge shall be made for any registration of transfer or exchange of the Notes, but the Company may require payment of a sum sufficient to cover any stamp or other tax or governmental charge in connection therewith.</w:t>
      </w:r>
    </w:p>
    <w:p>
      <w:pPr>
        <w:spacing w:after="0" w:line="382" w:lineRule="exact"/>
        <w:rPr>
          <w:sz w:val="20"/>
          <w:szCs w:val="20"/>
          <w:color w:val="auto"/>
        </w:rPr>
      </w:pPr>
    </w:p>
    <w:p>
      <w:pPr>
        <w:ind w:left="880"/>
        <w:spacing w:after="0"/>
        <w:tabs>
          <w:tab w:leader="none" w:pos="1440" w:val="left"/>
          <w:tab w:leader="none" w:pos="6080" w:val="left"/>
        </w:tabs>
        <w:rPr>
          <w:sz w:val="20"/>
          <w:szCs w:val="20"/>
          <w:color w:val="auto"/>
        </w:rPr>
      </w:pPr>
      <w:r>
        <w:rPr>
          <w:rFonts w:ascii="Courier New" w:cs="Courier New" w:eastAsia="Courier New" w:hAnsi="Courier New"/>
          <w:sz w:val="16"/>
          <w:szCs w:val="16"/>
          <w:color w:val="auto"/>
        </w:rPr>
        <w:t>10.3</w:t>
        <w:tab/>
        <w:t>Registered Holders Treated as Absolute Owners.</w:t>
        <w:tab/>
        <w:t>The Company may</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deem and treat the Person in whose name any Note is registered on the Note Register as the absolute owner of such Note (whether or not such Note shall be overdue and notwithstanding any notation of ownership or other writing thereon) for the purpose of receiving payment of or on account of the principal of and, subject to the provisions of this Agreement, interest on such Note and for all other purposes; and neither the Company nor any agent of the Company shall be affected by any notice to the contrary. All such payments so made to any such Person, or upon such Person's order, shall</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73" w:name="page74"/>
    <w:bookmarkEnd w:id="73"/>
    <w:p>
      <w:pPr>
        <w:ind w:right="2759"/>
        <w:spacing w:after="0" w:line="248" w:lineRule="auto"/>
        <w:rPr>
          <w:sz w:val="20"/>
          <w:szCs w:val="20"/>
          <w:color w:val="auto"/>
        </w:rPr>
      </w:pPr>
      <w:r>
        <w:rPr>
          <w:rFonts w:ascii="Courier New" w:cs="Courier New" w:eastAsia="Courier New" w:hAnsi="Courier New"/>
          <w:sz w:val="16"/>
          <w:szCs w:val="16"/>
          <w:color w:val="auto"/>
        </w:rPr>
        <w:t>be valid, and, to the extent of the sum or sums so paid, effectual to satisfy and discharge the liability for moneys payable on any such Note.</w:t>
      </w:r>
    </w:p>
    <w:p>
      <w:pPr>
        <w:spacing w:after="0" w:line="184" w:lineRule="exact"/>
        <w:rPr>
          <w:sz w:val="20"/>
          <w:szCs w:val="20"/>
          <w:color w:val="auto"/>
        </w:rPr>
      </w:pPr>
    </w:p>
    <w:p>
      <w:pPr>
        <w:ind w:left="880"/>
        <w:spacing w:after="0"/>
        <w:tabs>
          <w:tab w:leader="none" w:pos="1440" w:val="left"/>
          <w:tab w:leader="none" w:pos="6180" w:val="left"/>
        </w:tabs>
        <w:rPr>
          <w:sz w:val="20"/>
          <w:szCs w:val="20"/>
          <w:color w:val="auto"/>
        </w:rPr>
      </w:pPr>
      <w:r>
        <w:rPr>
          <w:rFonts w:ascii="Courier New" w:cs="Courier New" w:eastAsia="Courier New" w:hAnsi="Courier New"/>
          <w:sz w:val="16"/>
          <w:szCs w:val="16"/>
          <w:color w:val="auto"/>
        </w:rPr>
        <w:t>10.4</w:t>
        <w:tab/>
        <w:t>Loss, Theft, Destruction or Mutilation of Note.</w:t>
        <w:tab/>
        <w:t>Upon receipt by</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the Company of evidence reasonably satisfactory to it of the loss, theft, destruction or mutilation of a Note, and in the case of loss, theft or destruction, receipt of indemnity or security reasonably satisfactory to the Company, and upon reimbursement to the Company of all reasonable expenses incidental thereto, and upon surrender and cancellation of such Note, if mutilated, the Company will deliver a new Note of like tenor and dated as of such cancellation, in lieu of such Note.</w:t>
      </w:r>
    </w:p>
    <w:p>
      <w:pPr>
        <w:spacing w:after="0" w:line="185" w:lineRule="exact"/>
        <w:rPr>
          <w:sz w:val="20"/>
          <w:szCs w:val="20"/>
          <w:color w:val="auto"/>
        </w:rPr>
      </w:pPr>
    </w:p>
    <w:p>
      <w:pPr>
        <w:ind w:left="880" w:hanging="396"/>
        <w:spacing w:after="0"/>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 Representations.  By its acceptance hereof, each Holder</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represents and warrants as follows:</w:t>
      </w:r>
    </w:p>
    <w:p>
      <w:pPr>
        <w:spacing w:after="0" w:line="191" w:lineRule="exact"/>
        <w:rPr>
          <w:sz w:val="20"/>
          <w:szCs w:val="20"/>
          <w:color w:val="auto"/>
        </w:rPr>
      </w:pPr>
    </w:p>
    <w:p>
      <w:pPr>
        <w:ind w:left="880"/>
        <w:spacing w:after="0"/>
        <w:tabs>
          <w:tab w:leader="none" w:pos="4440" w:val="left"/>
        </w:tabs>
        <w:rPr>
          <w:sz w:val="20"/>
          <w:szCs w:val="20"/>
          <w:color w:val="auto"/>
        </w:rPr>
      </w:pPr>
      <w:r>
        <w:rPr>
          <w:rFonts w:ascii="Courier New" w:cs="Courier New" w:eastAsia="Courier New" w:hAnsi="Courier New"/>
          <w:sz w:val="16"/>
          <w:szCs w:val="16"/>
          <w:color w:val="auto"/>
        </w:rPr>
        <w:t>11.1 Qualified Institutional Buyer.</w:t>
        <w:tab/>
        <w:t>Such Holder is a "qualified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institutional buyer" as such term is defined in Rule 144A under the Securities Act. Such Holder has been advised that this Note has not been registered under the Securities Act, or any state securities laws and, therefore, cannot be resold unless it is registered under the Securities Act and applicable state securities laws or unless an exemption from such registration requirements is available. Such Holder is aware that the Company is under no obligation to effect any such registration or to file for or comply with any exemption from registration. Such Holder has not been formed solely for the purpose of making this investment and is acquiring the Note for its own account, or for the account of a qualified institutional buyer to whom notice is given that the transfer is being made in reliance on Rule 144A, for investment, and not with a view to, or for resale in connection with, the distribution thereof.</w:t>
      </w:r>
    </w:p>
    <w:p>
      <w:pPr>
        <w:spacing w:after="0" w:line="193" w:lineRule="exact"/>
        <w:rPr>
          <w:sz w:val="20"/>
          <w:szCs w:val="20"/>
          <w:color w:val="auto"/>
        </w:rPr>
      </w:pPr>
    </w:p>
    <w:p>
      <w:pPr>
        <w:ind w:left="880"/>
        <w:spacing w:after="0"/>
        <w:tabs>
          <w:tab w:leader="none" w:pos="1440" w:val="left"/>
          <w:tab w:leader="none" w:pos="3760" w:val="left"/>
        </w:tabs>
        <w:rPr>
          <w:sz w:val="20"/>
          <w:szCs w:val="20"/>
          <w:color w:val="auto"/>
        </w:rPr>
      </w:pPr>
      <w:r>
        <w:rPr>
          <w:rFonts w:ascii="Courier New" w:cs="Courier New" w:eastAsia="Courier New" w:hAnsi="Courier New"/>
          <w:sz w:val="16"/>
          <w:szCs w:val="16"/>
          <w:color w:val="auto"/>
        </w:rPr>
        <w:t>11.2</w:t>
        <w:tab/>
        <w:t>Access to Information.</w:t>
        <w:tab/>
        <w:t>The initial Holder of this Note</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acknowledges that the Company has given such Holder access to the corporate records and accounts of the Company and to all information in its possession relating to the Company, has made its officers and representatives available for interview by such Holder, and has furnished such Holder with all documents and other information required for such Holder to make an informed decision with respect to the acquisition of the Note.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74" w:name="page75"/>
    <w:bookmarkEnd w:id="74"/>
    <w:p>
      <w:pPr>
        <w:ind w:left="960" w:hanging="476"/>
        <w:spacing w:after="0"/>
        <w:tabs>
          <w:tab w:leader="none" w:pos="9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This Note shall be governed by and shall be construed and</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enforced in accordance with the laws of the State of New York.</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MICRON TECHNOLOGY, INC.</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By:_______________________________________________</w:t>
      </w:r>
    </w:p>
    <w:p>
      <w:pPr>
        <w:spacing w:after="0" w:line="5" w:lineRule="exact"/>
        <w:rPr>
          <w:sz w:val="20"/>
          <w:szCs w:val="20"/>
          <w:color w:val="auto"/>
        </w:rPr>
      </w:pPr>
    </w:p>
    <w:p>
      <w:pPr>
        <w:ind w:left="3480"/>
        <w:spacing w:after="0"/>
        <w:tabs>
          <w:tab w:leader="none" w:pos="4140" w:val="left"/>
        </w:tabs>
        <w:rPr>
          <w:sz w:val="20"/>
          <w:szCs w:val="20"/>
          <w:color w:val="auto"/>
        </w:rPr>
      </w:pPr>
      <w:r>
        <w:rPr>
          <w:rFonts w:ascii="Courier New" w:cs="Courier New" w:eastAsia="Courier New" w:hAnsi="Courier New"/>
          <w:sz w:val="16"/>
          <w:szCs w:val="16"/>
          <w:color w:val="auto"/>
        </w:rPr>
        <w:t>Name:</w:t>
        <w:tab/>
        <w:t>Steven R. Appleton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Title: Chairman of the Board of Directors,</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sectPr>
      <w:pgSz w:w="11900" w:h="16838" w:orient="portrait"/>
      <w:cols w:equalWidth="0" w:num="1">
        <w:col w:w="10219"/>
      </w:cols>
      <w:pgMar w:left="240"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lowerLetter"/>
      <w:start w:val="1"/>
    </w:lvl>
  </w:abstractNum>
  <w:abstractNum w:abstractNumId="1">
    <w:nsid w:val="749ABB43"/>
    <w:multiLevelType w:val="hybridMultilevel"/>
    <w:lvl w:ilvl="0">
      <w:lvlJc w:val="left"/>
      <w:lvlText w:val="(%1)"/>
      <w:numFmt w:val="lowerLetter"/>
      <w:start w:val="2"/>
    </w:lvl>
  </w:abstractNum>
  <w:abstractNum w:abstractNumId="2">
    <w:nsid w:val="3DC240FB"/>
    <w:multiLevelType w:val="hybridMultilevel"/>
    <w:lvl w:ilvl="0">
      <w:lvlJc w:val="left"/>
      <w:lvlText w:val="(%1)"/>
      <w:numFmt w:val="lowerLetter"/>
      <w:start w:val="3"/>
    </w:lvl>
  </w:abstractNum>
  <w:abstractNum w:abstractNumId="3">
    <w:nsid w:val="1BA026FA"/>
    <w:multiLevelType w:val="hybridMultilevel"/>
    <w:lvl w:ilvl="0">
      <w:lvlJc w:val="left"/>
      <w:lvlText w:val="%1."/>
      <w:numFmt w:val="upperLetter"/>
      <w:start w:val="1"/>
    </w:lvl>
  </w:abstractNum>
  <w:abstractNum w:abstractNumId="4">
    <w:nsid w:val="79A1DEAA"/>
    <w:multiLevelType w:val="hybridMultilevel"/>
    <w:lvl w:ilvl="0">
      <w:lvlJc w:val="left"/>
      <w:lvlText w:val="%1."/>
      <w:numFmt w:val="upperLetter"/>
      <w:start w:val="8"/>
    </w:lvl>
  </w:abstractNum>
  <w:abstractNum w:abstractNumId="5">
    <w:nsid w:val="75C6C33A"/>
    <w:multiLevelType w:val="hybridMultilevel"/>
    <w:lvl w:ilvl="0">
      <w:lvlJc w:val="left"/>
      <w:lvlText w:val="(%1)"/>
      <w:numFmt w:val="lowerRoman"/>
      <w:start w:val="7"/>
    </w:lvl>
  </w:abstractNum>
  <w:abstractNum w:abstractNumId="6">
    <w:nsid w:val="12E685FB"/>
    <w:multiLevelType w:val="hybridMultilevel"/>
    <w:lvl w:ilvl="0">
      <w:lvlJc w:val="left"/>
      <w:lvlText w:val="(%1)"/>
      <w:numFmt w:val="lowerRoman"/>
      <w:start w:val="9"/>
    </w:lvl>
  </w:abstractNum>
  <w:abstractNum w:abstractNumId="7">
    <w:nsid w:val="70C6A529"/>
    <w:multiLevelType w:val="hybridMultilevel"/>
    <w:lvl w:ilvl="0">
      <w:lvlJc w:val="left"/>
      <w:lvlText w:val="(%1)"/>
      <w:numFmt w:val="lowerRoman"/>
      <w:start w:val="14"/>
    </w:lvl>
  </w:abstractNum>
  <w:abstractNum w:abstractNumId="8">
    <w:nsid w:val="520EEDD1"/>
    <w:multiLevelType w:val="hybridMultilevel"/>
    <w:lvl w:ilvl="0">
      <w:lvlJc w:val="left"/>
      <w:lvlText w:val="(%1)"/>
      <w:numFmt w:val="lowerLetter"/>
      <w:start w:val="1"/>
    </w:lvl>
  </w:abstractNum>
  <w:abstractNum w:abstractNumId="9">
    <w:nsid w:val="374A3FE6"/>
    <w:multiLevelType w:val="hybridMultilevel"/>
    <w:lvl w:ilvl="0">
      <w:lvlJc w:val="left"/>
      <w:lvlText w:val="(%1)"/>
      <w:numFmt w:val="lowerLetter"/>
      <w:start w:val="2"/>
    </w:lvl>
  </w:abstractNum>
  <w:abstractNum w:abstractNumId="10">
    <w:nsid w:val="4F4EF005"/>
    <w:multiLevelType w:val="hybridMultilevel"/>
    <w:lvl w:ilvl="0">
      <w:lvlJc w:val="left"/>
      <w:lvlText w:val="(%1)"/>
      <w:numFmt w:val="lowerRoman"/>
      <w:start w:val="2"/>
    </w:lvl>
  </w:abstractNum>
  <w:abstractNum w:abstractNumId="11">
    <w:nsid w:val="23F9C13C"/>
    <w:multiLevelType w:val="hybridMultilevel"/>
    <w:lvl w:ilvl="0">
      <w:lvlJc w:val="left"/>
      <w:lvlText w:val="(%1)"/>
      <w:numFmt w:val="lowerRoman"/>
      <w:start w:val="2"/>
    </w:lvl>
  </w:abstractNum>
  <w:abstractNum w:abstractNumId="12">
    <w:nsid w:val="649BB77C"/>
    <w:multiLevelType w:val="hybridMultilevel"/>
    <w:lvl w:ilvl="0">
      <w:lvlJc w:val="left"/>
      <w:lvlText w:val="(%1)"/>
      <w:numFmt w:val="lowerLetter"/>
      <w:start w:val="7"/>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lowerLetter"/>
      <w:start w:val="1"/>
    </w:lvl>
  </w:abstractNum>
  <w:abstractNum w:abstractNumId="15">
    <w:nsid w:val="1CF10FD8"/>
    <w:multiLevelType w:val="hybridMultilevel"/>
    <w:lvl w:ilvl="0">
      <w:lvlJc w:val="left"/>
      <w:lvlText w:val="%1"/>
      <w:numFmt w:val="lowerLetter"/>
      <w:start w:val="1"/>
    </w:lvl>
    <w:lvl w:ilvl="1">
      <w:lvlJc w:val="left"/>
      <w:lvlText w:val="(%2)"/>
      <w:numFmt w:val="lowerRoman"/>
      <w:start w:val="1"/>
    </w:lvl>
  </w:abstractNum>
  <w:abstractNum w:abstractNumId="16">
    <w:nsid w:val="180115BE"/>
    <w:multiLevelType w:val="hybridMultilevel"/>
    <w:lvl w:ilvl="0">
      <w:lvlJc w:val="left"/>
      <w:lvlText w:val="(%1)"/>
      <w:numFmt w:val="lowerLetter"/>
      <w:start w:val="2"/>
    </w:lvl>
    <w:lvl w:ilvl="1">
      <w:lvlJc w:val="left"/>
      <w:lvlText w:val="%2"/>
      <w:numFmt w:val="lowerRoman"/>
      <w:start w:val="1"/>
    </w:lvl>
  </w:abstractNum>
  <w:abstractNum w:abstractNumId="17">
    <w:nsid w:val="235BA861"/>
    <w:multiLevelType w:val="hybridMultilevel"/>
    <w:lvl w:ilvl="0">
      <w:lvlJc w:val="left"/>
      <w:lvlText w:val="%1"/>
      <w:numFmt w:val="lowerLetter"/>
      <w:start w:val="1"/>
    </w:lvl>
    <w:lvl w:ilvl="1">
      <w:lvlJc w:val="left"/>
      <w:lvlText w:val="(%2)"/>
      <w:numFmt w:val="lowerLetter"/>
      <w:start w:val="4"/>
    </w:lvl>
  </w:abstractNum>
  <w:abstractNum w:abstractNumId="18">
    <w:nsid w:val="47398C89"/>
    <w:multiLevelType w:val="hybridMultilevel"/>
    <w:lvl w:ilvl="0">
      <w:lvlJc w:val="left"/>
      <w:lvlText w:val="(%1)"/>
      <w:numFmt w:val="lowerLetter"/>
      <w:start w:val="3"/>
    </w:lvl>
    <w:lvl w:ilvl="1">
      <w:lvlJc w:val="left"/>
      <w:lvlText w:val="%2"/>
      <w:numFmt w:val="lowerLetter"/>
      <w:start w:val="1"/>
    </w:lvl>
  </w:abstractNum>
  <w:abstractNum w:abstractNumId="19">
    <w:nsid w:val="354FE9F9"/>
    <w:multiLevelType w:val="hybridMultilevel"/>
    <w:lvl w:ilvl="0">
      <w:lvlJc w:val="left"/>
      <w:lvlText w:val="(%1)"/>
      <w:numFmt w:val="lowerLetter"/>
      <w:start w:val="1"/>
    </w:lvl>
  </w:abstractNum>
  <w:abstractNum w:abstractNumId="20">
    <w:nsid w:val="15B5AF5C"/>
    <w:multiLevelType w:val="hybridMultilevel"/>
    <w:lvl w:ilvl="0">
      <w:lvlJc w:val="left"/>
      <w:lvlText w:val="(%1)"/>
      <w:numFmt w:val="lowerLetter"/>
      <w:start w:val="35"/>
    </w:lvl>
    <w:lvl w:ilvl="1">
      <w:lvlJc w:val="left"/>
      <w:lvlText w:val="(%2)"/>
      <w:numFmt w:val="lowerLetter"/>
      <w:start w:val="2"/>
    </w:lvl>
  </w:abstractNum>
  <w:abstractNum w:abstractNumId="21">
    <w:nsid w:val="741226BB"/>
    <w:multiLevelType w:val="hybridMultilevel"/>
    <w:lvl w:ilvl="0">
      <w:lvlJc w:val="left"/>
      <w:lvlText w:val="(%1)"/>
      <w:numFmt w:val="lowerLetter"/>
      <w:start w:val="3"/>
    </w:lvl>
  </w:abstractNum>
  <w:abstractNum w:abstractNumId="22">
    <w:nsid w:val="D34B6A8"/>
    <w:multiLevelType w:val="hybridMultilevel"/>
    <w:lvl w:ilvl="0">
      <w:lvlJc w:val="left"/>
      <w:lvlText w:val="%1"/>
      <w:numFmt w:val="lowerLetter"/>
      <w:start w:val="1"/>
    </w:lvl>
    <w:lvl w:ilvl="1">
      <w:lvlJc w:val="left"/>
      <w:lvlText w:val="(%2)"/>
      <w:numFmt w:val="lowerLetter"/>
      <w:start w:val="4"/>
    </w:lvl>
  </w:abstractNum>
  <w:abstractNum w:abstractNumId="23">
    <w:nsid w:val="10233C99"/>
    <w:multiLevelType w:val="hybridMultilevel"/>
    <w:lvl w:ilvl="0">
      <w:lvlJc w:val="left"/>
      <w:lvlText w:val="(%1)"/>
      <w:numFmt w:val="lowerLetter"/>
      <w:start w:val="61"/>
    </w:lvl>
    <w:lvl w:ilvl="1">
      <w:lvlJc w:val="left"/>
      <w:lvlText w:val="(%2)"/>
      <w:numFmt w:val="lowerLetter"/>
      <w:start w:val="5"/>
    </w:lvl>
  </w:abstractNum>
  <w:abstractNum w:abstractNumId="24">
    <w:nsid w:val="3F6AB60F"/>
    <w:multiLevelType w:val="hybridMultilevel"/>
    <w:lvl w:ilvl="0">
      <w:lvlJc w:val="left"/>
      <w:lvlText w:val="(%1)"/>
      <w:numFmt w:val="lowerLetter"/>
      <w:start w:val="6"/>
    </w:lvl>
  </w:abstractNum>
  <w:abstractNum w:abstractNumId="25">
    <w:nsid w:val="61574095"/>
    <w:multiLevelType w:val="hybridMultilevel"/>
    <w:lvl w:ilvl="0">
      <w:lvlJc w:val="left"/>
      <w:lvlText w:val="(%1)"/>
      <w:numFmt w:val="lowerLetter"/>
      <w:start w:val="5"/>
    </w:lvl>
  </w:abstractNum>
  <w:abstractNum w:abstractNumId="26">
    <w:nsid w:val="7E0C57B1"/>
    <w:multiLevelType w:val="hybridMultilevel"/>
    <w:lvl w:ilvl="0">
      <w:lvlJc w:val="left"/>
      <w:lvlText w:val="(%1)"/>
      <w:numFmt w:val="lowerLetter"/>
      <w:start w:val="7"/>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1)"/>
      <w:numFmt w:val="lowerLetter"/>
      <w:start w:val="16"/>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1)"/>
      <w:numFmt w:val="lowerLetter"/>
      <w:start w:val="2"/>
    </w:lvl>
  </w:abstractNum>
  <w:abstractNum w:abstractNumId="34">
    <w:nsid w:val="4AD084E9"/>
    <w:multiLevelType w:val="hybridMultilevel"/>
    <w:lvl w:ilvl="0">
      <w:lvlJc w:val="left"/>
      <w:lvlText w:val="(%1)"/>
      <w:numFmt w:val="lowerLetter"/>
      <w:start w:val="3"/>
    </w:lvl>
  </w:abstractNum>
  <w:abstractNum w:abstractNumId="35">
    <w:nsid w:val="1F48EAA1"/>
    <w:multiLevelType w:val="hybridMultilevel"/>
    <w:lvl w:ilvl="0">
      <w:lvlJc w:val="left"/>
      <w:lvlText w:val="(%1)"/>
      <w:numFmt w:val="lowerLetter"/>
      <w:start w:val="4"/>
    </w:lvl>
  </w:abstractNum>
  <w:abstractNum w:abstractNumId="36">
    <w:nsid w:val="1381823A"/>
    <w:multiLevelType w:val="hybridMultilevel"/>
    <w:lvl w:ilvl="0">
      <w:lvlJc w:val="left"/>
      <w:lvlText w:val="(%1)"/>
      <w:numFmt w:val="lowerLetter"/>
      <w:start w:val="2"/>
    </w:lvl>
  </w:abstractNum>
  <w:abstractNum w:abstractNumId="37">
    <w:nsid w:val="5DB70AE5"/>
    <w:multiLevelType w:val="hybridMultilevel"/>
    <w:lvl w:ilvl="0">
      <w:lvlJc w:val="left"/>
      <w:lvlText w:val="(%1)"/>
      <w:numFmt w:val="lowerLetter"/>
      <w:start w:val="3"/>
    </w:lvl>
  </w:abstractNum>
  <w:abstractNum w:abstractNumId="38">
    <w:nsid w:val="100F8FCA"/>
    <w:multiLevelType w:val="hybridMultilevel"/>
    <w:lvl w:ilvl="0">
      <w:lvlJc w:val="left"/>
      <w:lvlText w:val="(%1)"/>
      <w:numFmt w:val="lowerLetter"/>
      <w:start w:val="7"/>
    </w:lvl>
  </w:abstractNum>
  <w:abstractNum w:abstractNumId="39">
    <w:nsid w:val="6590700B"/>
    <w:multiLevelType w:val="hybridMultilevel"/>
    <w:lvl w:ilvl="0">
      <w:lvlJc w:val="left"/>
      <w:lvlText w:val="(%1)"/>
      <w:numFmt w:val="lowerLetter"/>
      <w:start w:val="12"/>
    </w:lvl>
  </w:abstractNum>
  <w:abstractNum w:abstractNumId="40">
    <w:nsid w:val="15014ACB"/>
    <w:multiLevelType w:val="hybridMultilevel"/>
    <w:lvl w:ilvl="0">
      <w:lvlJc w:val="left"/>
      <w:lvlText w:val="(%1)"/>
      <w:numFmt w:val="lowerLetter"/>
      <w:start w:val="3"/>
    </w:lvl>
  </w:abstractNum>
  <w:abstractNum w:abstractNumId="41">
    <w:nsid w:val="5F5E7FD0"/>
    <w:multiLevelType w:val="hybridMultilevel"/>
    <w:lvl w:ilvl="0">
      <w:lvlJc w:val="left"/>
      <w:lvlText w:val="(%1)"/>
      <w:numFmt w:val="upperLetter"/>
      <w:start w:val="1"/>
    </w:lvl>
  </w:abstractNum>
  <w:abstractNum w:abstractNumId="42">
    <w:nsid w:val="98A3148"/>
    <w:multiLevelType w:val="hybridMultilevel"/>
    <w:lvl w:ilvl="0">
      <w:lvlJc w:val="left"/>
      <w:lvlText w:val="(%1)"/>
      <w:numFmt w:val="upperLetter"/>
      <w:start w:val="2"/>
    </w:lvl>
  </w:abstractNum>
  <w:abstractNum w:abstractNumId="43">
    <w:nsid w:val="799D0247"/>
    <w:multiLevelType w:val="hybridMultilevel"/>
    <w:lvl w:ilvl="0">
      <w:lvlJc w:val="left"/>
      <w:lvlText w:val="%1."/>
      <w:numFmt w:val="upperLetter"/>
      <w:start w:val="1"/>
    </w:lvl>
  </w:abstractNum>
  <w:abstractNum w:abstractNumId="44">
    <w:nsid w:val="6B94764"/>
    <w:multiLevelType w:val="hybridMultilevel"/>
    <w:lvl w:ilvl="0">
      <w:lvlJc w:val="left"/>
      <w:lvlText w:val="(%1)"/>
      <w:numFmt w:val="lowerRoman"/>
      <w:start w:val="2"/>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lowerLetter"/>
      <w:start w:val="2"/>
    </w:lvl>
  </w:abstractNum>
  <w:abstractNum w:abstractNumId="49">
    <w:nsid w:val="5DC79EA8"/>
    <w:multiLevelType w:val="hybridMultilevel"/>
    <w:lvl w:ilvl="0">
      <w:lvlJc w:val="left"/>
      <w:lvlText w:val="(%1)"/>
      <w:numFmt w:val="lowerRoman"/>
      <w:start w:val="1"/>
    </w:lvl>
    <w:lvl w:ilvl="1">
      <w:lvlJc w:val="left"/>
      <w:lvlText w:val="(%2)"/>
      <w:numFmt w:val="lowerLetter"/>
      <w:start w:val="4"/>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decimal"/>
      <w:start w:val="2"/>
    </w:lvl>
  </w:abstractNum>
  <w:abstractNum w:abstractNumId="52">
    <w:nsid w:val="51D9C564"/>
    <w:multiLevelType w:val="hybridMultilevel"/>
    <w:lvl w:ilvl="0">
      <w:lvlJc w:val="left"/>
      <w:lvlText w:val="(%1)"/>
      <w:numFmt w:val="decimal"/>
      <w:start w:val="4"/>
    </w:lvl>
  </w:abstractNum>
  <w:abstractNum w:abstractNumId="53">
    <w:nsid w:val="613EFDC5"/>
    <w:multiLevelType w:val="hybridMultilevel"/>
    <w:lvl w:ilvl="0">
      <w:lvlJc w:val="left"/>
      <w:lvlText w:val="%1"/>
      <w:numFmt w:val="lowerRoman"/>
      <w:start w:val="1"/>
    </w:lvl>
    <w:lvl w:ilvl="1">
      <w:lvlJc w:val="left"/>
      <w:lvlText w:val="(%2)"/>
      <w:numFmt w:val="decimal"/>
      <w:start w:val="6"/>
    </w:lvl>
  </w:abstractNum>
  <w:abstractNum w:abstractNumId="54">
    <w:nsid w:val="BF72B14"/>
    <w:multiLevelType w:val="hybridMultilevel"/>
    <w:lvl w:ilvl="0">
      <w:lvlJc w:val="left"/>
      <w:lvlText w:val="(%1)"/>
      <w:numFmt w:val="lowerRoman"/>
      <w:start w:val="2"/>
    </w:lvl>
    <w:lvl w:ilvl="1">
      <w:lvlJc w:val="left"/>
      <w:lvlText w:val="(%2)"/>
      <w:numFmt w:val="decimal"/>
      <w:start w:val="7"/>
    </w:lvl>
  </w:abstractNum>
  <w:abstractNum w:abstractNumId="55">
    <w:nsid w:val="11447B73"/>
    <w:multiLevelType w:val="hybridMultilevel"/>
    <w:lvl w:ilvl="0">
      <w:lvlJc w:val="left"/>
      <w:lvlText w:val="(%1)"/>
      <w:numFmt w:val="decimal"/>
      <w:start w:val="3"/>
    </w:lvl>
    <w:lvl w:ilvl="1">
      <w:lvlJc w:val="left"/>
      <w:lvlText w:val="(%2)"/>
      <w:numFmt w:val="decimal"/>
      <w:start w:val="8"/>
    </w:lvl>
  </w:abstractNum>
  <w:abstractNum w:abstractNumId="56">
    <w:nsid w:val="42963E5A"/>
    <w:multiLevelType w:val="hybridMultilevel"/>
    <w:lvl w:ilvl="0">
      <w:lvlJc w:val="left"/>
      <w:lvlText w:val="(%1)"/>
      <w:numFmt w:val="decimal"/>
      <w:start w:val="6"/>
    </w:lvl>
    <w:lvl w:ilvl="1">
      <w:lvlJc w:val="left"/>
      <w:lvlText w:val="(%2)"/>
      <w:numFmt w:val="decimal"/>
      <w:start w:val="9"/>
    </w:lvl>
  </w:abstractNum>
  <w:abstractNum w:abstractNumId="57">
    <w:nsid w:val="A0382C5"/>
    <w:multiLevelType w:val="hybridMultilevel"/>
    <w:lvl w:ilvl="0">
      <w:lvlJc w:val="left"/>
      <w:lvlText w:val="(%1)"/>
      <w:numFmt w:val="decimal"/>
      <w:start w:val="10"/>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lowerRoman"/>
      <w:start w:val="1"/>
    </w:lvl>
  </w:abstractNum>
  <w:abstractNum w:abstractNumId="61">
    <w:nsid w:val="68EB2F63"/>
    <w:multiLevelType w:val="hybridMultilevel"/>
    <w:lvl w:ilvl="0">
      <w:lvlJc w:val="left"/>
      <w:lvlText w:val="(%1)"/>
      <w:numFmt w:val="decimal"/>
      <w:start w:val="2"/>
    </w:lvl>
  </w:abstractNum>
  <w:abstractNum w:abstractNumId="62">
    <w:nsid w:val="4962813B"/>
    <w:multiLevelType w:val="hybridMultilevel"/>
    <w:lvl w:ilvl="0">
      <w:lvlJc w:val="left"/>
      <w:lvlText w:val="(%1)"/>
      <w:numFmt w:val="decimal"/>
      <w:start w:val="3"/>
    </w:lvl>
  </w:abstractNum>
  <w:abstractNum w:abstractNumId="63">
    <w:nsid w:val="60B6DF70"/>
    <w:multiLevelType w:val="hybridMultilevel"/>
    <w:lvl w:ilvl="0">
      <w:lvlJc w:val="left"/>
      <w:lvlText w:val="(%1)"/>
      <w:numFmt w:val="decimal"/>
      <w:start w:val="4"/>
    </w:lvl>
  </w:abstractNum>
  <w:abstractNum w:abstractNumId="64">
    <w:nsid w:val="6A5EE64"/>
    <w:multiLevelType w:val="hybridMultilevel"/>
    <w:lvl w:ilvl="0">
      <w:lvlJc w:val="left"/>
      <w:lvlText w:val="(%1)"/>
      <w:numFmt w:val="decimal"/>
      <w:start w:val="7"/>
    </w:lvl>
  </w:abstractNum>
  <w:abstractNum w:abstractNumId="65">
    <w:nsid w:val="14330624"/>
    <w:multiLevelType w:val="hybridMultilevel"/>
    <w:lvl w:ilvl="0">
      <w:lvlJc w:val="left"/>
      <w:lvlText w:val="-"/>
      <w:numFmt w:val="bullet"/>
      <w:start w:val="1"/>
    </w:lvl>
    <w:lvl w:ilvl="1">
      <w:lvlJc w:val="left"/>
      <w:lvlText w:val="(%2)"/>
      <w:numFmt w:val="decimal"/>
      <w:start w:val="8"/>
    </w:lvl>
  </w:abstractNum>
  <w:abstractNum w:abstractNumId="66">
    <w:nsid w:val="7FFFCA11"/>
    <w:multiLevelType w:val="hybridMultilevel"/>
    <w:lvl w:ilvl="0">
      <w:lvlJc w:val="left"/>
      <w:lvlText w:val="(%1)"/>
      <w:numFmt w:val="decimal"/>
      <w:start w:val="9"/>
    </w:lvl>
  </w:abstractNum>
  <w:abstractNum w:abstractNumId="67">
    <w:nsid w:val="1A27709E"/>
    <w:multiLevelType w:val="hybridMultilevel"/>
    <w:lvl w:ilvl="0">
      <w:lvlJc w:val="left"/>
      <w:lvlText w:val="(%1)"/>
      <w:numFmt w:val="decimal"/>
      <w:start w:val="1"/>
    </w:lvl>
    <w:lvl w:ilvl="1">
      <w:lvlJc w:val="left"/>
      <w:lvlText w:val="(%2)"/>
      <w:numFmt w:val="lowerRoman"/>
      <w:start w:val="1"/>
    </w:lvl>
  </w:abstractNum>
  <w:abstractNum w:abstractNumId="68">
    <w:nsid w:val="71EA1109"/>
    <w:multiLevelType w:val="hybridMultilevel"/>
    <w:lvl w:ilvl="0">
      <w:lvlJc w:val="left"/>
      <w:lvlText w:val="(%1)"/>
      <w:numFmt w:val="decimal"/>
      <w:start w:val="3"/>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2"/>
    </w:lvl>
  </w:abstractNum>
  <w:abstractNum w:abstractNumId="71">
    <w:nsid w:val="6EB5BD4"/>
    <w:multiLevelType w:val="hybridMultilevel"/>
    <w:lvl w:ilvl="0">
      <w:lvlJc w:val="left"/>
      <w:lvlText w:val="%1."/>
      <w:numFmt w:val="decimal"/>
      <w:start w:val="3"/>
    </w:lvl>
  </w:abstractNum>
  <w:abstractNum w:abstractNumId="72">
    <w:nsid w:val="6F6DD9AC"/>
    <w:multiLevelType w:val="hybridMultilevel"/>
    <w:lvl w:ilvl="0">
      <w:lvlJc w:val="left"/>
      <w:lvlText w:val="%1."/>
      <w:numFmt w:val="decimal"/>
      <w:start w:val="4"/>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1)"/>
      <w:numFmt w:val="lowerLetter"/>
      <w:start w:val="4"/>
    </w:lvl>
  </w:abstractNum>
  <w:abstractNum w:abstractNumId="75">
    <w:nsid w:val="76272110"/>
    <w:multiLevelType w:val="hybridMultilevel"/>
    <w:lvl w:ilvl="0">
      <w:lvlJc w:val="left"/>
      <w:lvlText w:val="%1"/>
      <w:numFmt w:val="upperLetter"/>
      <w:start w:val="1"/>
    </w:lvl>
    <w:lvl w:ilvl="1">
      <w:lvlJc w:val="left"/>
      <w:lvlText w:val="(%2)"/>
      <w:numFmt w:val="lowerLetter"/>
      <w:start w:val="5"/>
    </w:lvl>
  </w:abstractNum>
  <w:abstractNum w:abstractNumId="76">
    <w:nsid w:val="4C04A8AF"/>
    <w:multiLevelType w:val="hybridMultilevel"/>
    <w:lvl w:ilvl="0">
      <w:lvlJc w:val="left"/>
      <w:lvlText w:val="(%1)"/>
      <w:numFmt w:val="upperLetter"/>
      <w:start w:val="1"/>
    </w:lvl>
    <w:lvl w:ilvl="1">
      <w:lvlJc w:val="left"/>
      <w:lvlText w:val="(%2)"/>
      <w:numFmt w:val="lowerLetter"/>
      <w:start w:val="6"/>
    </w:lvl>
  </w:abstractNum>
  <w:abstractNum w:abstractNumId="77">
    <w:nsid w:val="1716703B"/>
    <w:multiLevelType w:val="hybridMultilevel"/>
    <w:lvl w:ilvl="0">
      <w:lvlJc w:val="left"/>
      <w:lvlText w:val="%1."/>
      <w:numFmt w:val="decimal"/>
      <w:start w:val="5"/>
    </w:lvl>
  </w:abstractNum>
  <w:abstractNum w:abstractNumId="78">
    <w:nsid w:val="14E17E33"/>
    <w:multiLevelType w:val="hybridMultilevel"/>
    <w:lvl w:ilvl="0">
      <w:lvlJc w:val="left"/>
      <w:lvlText w:val="%1."/>
      <w:numFmt w:val="decimal"/>
      <w:start w:val="6"/>
    </w:lvl>
  </w:abstractNum>
  <w:abstractNum w:abstractNumId="79">
    <w:nsid w:val="3222E7CD"/>
    <w:multiLevelType w:val="hybridMultilevel"/>
    <w:lvl w:ilvl="0">
      <w:lvlJc w:val="left"/>
      <w:lvlText w:val="(%1)"/>
      <w:numFmt w:val="lowerRoman"/>
      <w:start w:val="1"/>
    </w:lvl>
    <w:lvl w:ilvl="1">
      <w:lvlJc w:val="left"/>
      <w:lvlText w:val="(%2)"/>
      <w:numFmt w:val="upperLetter"/>
      <w:start w:val="1"/>
    </w:lvl>
  </w:abstractNum>
  <w:abstractNum w:abstractNumId="80">
    <w:nsid w:val="74DE0EE3"/>
    <w:multiLevelType w:val="hybridMultilevel"/>
    <w:lvl w:ilvl="0">
      <w:lvlJc w:val="left"/>
      <w:lvlText w:val="(%1)"/>
      <w:numFmt w:val="lowerLetter"/>
      <w:start w:val="1"/>
    </w:lvl>
  </w:abstractNum>
  <w:abstractNum w:abstractNumId="81">
    <w:nsid w:val="68EBC550"/>
    <w:multiLevelType w:val="hybridMultilevel"/>
    <w:lvl w:ilvl="0">
      <w:lvlJc w:val="left"/>
      <w:lvlText w:val="(%1)"/>
      <w:numFmt w:val="lowerLetter"/>
      <w:start w:val="3"/>
    </w:lvl>
  </w:abstractNum>
  <w:abstractNum w:abstractNumId="82">
    <w:nsid w:val="2DF6D648"/>
    <w:multiLevelType w:val="hybridMultilevel"/>
    <w:lvl w:ilvl="0">
      <w:lvlJc w:val="left"/>
      <w:lvlText w:val="(%1)"/>
      <w:numFmt w:val="lowerLetter"/>
      <w:start w:val="35"/>
    </w:lvl>
    <w:lvl w:ilvl="1">
      <w:lvlJc w:val="left"/>
      <w:lvlText w:val="(%2)"/>
      <w:numFmt w:val="lowerLetter"/>
      <w:start w:val="4"/>
    </w:lvl>
    <w:lvl w:ilvl="2">
      <w:lvlJc w:val="left"/>
      <w:lvlText w:val="(%3)"/>
      <w:numFmt w:val="decimal"/>
      <w:start w:val="1"/>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2"/>
    </w:lvl>
  </w:abstractNum>
  <w:abstractNum w:abstractNumId="85">
    <w:nsid w:val="39EE015C"/>
    <w:multiLevelType w:val="hybridMultilevel"/>
    <w:lvl w:ilvl="0">
      <w:lvlJc w:val="left"/>
      <w:lvlText w:val="(%1)"/>
      <w:numFmt w:val="lowerLetter"/>
      <w:start w:val="2"/>
    </w:lvl>
  </w:abstractNum>
  <w:abstractNum w:abstractNumId="86">
    <w:nsid w:val="57FC4FBB"/>
    <w:multiLevelType w:val="hybridMultilevel"/>
    <w:lvl w:ilvl="0">
      <w:lvlJc w:val="left"/>
      <w:lvlText w:val="(%1)"/>
      <w:numFmt w:val="lowerLetter"/>
      <w:start w:val="3"/>
    </w:lvl>
  </w:abstractNum>
  <w:abstractNum w:abstractNumId="87">
    <w:nsid w:val="CC1016F"/>
    <w:multiLevelType w:val="hybridMultilevel"/>
    <w:lvl w:ilvl="0">
      <w:lvlJc w:val="left"/>
      <w:lvlText w:val="(%1)"/>
      <w:numFmt w:val="lowerLetter"/>
      <w:start w:val="5"/>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lowerLetter"/>
      <w:start w:val="1"/>
    </w:lvl>
    <w:lvl w:ilvl="1">
      <w:lvlJc w:val="left"/>
      <w:lvlText w:val="(%2)"/>
      <w:numFmt w:val="decimal"/>
      <w:start w:val="2"/>
    </w:lvl>
  </w:abstractNum>
  <w:abstractNum w:abstractNumId="91">
    <w:nsid w:val="7F01579B"/>
    <w:multiLevelType w:val="hybridMultilevel"/>
    <w:lvl w:ilvl="0">
      <w:lvlJc w:val="left"/>
      <w:lvlText w:val="(%1)"/>
      <w:numFmt w:val="lowerLetter"/>
      <w:start w:val="2"/>
    </w:lvl>
    <w:lvl w:ilvl="1">
      <w:lvlJc w:val="left"/>
      <w:lvlText w:val="%2"/>
      <w:numFmt w:val="decimal"/>
      <w:start w:val="1"/>
    </w:lvl>
  </w:abstractNum>
  <w:abstractNum w:abstractNumId="92">
    <w:nsid w:val="49DA307D"/>
    <w:multiLevelType w:val="hybridMultilevel"/>
    <w:lvl w:ilvl="0">
      <w:lvlJc w:val="left"/>
      <w:lvlText w:val="%1."/>
      <w:numFmt w:val="decimal"/>
      <w:start w:val="7"/>
    </w:lvl>
  </w:abstractNum>
  <w:abstractNum w:abstractNumId="93">
    <w:nsid w:val="7055A5F5"/>
    <w:multiLevelType w:val="hybridMultilevel"/>
    <w:lvl w:ilvl="0">
      <w:lvlJc w:val="left"/>
      <w:lvlText w:val="%1."/>
      <w:numFmt w:val="decimal"/>
      <w:start w:val="8"/>
    </w:lvl>
  </w:abstractNum>
  <w:abstractNum w:abstractNumId="94">
    <w:nsid w:val="5FB8370B"/>
    <w:multiLevelType w:val="hybridMultilevel"/>
    <w:lvl w:ilvl="0">
      <w:lvlJc w:val="left"/>
      <w:lvlText w:val="%1."/>
      <w:numFmt w:val="decimal"/>
      <w:start w:val="9"/>
    </w:lvl>
  </w:abstractNum>
  <w:abstractNum w:abstractNumId="95">
    <w:nsid w:val="50801EE1"/>
    <w:multiLevelType w:val="hybridMultilevel"/>
    <w:lvl w:ilvl="0">
      <w:lvlJc w:val="left"/>
      <w:lvlText w:val="%1."/>
      <w:numFmt w:val="decimal"/>
      <w:start w:val="10"/>
    </w:lvl>
  </w:abstractNum>
  <w:abstractNum w:abstractNumId="96">
    <w:nsid w:val="488AC1A"/>
    <w:multiLevelType w:val="hybridMultilevel"/>
    <w:lvl w:ilvl="0">
      <w:lvlJc w:val="left"/>
      <w:lvlText w:val="%1."/>
      <w:numFmt w:val="decimal"/>
      <w:start w:val="11"/>
    </w:lvl>
  </w:abstractNum>
  <w:abstractNum w:abstractNumId="97">
    <w:nsid w:val="5FB8011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2019-12-13T13:02:34Z</dcterms:created>
  <dcterms:modified xsi:type="dcterms:W3CDTF">2019-12-13T13:02:34Z</dcterms:modified>
</cp:coreProperties>
</file>