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June 3,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97" w:orient="portrait"/>
          <w:cols w:equalWidth="0" w:num="1">
            <w:col w:w="11420"/>
          </w:cols>
          <w:pgMar w:left="240" w:top="585" w:right="239" w:bottom="0" w:gutter="0" w:footer="0" w:header="0"/>
        </w:sectPr>
      </w:pPr>
    </w:p>
    <w:p>
      <w:pPr>
        <w:spacing w:after="0" w:line="172" w:lineRule="exact"/>
        <w:rPr>
          <w:sz w:val="24"/>
          <w:szCs w:val="24"/>
          <w:color w:val="auto"/>
        </w:rPr>
      </w:pPr>
    </w:p>
    <w:p>
      <w:pPr>
        <w:ind w:right="280"/>
        <w:spacing w:after="0" w:line="557" w:lineRule="auto"/>
        <w:rPr>
          <w:sz w:val="20"/>
          <w:szCs w:val="20"/>
          <w:color w:val="auto"/>
        </w:rPr>
      </w:pPr>
      <w:r>
        <w:rPr>
          <w:rFonts w:ascii="Arial" w:cs="Arial" w:eastAsia="Arial" w:hAnsi="Arial"/>
          <w:sz w:val="16"/>
          <w:szCs w:val="16"/>
          <w:b w:val="1"/>
          <w:bCs w:val="1"/>
          <w:color w:val="auto"/>
        </w:rPr>
        <w:t>For the transition period from Commission file number 1-10658</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671" w:lineRule="exact"/>
        <w:rPr>
          <w:sz w:val="24"/>
          <w:szCs w:val="24"/>
          <w:color w:val="auto"/>
        </w:rPr>
      </w:pPr>
    </w:p>
    <w:p>
      <w:pPr>
        <w:sectPr>
          <w:pgSz w:w="11900" w:h="16897" w:orient="portrait"/>
          <w:cols w:equalWidth="0" w:num="2">
            <w:col w:w="2820" w:space="720"/>
            <w:col w:w="7880"/>
          </w:cols>
          <w:pgMar w:left="240" w:top="585" w:right="239" w:bottom="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97" w:orient="portrait"/>
          <w:cols w:equalWidth="0" w:num="1">
            <w:col w:w="11420"/>
          </w:cols>
          <w:pgMar w:left="240" w:top="585" w:right="23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97" w:orient="portrait"/>
          <w:cols w:equalWidth="0" w:num="2">
            <w:col w:w="7240" w:space="720"/>
            <w:col w:w="3460"/>
          </w:cols>
          <w:pgMar w:left="240" w:top="585" w:right="239" w:bottom="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8000 S. Federal Way, P.O. Box 6, Boise, Idaho</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83707-0006</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11" w:lineRule="exact"/>
        <w:rPr>
          <w:sz w:val="24"/>
          <w:szCs w:val="24"/>
          <w:color w:val="auto"/>
        </w:rPr>
      </w:pPr>
    </w:p>
    <w:p>
      <w:pPr>
        <w:sectPr>
          <w:pgSz w:w="11900" w:h="16897" w:orient="portrait"/>
          <w:cols w:equalWidth="0" w:num="2">
            <w:col w:w="7480" w:space="720"/>
            <w:col w:w="3220"/>
          </w:cols>
          <w:pgMar w:left="240" w:top="585" w:right="239" w:bottom="0" w:gutter="0" w:footer="0" w:header="0"/>
          <w:type w:val="continuous"/>
        </w:sectPr>
      </w:pPr>
    </w:p>
    <w:p>
      <w:pPr>
        <w:spacing w:after="0" w:line="11" w:lineRule="exact"/>
        <w:rPr>
          <w:sz w:val="24"/>
          <w:szCs w:val="24"/>
          <w:color w:val="auto"/>
        </w:rPr>
      </w:pPr>
    </w:p>
    <w:p>
      <w:pPr>
        <w:ind w:left="96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 368-4000</w:t>
      </w:r>
    </w:p>
    <w:p>
      <w:pPr>
        <w:spacing w:after="0" w:line="204" w:lineRule="exact"/>
        <w:rPr>
          <w:sz w:val="24"/>
          <w:szCs w:val="24"/>
          <w:color w:val="auto"/>
        </w:rPr>
      </w:pPr>
    </w:p>
    <w:p>
      <w:pPr>
        <w:sectPr>
          <w:pgSz w:w="11900" w:h="16897" w:orient="portrait"/>
          <w:cols w:equalWidth="0" w:num="2">
            <w:col w:w="7340" w:space="720"/>
            <w:col w:w="3360"/>
          </w:cols>
          <w:pgMar w:left="240" w:top="585" w:right="239" w:bottom="0" w:gutter="0" w:footer="0" w:header="0"/>
          <w:type w:val="continuous"/>
        </w:sectPr>
      </w:pPr>
    </w:p>
    <w:p>
      <w:pPr>
        <w:spacing w:after="0" w:line="48"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340"/>
        <w:spacing w:after="0" w:line="196" w:lineRule="exact"/>
        <w:tabs>
          <w:tab w:leader="none" w:pos="9420" w:val="left"/>
        </w:tabs>
        <w:rPr>
          <w:sz w:val="20"/>
          <w:szCs w:val="20"/>
          <w:color w:val="auto"/>
        </w:rPr>
      </w:pPr>
      <w:r>
        <w:rPr>
          <w:rFonts w:ascii="Arial" w:cs="Arial" w:eastAsia="Arial" w:hAnsi="Arial"/>
          <w:sz w:val="17"/>
          <w:szCs w:val="17"/>
          <w:color w:val="auto"/>
        </w:rPr>
        <w:t xml:space="preserve">Indicate by check mark whether the registrant is an accelerated filer (as defined in Rule 12b-2 of the Exchange Act). </w:t>
      </w:r>
      <w:r>
        <w:rPr>
          <w:rFonts w:ascii="Arial" w:cs="Arial" w:eastAsia="Arial" w:hAnsi="Arial"/>
          <w:sz w:val="16"/>
          <w:szCs w:val="16"/>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ab/>
        <w:t>No o</w:t>
      </w:r>
    </w:p>
    <w:p>
      <w:pPr>
        <w:spacing w:after="0" w:line="26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July 12, 2004, was 611,481,449.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June 3,</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June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2,292.9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555.7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operating expense, net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net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(loss) before taxes</w:t>
            </w:r>
          </w:p>
        </w:tc>
        <w:tc>
          <w:tcPr>
            <w:tcW w:w="5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(191.0)</w:t>
            </w: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4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608.3</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640.3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53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equivalents</w:t>
            </w:r>
          </w:p>
        </w:tc>
        <w:tc>
          <w:tcPr>
            <w:tcW w:w="126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329.1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769.7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2,484.9</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4,613.0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127.5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7,637.7</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1,036.6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2,128.2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$0.10 par value, authorized 3.0 billion shares, issued and outstanding 610.6 million and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609.9 million shares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4,652.1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5,509.5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7,637.7</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ectPr>
          <w:pgSz w:w="11900" w:h="16838" w:orient="portrait"/>
          <w:cols w:equalWidth="0" w:num="1">
            <w:col w:w="11420"/>
          </w:cols>
          <w:pgMar w:left="240" w:top="125"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29,</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restructure and other charges (benefits)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Provision to write down inventories to estimated market values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from write-down or disposition of equipment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Loss (gain) from write-down or disposition of investments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(Increase) decrease in receivables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Increase (decrease) in accounts payable and accrued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784.8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Proceeds from issuance of stock rights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Purchase of call spread options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taxes refunded, net</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CMOS image sensors, Flash memory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2004 contains 53 weeks and its first quarter of fiscal 2004 contained 14 weeks. The Company’s third quarter of fiscal 2004 and 2003 ended on June 3, 2004, and May 29, 2003,</w:t>
      </w:r>
    </w:p>
    <w:p>
      <w:pPr>
        <w:sectPr>
          <w:pgSz w:w="11900" w:h="16838" w:orient="portrait"/>
          <w:cols w:equalWidth="0" w:num="1">
            <w:col w:w="11420"/>
          </w:cols>
          <w:pgMar w:left="240" w:top="125" w:right="239" w:bottom="0" w:gutter="0" w:footer="0" w:header="0"/>
        </w:sectPr>
      </w:pPr>
    </w:p>
    <w:bookmarkStart w:id="3" w:name="page4"/>
    <w:bookmarkEnd w:id="3"/>
    <w:p>
      <w:pPr>
        <w:jc w:val="both"/>
        <w:ind w:right="360"/>
        <w:spacing w:after="0" w:line="264" w:lineRule="auto"/>
        <w:rPr>
          <w:sz w:val="20"/>
          <w:szCs w:val="20"/>
          <w:color w:val="auto"/>
        </w:rPr>
      </w:pPr>
      <w:r>
        <w:rPr>
          <w:rFonts w:ascii="Arial" w:cs="Arial" w:eastAsia="Arial" w:hAnsi="Arial"/>
          <w:sz w:val="18"/>
          <w:szCs w:val="18"/>
          <w:color w:val="auto"/>
        </w:rPr>
        <w:t>respectively, and its fiscal 2003 ended on August 28, 2003.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28, 2003.</w:t>
      </w:r>
    </w:p>
    <w:p>
      <w:pPr>
        <w:spacing w:after="0" w:line="17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December 2003, the Financial Accounting Standards Board (“FASB”) issued a revised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46, “Consolidation of Variable Interest Entities – an interpretation of ARB No. 51,” which provides guidance on the identification of and reporting for variable interest entities. The Company adopted Interpretation No. 46 in the third quarter of 2004. Adoption of Interpretation No. 46 did not have a significant impact on the Company’s results of operations or financial condition.</w:t>
      </w:r>
    </w:p>
    <w:p>
      <w:pPr>
        <w:spacing w:after="0" w:line="184"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The Company has determined, based on the nature of its operations and products offered to customers, that its only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reportable segment is Semiconductor Operations. The Semiconductor Operations segment’s primary product is DRAM.</w:t>
      </w:r>
    </w:p>
    <w:p>
      <w:pPr>
        <w:spacing w:after="0" w:line="14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Employee stock plans are accounted for using the intrinsic value method prescribed by APB No. 25, “Accounting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to Employees.” The Company utilizes the Black-Scholes option valuation model to value stock options for pro forma presentation of income and per share data as if the fair value based method in Statement of Financial Accounting Standards (“SFAS”) No. 123, “Accounting for Stock-Based Compensation,” had been used to account for stock-based compensation. The following presents pro forma income (loss) and per share data as if a fair value based method had been used to account for stock-based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w:t>
            </w: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June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employee compensation expense included in reported</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under a fair value based method for all awards</w:t>
            </w:r>
          </w:p>
        </w:tc>
        <w:tc>
          <w:tcPr>
            <w:tcW w:w="9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2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(164.3)</w:t>
            </w: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Basic, as reported</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pro forma</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as reported</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Diluted, pro forma</w:t>
            </w:r>
          </w:p>
        </w:tc>
        <w:tc>
          <w:tcPr>
            <w:tcW w:w="9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 benefit for income taxes, which is consistent with the Company’s treatment of income or loss from its U.S. operations. (See “Income Taxes”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940" w:type="dxa"/>
            <w:vAlign w:val="bottom"/>
          </w:tcPr>
          <w:p>
            <w:pPr>
              <w:jc w:val="center"/>
              <w:ind w:left="339"/>
              <w:spacing w:after="0"/>
              <w:rPr>
                <w:sz w:val="20"/>
                <w:szCs w:val="20"/>
                <w:color w:val="auto"/>
              </w:rPr>
            </w:pPr>
            <w:r>
              <w:rPr>
                <w:rFonts w:ascii="Arial" w:cs="Arial" w:eastAsia="Arial" w:hAnsi="Arial"/>
                <w:sz w:val="14"/>
                <w:szCs w:val="14"/>
                <w:b w:val="1"/>
                <w:bCs w:val="1"/>
                <w:color w:val="auto"/>
                <w:w w:val="91"/>
              </w:rPr>
              <w:t>June 3,</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940" w:type="dxa"/>
            <w:vAlign w:val="bottom"/>
          </w:tcPr>
          <w:p>
            <w:pPr>
              <w:jc w:val="center"/>
              <w:ind w:left="359"/>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701.6</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Joint venture</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Taxes other than income</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940" w:type="dxa"/>
            <w:vAlign w:val="bottom"/>
          </w:tcPr>
          <w:p>
            <w:pPr>
              <w:jc w:val="center"/>
              <w:ind w:left="339"/>
              <w:spacing w:after="0"/>
              <w:rPr>
                <w:sz w:val="20"/>
                <w:szCs w:val="20"/>
                <w:color w:val="auto"/>
              </w:rPr>
            </w:pPr>
            <w:r>
              <w:rPr>
                <w:rFonts w:ascii="Arial" w:cs="Arial" w:eastAsia="Arial" w:hAnsi="Arial"/>
                <w:sz w:val="14"/>
                <w:szCs w:val="14"/>
                <w:b w:val="1"/>
                <w:bCs w:val="1"/>
                <w:color w:val="auto"/>
                <w:w w:val="91"/>
              </w:rPr>
              <w:t>June 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940" w:type="dxa"/>
            <w:vAlign w:val="bottom"/>
          </w:tcPr>
          <w:p>
            <w:pPr>
              <w:jc w:val="center"/>
              <w:ind w:left="359"/>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132.2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305.3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Allowance for obsolescence</w:t>
            </w:r>
          </w:p>
        </w:tc>
        <w:tc>
          <w:tcPr>
            <w:tcW w:w="9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fourth, third, second and first quarters of 2003, the Company recognized write-downs of $4.2 million, $14.6 million, $197.4 million and $90.8 million, respectively, to record work in process and finished goods inventories at their estimated market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248" w:gutter="0" w:footer="0" w:header="0"/>
        </w:sectPr>
      </w:pPr>
    </w:p>
    <w:bookmarkStart w:id="4" w:name="page5"/>
    <w:bookmarkEnd w:id="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 2004</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August 28, 2003</w:t>
            </w:r>
          </w:p>
        </w:tc>
        <w:tc>
          <w:tcPr>
            <w:tcW w:w="0" w:type="dxa"/>
            <w:vAlign w:val="bottom"/>
          </w:tcPr>
          <w:p>
            <w:pPr>
              <w:spacing w:after="0"/>
              <w:rPr>
                <w:sz w:val="1"/>
                <w:szCs w:val="1"/>
                <w:color w:val="auto"/>
              </w:rPr>
            </w:pPr>
          </w:p>
        </w:tc>
      </w:tr>
      <w:tr>
        <w:trPr>
          <w:trHeight w:val="11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Joint venture supply arrangement</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466.6</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447.8</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first nine months of 2004, the Company capitalized $28.8 million for product and process technology with a weighted average useful life of ten years. During the first nine months of 2003, the Company capitalized $25.8 million for product and process technology and $2.5 million for other intangible assets with weighted average useful lives of ten and three years, respectively.</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Amortization expense for intangible assets was $12.2 million and $38.0 million for the third quarter and first nine months of 2004, respectively, and $12.7 million and $38.3 million for the third quarter and first nine months of 2003, respectively. Annual amortization expense is estimated to be $50.3 million for 2004, $48.5 million for 2005, $46.8 million for 2006, $44.9 million for 2007 and $44.2 million for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28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2,335.8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(4,835.9)</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Depreciation expense was $287.7 million and $869.4 million for the third quarter and first nine months of 2004, respectively, and $287.8 million and $872.2 million for the third quarter and first nine months of 2003, respectively.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manufacturing facilities in Virginia and Utah that are only partially utilized. As of June 3, 2004, the Virginia and Utah facilities had net book values of $489.5 million and $769.1 million, respectively. A portion of the Virginia facility is being used for 300 mm wafer fabrication and a portion of the Utah facility is being used for component test operations. The Company is depreciating substantially all assets at the Virginia and Utah facilities other than $195.7 million of construction in progress in Utah as of June 3, 2004.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June 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1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340.8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88"/>
              </w:rPr>
              <w:t>116.9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102.5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w w:val="91"/>
              </w:rPr>
              <w:t>23.8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130.7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4"/>
              </w:rPr>
              <w:t>714.7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00" w:type="dxa"/>
            <w:vAlign w:val="bottom"/>
          </w:tcPr>
          <w:p>
            <w:pPr>
              <w:ind w:left="56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78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649"/>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June 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631.5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 xml:space="preserve">Subordinated notes payable, face amount of $210.0 million and </w:t>
            </w:r>
            <w:r>
              <w:rPr>
                <w:rFonts w:ascii="Arial" w:cs="Arial" w:eastAsia="Arial" w:hAnsi="Arial"/>
                <w:sz w:val="17"/>
                <w:szCs w:val="17"/>
                <w:color w:val="auto"/>
              </w:rPr>
              <w:t>stated interest rate of 6.5%, due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w w:val="91"/>
              </w:rPr>
              <w:t>September 2005, with an effective yield to maturity of 10.7%, net of unamortized discount of $10.3 million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restart"/>
          </w:tcPr>
          <w:p>
            <w:pPr>
              <w:ind w:left="76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and $15.8 million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 xml:space="preserve">Notes payable in periodic installments through July 2015, weighted </w:t>
            </w:r>
            <w:r>
              <w:rPr>
                <w:rFonts w:ascii="Arial" w:cs="Arial" w:eastAsia="Arial" w:hAnsi="Arial"/>
                <w:sz w:val="17"/>
                <w:szCs w:val="17"/>
                <w:color w:val="auto"/>
                <w:w w:val="94"/>
              </w:rPr>
              <w:t>average interest rate of 2.9% and 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60" w:type="dxa"/>
            <w:vAlign w:val="bottom"/>
            <w:gridSpan w:val="2"/>
          </w:tcPr>
          <w:p>
            <w:pPr>
              <w:ind w:left="180"/>
              <w:spacing w:after="0"/>
              <w:rPr>
                <w:sz w:val="20"/>
                <w:szCs w:val="20"/>
                <w:color w:val="auto"/>
              </w:rPr>
            </w:pPr>
            <w:r>
              <w:rPr>
                <w:rFonts w:ascii="Arial" w:cs="Arial" w:eastAsia="Arial" w:hAnsi="Arial"/>
                <w:sz w:val="18"/>
                <w:szCs w:val="18"/>
                <w:color w:val="auto"/>
                <w:w w:val="98"/>
              </w:rPr>
              <w:t xml:space="preserve">Capital lease obligations payable in monthly installments </w:t>
            </w:r>
            <w:r>
              <w:rPr>
                <w:rFonts w:ascii="Arial" w:cs="Arial" w:eastAsia="Arial" w:hAnsi="Arial"/>
                <w:sz w:val="17"/>
                <w:szCs w:val="17"/>
                <w:color w:val="auto"/>
                <w:w w:val="98"/>
              </w:rPr>
              <w:t>through May 2008, weighted average imputed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interest rate of 6.3% and 6.0%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w w:val="88"/>
              </w:rPr>
              <w:t>997.1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-2087880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-2087880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 2004, notes payable and capital lease obligations of $111.3 million and $3.1 million, respectively, denominated in Japanese yen, were at weighted average interest rates of 1.3% and 1.8%, respectively.</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16"/>
          <w:szCs w:val="16"/>
          <w:color w:val="auto"/>
        </w:rPr>
        <w:t>The Company entered into an interest rate swap agreement (the “Swap”) that effectively converted, beginning August 29,</w:t>
      </w:r>
      <w:r>
        <w:rPr>
          <w:rFonts w:ascii="Arial" w:cs="Arial" w:eastAsia="Arial" w:hAnsi="Arial"/>
          <w:sz w:val="16"/>
          <w:szCs w:val="16"/>
          <w:b w:val="1"/>
          <w:bCs w:val="1"/>
          <w:color w:val="auto"/>
        </w:rPr>
        <w:t xml:space="preserve"> </w:t>
      </w:r>
      <w:r>
        <w:rPr>
          <w:rFonts w:ascii="Arial" w:cs="Arial" w:eastAsia="Arial" w:hAnsi="Arial"/>
          <w:sz w:val="16"/>
          <w:szCs w:val="16"/>
          <w:color w:val="auto"/>
        </w:rPr>
        <w:t>2003, the fixed interest rate on the Company’s 2.5% Convertible Subordinated Notes (the “Notes”) to a variable interest rate based on the 3-month London Interbank Offering Rate (“LIBOR”) less 65 basis points (0.47% for the third quarter of 2004).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consolidated balance sheets. For the first nine months of 2004, the Company recognized a net loss of $0.3 million, which is included in other non-operating income, representing the difference between the change in the fair value of the Notes and the change in the fair value of the</w:t>
      </w:r>
    </w:p>
    <w:p>
      <w:pPr>
        <w:sectPr>
          <w:pgSz w:w="11900" w:h="16868" w:orient="portrait"/>
          <w:cols w:equalWidth="0" w:num="1">
            <w:col w:w="11440"/>
          </w:cols>
          <w:pgMar w:left="240" w:top="118" w:right="219" w:bottom="0" w:gutter="0" w:footer="0" w:header="0"/>
        </w:sectPr>
      </w:pPr>
    </w:p>
    <w:bookmarkStart w:id="5" w:name="page6"/>
    <w:bookmarkEnd w:id="5"/>
    <w:p>
      <w:pPr>
        <w:jc w:val="both"/>
        <w:ind w:right="480"/>
        <w:spacing w:after="0" w:line="264" w:lineRule="auto"/>
        <w:rPr>
          <w:sz w:val="20"/>
          <w:szCs w:val="20"/>
          <w:color w:val="auto"/>
        </w:rPr>
      </w:pPr>
      <w:r>
        <w:rPr>
          <w:rFonts w:ascii="Arial" w:cs="Arial" w:eastAsia="Arial" w:hAnsi="Arial"/>
          <w:sz w:val="18"/>
          <w:szCs w:val="18"/>
          <w:color w:val="auto"/>
        </w:rPr>
        <w:t>Swap. As of June 3, 2004, the Company had pledged $25.8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Motorola, Inc. (“Motorola”) and Freescale Semiconductor, Inc., a subsidiary of Motorola (“Freescale”), relating to certain of the Company’s patents and certain of Freescale’s patents. Lawsuits between Motorola and Freescale and the Company are pending in the U.S. District Courts for the Western District of Texas (Austin) and for the Western District of Wisconsin (Madison). The above lawsuits pertain to certain of the Company’s SDRAM and DDR DRAM products, which account for a significant portion of net sales. The Company is unable to predict the outcome of these suits or of other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twenty-five purported class action lawsuits were filed against the Company and other DRAM suppliers in various federal and state courts alleging violations of the Sherman Act, violations of state unfair competition law, and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8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Company’s common stock. The shares issuable pursuant to the stock rights are included in weighted average common shares outstanding in the computations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ectPr>
          <w:pgSz w:w="11900" w:h="16838" w:orient="portrait"/>
          <w:cols w:equalWidth="0" w:num="1">
            <w:col w:w="11400"/>
          </w:cols>
          <w:pgMar w:left="240" w:top="125" w:right="259" w:bottom="0" w:gutter="0" w:footer="0" w:header="0"/>
        </w:sectPr>
      </w:pPr>
    </w:p>
    <w:bookmarkStart w:id="6" w:name="page7"/>
    <w:bookmarkEnd w:id="6"/>
    <w:p>
      <w:pPr>
        <w:spacing w:after="0" w:line="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In connection with the plan, the Company recorded $102.5 million of restructure charges and additional restructure related charges of $7.1 million, which are included in cost of goods sold, in the first nine months of 2003. The credit to restructure of $21.9 million in the first nine months of 2004 primarily reflects gains on sales of equipment associated with operations shut down in the restructure. The Company has substantially completed the restructure plan but expects to record gains and losses in future periods as residual equipment associated with the restructure is sold. The components of the restructure charge and additional restructure related charges in the second quarter and first nine months of 2003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February 27, 2003</w:t>
            </w: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May 29, 2003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Write-down of equipment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and other termination benefits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Write-down of intangible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restructure charge</w:t>
            </w: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6"/>
              </w:rPr>
              <w:t>Other charges to write down raw materials and work in process inventories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restructure and other charges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Other Operating Expense, Net</w:t>
            </w: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Other operating expense for the first nine months of 2004 includes net losses of $16.2 million from changes in currency exchange rates. Other operating expense for the first nine months of 2003 includes net losses of $19.1 million on write-downs and disposals of semiconductor equipment and losses of $12.2 million from changes in currency exchange rates. Other operating income for the first nine months of 2003 includes $14.4 million in receipts in the second quarter of 2003 from the U.S. government in connection with anti-dumping tariffs.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Income taxes for 2004 and 2003 primarily reflect taxes on the Company’s non-U.S. operations. The Company has a valuation allowance for its net deferred tax asset associated with its U.S. operations. The provision for taxes on U.S. operations in the third quarter of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June 3, 2004, the Company had aggregate U.S. tax net operating loss carryforwards of $2.7 billion and unused U.S. tax credits of $112.7 million, which expire through 2024. The Company also has unused state tax net operating loss carryforwards of $1.7 billion for tax purposes which expire through 2024 and unused state tax credits of $123.3 million for tax and financial reporting purposes, which expire through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Basic earnings per share is computed based on the weighted average number of common shares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89.2 million and 143.3 million for the third quarter and first nine months of 2004, respectively, and 178.5 million for both the third quarter and first nine months of 2003. Basic and diluted earnings per share computations reflect the effect of accretion of, and fair value adjustment to, redeemable common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June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May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 – Basic</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assumed conversions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available to common shareholders – Diluted</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gridSpan w:val="2"/>
            <w:vMerge w:val="continue"/>
          </w:tcPr>
          <w:p>
            <w:pPr>
              <w:spacing w:after="0"/>
              <w:rPr>
                <w:sz w:val="18"/>
                <w:szCs w:val="18"/>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Weighted average common shares </w:t>
            </w:r>
            <w:r>
              <w:rPr>
                <w:rFonts w:ascii="Arial" w:cs="Arial" w:eastAsia="Arial" w:hAnsi="Arial"/>
                <w:sz w:val="17"/>
                <w:szCs w:val="17"/>
                <w:color w:val="auto"/>
              </w:rPr>
              <w:t>outstanding –Basic</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644.2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608.3</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640.3</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 and convertible debt</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Comprehensive income for the third quarter and first nine months of 2004 was $90.6 million and $63.3 million, respectively, and included $0.3 million and $0.4 million net of tax, respectively, of unrealized losses on investments. Comprehensive loss for the third quarter and first nine months of 2003</w:t>
      </w:r>
    </w:p>
    <w:p>
      <w:pPr>
        <w:sectPr>
          <w:pgSz w:w="11900" w:h="16840"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was $215.0 million and $1,150.7 million, respectively, and included $0.1 million and $0.7 million net of tax, respectively, of unrealized losses on investments.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June 3, 2004, the Company had a 39.12% ownership interest in TECH. Significant financing, investment and operating decisions for TECH typically require approval from TECH’s Board of Directors. The shareholders’ agreement for the TECH joint venture expires in 2011. The Company adopted Interpretation No. 46 in the third quarter of 2004, under which TECH does not qualify for consolidation.</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TECH’s semiconductor manufacturing facilities use the Company’s product and process technology. Subject to specific terms and conditions, the Company has agreed to purchase all of the products manufactured by TECH.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$88.3 million and $336.2 million for the third quarter and first nine months of 2004, respectively, and $77.5 million and $225.0 million for the third quarter and first nine months of 2003, respectively. Amortization expense resulting from the TECH supply arrangement, included in the cost of products purchased from TECH, was $3.9 million and $8.9 million for the third quarter and first nine months of 2004, respectively, and $2.4 million and $7.2 million for the third quarter and first nine months of 2003, respectively. Receivables from TECH were $25.0 million and payables to TECH were $55.5 million as of June 3, 2004. Receivables from TECH were $53.1 million and payables to TECH were $102.5 million as of August 28, 2003. TECH supplied approximately 30% of the total megabits of memory produced by the Company in the first nine months of 2004. As of June 3, 2004, the Company had intangible assets with a net book value of $64.9 million relating to the supply arrangement to purchase product from TECH.</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pledged $100.0 million as cash collateral for TECH’s $250.0 million credit facility.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“Net Sales” regarding future megabit production growth, production increases and allocation of wafer starts to DDR2 products, CMOS image sensors, PSRAM products and Flash memory products; “Gross Margin” regarding manufacturing cost reductions in future periods and cost of products purchased from TECH in the fourth quarter of 2004; in “Selling, General and Administrative” regarding the level of expected selling, general and administrative expenses in the fourth quarter of 2004; in “Research and Development” regarding the level of expected research and development expenses in the fourth quarter of 2004; in “Income Taxes” regarding future provisions for income taxes and in “Liquidity and Capital Resources” regarding capital spending in 2004 and 2005.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28, 2003. All period references are to the Company’s fiscal periods unless otherwise indicated. All per share amounts are presented on a diluted basis. All tabular dollar amounts are in millions. Unless otherwise stated, all production data reflects production of the Company and its TECH joint venture.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7"/>
          <w:szCs w:val="17"/>
          <w:color w:val="auto"/>
        </w:rPr>
        <w:t xml:space="preserve">The Company is a global manufacturer and marketer of </w:t>
      </w:r>
      <w:r>
        <w:rPr>
          <w:rFonts w:ascii="Arial" w:cs="Arial" w:eastAsia="Arial" w:hAnsi="Arial"/>
          <w:sz w:val="16"/>
          <w:szCs w:val="16"/>
          <w:color w:val="auto"/>
        </w:rPr>
        <w:t>DRAM, CMOS image sensors, Flash memory and other semiconductor components. Many of</w:t>
      </w:r>
      <w:r>
        <w:rPr>
          <w:rFonts w:ascii="Arial" w:cs="Arial" w:eastAsia="Arial" w:hAnsi="Arial"/>
          <w:sz w:val="17"/>
          <w:szCs w:val="17"/>
          <w:color w:val="auto"/>
        </w:rPr>
        <w:t xml:space="preserve"> </w:t>
      </w:r>
      <w:r>
        <w:rPr>
          <w:rFonts w:ascii="Arial" w:cs="Arial" w:eastAsia="Arial" w:hAnsi="Arial"/>
          <w:sz w:val="16"/>
          <w:szCs w:val="16"/>
          <w:color w:val="auto"/>
        </w:rPr>
        <w:t>these semiconductor components have characteristics similar to commodities that are generally standardized products with selling prices that fluctuate significantly based on industry-wide relationships of supply and demand. Success in the semiconductor memory market is typically driven by achieving the most cost-efficient delivery of products. Delivery of semiconductor memory products at the lowest cost is dependent upon utilization of advanced design and process technology and extensive capital investments in silicon processing capacity as well as timely development of new products and cost-effective capital access.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Third 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Second Quarter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$1,116.8</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732.7</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991.0</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3,215.0</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387.9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248.2</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922.1</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28.7%</w:t>
            </w:r>
          </w:p>
        </w:tc>
        <w:tc>
          <w:tcPr>
            <w:tcW w:w="2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(190.2)</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SG&amp;A</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87.2</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257.3</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276.0</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R&amp;D</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187.9</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555.7</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w:t>
            </w:r>
          </w:p>
        </w:tc>
        <w:tc>
          <w:tcPr>
            <w:tcW w:w="2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490.3</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Restructure</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40" w:type="dxa"/>
            <w:vAlign w:val="bottom"/>
          </w:tcPr>
          <w:p>
            <w:pPr>
              <w:spacing w:after="0" w:line="130" w:lineRule="exact"/>
              <w:rPr>
                <w:sz w:val="20"/>
                <w:szCs w:val="20"/>
                <w:color w:val="auto"/>
              </w:rPr>
            </w:pPr>
            <w:r>
              <w:rPr>
                <w:rFonts w:ascii="Arial" w:cs="Arial" w:eastAsia="Arial" w:hAnsi="Arial"/>
                <w:sz w:val="14"/>
                <w:szCs w:val="14"/>
                <w:color w:val="auto"/>
              </w:rPr>
              <w:t>Operating income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40" w:type="dxa"/>
            <w:vAlign w:val="bottom"/>
          </w:tcPr>
          <w:p>
            <w:pPr>
              <w:ind w:left="160"/>
              <w:spacing w:after="0"/>
              <w:rPr>
                <w:sz w:val="20"/>
                <w:szCs w:val="20"/>
                <w:color w:val="auto"/>
              </w:rPr>
            </w:pPr>
            <w:r>
              <w:rPr>
                <w:rFonts w:ascii="Arial" w:cs="Arial" w:eastAsia="Arial" w:hAnsi="Arial"/>
                <w:sz w:val="14"/>
                <w:szCs w:val="14"/>
                <w:color w:val="auto"/>
              </w:rPr>
              <w:t>(loss) Loss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109.7</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(183.7)</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(25.1)%</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(7.1)</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124.3</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(1,080.9)</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contains 53 weeks and its first quarter of fiscal 2004 contained 14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ectPr>
          <w:pgSz w:w="11900" w:h="16838" w:orient="portrait"/>
          <w:cols w:equalWidth="0" w:num="1">
            <w:col w:w="11420"/>
          </w:cols>
          <w:pgMar w:left="240" w:top="125" w:right="239" w:bottom="0" w:gutter="0" w:footer="0" w:header="0"/>
        </w:sectPr>
      </w:pPr>
    </w:p>
    <w:bookmarkStart w:id="8" w:name="page9"/>
    <w:bookmarkEnd w:id="8"/>
    <w:p>
      <w:pPr>
        <w:ind w:right="200" w:firstLine="648"/>
        <w:spacing w:after="0" w:line="259" w:lineRule="auto"/>
        <w:rPr>
          <w:sz w:val="20"/>
          <w:szCs w:val="20"/>
          <w:color w:val="auto"/>
        </w:rPr>
      </w:pPr>
      <w:r>
        <w:rPr>
          <w:rFonts w:ascii="Arial" w:cs="Arial" w:eastAsia="Arial" w:hAnsi="Arial"/>
          <w:sz w:val="18"/>
          <w:szCs w:val="18"/>
          <w:color w:val="auto"/>
        </w:rPr>
        <w:t>Net sales for the third quarter of 2004 increased by 13% as compared to the second quarter of 2004 primarily due to a 17% increase in average per megabit selling prices for the Company’s memory products as a result of generally improved market conditions. During the third quarter of 2004, the Company continued to increase its allocation of manufacturing capacity to specialty memory products, including pseudo-static RAM (“PSRAM”), CMOS image sensors and legacy DRAM products. The shift in product mix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contributed to the increase in average per megabit selling prices for the third quarter of 2004 as specialty memory products and legacy DRAM products on average had significantly higher selling prices per megabit than the Company’s primary DRAM products. The Company’s overall megabit production in the third quarter of 2004 decreased approximately 5% from the second quarter of 2004 primarily due to the wafer allocations to CMOS image sensors, specialty memory products and legacy DRAM products. Megabit output per wafer is significantly lower for specialty memory and legacy DRAM products because of their relatively low density and the inherent complexity of specialty memory products. Further, the Company’s diversification of product mix and prioritization of specialty DRAM products necessitated production changes to optimize long-term wafer process efficiency that resulted in a temporary reduction of wafer output for the third quarter of 2004.</w:t>
      </w:r>
    </w:p>
    <w:p>
      <w:pPr>
        <w:spacing w:after="0" w:line="18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Growth in future megabit production over the next several quarters is expected to be adversely affected by an increased allocation of wafers to the manufacture of DDR2 products, which have a relatively larger die size, CMOS image sensors, specialty memory products and Flash memory products. The Company expects DDR2 production to increase significantly over the next several quarters. The Company expects to allocate approximately 20% of its total wafer starts to CMOS image sensors, specialty memory products and Flash memory products by the end of calendar 2004. For the third quarter of 2004, megabit production was slightly higher than megabit sales. Finished goods inventories at the end of the quarter remained at relatively low levels. DDR products constituted 67% of the Company’s megabits sold in the third quarter of 2004 and 71% of megabits sold in the second quarter of 2004.</w:t>
      </w:r>
    </w:p>
    <w:p>
      <w:pPr>
        <w:spacing w:after="0" w:line="16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color w:val="auto"/>
        </w:rPr>
        <w:t xml:space="preserve">Net sales for the third quarter of 2004 increased by 52% as compared to the third quarter of 2003 primarily due to </w:t>
      </w:r>
      <w:r>
        <w:rPr>
          <w:rFonts w:ascii="Arial" w:cs="Arial" w:eastAsia="Arial" w:hAnsi="Arial"/>
          <w:sz w:val="16"/>
          <w:szCs w:val="16"/>
          <w:color w:val="auto"/>
        </w:rPr>
        <w:t>a 44% increase in average per</w:t>
      </w:r>
      <w:r>
        <w:rPr>
          <w:rFonts w:ascii="Arial" w:cs="Arial" w:eastAsia="Arial" w:hAnsi="Arial"/>
          <w:sz w:val="17"/>
          <w:szCs w:val="17"/>
          <w:color w:val="auto"/>
        </w:rPr>
        <w:t xml:space="preserve"> </w:t>
      </w:r>
      <w:r>
        <w:rPr>
          <w:rFonts w:ascii="Arial" w:cs="Arial" w:eastAsia="Arial" w:hAnsi="Arial"/>
          <w:sz w:val="16"/>
          <w:szCs w:val="16"/>
          <w:color w:val="auto"/>
        </w:rPr>
        <w:t>megabit selling prices for the Company’s memory products. Megabits produced in the third quarter of 2004 increased 6% as compared to the third quarter of 2003 principally due to increased manufacturing efficiencies, which were partially offset by the Company’s increased allocation of wafer production to CMOS image sensors and PSRAM products. DDR products constituted 67% of the Company’s megabits sold in the third quarter of 2003.</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Net sales for first nine months of 2004 increased by 46% as compared to the first nine months of 2003 primarily due to </w:t>
      </w:r>
      <w:r>
        <w:rPr>
          <w:rFonts w:ascii="Arial" w:cs="Arial" w:eastAsia="Arial" w:hAnsi="Arial"/>
          <w:sz w:val="17"/>
          <w:szCs w:val="17"/>
          <w:color w:val="auto"/>
        </w:rPr>
        <w:t>a 25% increase in megabits of</w:t>
      </w:r>
      <w:r>
        <w:rPr>
          <w:rFonts w:ascii="Arial" w:cs="Arial" w:eastAsia="Arial" w:hAnsi="Arial"/>
          <w:sz w:val="18"/>
          <w:szCs w:val="18"/>
          <w:color w:val="auto"/>
        </w:rPr>
        <w:t xml:space="preserve"> </w:t>
      </w:r>
      <w:r>
        <w:rPr>
          <w:rFonts w:ascii="Arial" w:cs="Arial" w:eastAsia="Arial" w:hAnsi="Arial"/>
          <w:sz w:val="17"/>
          <w:szCs w:val="17"/>
          <w:color w:val="auto"/>
        </w:rPr>
        <w:t>memory sold and a 14% increase in average per megabit selling prices for the Company’s memory products. Megabits produced in the first nine months of 2004 increased 29% as compared to the first nine months of 2003 principally due to increased manufacturing efficiencies partially offset by the effects of changes in the Company’s product mix.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Company’s reported gross margin percentage for the third quarter of 2004 increased to 35% as compared to 25% for the second quarter of 2004 primarily due to the 17% increase in average selling prices per megabit. In addition, compared to the second quarter of 2004, reported gross margin in the third quarter of 2004 benefited from relatively higher margins on sales of products purchased from the Company’s TECH joint venture. The Company’s gross margin in the third quarter of 2004 was affected by a higher level of sales of CMOS image sensors, legacy DRAM products and PSRAM products, which generally had higher margins than the Company’s primary high-volume DRAM products. The legacy DRAM and PSRAM products had higher average selling prices per megabit, which more than offset their higher manufacturing costs per megabit. The Company was able to maintain its overall average cost per megabit for the third quarter despite the shift in product mix away from its primary high-volume DRAM products through manufacturing efficiencies. The Company achieved these manufacturing efficiencies by improving product yields and continuing its transition to products utilizing 110 nm process technology and 6f² technology. The Company’s 6f² technology enables it to produce approximately 20% more potential die per wafer than standard products, which use 8f² technology. Per megabit cost reductions in the near term will be limited by the effects of increased production of DDR2 products and specialty memory products as well as higher costs associated with the limited volumes of production at the Company’s 300 mm manufacturing facility in Virginia. The Company also expects that per megabit costs for the fourth quarter of 2004 will be adversely affected by higher costs of products purchased from TECH as compared to the third quarter of 2004.</w:t>
      </w:r>
    </w:p>
    <w:p>
      <w:pPr>
        <w:spacing w:after="0" w:line="18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Company’s reported gross margin for the third quarter and first nine months of 2004 as compared to the corresponding periods of 2003 improved by $316.9 million and $1,112.3 million, respectively, primarily due to higher average selling prices and increased megabit production, partially offset by the net effects of inventory write-downs.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Inventory write-downs: </w:t>
      </w:r>
      <w:r>
        <w:rPr>
          <w:rFonts w:ascii="Arial" w:cs="Arial" w:eastAsia="Arial" w:hAnsi="Arial"/>
          <w:sz w:val="16"/>
          <w:szCs w:val="16"/>
          <w:color w:val="auto"/>
        </w:rPr>
        <w:t>The Company records charges to cost of goods sold in accordance with generally accepted accounting principles to write</w:t>
      </w:r>
      <w:r>
        <w:rPr>
          <w:rFonts w:ascii="Arial" w:cs="Arial" w:eastAsia="Arial" w:hAnsi="Arial"/>
          <w:sz w:val="16"/>
          <w:szCs w:val="16"/>
          <w:b w:val="1"/>
          <w:bCs w:val="1"/>
          <w:color w:val="auto"/>
        </w:rPr>
        <w:t xml:space="preserve"> </w:t>
      </w:r>
      <w:r>
        <w:rPr>
          <w:rFonts w:ascii="Arial" w:cs="Arial" w:eastAsia="Arial" w:hAnsi="Arial"/>
          <w:sz w:val="16"/>
          <w:szCs w:val="16"/>
          <w:color w:val="auto"/>
        </w:rPr>
        <w:t>down the carrying values of work in process and finished goods inventories when they exceed their estimated market values. The inventory write-downs reflect estimates of future market pricing relative to the costs of production and inventory carrying values and projected timing of product sales. Many of the Company’s semiconductor components have characteristics similar to commodities that are generally standardized products with selling prices that fluctuate significantly based on industry-wide relationships of supply and demand. In recent years, a combination of global economic conditions and a slowing growth rate in demand for personal computers, coupled with worldwide increases in semiconductor production capacity, caused significant declines in average selling prices for semiconductor components. In all quarters of fiscal 2002 and 2003, market values of products held in finished goods and work in process inventories at a quarter end date were below the Company’s manufacturing cost of these products and the Company recognized a charge to cost of goods sold to write down the carrying value of inventories to their estimated market values. As such charges are recorded in advance of when inventory subject to the write-down is sold, gross margins in the period of sale are higher than they would be absent the effect of the previous write-downs. No write-down was necessary for the first three quarters of 2004 and, as of June 3, 2004, a de minimis amount of previous write-downs remains in ending inventory. As a result, write-downs of inventories prior to 2004 are not expected to have a significant effect on operating results in future periods.</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following table sets forth adjusted gross margins absent the inventory write-downs and the estimated effect of previous write-downs. These write-downs may not be infrequent or nonrecurring in nature but are a result of significant market-driven declines in average selling prices. The presentation of these adjusted amounts vary from numbers presented in accordance with U.S. GAAP and therefore may not be comparable to measures reported by other companies. However, the Company believes this information is significant to understanding the Company’s gross margins and analyzing the Company’s gross margin trends. This non-GAAP information is important to analyzing the Company’s cost of goods sold since the effect of inventory write-downs must</w:t>
      </w:r>
    </w:p>
    <w:p>
      <w:pPr>
        <w:sectPr>
          <w:pgSz w:w="11900" w:h="16838" w:orient="portrait"/>
          <w:cols w:equalWidth="0" w:num="1">
            <w:col w:w="11400"/>
          </w:cols>
          <w:pgMar w:left="240" w:top="125" w:right="259" w:bottom="0" w:gutter="0" w:footer="0" w:header="0"/>
        </w:sectPr>
      </w:pPr>
    </w:p>
    <w:bookmarkStart w:id="9" w:name="page10"/>
    <w:bookmarkEnd w:id="9"/>
    <w:p>
      <w:pPr>
        <w:ind w:right="100"/>
        <w:spacing w:after="0" w:line="264" w:lineRule="auto"/>
        <w:rPr>
          <w:sz w:val="20"/>
          <w:szCs w:val="20"/>
          <w:color w:val="auto"/>
        </w:rPr>
      </w:pPr>
      <w:r>
        <w:rPr>
          <w:rFonts w:ascii="Arial" w:cs="Arial" w:eastAsia="Arial" w:hAnsi="Arial"/>
          <w:sz w:val="18"/>
          <w:szCs w:val="18"/>
          <w:color w:val="auto"/>
        </w:rPr>
        <w:t>be separated from the manufacturing cost component in order to have a reasonable basis for understanding trends in cost of goods sold. When evaluating performance and making decisions on how to allocate Company resources, management uses this non-GAAP data and believes investors should have access to similar data when making their investment decisions.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Third Quarter</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0"/>
                <w:szCs w:val="10"/>
                <w:color w:val="auto"/>
              </w:rPr>
            </w:pPr>
          </w:p>
        </w:tc>
        <w:tc>
          <w:tcPr>
            <w:tcW w:w="9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0"/>
                <w:szCs w:val="10"/>
                <w:color w:val="auto"/>
              </w:rPr>
            </w:pPr>
          </w:p>
        </w:tc>
        <w:tc>
          <w:tcPr>
            <w:tcW w:w="76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5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10"/>
                <w:szCs w:val="10"/>
                <w:color w:val="auto"/>
              </w:rPr>
            </w:pPr>
          </w:p>
        </w:tc>
        <w:tc>
          <w:tcPr>
            <w:tcW w:w="74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rPr>
              <w:t>net sales</w:t>
            </w: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387.9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1220" w:type="dxa"/>
            <w:vAlign w:val="bottom"/>
            <w:gridSpan w:val="3"/>
          </w:tcPr>
          <w:p>
            <w:pPr>
              <w:jc w:val="right"/>
              <w:ind w:right="5"/>
              <w:spacing w:after="0"/>
              <w:rPr>
                <w:sz w:val="20"/>
                <w:szCs w:val="20"/>
                <w:color w:val="auto"/>
              </w:rPr>
            </w:pPr>
            <w:r>
              <w:rPr>
                <w:rFonts w:ascii="Arial" w:cs="Arial" w:eastAsia="Arial" w:hAnsi="Arial"/>
                <w:sz w:val="18"/>
                <w:szCs w:val="18"/>
                <w:color w:val="auto"/>
              </w:rPr>
              <w:t>9.7%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922.1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rPr>
              <w:t>Estimated effect of previous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write-downs</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(168.1)</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r>
              <w:rPr>
                <w:rFonts w:ascii="Arial" w:cs="Arial" w:eastAsia="Arial" w:hAnsi="Arial"/>
                <w:sz w:val="18"/>
                <w:szCs w:val="18"/>
                <w:u w:val="single" w:color="auto"/>
                <w:color w:val="auto"/>
              </w:rPr>
              <w:t>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r>
              <w:rPr>
                <w:rFonts w:ascii="Arial" w:cs="Arial" w:eastAsia="Arial" w:hAnsi="Arial"/>
                <w:sz w:val="18"/>
                <w:szCs w:val="18"/>
                <w:u w:val="single" w:color="auto"/>
                <w:color w:val="auto"/>
              </w:rPr>
              <w:t>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“Inventory write-downs” are calculated based on estimates of future market pricing relative to the Company’s costs of production and inventory carrying values and the projected timing of product sales. The reduction in cost of goods sold resulting from sales of written-down inventory is reflected as the “Estimated effect of previous write-downs” in the table above. The estimated effect of previous write-downs is calculated by computing cost of goods sold for each applicable period as if no write-downs had been recorded and comparing it to cost of goods sold as calculated in accordance with generally accepted accounting principles. In calculating the estimated effect of previous write-downs, the Company uses the same judgments and estimates that are used to calculate cost of goods sold.</w:t>
      </w:r>
    </w:p>
    <w:p>
      <w:pPr>
        <w:spacing w:after="0" w:line="18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TECH Semiconductor Singapore Pte. Ltd. (“TECH”): </w:t>
      </w:r>
      <w:r>
        <w:rPr>
          <w:rFonts w:ascii="Arial" w:cs="Arial" w:eastAsia="Arial" w:hAnsi="Arial"/>
          <w:sz w:val="18"/>
          <w:szCs w:val="18"/>
          <w:color w:val="auto"/>
        </w:rPr>
        <w:t>The TECH joint venture supplied approximately 25% of the total megabits of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by the Company in the third quarter of 2004 and 30% of the total megabits produced in the second quarter of 2004 and third quarter of 2003. The Company generally purchases memory products from TECH at prices determined quarterly, based on a discount from average selling prices realized by the Company for the immediately preceding quarter. Per unit costs of products purchased from TECH were lower in the third quarter of 2004 than in the second quarter of 2004. Depending on market conditions, the gross margin from the sale of TECH products may be higher or lower than the gross margin from the sale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products manufactured by the Company’s wholly-owned operations. In the third quarter and first nine months of both 2004 and 2003, the Company realized higher gross margin percentages on sales of TECH products than for products manufactured by its wholly-owned operations. In the second quarter of 2004, the gross margin percentages realized by the Company on sales of TECH products were approximately the same as gross margins realized on products manufactured by its wholly-owned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Selling, general and administrative (“SG&amp;A”) expenses for the third quarter of 2004 were 15% higher than for the second quarter of 2004 primarily due to higher levels of performance based compensation expense and other personnel costs. SG&amp;A expenses for the third quarter of 2004 were 8% higher than for the third quarter of 2003 primarily due to higher levels of performance based compensation expense and other personnel costs, which were partially offset by lower costs associated with outstanding legal matters. SG&amp;A expenses decreased 7% in the first nine months of 2004 as compared to the first nine months of 2003 primarily due to lower costs associated with outstanding legal matters, which was partially offset by increased performance based compensation costs. SG&amp;A expenses for the fourth quarter of 2004 are expected to decrease slightly from the third quarter of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the Company’s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R&amp;D expenses for the third quarter of 2004 decreased 3% from the second quarter of 2004 primarily due to the Company’s initial qualification of a 512 Meg DDR product on its 300 mm production line during the quarter and a decrease in the number of other development wafers processed. R&amp;D expenses for the third quarter and first nine months of 2004 increased 12% and 13%, respectively, from the corresponding periods of 2003 primarily due to an increase in development wafers processed. The increase in development wafers processed during the first nine months of 2004 was the result of a higher level of development wafers run on the Company’s 300 mm production line and a relatively large number of products nearing qualification during the period. Higher R&amp;D costs in 2004 also reflect a higher level of expenses related to CMOS image sensors, Flash memory and specialty memory products. R&amp;D expenses for the fourth quarter of 2004 are expected to decrease slightly from the third quarter of 2004.</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Company’s process technology R&amp;D efforts are focused primarily on development of 95 nm, 78 nm and smaller line-width process technologies, which are designed to facilitate the Company’s transition to next generation products. Additional R&amp;D efforts include process development to support the Company’s 300 mm wafer manufacturing, CMOS image sensors, Flash memory products, specialty memory products including PSRAM and reduced latency DRAM (“RLDRAM”) and new manufacturing materials. Efforts toward the design and development of new products are concentrated on the Company’s 512 Meg and 1 Gig DDR, DDR2 DRAM products as well as NAND and other Flash memory, CMOS image sensors and specialty memory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In connection with the plan, the Company recorded $102.5 million of restructure charges and additional restructure-related charges of $7.1 million, which are included in cost of goods sold, for the first nine months of 2003. The credit to restructure of $21.9 million in the first nine months of 2004 primarily reflects gains on sales of equipment associated with operations shut down in the restructure. Higher</w:t>
      </w:r>
    </w:p>
    <w:p>
      <w:pPr>
        <w:sectPr>
          <w:pgSz w:w="11900" w:h="16838" w:orient="portrait"/>
          <w:cols w:equalWidth="0" w:num="1">
            <w:col w:w="11380"/>
          </w:cols>
          <w:pgMar w:left="240" w:top="125" w:right="279" w:bottom="0" w:gutter="0" w:footer="0" w:header="0"/>
        </w:sectPr>
      </w:pPr>
    </w:p>
    <w:bookmarkStart w:id="10" w:name="page11"/>
    <w:bookmarkEnd w:id="10"/>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equipment sales prices reflect improved market conditions across the semiconductor industry. The Company has substantially completed the restructure plan but expects to record gains and losses in future periods as residual equipment associated with the restructure is sold.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restructure charge and additional restructure related charges in the second quarter and first nine months of 2003 were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February 27, 2003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May 29, 2003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Restructure charge: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Write-down of equipment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53.9</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and other termination benefits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Write-down of 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restructure charge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Other charges to write down raw materials and work in process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 restructure and other charges</w:t>
            </w: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Other operating expense for the first nine months of 2004 includes net losses of $16.2 </w:t>
      </w:r>
      <w:r>
        <w:rPr>
          <w:rFonts w:ascii="Arial" w:cs="Arial" w:eastAsia="Arial" w:hAnsi="Arial"/>
          <w:sz w:val="16"/>
          <w:szCs w:val="16"/>
          <w:color w:val="auto"/>
        </w:rPr>
        <w:t>million from changes in currency exchange rate. Other</w:t>
      </w:r>
      <w:r>
        <w:rPr>
          <w:rFonts w:ascii="Arial" w:cs="Arial" w:eastAsia="Arial" w:hAnsi="Arial"/>
          <w:sz w:val="17"/>
          <w:szCs w:val="17"/>
          <w:color w:val="auto"/>
        </w:rPr>
        <w:t xml:space="preserve"> </w:t>
      </w:r>
      <w:r>
        <w:rPr>
          <w:rFonts w:ascii="Arial" w:cs="Arial" w:eastAsia="Arial" w:hAnsi="Arial"/>
          <w:sz w:val="16"/>
          <w:szCs w:val="16"/>
          <w:color w:val="auto"/>
        </w:rPr>
        <w:t xml:space="preserve">operating expense for the first nine months of 2003 includes net losses of $19.1 million related to write-downs and disposals of semiconductor equipment and losses of $12.2 million from changes in currency exchange rates. </w:t>
      </w:r>
      <w:r>
        <w:rPr>
          <w:rFonts w:ascii="Arial" w:cs="Arial" w:eastAsia="Arial" w:hAnsi="Arial"/>
          <w:sz w:val="17"/>
          <w:szCs w:val="17"/>
          <w:color w:val="auto"/>
        </w:rPr>
        <w:t>Other operating income for the first nine months of 2003 also includes $14.4 million in</w:t>
      </w:r>
      <w:r>
        <w:rPr>
          <w:rFonts w:ascii="Arial" w:cs="Arial" w:eastAsia="Arial" w:hAnsi="Arial"/>
          <w:sz w:val="16"/>
          <w:szCs w:val="16"/>
          <w:color w:val="auto"/>
        </w:rPr>
        <w:t xml:space="preserve"> </w:t>
      </w:r>
      <w:r>
        <w:rPr>
          <w:rFonts w:ascii="Arial" w:cs="Arial" w:eastAsia="Arial" w:hAnsi="Arial"/>
          <w:sz w:val="17"/>
          <w:szCs w:val="17"/>
          <w:color w:val="auto"/>
        </w:rPr>
        <w:t>receipts from the U.S. government during the second quarter of 2003 in connection with anti-dumping tariffs. The Company estimates that, based on its assets and liabilities denominated in currencies other than U.S. dollar as of June 3, 2004, a 1% change in the exchange rate versus the U.S. dollar would result in foreign currency gains or losses of approximately $2 million for the Japanese yen and $1 million for the euro.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for 2004 and 2003 primarily reflect taxes on the Company’s non-U.S. operations. The Company has a valuation allowance for its net deferred tax asset associated with its U.S. operations. The provision for taxes on U.S. operations in the third quarter of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June 3, 2004, the Company had aggregate U.S. tax net operating loss carryforwards of $2.7 billion and unused U.S. tax credits of $112.7 million. The Company also has unused state tax net operating loss carryforwards of $1.7 billion for tax purposes which expire in various years through 2024 and unused state tax credits of $123.3 million for tax and financial reporting purposes.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which can vary significantly from period to period. As of June 3, 2004, the Company had cash and marketable investments totaling $1,131.9 million compared to $921.8 million as of August 28, 2003.</w:t>
      </w:r>
    </w:p>
    <w:p>
      <w:pPr>
        <w:spacing w:after="0" w:line="17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For the first nine months of 2004, net cash provided by operating activities was $743.6 million primarily reflecting improved</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selling prices for semiconductor memory products. Cash generated from operations in the first nine months of 2004 principally reflects the Company’s $63.7 million of income adjusted by $908.2 million for non-cash depreciation and amortization expense partially offset by a $127.4 million increase in accounts receivable associated with the Company’s higher level of sales and a $114.1 million increase in inventories consisting primarily of work in process inventories resulting from transitions in the Company’s product mix.</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For the first nine months of 2004, net cash used by investing activities was $1,130.5 million including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of $739.7 million. 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2004 capital spending to approximate $1.5 billion. The Company expects 2005 capital spending to exceed $1.5 billion. As of June 3, 2004, the Company had commitments extending into 2005 of approximately $500 million for the acquisition of property, plant and equipment.</w:t>
      </w:r>
    </w:p>
    <w:p>
      <w:pPr>
        <w:spacing w:after="0" w:line="18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For the first nine months of 2004, net cash provided by financing activities was $145.7 million including $450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from Intel Corporation (“Intel”). Payments on equipment purchase contracts and debt were $363.2 million for the first nine months of 2004. In the first nine months of 2004, the Company received $101.1 million in net proceeds from the issuance of notes payable and sales-leaseback transactions. In the first quarter of 2004, the Company paid $67.5 million to Toshiba Corporation to redeem the 1.5 million shares of common stock issued in connection with the acquisition of the Company’s Virginia facility from Toshiba.</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the first quarter of 2004, the Company received $450 million from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w:t>
      </w:r>
    </w:p>
    <w:p>
      <w:pPr>
        <w:sectPr>
          <w:pgSz w:w="11900" w:h="16958" w:orient="portrait"/>
          <w:cols w:equalWidth="0" w:num="1">
            <w:col w:w="11400"/>
          </w:cols>
          <w:pgMar w:left="240" w:top="125" w:right="259" w:bottom="0" w:gutter="0" w:footer="0" w:header="0"/>
        </w:sectPr>
      </w:pPr>
    </w:p>
    <w:bookmarkStart w:id="11" w:name="page12"/>
    <w:bookmarkEnd w:id="11"/>
    <w:p>
      <w:pPr>
        <w:spacing w:after="0" w:line="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Intel’s per share purchase price of $13.29, the Company could be obligated to pay Intel amounts not to exceed $135 million, a substantial portion of which is payable, at the Company’s election, in the Company’s common stock.</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pledged $100 million as cash collateral for a $250 million credit facility of TECH.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 2004, future maturities of notes payable, minimum lease payments under capital leases and minimum commitments under operating leases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Notes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268"/>
              <w:spacing w:after="0"/>
              <w:rPr>
                <w:sz w:val="20"/>
                <w:szCs w:val="20"/>
                <w:color w:val="auto"/>
              </w:rPr>
            </w:pPr>
            <w:r>
              <w:rPr>
                <w:rFonts w:ascii="Arial" w:cs="Arial" w:eastAsia="Arial" w:hAnsi="Arial"/>
                <w:sz w:val="14"/>
                <w:szCs w:val="14"/>
                <w:b w:val="1"/>
                <w:bCs w:val="1"/>
                <w:color w:val="auto"/>
                <w:w w:val="98"/>
              </w:rPr>
              <w:t>Capital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268"/>
              <w:spacing w:after="0"/>
              <w:rPr>
                <w:sz w:val="20"/>
                <w:szCs w:val="20"/>
                <w:color w:val="auto"/>
              </w:rPr>
            </w:pPr>
            <w:r>
              <w:rPr>
                <w:rFonts w:ascii="Arial" w:cs="Arial" w:eastAsia="Arial" w:hAnsi="Arial"/>
                <w:sz w:val="14"/>
                <w:szCs w:val="14"/>
                <w:b w:val="1"/>
                <w:bCs w:val="1"/>
                <w:color w:val="auto"/>
                <w:w w:val="79"/>
              </w:rPr>
              <w:t>leases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2004</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261.1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7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648.3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December 2003, the Financial Accounting Standards Board (“FASB”) issued a revised Interpretation No. 46, “Consolidation of Variable Interest Entities – an interpretation of ARB No. 51,” which provides guidance on the identification of and reporting for variable interest entities. The Company adopted Interpretation No. 46 in the third quarter of 2004. Adoption of Interpretation No. 46 did not have a significant impact on the Company’s results of operations or financial condition.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Realizability of deferred tax assets is dependent on the Company’s ability to generate future taxable income.</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w:t>
      </w:r>
    </w:p>
    <w:p>
      <w:pPr>
        <w:sectPr>
          <w:pgSz w:w="11900" w:h="16869" w:orient="portrait"/>
          <w:cols w:equalWidth="0" w:num="1">
            <w:col w:w="11400"/>
          </w:cols>
          <w:pgMar w:left="240" w:top="125" w:right="259" w:bottom="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semiconductor memory industry, actual selling prices and volumes often vary significantly from projected prices and volumes and, as a result, the timing of when product costs are charged to operations can vary significantly.</w:t>
      </w:r>
    </w:p>
    <w:p>
      <w:pPr>
        <w:spacing w:after="0" w:line="17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8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for impairment the carrying value of property, plant and equipment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six of the last seven fiscal years, we experienced annual decreases in per megabit average selling prices for our semiconductor memory products as follows: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transition to smaller line-width process technologies and 300 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 not offset by increases in demand, could lead to further declines in average selling prices for our products and could materially adversely affect our business, results of operations or financial condition.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140"/>
        <w:spacing w:after="0" w:line="282" w:lineRule="auto"/>
        <w:rPr>
          <w:sz w:val="20"/>
          <w:szCs w:val="20"/>
          <w:color w:val="auto"/>
        </w:rPr>
      </w:pPr>
      <w:r>
        <w:rPr>
          <w:rFonts w:ascii="Arial" w:cs="Arial" w:eastAsia="Arial" w:hAnsi="Arial"/>
          <w:sz w:val="18"/>
          <w:szCs w:val="18"/>
          <w:b w:val="1"/>
          <w:bCs w:val="1"/>
          <w:color w:val="auto"/>
        </w:rPr>
        <w:t>If the growth rate of either computers sold or the amount of semiconductor memory included in each computer decreases, sales of our semiconductor products could decrease.</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are dependent on the computing market as most of the semiconductor products we sell are used in computers, servers or peripheral products. Approximately 70% of our sales of semiconductor products for the third quarter of 2004 were to the computing market. DRAMs are the most widely used semiconductor components in computers. In recent years, the growth rate of computers sold has slowed or declined. If we experience a sustained reduction in the growth rate of either computers sold or the average amount of semiconductor memory included in each computer, sales of our semiconductor products could decrease, and our business, results of operations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 or access capital markets for funds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ectPr>
          <w:pgSz w:w="11900" w:h="16838" w:orient="portrait"/>
          <w:cols w:equalWidth="0" w:num="1">
            <w:col w:w="11400"/>
          </w:cols>
          <w:pgMar w:left="240" w:top="341" w:right="259" w:bottom="0" w:gutter="0" w:footer="0" w:header="0"/>
        </w:sectPr>
      </w:pPr>
    </w:p>
    <w:bookmarkStart w:id="13" w:name="page14"/>
    <w:bookmarkEnd w:id="13"/>
    <w:p>
      <w:pPr>
        <w:spacing w:after="0" w:line="73"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Co., Ltd. Some of these competitors are large corporations or conglomerates that may have greater resources to withstand downturns in the semiconductor markets in which we compete, invest in technology and capitalize on growth opportunities. These competitors seek to increase silicon capacity, improve yields, reduce die size and minimize mask levels in their product designs. These factors have significantly increased worldwide supply and put downward pressure on prices.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is expected to lead to a continued increase in the supply of DRAM and other semiconductor products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reduce our per megabit manufacturing costs or reduce costs at historical rates. Reduction of per megabit manufacturing costs in future periods is dependent on our ability to:</w:t>
      </w:r>
    </w:p>
    <w:p>
      <w:pPr>
        <w:spacing w:after="0" w:line="208" w:lineRule="exact"/>
        <w:rPr>
          <w:sz w:val="20"/>
          <w:szCs w:val="20"/>
          <w:color w:val="auto"/>
        </w:rPr>
      </w:pPr>
    </w:p>
    <w:p>
      <w:pPr>
        <w:ind w:left="1300" w:right="20" w:hanging="320"/>
        <w:spacing w:after="0" w:line="232" w:lineRule="auto"/>
        <w:tabs>
          <w:tab w:leader="none" w:pos="1294" w:val="left"/>
        </w:tabs>
        <w:numPr>
          <w:ilvl w:val="0"/>
          <w:numId w:val="3"/>
        </w:numPr>
        <w:rPr>
          <w:rFonts w:ascii="Arial" w:cs="Arial" w:eastAsia="Arial" w:hAnsi="Arial"/>
          <w:sz w:val="22"/>
          <w:szCs w:val="22"/>
          <w:color w:val="auto"/>
        </w:rPr>
      </w:pPr>
      <w:r>
        <w:rPr>
          <w:rFonts w:ascii="Arial" w:cs="Arial" w:eastAsia="Arial" w:hAnsi="Arial"/>
          <w:sz w:val="18"/>
          <w:szCs w:val="18"/>
          <w:color w:val="auto"/>
        </w:rPr>
        <w:t>successfully implement product and process technology improvements, including future transitions to 95 nm and smaller line-width process technologies,</w:t>
      </w:r>
    </w:p>
    <w:p>
      <w:pPr>
        <w:spacing w:after="0" w:line="230" w:lineRule="exact"/>
        <w:rPr>
          <w:rFonts w:ascii="Arial" w:cs="Arial" w:eastAsia="Arial" w:hAnsi="Arial"/>
          <w:sz w:val="22"/>
          <w:szCs w:val="22"/>
          <w:color w:val="auto"/>
        </w:rPr>
      </w:pPr>
    </w:p>
    <w:p>
      <w:pPr>
        <w:ind w:left="1300" w:right="360" w:hanging="320"/>
        <w:spacing w:after="0" w:line="232" w:lineRule="auto"/>
        <w:tabs>
          <w:tab w:leader="none" w:pos="1294" w:val="left"/>
        </w:tabs>
        <w:numPr>
          <w:ilvl w:val="0"/>
          <w:numId w:val="3"/>
        </w:numPr>
        <w:rPr>
          <w:rFonts w:ascii="Arial" w:cs="Arial" w:eastAsia="Arial" w:hAnsi="Arial"/>
          <w:sz w:val="22"/>
          <w:szCs w:val="22"/>
          <w:color w:val="auto"/>
        </w:rPr>
      </w:pPr>
      <w:r>
        <w:rPr>
          <w:rFonts w:ascii="Arial" w:cs="Arial" w:eastAsia="Arial" w:hAnsi="Arial"/>
          <w:sz w:val="18"/>
          <w:szCs w:val="18"/>
          <w:color w:val="auto"/>
        </w:rPr>
        <w:t>achieve acceptable levels of manufacturing wafer output and yields, which may decrease as we implement more complex technologies, including our transition to 300 mm wafer processing,</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ramp the latest reduced die size versions of existing devices or new generation devices and</w:t>
      </w:r>
    </w:p>
    <w:p>
      <w:pPr>
        <w:spacing w:after="0" w:line="228" w:lineRule="exact"/>
        <w:rPr>
          <w:rFonts w:ascii="Arial" w:cs="Arial" w:eastAsia="Arial" w:hAnsi="Arial"/>
          <w:sz w:val="22"/>
          <w:szCs w:val="22"/>
          <w:color w:val="auto"/>
        </w:rPr>
      </w:pPr>
    </w:p>
    <w:p>
      <w:pPr>
        <w:ind w:left="1300" w:right="620" w:hanging="320"/>
        <w:spacing w:after="0" w:line="232" w:lineRule="auto"/>
        <w:tabs>
          <w:tab w:leader="none" w:pos="1294" w:val="left"/>
        </w:tabs>
        <w:numPr>
          <w:ilvl w:val="0"/>
          <w:numId w:val="3"/>
        </w:numPr>
        <w:rPr>
          <w:rFonts w:ascii="Arial" w:cs="Arial" w:eastAsia="Arial" w:hAnsi="Arial"/>
          <w:sz w:val="22"/>
          <w:szCs w:val="22"/>
          <w:color w:val="auto"/>
        </w:rPr>
      </w:pPr>
      <w:r>
        <w:rPr>
          <w:rFonts w:ascii="Arial" w:cs="Arial" w:eastAsia="Arial" w:hAnsi="Arial"/>
          <w:sz w:val="18"/>
          <w:szCs w:val="18"/>
          <w:color w:val="auto"/>
        </w:rPr>
        <w:t>offset increases in per megabit manufacturing costs resulting from shifts in product mix to CMOS image sensors, specialty memory products and flash memory products.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are unable to timely and efficiently convert our manufacturing operations to 300 mm wafer processing, our business, results of operations or financial condition could be materially adversely affected.</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past, we have reduced our per megabit manufacturing costs by converting our wafer processing operations to use larger wafers. By converting to larger wafers, we should be able to produce significantly more die for each wafer, ultimately resulting in substantially reduced costs for each die. Our conversion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conversion to larger wafer sizes. If our conversion to 300 mm wafer processing is not timely and efficient, we could be at a cost disadvantage with respect to our competitors and our business, results of operations or financial condition could be materially adversely affected. In addition, we may decide not to convert all of our wafer processing to 300 mm and, as a result, we could be at a cost disadvantage with respect to our competitors.</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any one of our major computing customers significantly reduces its purchases of DRAM from us, our business, results of operations or financial condition could be materially adversely affected.</w:t>
      </w:r>
    </w:p>
    <w:p>
      <w:pPr>
        <w:spacing w:after="0" w:line="166"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Aggregate sales to two of our computing customers approximated 27% of our net sales for the third quarter of 2004. If any one of our major computing customers significantly reduces its purchases of DRAM from us, our business, results of operations or financial condition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Japanese yen and euro. In the event that the U.S. dollar weakens significantly compared to the Japanese yen or euro, reported results of operations or financial condition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 If, for any reason, we are unable to access the capital markets over an extended period of time, we may be unable to make property, plant and equipment expenditures, implement our research and development efforts or fund our operations, which could materially adversely affect our business, results of operations or financial condition.</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TECH supplied approximately 25% of our total megabits of memory produced in the third quarter of 2004. We have agreements to purchase all of the products manufactured by TECH subject to specific terms and conditions. In recent periods, we have realized higher margins on products purchased from TECH than products manufactured by our wholly-owned facilities. Any reduction in supply could materially adversely affect our business, results of operations or financial condition.</w:t>
      </w:r>
    </w:p>
    <w:p>
      <w:pPr>
        <w:spacing w:after="0" w:line="18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have pledged $100 million as cash collateral for TECH’s credit facility. In the event the cash collateral is used to discharge obligations of TECH that are unpaid and due under the TECH credit facility, certain shareholders of TECH have agreed to indemnify us for approximately one-half of the amount of the cash collateral used to satisfy such obligations. As of June 3, 2004, we had intangible assets with a net book of $64.9 million relating to the supply</w:t>
      </w:r>
    </w:p>
    <w:p>
      <w:pPr>
        <w:sectPr>
          <w:pgSz w:w="11900" w:h="16912" w:orient="portrait"/>
          <w:cols w:equalWidth="0" w:num="1">
            <w:col w:w="11400"/>
          </w:cols>
          <w:pgMar w:left="240" w:top="125" w:right="259" w:bottom="0" w:gutter="0" w:footer="0" w:header="0"/>
        </w:sectPr>
      </w:pPr>
    </w:p>
    <w:bookmarkStart w:id="14" w:name="page15"/>
    <w:bookmarkEnd w:id="14"/>
    <w:p>
      <w:pPr>
        <w:ind w:right="500"/>
        <w:spacing w:after="0" w:line="308" w:lineRule="auto"/>
        <w:rPr>
          <w:sz w:val="20"/>
          <w:szCs w:val="20"/>
          <w:color w:val="auto"/>
        </w:rPr>
      </w:pPr>
      <w:r>
        <w:rPr>
          <w:rFonts w:ascii="Arial" w:cs="Arial" w:eastAsia="Arial" w:hAnsi="Arial"/>
          <w:sz w:val="17"/>
          <w:szCs w:val="17"/>
          <w:color w:val="auto"/>
        </w:rPr>
        <w:t>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semiconductor memory products, including DDR, DDR2, SDRAM, EDO, Flash and PSRAM.</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We are engaged in litigation with Rambus, Inc. (“Rambus”) relating to certain of Rambus’ patents and certain of our claims and defenses. On February 1, 2001, we filed a complaint (amended) against Rambus in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w:t>
      </w:r>
    </w:p>
    <w:p>
      <w:pPr>
        <w:spacing w:after="0" w:line="2" w:lineRule="exact"/>
        <w:rPr>
          <w:sz w:val="20"/>
          <w:szCs w:val="20"/>
          <w:color w:val="auto"/>
        </w:rPr>
      </w:pPr>
    </w:p>
    <w:p>
      <w:pPr>
        <w:ind w:firstLine="8"/>
        <w:spacing w:after="0" w:line="266"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1 022 642. In the European suits against us, Rambus is seeking monetary damages and injunctive relief. We also are engaged in litigation with Motorola, Inc. (“Motorola”) and Freescale Semiconductor, Inc., a subsidiary of Motorola (“Freescale”), relating to certain of our patents and certain of Freescale’s patents. On January 8, 2004, Motorola filed suit against us in the U.S. District Court for the Western District of Texas (Austin) alleging infringement of ten Motorola patents. On March 15, 2004, we filed an answer and a counterclaim alleging infringement of seventeen of our patents. Freescale was later added as a party with Motorola. On March 30, 2004, we filed a separate action against Motorola in the U.S. District Court for the Western District of Wisconsin (Madison) alleging infringement of six additional of our patents, and we added a seventh patent in an amended complaint filed on April 23, 2004. On June 10, 2004, the Wisconsin court granted Motorola’s motion to transfer the case to Texas, but a motion for reconsideration is pending. The above lawsuits pertain to certain of our SDRAM and DDR DRAM products, which account for a significant portion of our net sales. We are unable to predict the outcome of these suits.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antitrust violations.</w:t>
      </w:r>
    </w:p>
    <w:p>
      <w:pPr>
        <w:spacing w:after="0" w:line="229"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w:t>
      </w:r>
    </w:p>
    <w:p>
      <w:pPr>
        <w:spacing w:after="0" w:line="14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w:t>
      </w:r>
    </w:p>
    <w:p>
      <w:pPr>
        <w:sectPr>
          <w:pgSz w:w="11900" w:h="16838" w:orient="portrait"/>
          <w:cols w:equalWidth="0" w:num="1">
            <w:col w:w="11420"/>
          </w:cols>
          <w:pgMar w:left="240" w:top="125" w:right="239" w:bottom="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An additional case was filed on March 16, 2004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w:t>
      </w:r>
    </w:p>
    <w:p>
      <w:pPr>
        <w:spacing w:after="0" w:line="18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Although we do not know what actions the DOJ will take with respect to its investigation, or what determinations it may make with respect to other DRAM companies subject to the investigation, in some instances DOJ investigations involving other industries have resulted in indictments being brought against, or in plea agreements being entered into with, companies and/or individuals, resulting in fines and/or penalties against such companies or individuals. While we do not expect to be subject to any such DOJ fines or penalties, the announcement by the DOJ of any indictments, or plea agreements, involving fines or penalties against or with other DRAM companies could have an adverse impact on settlement or resolution of our civil suits relating to the subject matter of the investigation. We can give no assurance that final resolution of these civil suits will not result in significant liability and will not have a material adverse effect on our business, results of operations or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On May 5, 2004, Rambus, Inc. (“Rambus”) filed a complaint in the Superior Court of the State of California (San Francisco County) against us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We are unable to predict the outcome of the suit. A court determination against us could result in significant liability and could have a material adverse effect on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61% of our consolidated net sales for the third quarter of 2004. In addition, we have manufacturing operations in Italy, Japan, Puerto Rico, Scotland and Singapore. Our international sales and operations are subject to a variety of risks, including:</w:t>
      </w:r>
    </w:p>
    <w:p>
      <w:pPr>
        <w:spacing w:after="0" w:line="186"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export duties, changes to import and export regulations, and restrictions on the transfer of funds,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ectPr>
          <w:pgSz w:w="11900" w:h="16838" w:orient="portrait"/>
          <w:cols w:equalWidth="0" w:num="1">
            <w:col w:w="11420"/>
          </w:cols>
          <w:pgMar w:left="240" w:top="125" w:right="23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certain milestones, we could be obligated to pay Intel Corporation amounts up to $135 million.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conjunction with the issuance of stock rights to Intel in September 2003, we agreed to achieve operational objectives through May 2005, including certain levels of DDR2 production and 300 mm wafer processing capacity, and dedication of resources to advanced product development.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83"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4"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our shareholder value. Acquisitions involve numerous risks, including:</w:t>
      </w:r>
    </w:p>
    <w:p>
      <w:pPr>
        <w:spacing w:after="0" w:line="175"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Substantially all of the Company’s debt is at fixed interest rates; therefore, the fair value of the debt fluctuates based on changes in market interest rates. The estimated fair market value of the Company’s debt approximated $1.3 billion as of June 3, 2004 and August 28, 2003.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ectPr>
          <w:pgSz w:w="11900" w:h="16838" w:orient="portrait"/>
          <w:cols w:equalWidth="0" w:num="1">
            <w:col w:w="11420"/>
          </w:cols>
          <w:pgMar w:left="240" w:top="125" w:right="239" w:bottom="0" w:gutter="0" w:footer="0" w:header="0"/>
        </w:sectPr>
      </w:pPr>
    </w:p>
    <w:bookmarkStart w:id="17" w:name="page18"/>
    <w:bookmarkEnd w:id="17"/>
    <w:p>
      <w:pPr>
        <w:ind w:firstLine="648"/>
        <w:spacing w:after="0" w:line="290"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$147.5 million as of June 3, 2004, and U.S. $203.1 million as of August 28, 2003 (including deferred income tax assets denominated in Japanese yen valued at U.S. $71.7 million as of June 3, 2004, and U.S. $105.4 million as of August 28, 2003). The Company also held aggregate foreign currency liabilities valued at U.S. $389.8 million as of June 3, 2004, and U.S. $513.2 million as of August 28, 2003 (including debt denominated in Japanese yen valued at U.S. $114.4 million as of June 3, 2004, and U.S. $170.5 million as of August 28, 2003). Foreign currency receivables and payables as of June 3, 2004, were comprised primarily of Japanese yen, euros, Singapore dollars and British pounds. The Company estimates that, based on its assets and liabilities denominated in currencies other than U.S. dollar as of June 3, 2004, a 1% change in the exchange rate versus the U.S. dollar would result in foreign currency gains or losses of approximately $2 million for the Japanese yen and $1 million for the euro.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as of the end of the period covered by this report. Based upon that evaluation, the Chief Executive Officer and Chief Financial Officer concluded that those disclosure controls and procedures were effective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February 1, 2001, the Company filed a complaint (amended) against Rambus, Inc. (“Rambus”) in U.S. District Court for the District of Delaware seeking monetary damages and declaratory and injunctive relief. Among other things, the Company’s amended complaint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our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the European suits against the Company, Rambus is seeking monetary damages and injunctive relief. These lawsuits pertain to certain of our SDRAM and DDR DRAM products, which account for a significant portion of our net sales. The Company is unable to predict the outcome of these suits.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January 8, 2004, Motorola, Inc. (“Motorola”) filed suit against the Company in the U.S. District Court for the Western District of Texas (Austin) alleging infringement of ten Motorola patents. On March 15, 2004, the Company filed an answer and a counterclaim alleging infringement of seventeen of the Company’s patents. Freescale Semiconductor, Inc., a subsidiary of Motorola (“Freescale”), was later added as a party with Motorola. On March 30, 2004, the Company filed a separate action against Motorola in the U.S. District Court for the Western District of Wisconsin (Madison) alleging infringement of six additional of the Company’s patents, and the Company added a seventh patent in an amended complaint filed on April 23, 2004. On June 10, 2004, the Wisconsin court granted Motorola’s motion to transfer the case to Texas, but a motion for reconsideration is pending. These lawsuits pertain to certain of the Company’s SDRAM and DDR DRAM products, which account for a significant portion of the Company’s net sales. The Company is unable to predict the outcome of these suits.</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were transferred to the U.S. District Court for the Northern District 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41" w:right="279" w:bottom="613" w:gutter="0" w:footer="0" w:header="0"/>
        </w:sectPr>
      </w:pPr>
    </w:p>
    <w:bookmarkStart w:id="18" w:name="page19"/>
    <w:bookmarkEnd w:id="18"/>
    <w:p>
      <w:pPr>
        <w:ind w:right="20"/>
        <w:spacing w:after="0" w:line="267" w:lineRule="auto"/>
        <w:rPr>
          <w:sz w:val="20"/>
          <w:szCs w:val="20"/>
          <w:color w:val="auto"/>
        </w:rPr>
      </w:pPr>
      <w:r>
        <w:rPr>
          <w:rFonts w:ascii="Arial" w:cs="Arial" w:eastAsia="Arial" w:hAnsi="Arial"/>
          <w:sz w:val="17"/>
          <w:szCs w:val="17"/>
          <w:color w:val="auto"/>
        </w:rPr>
        <w:t>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An additional case was filed on March 16, 2004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 and will not have a material adverse effect on the Company’s business, results of operations or financial condition.</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a conspiracy to restrict output and fix prices on Rambus DRAM (“RDRAM”), a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Certain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Reports on Form 8-K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are filed as a part of this report:</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902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3.7</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Bylaws of the Registrant, as amended</w:t>
            </w:r>
          </w:p>
        </w:tc>
        <w:tc>
          <w:tcPr>
            <w:tcW w:w="0" w:type="dxa"/>
            <w:vAlign w:val="bottom"/>
          </w:tcPr>
          <w:p>
            <w:pPr>
              <w:spacing w:after="0"/>
              <w:rPr>
                <w:sz w:val="1"/>
                <w:szCs w:val="1"/>
                <w:color w:val="auto"/>
              </w:rPr>
            </w:pPr>
          </w:p>
        </w:tc>
      </w:tr>
      <w:tr>
        <w:trPr>
          <w:trHeight w:val="216"/>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31.1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31.2</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32.1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1000" w:type="dxa"/>
            <w:vAlign w:val="bottom"/>
          </w:tcPr>
          <w:p>
            <w:pPr>
              <w:jc w:val="right"/>
              <w:ind w:right="274"/>
              <w:spacing w:after="0"/>
              <w:rPr>
                <w:sz w:val="20"/>
                <w:szCs w:val="20"/>
                <w:color w:val="auto"/>
              </w:rPr>
            </w:pPr>
            <w:r>
              <w:rPr>
                <w:rFonts w:ascii="Arial" w:cs="Arial" w:eastAsia="Arial" w:hAnsi="Arial"/>
                <w:sz w:val="18"/>
                <w:szCs w:val="18"/>
                <w:color w:val="auto"/>
              </w:rPr>
              <w:t>32.2</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5620" w:right="3340" w:hanging="5288"/>
        <w:spacing w:after="0" w:line="528" w:lineRule="auto"/>
        <w:tabs>
          <w:tab w:leader="none" w:pos="673"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 28</w:t>
      </w:r>
    </w:p>
    <w:p>
      <w:pPr>
        <w:spacing w:after="0" w:line="38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 filed the following reports on Form 8-K during the fiscal quarter ended June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650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Item</w:t>
            </w:r>
          </w:p>
        </w:tc>
        <w:tc>
          <w:tcPr>
            <w:tcW w:w="940" w:type="dxa"/>
            <w:vAlign w:val="bottom"/>
          </w:tcPr>
          <w:p>
            <w:pPr>
              <w:spacing w:after="0"/>
              <w:rPr>
                <w:sz w:val="14"/>
                <w:szCs w:val="14"/>
                <w:color w:val="auto"/>
              </w:rPr>
            </w:pPr>
          </w:p>
        </w:tc>
      </w:tr>
      <w:tr>
        <w:trPr>
          <w:trHeight w:val="411"/>
        </w:trPr>
        <w:tc>
          <w:tcPr>
            <w:tcW w:w="19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March 24, 2004</w:t>
            </w:r>
          </w:p>
        </w:tc>
        <w:tc>
          <w:tcPr>
            <w:tcW w:w="6500" w:type="dxa"/>
            <w:vAlign w:val="bottom"/>
          </w:tcPr>
          <w:p>
            <w:pPr>
              <w:spacing w:after="0"/>
              <w:rPr>
                <w:sz w:val="20"/>
                <w:szCs w:val="20"/>
                <w:color w:val="auto"/>
              </w:rPr>
            </w:pPr>
            <w:r>
              <w:rPr>
                <w:rFonts w:ascii="Arial" w:cs="Arial" w:eastAsia="Arial" w:hAnsi="Arial"/>
                <w:sz w:val="18"/>
                <w:szCs w:val="18"/>
                <w:color w:val="auto"/>
              </w:rPr>
              <w:t>Item 7, Financial Statements and Exhibits</w:t>
            </w:r>
          </w:p>
        </w:tc>
        <w:tc>
          <w:tcPr>
            <w:tcW w:w="940" w:type="dxa"/>
            <w:vAlign w:val="bottom"/>
          </w:tcPr>
          <w:p>
            <w:pPr>
              <w:spacing w:after="0"/>
              <w:rPr>
                <w:sz w:val="24"/>
                <w:szCs w:val="24"/>
                <w:color w:val="auto"/>
              </w:rPr>
            </w:pPr>
          </w:p>
        </w:tc>
      </w:tr>
      <w:tr>
        <w:trPr>
          <w:trHeight w:val="230"/>
        </w:trPr>
        <w:tc>
          <w:tcPr>
            <w:tcW w:w="1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Item 12, Disclosure of Results of Operations and Financial Condition</w:t>
            </w:r>
          </w:p>
        </w:tc>
        <w:tc>
          <w:tcPr>
            <w:tcW w:w="94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tcPr>
          <w:p>
            <w:pPr>
              <w:jc w:val="right"/>
              <w:ind w:right="4614"/>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r>
      <w:tr>
        <w:trPr>
          <w:trHeight w:val="91"/>
        </w:trPr>
        <w:tc>
          <w:tcPr>
            <w:tcW w:w="196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5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r>
      <w:tr>
        <w:trPr>
          <w:trHeight w:val="224"/>
        </w:trPr>
        <w:tc>
          <w:tcPr>
            <w:tcW w:w="6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(Registrant)</w:t>
            </w:r>
          </w:p>
        </w:tc>
      </w:tr>
      <w:tr>
        <w:trPr>
          <w:trHeight w:val="634"/>
        </w:trPr>
        <w:tc>
          <w:tcPr>
            <w:tcW w:w="6100" w:type="dxa"/>
            <w:vAlign w:val="bottom"/>
          </w:tcPr>
          <w:p>
            <w:pPr>
              <w:spacing w:after="0"/>
              <w:rPr>
                <w:sz w:val="20"/>
                <w:szCs w:val="20"/>
                <w:color w:val="auto"/>
              </w:rPr>
            </w:pPr>
            <w:r>
              <w:rPr>
                <w:rFonts w:ascii="Arial" w:cs="Arial" w:eastAsia="Arial" w:hAnsi="Arial"/>
                <w:sz w:val="18"/>
                <w:szCs w:val="18"/>
                <w:color w:val="auto"/>
              </w:rPr>
              <w:t>Dated: July 16, 2004</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6100" w:type="dxa"/>
            <w:vAlign w:val="bottom"/>
          </w:tcPr>
          <w:p>
            <w:pPr>
              <w:spacing w:after="0"/>
              <w:rPr>
                <w:sz w:val="16"/>
                <w:szCs w:val="16"/>
                <w:color w:val="auto"/>
              </w:rPr>
            </w:pPr>
          </w:p>
        </w:tc>
        <w:tc>
          <w:tcPr>
            <w:tcW w:w="532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r>
      <w:tr>
        <w:trPr>
          <w:trHeight w:val="230"/>
        </w:trPr>
        <w:tc>
          <w:tcPr>
            <w:tcW w:w="61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r>
    </w:tbl>
    <w:p>
      <w:pPr>
        <w:sectPr>
          <w:pgSz w:w="11900" w:h="16838" w:orient="portrait"/>
          <w:cols w:equalWidth="0" w:num="1">
            <w:col w:w="11440"/>
          </w:cols>
          <w:pgMar w:left="240" w:top="125" w:right="219" w:bottom="0" w:gutter="0" w:footer="0" w:header="0"/>
        </w:sectPr>
      </w:pPr>
    </w:p>
    <w:bookmarkStart w:id="19" w:name="page20"/>
    <w:bookmarkEnd w:id="19"/>
    <w:p>
      <w:pPr>
        <w:jc w:val="right"/>
        <w:ind w:right="2659"/>
        <w:spacing w:after="0"/>
        <w:rPr>
          <w:sz w:val="20"/>
          <w:szCs w:val="20"/>
          <w:color w:val="auto"/>
        </w:rPr>
      </w:pPr>
      <w:r>
        <w:rPr>
          <w:rFonts w:ascii="Arial" w:cs="Arial" w:eastAsia="Arial" w:hAnsi="Arial"/>
          <w:sz w:val="18"/>
          <w:szCs w:val="18"/>
          <w:color w:val="auto"/>
        </w:rPr>
        <w:t>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87630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10380"/>
        <w:spacing w:after="0"/>
        <w:rPr>
          <w:sz w:val="20"/>
          <w:szCs w:val="20"/>
          <w:color w:val="auto"/>
        </w:rPr>
      </w:pPr>
      <w:r>
        <w:rPr>
          <w:rFonts w:ascii="Arial" w:cs="Arial" w:eastAsia="Arial" w:hAnsi="Arial"/>
          <w:sz w:val="18"/>
          <w:szCs w:val="18"/>
          <w:b w:val="1"/>
          <w:bCs w:val="1"/>
          <w:color w:val="auto"/>
        </w:rPr>
        <w:t>EXHIBIT 3.7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6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420"/>
          </w:cols>
          <w:pgMar w:left="240" w:top="121" w:right="239" w:bottom="0" w:gutter="0" w:footer="0" w:header="0"/>
        </w:sectPr>
      </w:pPr>
    </w:p>
    <w:bookmarkStart w:id="21" w:name="page22"/>
    <w:bookmarkEnd w:id="21"/>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1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SECTION 7. The Board of Directors of the corporation may hold meetings, both regular and special, either within or without the State of Delaware.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ectPr>
          <w:pgSz w:w="11900" w:h="16838" w:orient="portrait"/>
          <w:cols w:equalWidth="0" w:num="1">
            <w:col w:w="11420"/>
          </w:cols>
          <w:pgMar w:left="240" w:top="341" w:right="239" w:bottom="0" w:gutter="0" w:footer="0" w:header="0"/>
        </w:sectPr>
      </w:pPr>
    </w:p>
    <w:bookmarkStart w:id="22" w:name="page23"/>
    <w:bookmarkEnd w:id="22"/>
    <w:p>
      <w:pPr>
        <w:ind w:right="20" w:firstLine="648"/>
        <w:spacing w:after="0" w:line="289"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w:t>
      </w:r>
    </w:p>
    <w:p>
      <w:pPr>
        <w:sectPr>
          <w:pgSz w:w="11900" w:h="16838" w:orient="portrait"/>
          <w:cols w:equalWidth="0" w:num="1">
            <w:col w:w="11420"/>
          </w:cols>
          <w:pgMar w:left="240" w:top="125" w:right="239" w:bottom="0" w:gutter="0" w:footer="0" w:header="0"/>
        </w:sectPr>
      </w:pPr>
    </w:p>
    <w:bookmarkStart w:id="23" w:name="page24"/>
    <w:bookmarkEnd w:id="23"/>
    <w:p>
      <w:pPr>
        <w:ind w:right="140"/>
        <w:spacing w:after="0" w:line="277" w:lineRule="auto"/>
        <w:rPr>
          <w:sz w:val="20"/>
          <w:szCs w:val="20"/>
          <w:color w:val="auto"/>
        </w:rPr>
      </w:pPr>
      <w:r>
        <w:rPr>
          <w:rFonts w:ascii="Arial" w:cs="Arial" w:eastAsia="Arial" w:hAnsi="Arial"/>
          <w:sz w:val="18"/>
          <w:szCs w:val="18"/>
          <w:color w:val="auto"/>
        </w:rPr>
        <w:t>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VICE-PRESIDENTS</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5" w:right="259" w:bottom="148" w:gutter="0" w:footer="0" w:header="0"/>
        </w:sectPr>
      </w:pPr>
    </w:p>
    <w:bookmarkStart w:id="24" w:name="page25"/>
    <w:bookmarkEnd w:id="24"/>
    <w:p>
      <w:pPr>
        <w:jc w:val="both"/>
        <w:ind w:right="100" w:firstLine="648"/>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25,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Joseph L. Parkinson</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w w:val="98"/>
              </w:rPr>
              <w:t>Joseph L. Parkinson, President</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(SEAL)</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1380" w:type="dxa"/>
            <w:vAlign w:val="bottom"/>
          </w:tcPr>
          <w:p>
            <w:pPr>
              <w:ind w:left="80"/>
              <w:spacing w:after="0"/>
              <w:rPr>
                <w:sz w:val="20"/>
                <w:szCs w:val="20"/>
                <w:color w:val="auto"/>
              </w:rPr>
            </w:pPr>
            <w:r>
              <w:rPr>
                <w:rFonts w:ascii="Arial" w:cs="Arial" w:eastAsia="Arial" w:hAnsi="Arial"/>
                <w:sz w:val="18"/>
                <w:szCs w:val="18"/>
                <w:color w:val="auto"/>
              </w:rPr>
              <w:t>Cathy L. Smith</w:t>
            </w:r>
          </w:p>
        </w:tc>
        <w:tc>
          <w:tcPr>
            <w:tcW w:w="460" w:type="dxa"/>
            <w:vAlign w:val="bottom"/>
          </w:tcPr>
          <w:p>
            <w:pPr>
              <w:spacing w:after="0"/>
              <w:rPr>
                <w:sz w:val="24"/>
                <w:szCs w:val="24"/>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w w:val="97"/>
              </w:rPr>
              <w:t>Cathy L. Smith, Secretary</w:t>
            </w:r>
          </w:p>
        </w:tc>
        <w:tc>
          <w:tcPr>
            <w:tcW w:w="460" w:type="dxa"/>
            <w:vAlign w:val="bottom"/>
          </w:tcPr>
          <w:p>
            <w:pPr>
              <w:spacing w:after="0"/>
              <w:rPr>
                <w:sz w:val="20"/>
                <w:szCs w:val="20"/>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rPr>
              <w:t>STATE OF IDAHO</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3"/>
              </w:rPr>
              <w:t>) ss.</w:t>
            </w: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County of Ada</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57" w:right="279" w:bottom="382"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3,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November 24,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28, 1987: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ectPr>
          <w:pgSz w:w="11900" w:h="16838" w:orient="portrait"/>
          <w:cols w:equalWidth="0" w:num="1">
            <w:col w:w="11420"/>
          </w:cols>
          <w:pgMar w:left="240" w:top="341" w:right="239" w:bottom="0" w:gutter="0" w:footer="0" w:header="0"/>
        </w:sectPr>
      </w:pPr>
    </w:p>
    <w:bookmarkStart w:id="27" w:name="page28"/>
    <w:bookmarkEnd w:id="27"/>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March,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30,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34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August,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July 27, 1992: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TWELFTH AMENDMENT</w:t>
      </w:r>
    </w:p>
    <w:p>
      <w:pPr>
        <w:sectPr>
          <w:pgSz w:w="11900" w:h="16838" w:orient="portrait"/>
          <w:cols w:equalWidth="0" w:num="1">
            <w:col w:w="11420"/>
          </w:cols>
          <w:pgMar w:left="240" w:top="341"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25" w:lineRule="exact"/>
        <w:rPr>
          <w:sz w:val="20"/>
          <w:szCs w:val="20"/>
          <w:color w:val="auto"/>
        </w:rPr>
      </w:pPr>
    </w:p>
    <w:p>
      <w:pPr>
        <w:ind w:left="660" w:right="24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1,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27, 1994:</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October,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ectPr>
          <w:pgSz w:w="11900" w:h="16838" w:orient="portrait"/>
          <w:cols w:equalWidth="0" w:num="1">
            <w:col w:w="11340"/>
          </w:cols>
          <w:pgMar w:left="240" w:top="125" w:right="319" w:bottom="0" w:gutter="0" w:footer="0" w:header="0"/>
        </w:sectPr>
      </w:pPr>
    </w:p>
    <w:bookmarkStart w:id="30" w:name="page31"/>
    <w:bookmarkEnd w:id="30"/>
    <w:p>
      <w:pPr>
        <w:ind w:right="80"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70"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780" w:right="80" w:firstLine="6"/>
        <w:spacing w:after="0" w:line="312" w:lineRule="auto"/>
        <w:tabs>
          <w:tab w:leader="none" w:pos="10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780" w:right="20" w:firstLine="6"/>
        <w:spacing w:after="0" w:line="283"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6" w:lineRule="exact"/>
        <w:rPr>
          <w:rFonts w:ascii="Arial" w:cs="Arial" w:eastAsia="Arial" w:hAnsi="Arial"/>
          <w:sz w:val="16"/>
          <w:szCs w:val="16"/>
          <w:color w:val="auto"/>
        </w:rPr>
      </w:pPr>
    </w:p>
    <w:p>
      <w:pPr>
        <w:ind w:left="780" w:right="40" w:firstLine="6"/>
        <w:spacing w:after="0" w:line="287" w:lineRule="auto"/>
        <w:tabs>
          <w:tab w:leader="none" w:pos="10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780" w:firstLine="6"/>
        <w:spacing w:after="0" w:line="288" w:lineRule="auto"/>
        <w:tabs>
          <w:tab w:leader="none" w:pos="11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-1745615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31" w:name="page32"/>
    <w:bookmarkEnd w:id="31"/>
    <w:p>
      <w:pPr>
        <w:ind w:left="780" w:right="20"/>
        <w:spacing w:after="0" w:line="290" w:lineRule="auto"/>
        <w:rPr>
          <w:sz w:val="20"/>
          <w:szCs w:val="20"/>
          <w:color w:val="auto"/>
        </w:rPr>
      </w:pPr>
      <w:r>
        <w:rPr>
          <w:rFonts w:ascii="Arial" w:cs="Arial" w:eastAsia="Arial" w:hAnsi="Arial"/>
          <w:sz w:val="16"/>
          <w:szCs w:val="16"/>
          <w:color w:val="auto"/>
        </w:rPr>
        <w:t>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30, 1997: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April 14, 1998:</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4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NINETEENTH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380"/>
          </w:cols>
          <w:pgMar w:left="240" w:top="125" w:right="279" w:bottom="0" w:gutter="0" w:footer="0" w:header="0"/>
        </w:sectPr>
      </w:pPr>
    </w:p>
    <w:bookmarkStart w:id="32" w:name="page33"/>
    <w:bookmarkEnd w:id="32"/>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1998:</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2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5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16, 1999:</w:t>
      </w:r>
    </w:p>
    <w:p>
      <w:pPr>
        <w:spacing w:after="0" w:line="166"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 and 15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to read in their entirety as follows:</w:t>
      </w:r>
    </w:p>
    <w:p>
      <w:pPr>
        <w:spacing w:after="0" w:line="166" w:lineRule="exact"/>
        <w:rPr>
          <w:sz w:val="20"/>
          <w:szCs w:val="20"/>
          <w:color w:val="auto"/>
        </w:rPr>
      </w:pPr>
    </w:p>
    <w:p>
      <w:pPr>
        <w:ind w:left="660" w:firstLine="648"/>
        <w:spacing w:after="0" w:line="270" w:lineRule="auto"/>
        <w:rPr>
          <w:sz w:val="20"/>
          <w:szCs w:val="20"/>
          <w:color w:val="auto"/>
        </w:rPr>
      </w:pPr>
      <w:r>
        <w:rPr>
          <w:rFonts w:ascii="Arial" w:cs="Arial" w:eastAsia="Arial" w:hAnsi="Arial"/>
          <w:sz w:val="17"/>
          <w:szCs w:val="17"/>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8" w:lineRule="exact"/>
        <w:rPr>
          <w:sz w:val="20"/>
          <w:szCs w:val="20"/>
          <w:color w:val="auto"/>
        </w:rPr>
      </w:pPr>
    </w:p>
    <w:p>
      <w:pPr>
        <w:ind w:left="660" w:right="2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ind w:left="660" w:right="64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1999:</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to read in its entirety as follows:</w:t>
      </w:r>
    </w:p>
    <w:p>
      <w:pPr>
        <w:spacing w:after="0" w:line="211" w:lineRule="exact"/>
        <w:rPr>
          <w:sz w:val="20"/>
          <w:szCs w:val="20"/>
          <w:color w:val="auto"/>
        </w:rPr>
      </w:pPr>
    </w:p>
    <w:p>
      <w:pPr>
        <w:ind w:left="660" w:right="8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Board hereby amends Article II, Section 12 of the Company’s Bylaws to read in its entirely as follows:</w:t>
      </w:r>
    </w:p>
    <w:p>
      <w:pPr>
        <w:sectPr>
          <w:pgSz w:w="11900" w:h="16838" w:orient="portrait"/>
          <w:cols w:equalWidth="0" w:num="1">
            <w:col w:w="11400"/>
          </w:cols>
          <w:pgMar w:left="240" w:top="341" w:right="259" w:bottom="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660" w:firstLine="645"/>
        <w:spacing w:after="0" w:line="312" w:lineRule="auto"/>
        <w:tabs>
          <w:tab w:leader="none" w:pos="1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660" w:firstLine="645"/>
        <w:spacing w:after="0" w:line="285" w:lineRule="auto"/>
        <w:tabs>
          <w:tab w:leader="none" w:pos="19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660" w:firstLine="645"/>
        <w:spacing w:after="0" w:line="285" w:lineRule="auto"/>
        <w:tabs>
          <w:tab w:leader="none" w:pos="1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-2693670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5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38" w:orient="portrait"/>
          <w:cols w:equalWidth="0" w:num="1">
            <w:col w:w="11400"/>
          </w:cols>
          <w:pgMar w:left="240" w:top="125" w:right="259" w:bottom="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5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6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III, Section I of the Bylaws of this Company be amended to read in its entirety as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20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April, 2003.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0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66" w:lineRule="exact"/>
        <w:rPr>
          <w:sz w:val="20"/>
          <w:szCs w:val="20"/>
          <w:color w:val="auto"/>
        </w:rPr>
      </w:pPr>
    </w:p>
    <w:p>
      <w:pPr>
        <w:ind w:left="660"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Mr.</w:t>
      </w:r>
      <w:r>
        <w:rPr>
          <w:rFonts w:ascii="Arial" w:cs="Arial" w:eastAsia="Arial" w:hAnsi="Arial"/>
          <w:sz w:val="18"/>
          <w:szCs w:val="18"/>
          <w:b w:val="1"/>
          <w:bCs w:val="1"/>
          <w:color w:val="auto"/>
        </w:rPr>
        <w:t xml:space="preserve"> </w:t>
      </w:r>
      <w:r>
        <w:rPr>
          <w:rFonts w:ascii="Arial" w:cs="Arial" w:eastAsia="Arial" w:hAnsi="Arial"/>
          <w:sz w:val="18"/>
          <w:szCs w:val="18"/>
          <w:color w:val="auto"/>
        </w:rPr>
        <w:t>Ronald C. Foster sit as a member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4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0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2004</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37820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0" w:hanging="332"/>
        <w:spacing w:after="0" w:line="277" w:lineRule="auto"/>
        <w:tabs>
          <w:tab w:leader="none" w:pos="3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2004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June 3,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July 16, 2004</w:t>
            </w:r>
          </w:p>
        </w:tc>
        <w:tc>
          <w:tcPr>
            <w:tcW w:w="7560" w:type="dxa"/>
            <w:vAlign w:val="bottom"/>
            <w:gridSpan w:val="2"/>
          </w:tcPr>
          <w:p>
            <w:pPr>
              <w:ind w:left="240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8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38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June 3,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July 16, 2004</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By: /s/ W. G. Stover, Jr.</w:t>
            </w:r>
          </w:p>
        </w:tc>
        <w:tc>
          <w:tcPr>
            <w:tcW w:w="1900" w:type="dxa"/>
            <w:vAlign w:val="bottom"/>
          </w:tcPr>
          <w:p>
            <w:pPr>
              <w:spacing w:after="0"/>
              <w:rPr>
                <w:sz w:val="20"/>
                <w:szCs w:val="20"/>
                <w:color w:val="auto"/>
              </w:rPr>
            </w:pPr>
          </w:p>
        </w:tc>
      </w:tr>
      <w:tr>
        <w:trPr>
          <w:trHeight w:val="195"/>
        </w:trPr>
        <w:tc>
          <w:tcPr>
            <w:tcW w:w="3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9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W. G. Stover, Jr.</w:t>
            </w:r>
          </w:p>
        </w:tc>
        <w:tc>
          <w:tcPr>
            <w:tcW w:w="190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Vice President of Finance and</w:t>
            </w:r>
          </w:p>
        </w:tc>
        <w:tc>
          <w:tcPr>
            <w:tcW w:w="190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spacing w:after="0"/>
              <w:rPr>
                <w:sz w:val="20"/>
                <w:szCs w:val="20"/>
                <w:color w:val="auto"/>
              </w:rPr>
            </w:pPr>
          </w:p>
        </w:tc>
      </w:tr>
      <w:tr>
        <w:trPr>
          <w:trHeight w:val="321"/>
        </w:trPr>
        <w:tc>
          <w:tcPr>
            <w:tcW w:w="38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lowerLetter"/>
      <w:start w:val="2"/>
    </w:lvl>
    <w:lvl w:ilvl="1">
      <w:lvlJc w:val="left"/>
      <w:lvlText w:val="%2"/>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61"/>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2019-12-13T13:01:59Z</dcterms:created>
  <dcterms:modified xsi:type="dcterms:W3CDTF">2019-12-13T13:01:59Z</dcterms:modified>
</cp:coreProperties>
</file>