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229"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22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229" w:gutter="0" w:footer="0" w:header="0"/>
          <w:type w:val="continuous"/>
        </w:sectPr>
      </w:pP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jc w:val="center"/>
        <w:ind w:right="1439"/>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469" w:right="1440" w:bottom="229" w:gutter="0" w:footer="0" w:header="0"/>
          <w:type w:val="continuous"/>
        </w:sectPr>
      </w:pPr>
    </w:p>
    <w:bookmarkStart w:id="1" w:name="page2"/>
    <w:bookmarkEnd w:id="1"/>
    <w:p>
      <w:pPr>
        <w:ind w:left="606" w:hanging="606"/>
        <w:spacing w:after="0"/>
        <w:tabs>
          <w:tab w:leader="none" w:pos="60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9756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Notice of 2007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4,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NOTICE IS HEREBY GIVEN that the 2007 Annual Meeting of Shareholders of Micron Technology, Inc., a Delaware corporation (the "Company"), will be held on December 4, 2007, at 9:00 a.m., Mountain Standard Time, at the Company's headquarters located at 8000 South Federal Way, Boise, Idaho 83716-9632, for the following purposes:</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Company's 2007 Equity Incentive Plan with 30,000,000 shares reserved for issuance thereunder;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the Company for the fiscal year ending August 28, 2008;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Only shareholders of record at the close of business on October 10, 2007,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97"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39"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6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Roderic W. Lewis</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Counsel &amp;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5, 2007</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3" w:name="page4"/>
    <w:bookmarkEnd w:id="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9756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4, 2007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enclosed proxy is solicited on behalf of the Board of Directors of Micron Technology, Inc. (the "Company"), for use at the 2007 Annual Meeting of Shareholders to be held on December 4, 2007, at 9:00 a.m., Mountain Standard Time, or at any adjournment or postponement thereof (the "Annual Meeting"). The purpose of the Annual Meeting is set forth herein and in the accompanying Notice of 2007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enclosed proxy card are first being distributed on or about November 5, 2007, to all shareholders entitled to vote at the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October 10, 2007 (the "Record Date") are entitled to notice of and to vote at the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internet. The Company intends to use the services of Georgeson, Inc., a proxy solicitation firm, in connection with the solicitation of proxies. Although the exact cost of the solicitation services is not known at this time, it is anticipated that the fees and expenses paid by the Company for these services will be approximately $30,000.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has one class of stock outstanding, common stock, $.10 par value per share (the "Common Stock"). At October 10, 2007, the Record Date, 757,931,820 shares of Common Stock were issued and outstanding and entitled to vote.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Delaware General Corporation Law and the Company's Restated Certificate of Incorporation and its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Proposal 2 and such shares will be considered "broker non-votes" for such proposal.</w:t>
      </w:r>
    </w:p>
    <w:p>
      <w:pPr>
        <w:spacing w:after="0" w:line="197"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seven nominees for director receiving the highest number of "FOR" votes will be elected, regardless of whether any one of them receives the vote of a majority of the Votes Cast. With respect to each other item of business, the "FOR" vote of a majority of the Votes Cast is required in order for such matter to be considered approved by the shareholders.</w:t>
      </w:r>
    </w:p>
    <w:p>
      <w:pPr>
        <w:spacing w:after="0" w:line="194"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8"/>
          <w:szCs w:val="18"/>
          <w:b w:val="1"/>
          <w:bCs w:val="1"/>
          <w:color w:val="auto"/>
        </w:rPr>
        <w:t>If no instructions are given with respect to a properly executed Proxy timely received by the Company, the shares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of the Company's 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Company's 2007 Equity Incentive Plan with 30,000,000 shares reserved for issuance thereunder,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the Independent Registered Public Accounting Firm of the Company for the fiscal year ended August 28, 2008, and (iv) in the discretion of the proxy holders for such other matter or matters which may properly come before the Annual Meeting.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ITEM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Company's Bylaws currently authorize a Board of Directors comprised of seven members. A board of seven directors is to be elected at the Annual Meeting, all of whom have been recommended for nomination by a majority of the independent directors of the Board of Directors and all of whom are currently serving as directors of the Company. Unless otherwise instructed, the proxy holders will vote the proxies received by them for management's seven nominees named below, all of whom are presently directors of the Company.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9"/>
              </w:rPr>
              <w:t>Board Committees*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Served as a</w:t>
            </w: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 of Nominee</w:t>
            </w: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5"/>
                <w:szCs w:val="15"/>
                <w:color w:val="auto"/>
              </w:rPr>
            </w:pPr>
          </w:p>
        </w:tc>
        <w:tc>
          <w:tcPr>
            <w:tcW w:w="4460" w:type="dxa"/>
            <w:vAlign w:val="bottom"/>
            <w:gridSpan w:val="2"/>
          </w:tcPr>
          <w:p>
            <w:pPr>
              <w:ind w:left="1500"/>
              <w:spacing w:after="0"/>
              <w:rPr>
                <w:sz w:val="20"/>
                <w:szCs w:val="20"/>
                <w:color w:val="auto"/>
              </w:rPr>
            </w:pPr>
            <w:r>
              <w:rPr>
                <w:rFonts w:ascii="Arial" w:cs="Arial" w:eastAsia="Arial" w:hAnsi="Arial"/>
                <w:sz w:val="14"/>
                <w:szCs w:val="14"/>
                <w:b w:val="1"/>
                <w:bCs w:val="1"/>
                <w:color w:val="auto"/>
              </w:rPr>
              <w:t>Principal Occupation</w:t>
            </w: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Director Since</w:t>
            </w: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w:t>
            </w: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w:t>
            </w:r>
          </w:p>
        </w:tc>
        <w:tc>
          <w:tcPr>
            <w:tcW w:w="380" w:type="dxa"/>
            <w:vAlign w:val="bottom"/>
            <w:gridSpan w:val="2"/>
          </w:tcPr>
          <w:p>
            <w:pPr>
              <w:ind w:left="120"/>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Managing Director of Sony Foundation for</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2"/>
              </w:rPr>
              <w:t>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Education</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Chairman and Chief Executive Officer of the Company</w:t>
            </w:r>
          </w:p>
        </w:tc>
        <w:tc>
          <w:tcPr>
            <w:tcW w:w="1760" w:type="dxa"/>
            <w:vAlign w:val="bottom"/>
          </w:tcPr>
          <w:p>
            <w:pPr>
              <w:jc w:val="right"/>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Chairman of Lam Research Corporation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Robert L. Bailey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w w:val="96"/>
              </w:rPr>
              <w:t>Chairman, President and Chief Executive Officer of PMC-</w:t>
            </w:r>
          </w:p>
        </w:tc>
        <w:tc>
          <w:tcPr>
            <w:tcW w:w="1760" w:type="dxa"/>
            <w:vAlign w:val="bottom"/>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82"/>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Sierra, Inc.</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5"/>
              </w:rPr>
              <w:t>Senior Vice President and Chief Financial Officer of Avago</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Technologies Limited</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 of CSK Auto</w:t>
            </w:r>
          </w:p>
        </w:tc>
        <w:tc>
          <w:tcPr>
            <w:tcW w:w="1760" w:type="dxa"/>
            <w:vAlign w:val="bottom"/>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360" w:type="dxa"/>
            <w:vAlign w:val="bottom"/>
          </w:tcPr>
          <w:p>
            <w:pPr>
              <w:ind w:left="240"/>
              <w:spacing w:after="0"/>
              <w:rPr>
                <w:sz w:val="20"/>
                <w:szCs w:val="20"/>
                <w:color w:val="auto"/>
              </w:rPr>
            </w:pPr>
            <w:r>
              <w:rPr>
                <w:rFonts w:ascii="Arial" w:cs="Arial" w:eastAsia="Arial" w:hAnsi="Arial"/>
                <w:sz w:val="18"/>
                <w:szCs w:val="18"/>
                <w:color w:val="auto"/>
                <w:w w:val="82"/>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Corporation</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 of ADC</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2"/>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Telecommunications, Inc.</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-2063750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-2063750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-1815465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-1815465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-1815465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-1815465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-1815465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-1815465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-1815465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-1815465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-1815465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-1815465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-1815465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-1815465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 Audit Committee, C = Compensation Committee, G = Governance Committee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is Executive Managing Director of Sony Foundation for Education. Dr. Aoki has been associated with Sony since 1970 and has held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Governance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and has served in various capacities with the Company and its subsidiaries. Mr. Appleton first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an officer of the Company in August 1989 and 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Executive Chairman of Lam Research Corporation ("Lam"), a supplier of semiconductor manufacturing equipment, in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June 2005. From 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19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has served as the President and Chief Executive Officer of PMC-Sierra, a leading provider of broadband communication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solutions for the next-generation Internet, since July 1997. He has been Chairman of the Board since May 2005 and was also Chairman from February 2000 until February 2003. Mr. Bailey has been a director of PMC since October 1996. Mr. Bailey has served as President, Chief Executive Officer and director of PMC-Sierra, Ltd., PMC's Canadian operating subsidiary ("LTD") since December 1993. Mr. Bailey was employed by AT&amp;T-Microelectronics from August 1989 to November 1993, where he served as Vice President and General Manager, and by Texas Instruments in management from June 1979 to August 1989. Mr. Bailey holds a BS degree in Electrical Engineering from the University of Bridgeport and an MBA from the University of Dallas.</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has served as the Senior Vice President and Chief Financial Officer of Avago Technologies Limited, a semiconductor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2005.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 Ms. Johnson served as the Chairman of the Board's Audit Committee in fiscal 2007.</w:t>
      </w:r>
    </w:p>
    <w:p>
      <w:pPr>
        <w:spacing w:after="0" w:line="170"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currently serves as the President and Chief Executive Officer of CSK Auto Corporation, ("CSK"), a specialty retailer of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aftermarket parts. Prior to his appointment at CSK, Mr. Mondry served as the Chief Executive Officer of CompUSA Inc. from November 2003 to May 2006. Mr. Mondry joined CompUSA in 1990. Mr. Mondry currently serves on the Board of Directors of CSK. Mr. Mondry is the Chairman of the Board's Compensation Committee.</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is currently President and Chief Executive Officer of ADC Telecommunications, Inc., ("ADC"), a supplier of network infrastructure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Mr. Switz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 and served as the Chairman of the Board's Governance Committee in fiscal 2007.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During portions of fiscal 2007, Robert A. Lothrop, Gordon C. Smith and William P. Weber served as members of the Company's Board of Directors.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Board of Directors has adopted a Code of Business Conduct and Ethics that is applicable to all directors, officers and employees of the Company. A copy of the Micron Code of Business Conduct and Ethics is available on the Company's website at www.micron.com/code and is also available in print upon request. Any amendments or waivers of the Code of Business Conduct and Ethics will also be posted on the Company's website within four business days of the amendment or waiver as required by applicable rules and regulations of the SEC and NYSE Listing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current NYSE rules, a director only qualifies as "independent" if the Company's Board of Directors affirmatively determines that the director has no material relationship with the Company (either directly or as a partner, shareholder or officer of an organization that has a relationship with the Company). A director is not independent under Section 303A.02(b) of the NYSE List Company Manual if:</w:t>
      </w:r>
    </w:p>
    <w:p>
      <w:pPr>
        <w:spacing w:after="0" w:line="208" w:lineRule="exact"/>
        <w:rPr>
          <w:sz w:val="20"/>
          <w:szCs w:val="20"/>
          <w:color w:val="auto"/>
        </w:rPr>
      </w:pPr>
    </w:p>
    <w:p>
      <w:pPr>
        <w:ind w:left="1080" w:right="2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the Company, or an immediate family member is, or has been within the last three years, an executive officer of the Company.</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director has received, or has an immediate family member who has received, during any twelve-month period within the last three years, more than $100,000 in direct compensation from the Company, other than director and committee fees and pension or other forms of deferred compensation for prior service (provided such compensation is not contingent in any way on continued service).</w:t>
      </w:r>
    </w:p>
    <w:p>
      <w:pPr>
        <w:spacing w:after="0" w:line="174"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The director or an immediate family member is a current partner of a firm that is the Company's internal or external auditor; (B) the director is a current employee of such a firm; (C) the director has an immediate family member who is a current employee of such a firm and who participates in the firm's audit, assurance or tax compliance (but not tax planning) practice; or (D) the director or an immediate family member was within the last three years (but is no longer) a partner or employee of such a firm and personally worked on the Company's audit within that time.</w:t>
      </w:r>
    </w:p>
    <w:p>
      <w:pPr>
        <w:spacing w:after="0" w:line="180" w:lineRule="exact"/>
        <w:rPr>
          <w:rFonts w:ascii="Arial" w:cs="Arial" w:eastAsia="Arial" w:hAnsi="Arial"/>
          <w:sz w:val="16"/>
          <w:szCs w:val="16"/>
          <w:color w:val="auto"/>
        </w:rPr>
      </w:pPr>
    </w:p>
    <w:p>
      <w:pPr>
        <w:ind w:left="1080" w:right="38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w:t>
      </w:r>
    </w:p>
    <w:p>
      <w:pPr>
        <w:spacing w:after="0" w:line="143" w:lineRule="exact"/>
        <w:rPr>
          <w:rFonts w:ascii="Arial" w:cs="Arial" w:eastAsia="Arial" w:hAnsi="Arial"/>
          <w:sz w:val="15"/>
          <w:szCs w:val="15"/>
          <w:color w:val="auto"/>
        </w:rPr>
      </w:pPr>
    </w:p>
    <w:p>
      <w:pPr>
        <w:ind w:left="1080" w:right="1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 is a current employee, or an immediate family member is a current executive officer, of a company that has made payments to, or received payments from, the listed company for property or services in an amount which, in any of the last three fiscal years, exceeds the greater of $1 million, or 2% of such other company's consolidated gross revenues.</w:t>
      </w:r>
    </w:p>
    <w:p>
      <w:pPr>
        <w:spacing w:after="0" w:line="194" w:lineRule="exact"/>
        <w:rPr>
          <w:sz w:val="20"/>
          <w:szCs w:val="20"/>
          <w:color w:val="auto"/>
        </w:rPr>
      </w:pPr>
    </w:p>
    <w:p>
      <w:pPr>
        <w:jc w:val="both"/>
        <w:ind w:right="620" w:firstLine="348"/>
        <w:spacing w:after="0" w:line="259" w:lineRule="auto"/>
        <w:rPr>
          <w:sz w:val="20"/>
          <w:szCs w:val="20"/>
          <w:color w:val="auto"/>
        </w:rPr>
      </w:pPr>
      <w:r>
        <w:rPr>
          <w:rFonts w:ascii="Arial" w:cs="Arial" w:eastAsia="Arial" w:hAnsi="Arial"/>
          <w:sz w:val="18"/>
          <w:szCs w:val="18"/>
          <w:color w:val="auto"/>
        </w:rPr>
        <w:t>The guidelines provide that ownership of a significant amount of the Company's stock, by itself, does not constitute a material relationship with the Company. For relationships not covered by the guidelines set forth above, the determination of whether a material relationship exists is made by the other members of the Company's Board of Directors who are independent.</w:t>
      </w:r>
    </w:p>
    <w:p>
      <w:pPr>
        <w:spacing w:after="0" w:line="19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October 31, 2007, the Company's Board of Directors has determined that each of Messrs. Bailey, Mondry, Switz, and Dr. Aoki is "independent" within the meaning of Section 303A.02(b) of the NYSE Listed Company Manual. Each of these directors has no relationship with the Company, other than any relationship that is categorically not material under the guidelines shown above and other than as disclosed in this Proxy Statement under "Compensation of Directors" and "Certain Relationships and Related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31"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Board of Directors of the Company held five meetings during fiscal 2007. The Board of Directors met in Executive Session five times during fiscal 2007. In fiscal 2007, the Board of Directors had a standing Audit Committee, Governance Committee and Compensation Committee. During fiscal 2007, the Audit Committee met twelve times, the Compensation Committee met two times and the Governance Committee met once. In addition to formal committee meetings, the chairmen of the committees engaged in regular discussions with management regarding various issues relevant to their respective committees. All incumbent directors attended 75% or more of the aggregate of (i) the total number of meetings of the Board of Directors and (ii) the total number of meetings of all committees of the Board on which they served, during fiscal 2007. Eight directors attended the Company's Annual Meeting of Shareholders in 2006.</w:t>
      </w:r>
    </w:p>
    <w:p>
      <w:pPr>
        <w:spacing w:after="0" w:line="15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Audit Committee, the Governance Committee and the Compensation Committee each have written charters that comply with federal and NYSE rules relating to corporate governance matters. Copies of the committee charters as well as the Company's Corporate Governance Guidelines are available on the Company's website at www.micron.com and are also available in print upon request. The Board has determined that all the members of the Audit Committee, the Governance Committee, and the Compensation Committee satisfy the independence requirements of applicable federal laws and the listing standards of the NYSE for such committees.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Messrs. Bailey, Mondry and Switz currently serve on the Audit Committee. On October 31, 2007, Mr. Switz was named Chairman of the Audit Committee and Mr. Bailey was appointed to the Audit Committee. Ms. Johnson served as the Chairman of the Audit Committee throughout fiscal 2007 and until the appointment of Mr. Switz. The Board has determined that Messrs. Bailey, Mondry and Switz each qualifies as an "audit committee financial expert" for purposes of the rules and regulations of the Securities and Exchange Commission. The purpose of the Audit Committee is to assist the Board in overseeing and monitoring</w:t>
      </w:r>
    </w:p>
    <w:p>
      <w:pPr>
        <w:spacing w:after="0" w:line="3" w:lineRule="exact"/>
        <w:rPr>
          <w:sz w:val="20"/>
          <w:szCs w:val="20"/>
          <w:color w:val="auto"/>
        </w:rPr>
      </w:pPr>
    </w:p>
    <w:p>
      <w:pPr>
        <w:ind w:right="300" w:firstLine="8"/>
        <w:spacing w:after="0" w:line="290"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www.micron.com and is also available in print upon request to corporatesecretary@micron.com. A copy of the Audit Committee charter was included as an appendix to the Company's 2006 Proxy Statement.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Dr. Aoki, and Messrs. Bailey, Mondry and Switz currently serve on the Governance Committee. Dr. Aoki is the Chairman of the Governance Committee. The responsibilities of the Governance Committee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Committee are set forth in its written charter, which is available at www.micron.com and is also available in print upon request to corporatesecretary@micron.com.</w:t>
      </w:r>
    </w:p>
    <w:p>
      <w:pPr>
        <w:spacing w:after="0" w:line="197" w:lineRule="exact"/>
        <w:rPr>
          <w:sz w:val="20"/>
          <w:szCs w:val="20"/>
          <w:color w:val="auto"/>
        </w:rPr>
      </w:pPr>
    </w:p>
    <w:p>
      <w:pPr>
        <w:jc w:val="both"/>
        <w:ind w:right="520" w:firstLine="348"/>
        <w:spacing w:after="0" w:line="306" w:lineRule="auto"/>
        <w:rPr>
          <w:sz w:val="20"/>
          <w:szCs w:val="20"/>
          <w:color w:val="auto"/>
        </w:rPr>
      </w:pPr>
      <w:r>
        <w:rPr>
          <w:rFonts w:ascii="Arial" w:cs="Arial" w:eastAsia="Arial" w:hAnsi="Arial"/>
          <w:sz w:val="16"/>
          <w:szCs w:val="16"/>
          <w:color w:val="auto"/>
        </w:rPr>
        <w:t>The Governance Committee is responsible for identifying nominees for the Company's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t>excellent interpersonal skills; business relationships with key individuals in industry, government and education that may be of significant assistance to the Company and its operations; familiarity with accounting rules and practices; and "independence" as defined and required by NYSE Listing Application Standards and relevant rules and regulations of the SEC. In fiscal 2006, the Board of Directors determined that it would be advisable to add additional members to the Board. To that end, the Governance Committee works with a third party executive search firm to assist them in the identification and evaluation of potential candidates to the Company's Board of Directors. As a result of the Governance Committee's efforts and the executive search firm's efforts, Dr. Aoki and Mr. Switz were added to the Company's Board of Directors in 2006. It is currently anticipated that additional candidates will join the Company's Board of Directors in fiscal 2008.</w:t>
      </w:r>
    </w:p>
    <w:p>
      <w:pPr>
        <w:spacing w:after="0" w:line="20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Governance Committee will consider director nominee recommendations from shareholders. Shareholder recommendations are subject to the same criteria used to evaluate other candidates. Shareholders wishing to recommend a prospective nominee should submit the candidate's name and qualifications to the Company's Corporate Secretary at corporatesecretary@micron.com. The Company's Bylaws contain the provisions that address the process by which a shareholder may actually nominate an individual to stand for election to the Company's Board of Directors. A copy of the Company's Bylaws can be found on the Corporate Governance page of its website at www.micron.com and is available in print upon request to corporatesecretary@micron.com. During fiscal 2007, the Company did not receive any director nominations from shareholders.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Mr. Mondry and Dr. Aoki currently serve on the Compensation Committee of the Board of Directors. Mr. Mondry is the Chairman of the Compensation Committee. The Compensation Committee is responsible for reviewing and approving the compensation of the Company's officers. See the "Compensation Discussion and Analysis" and the "Report of the Compensation Committee on Executive Compensation" for information how the Compensation Committee sets executive compensation levels. The complete duties of the Compensation Committee are set forth in its written charter, which is available at www.micron.com and is also available in print upon request to corporatesecretary@micron.com.</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Sessions and Communications with the Board</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Board of Directors meets regularly in executive sessions in which only non-employee directors are present. On October 9, 2007, Mr. Bagley was reappointed to preside at these executive sessions for fiscal 2008. He has served as presiding director since September 2002. Shareholders and interested parties wishing to communicate with the Company's Board of Directors may contact Mr. Bagley at presidingdirector@micron.com.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360" w:firstLine="348"/>
        <w:spacing w:after="0" w:line="291" w:lineRule="auto"/>
        <w:rPr>
          <w:sz w:val="20"/>
          <w:szCs w:val="20"/>
          <w:color w:val="auto"/>
        </w:rPr>
      </w:pPr>
      <w:r>
        <w:rPr>
          <w:rFonts w:ascii="Arial" w:cs="Arial" w:eastAsia="Arial" w:hAnsi="Arial"/>
          <w:sz w:val="16"/>
          <w:szCs w:val="16"/>
          <w:color w:val="auto"/>
        </w:rPr>
        <w:t>The Governance Committee of the Board of Directors oversees the setting of compensation for the Company's non-employee members of its Board of Directors. In fiscal 2007, the Governance Committee worked with Mercer (formerly Mercer Human Resources Consulting, Inc.), an outside compensation consultant, to review and evaluate director compensation in light of prevailing market conditions. Mercer gathered compensation data from the Company's custom peer group of companies as well as from the 2006 Mercer Study of 350 large US public companies. (For a discussion of the peer group of companies, please see the Compensation Discussion and Analysis.) In September 2006, as a result of this evaluation, the Board of Directors approved the Governance Committee's recommendation that they:</w:t>
      </w:r>
    </w:p>
    <w:p>
      <w:pPr>
        <w:spacing w:after="0" w:line="18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 the annual stock option grant with an award of restricted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Determine the amount of the annual restricted stock award on a pre-determined dollar value as opposed to a targeted number of shares.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immediate vesting of director equity awards upon termination due to retirement.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cash retainer for the Chair of the Audit Committee from $10,000 to $15,000.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value of the annual equity award from $184,200 to $225,000.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Leave the annual retainer unchanged at $50,000.</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October 2007, the Governance Committee reviewed the Company's director compensation practices with Mercer and concluded that changes to the program were not warranted.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31"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i w:val="1"/>
          <w:iCs w:val="1"/>
          <w:color w:val="auto"/>
        </w:rPr>
        <w:t xml:space="preserve">Annual Retainer. </w:t>
      </w:r>
      <w:r>
        <w:rPr>
          <w:rFonts w:ascii="Arial" w:cs="Arial" w:eastAsia="Arial" w:hAnsi="Arial"/>
          <w:sz w:val="16"/>
          <w:szCs w:val="16"/>
          <w:color w:val="auto"/>
        </w:rPr>
        <w:t>Directors who are not employees of the Company are entitled to receive an annual retainer of $50,000. Pursuant to the Company's 1998</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Stock Incentive Plan ("DSIP"), non-employee directors may elect to take some or all of their annual retainer in the form of cash, shares of Common Stock or deferred rights to receive Common Stock upon termination as a director. During the period from October 1, 2006 to October 1, 2007,</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Ms. Johnson and Mr. Smith received 5,272 shares and 224 shares, respectively, of Common Stock under the DSIP. During the same period, Mr. Bagley deferred the receipt of 4,056 shares of Common Stock under the DSIP. Directors who are employees of the Company receive no additional or special remuneration for their service as directors.</w:t>
      </w:r>
    </w:p>
    <w:p>
      <w:pPr>
        <w:spacing w:after="0" w:line="19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also reimburses directors for travel and lodging expenses, if any, incurred in connection with attendance at Board of Directors' meetings. The chairman of the Audit Committee receives $15,000 per year for service as committee chair. The chairman of the Governance Committee and the Compensation Committee each receive $10,000 per year for their services as committee chair. Except for the foregoing, directors do not receive any additional or special remuneration for their service on any of the committees established by the Board of Directors.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Equity Award. </w:t>
      </w:r>
      <w:r>
        <w:rPr>
          <w:rFonts w:ascii="Arial" w:cs="Arial" w:eastAsia="Arial" w:hAnsi="Arial"/>
          <w:sz w:val="16"/>
          <w:szCs w:val="16"/>
          <w:color w:val="auto"/>
        </w:rPr>
        <w:t>In fiscal 2007, a "targeted value" for annual non-employee director compensation was established as opposed to a set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Following discussion of relevant data with Mercer, the Board determined that such targeted value should be $225,000. Based on this amount for fiscal 2007, the Board approved an award of 12,583 shares of restricted Common Stock to each of the directors, derived by dividing the targeted value of $225,000 by the Fair Market Value, as defined under the Company's equity plans, of the Company's Common Stock. For purposes of the Company's equity plans, "Fair Market Value" equals the average closing price of the Company's Common Stock on the last trading day prior to the date of grant. The restrictions on the shares awarded for fiscal 2007 will lapse as to 50% of such shares on the first anniversary of the date of grant and the remaining 50% as of the second anniversary of the date of grant (the "Vesting Period"). Notwithstanding the foregoing, the restrictions as to the fiscal 2007 shares will lapse as to 100% of such shares in the event a director either reaches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20"/>
        <w:spacing w:after="0" w:line="268" w:lineRule="auto"/>
        <w:rPr>
          <w:sz w:val="20"/>
          <w:szCs w:val="20"/>
          <w:color w:val="auto"/>
        </w:rPr>
      </w:pPr>
      <w:r>
        <w:rPr>
          <w:rFonts w:ascii="Arial" w:cs="Arial" w:eastAsia="Arial" w:hAnsi="Arial"/>
          <w:sz w:val="18"/>
          <w:szCs w:val="18"/>
          <w:color w:val="auto"/>
        </w:rPr>
        <w:t>mandatory retirement age during the Vesting Period or retires from the Board during the Vesting Period having achieved a minimum of three years of service with the Board of Directors prior to the effective date of his or her retirement.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Summary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non-employee directors in fiscal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Fees Earned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or Paid in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jc w:val="right"/>
              <w:ind w:right="1060"/>
              <w:spacing w:after="0" w:line="149" w:lineRule="exact"/>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Cash</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Awards(1)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Compensation</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139,867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4,426(2)$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260,174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171,715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Robert A. Lothrop(3)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William P. Weber(3)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-1266190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-1266190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-1266190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-1266190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-1266190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-1266190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-1266190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-1266190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-1266190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80" w:hanging="532"/>
        <w:spacing w:after="0" w:line="289"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26, 2006, each director who was not an employee of the company was granted 12,583 shares of restricted stock with a grant date fair value of $224,984 ($17.88 per share). Amount shown is the expense recognized in the Company's financial statements for fiscal 2007 under Statement of Financial Accounting Standards ("SFAS") No. 123(R), "Share-Based Payments," related to each director's outstanding restricted stock. The expense shown for these stock awards is based solely on the stock price as of the date of grant, disregarding any assumptions as to estimated forfeitures based on continued service. For information on the restrictions associated with these awards, see "Elements of Director Compensation—Equity Awards" above. Specific amounts expensed for each director vary as a result of the director's holdings, length of service and age. Any dividends payable with respect to the Company's Common Stock will be payable with respect to all awards of restricted stock. The total number of restricted shares and options held as of August 30, 2007 for each non-employee director was as follows:</w:t>
      </w:r>
    </w:p>
    <w:p>
      <w:pPr>
        <w:spacing w:after="0" w:line="200" w:lineRule="exact"/>
        <w:rPr>
          <w:sz w:val="20"/>
          <w:szCs w:val="20"/>
          <w:color w:val="auto"/>
        </w:rPr>
      </w:pPr>
    </w:p>
    <w:p>
      <w:pPr>
        <w:spacing w:after="0" w:line="211"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5980" w:type="dxa"/>
            <w:vAlign w:val="bottom"/>
            <w:gridSpan w:val="3"/>
          </w:tcPr>
          <w:p>
            <w:pPr>
              <w:ind w:left="9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Restricted Stock</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15,083</w:t>
            </w:r>
          </w:p>
        </w:tc>
        <w:tc>
          <w:tcPr>
            <w:tcW w:w="800" w:type="dxa"/>
            <w:vAlign w:val="bottom"/>
          </w:tcPr>
          <w:p>
            <w:pPr>
              <w:jc w:val="right"/>
              <w:spacing w:after="0"/>
              <w:rPr>
                <w:sz w:val="20"/>
                <w:szCs w:val="20"/>
                <w:color w:val="auto"/>
              </w:rPr>
            </w:pPr>
            <w:r>
              <w:rPr>
                <w:rFonts w:ascii="Arial" w:cs="Arial" w:eastAsia="Arial" w:hAnsi="Arial"/>
                <w:sz w:val="18"/>
                <w:szCs w:val="18"/>
                <w:color w:val="auto"/>
              </w:rPr>
              <w:t>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15,083</w:t>
            </w:r>
          </w:p>
        </w:tc>
        <w:tc>
          <w:tcPr>
            <w:tcW w:w="800" w:type="dxa"/>
            <w:vAlign w:val="bottom"/>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-923290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-923290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-923290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-923290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-923290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-923290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options are fully vested and exercisable.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amount incurred to cover tax services provided by Deloitte Touche Tohmatsu Japan.</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Lothrop and Weber resigned from the Board of Directors effective December 5, 2006. Mr. Smith resigned from the Board of Directors on July 25, 2007. Messrs. Lothrop, Weber and Smith did not hold any options or restricted stock at August 30,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ITEM 2—APPROVAL OF 2007 EQUITY INCENTIVE PLAN</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2007 Equity Incentive Plan was adopted by the Board of Directors on October 9, 2007, with 30,000,000 shares reserved for issuance thereunder. As of October 10, 2007, there were approximately 19,600 employees eligible to participate in the 2007 Equity Incentive Plan. Officers are not eligible to participate in the 2007 Equity Incentive Plan.</w:t>
      </w:r>
    </w:p>
    <w:p>
      <w:pPr>
        <w:spacing w:after="0" w:line="194"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purpose of the plan is to promote the Company's success by linking the personal interests of its employees, non-employee directors and consultants to those of the Company's shareholders, and by providing participants with an incentive for outstanding performance. Officers of the Company are not eligible to participate in the plan.</w:t>
      </w:r>
    </w:p>
    <w:p>
      <w:pPr>
        <w:spacing w:after="0" w:line="194" w:lineRule="exact"/>
        <w:rPr>
          <w:sz w:val="20"/>
          <w:szCs w:val="20"/>
          <w:color w:val="auto"/>
        </w:rPr>
      </w:pPr>
    </w:p>
    <w:p>
      <w:pPr>
        <w:ind w:left="360"/>
        <w:spacing w:after="0"/>
        <w:tabs>
          <w:tab w:leader="none" w:pos="1940" w:val="left"/>
        </w:tabs>
        <w:rPr>
          <w:sz w:val="20"/>
          <w:szCs w:val="20"/>
          <w:color w:val="auto"/>
        </w:rPr>
      </w:pPr>
      <w:r>
        <w:rPr>
          <w:rFonts w:ascii="Arial" w:cs="Arial" w:eastAsia="Arial" w:hAnsi="Arial"/>
          <w:sz w:val="18"/>
          <w:szCs w:val="18"/>
          <w:i w:val="1"/>
          <w:iCs w:val="1"/>
          <w:color w:val="auto"/>
        </w:rPr>
        <w:t>Permissible Awards.</w:t>
      </w:r>
      <w:r>
        <w:rPr>
          <w:sz w:val="20"/>
          <w:szCs w:val="20"/>
          <w:color w:val="auto"/>
        </w:rPr>
        <w:tab/>
      </w:r>
      <w:r>
        <w:rPr>
          <w:rFonts w:ascii="Arial" w:cs="Arial" w:eastAsia="Arial" w:hAnsi="Arial"/>
          <w:sz w:val="16"/>
          <w:szCs w:val="16"/>
          <w:color w:val="auto"/>
        </w:rPr>
        <w:t>The plan authorizes the grant of awards in any of the following forms:</w:t>
      </w:r>
    </w:p>
    <w:p>
      <w:pPr>
        <w:spacing w:after="0" w:line="239" w:lineRule="exact"/>
        <w:rPr>
          <w:sz w:val="20"/>
          <w:szCs w:val="20"/>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Options to purchase shares of Common Stock, which may be nonstatutory stock options or incentive stock options under the U.S. Internal Revenue Code of 1986, as amended (the "Code"). The exercise price of an option granted under the plan may not be less than the fair market value of the Company's Common Stock on the date of grant.</w:t>
      </w:r>
    </w:p>
    <w:p>
      <w:pPr>
        <w:spacing w:after="0" w:line="221"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shares, which are units valued by reference to a designated number of shares of Common Stock upon the attainment of performance goals set by the Compensation Committee of the Board of Directors (the "Committee").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 equivalent rights, which entitle the participant to payments in cash or property calculated by reference to the amount of dividends paid on the shares of stock underlying an award.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right or interest relating to Stock.</w:t>
      </w:r>
    </w:p>
    <w:p>
      <w:pPr>
        <w:spacing w:after="0" w:line="225"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All awards will be evidenced by a written award certificate between the Company and the participant, which will include such provisions as may be specified by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Subject to adjustment as provided in the plan, the aggregate number of shares of Common Stock reserved and available for issuance pursuant to awards granted under the plan is 30,000,000. The maximum number of shares that may be issued to one person upon exercise of incentive stock options granted under the plan is 2,000,000. </w:t>
      </w:r>
      <w:r>
        <w:rPr>
          <w:rFonts w:ascii="Arial" w:cs="Arial" w:eastAsia="Arial" w:hAnsi="Arial"/>
          <w:sz w:val="16"/>
          <w:szCs w:val="16"/>
          <w:i w:val="1"/>
          <w:iCs w:val="1"/>
          <w:color w:val="auto"/>
        </w:rPr>
        <w:t>Each share issued pursuant to "full value" awards, such as restricted stock, unrestricted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180"/>
        <w:spacing w:after="0" w:line="268" w:lineRule="auto"/>
        <w:rPr>
          <w:sz w:val="20"/>
          <w:szCs w:val="20"/>
          <w:color w:val="auto"/>
        </w:rPr>
      </w:pPr>
      <w:r>
        <w:rPr>
          <w:rFonts w:ascii="Arial" w:cs="Arial" w:eastAsia="Arial" w:hAnsi="Arial"/>
          <w:sz w:val="18"/>
          <w:szCs w:val="18"/>
          <w:i w:val="1"/>
          <w:iCs w:val="1"/>
          <w:color w:val="auto"/>
        </w:rPr>
        <w:t>stock, restricted stock units, deferred stock units, performance shares, or other stock-based awards payable in stock, reduces the number of shares available for grant by two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2007 Equity Incentive Plan is 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$1,000,000 deduction limit imposed by Code Section 162(m). If an award is so designated, the Committee must establish objectively determinable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goals for the award. Performance goals for such awards shall be based on one or more of the following financial, strategic and operational business criteria:</w:t>
      </w:r>
    </w:p>
    <w:p>
      <w:pPr>
        <w:spacing w:after="0" w:line="25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ind w:left="1080" w:right="4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certain qualified terminations of employment, waive the achievement of any specified goal. Mid-term adjustments of a performance target are permitted only in the case of a corporate transaction or other event of the type that triggers an adjustment in stock based awards (as discussed below under "Adjustments").</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Committee may determine that any evaluation of performance will include, exclude or otherwise equitably adjust for unusual and non-recurring financial events such as asset write-downs or impairment charges; litigation or claim judgments or settlements;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However, in order to meet the requirements of Section 162(m), in the event the Committee determines to include or exclude such unusual and nonrecurring events when measuring actual results,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2007 Equity Incentive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5" w:name="page16"/>
    <w:bookmarkEnd w:id="15"/>
    <w:p>
      <w:pPr>
        <w:ind w:firstLine="351"/>
        <w:spacing w:after="0" w:line="287"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provided, however, that the Committee shall not exercise such discretion with respect to restricted stock or restricted stock units that in the aggregate exceed 5% of the shares available for issuance under the plan (excluding from this calculation restricted shares or restricted stock units granted to non-employee directors or accelerations of vesting upon a change in control or other corporate transaction or restructuring, or a participant's death or disability or termination of employment for the convenience or in the bests interests of the Company). The Committee may discriminate among participants or among awards in exercising such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event of a stock split, a dividend payable in shares of Common Stock, or a combination or consolidation of the Common Stock into a lesser number of shares,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an extraordinary cash dividend, recapitalization, reorganization, merger, consolidation, split-up, spin-off, combination or exchange of shares, the share authorization limits under the plan (including the number of shares reserved for issuance and the annual grant limits) will be adjusted proportionately, and the Committee shall adjust outstanding awards to preserve the benefits or potential benefits of the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2007 Equity Incentive Plan was approved by the Company's Board of Directors in October 2007 and is being submitted to the Company's shareholders at the 2007 Annual Meeting. The 2007 Equity Incentive Plan has a term of ten years,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 plan, materially extend the term of the plan or otherwise constitute a material amendment requiring shareholder approval under applicable listing requirements, laws, policies or regulations, then such amendment will be subject to shareholder approval. No termination or amendment of the plan may adversely affect any award previously granted under the plan without the written consent of the participant.</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3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indicated above under "Termination and Amendment," outstanding stock options cannot be repriced, directly or indirectly, without the prior consent of the Company's shareholders. The exchange of an "underwater" option (i.e., an option having an exercise price in excess of the current market value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underling stock) for another award would be considered an indirect repricing and would, therefore, require the prior consent of the Company's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31"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plan and the subsequent sale of Common Stock 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There typically will be no federal income tax consequences to the optionee or to the Company upon the grant or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 subject to any applicable limitations under Code Section 162(m).</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the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right="180"/>
        <w:spacing w:after="0" w:line="259" w:lineRule="auto"/>
        <w:rPr>
          <w:sz w:val="20"/>
          <w:szCs w:val="20"/>
          <w:color w:val="auto"/>
        </w:rPr>
      </w:pPr>
      <w:r>
        <w:rPr>
          <w:rFonts w:ascii="Arial" w:cs="Arial" w:eastAsia="Arial" w:hAnsi="Arial"/>
          <w:sz w:val="18"/>
          <w:szCs w:val="18"/>
          <w:color w:val="auto"/>
        </w:rPr>
        <w:t>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recognize income, and the Company will not be allowed a tax deduction, at the time a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Deferred Stock Units. </w:t>
      </w:r>
      <w:r>
        <w:rPr>
          <w:rFonts w:ascii="Arial" w:cs="Arial" w:eastAsia="Arial" w:hAnsi="Arial"/>
          <w:sz w:val="16"/>
          <w:szCs w:val="16"/>
          <w:color w:val="auto"/>
        </w:rPr>
        <w:t>A participant will not recognize income, and the Company will not be allowed a tax deduction, at the time a deferred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The plan permits the grant of various types of incentive awards, which may or may not be exempt from Code Section 409A. If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subject to Section 409A, and if the requirements of Section 409A are not met, the taxable events as described above could apply earlier than described, and could result in the imposition of additional taxes and penalties. Restricted stock awards, and stock options and stock appreciation rights that comply with the terms of the plan are designed to be exempt from the application of Code Section 409A. Restricted stock units, deferred stock units and performance shares granted under the plan would be subject to Section 409A unless they are designed to satisfy the short-term deferral exemption from such law. If not exempt, such awards must be specially designed to meet the requirements of Section 409A in order to avoid early taxation and penalties.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Officers of the Company are not eligible to participate in the 2007 Equity Incentive Plan and therefore will not receive any benefits under the plan. No awards will be granted under the 2007 Equity Incentive Plan unless and until the plan has been approved by the Company's shareholders. All awards under the plan will be made at the discretion of the Committee. Therefore, it is not presently possible to determine the benefits or amounts that will be received by any individuals or groups pursuant to the Plan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Approval of the 2007 Equity Incentive Plan will require the affirmative vote of the holders of a majority of the shares of Common Stock that are represented in person or by proxy at the 2007 Annual Meeting. If the 2007 Equity Incentive Plan is approved by the shareholders, it will be effective as of the date of the 2007 Annual Meeting. If shareholders do not approve the 2007 Equity Incentive Plan, it will not become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voting "FOR" approval of the 2007 Equity Incentive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ITEM 3—RATIFICATION OF PRICEWATERHOUSECOOPERS LLP</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Audit Committee of the Board has retained PricewaterhouseCoopers LLP ("PwC") as the Company's Independent Registered Public Accounting Firm to audit the consolidated financial statements of the Company for the fiscal year ending August 28, 2008. PwC and its predecessor, Coopers and 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will have the opportunity to make a statement if they so desire, and are expected to be available to respond to appropriate questions.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to the Company for services performed by PwC for fiscal 2007 and 2006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w w:val="88"/>
              </w:rPr>
              <w:t>(amounts in millions)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Audit-related fees(2)</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All other fees</w:t>
            </w:r>
          </w:p>
        </w:tc>
        <w:tc>
          <w:tcPr>
            <w:tcW w:w="5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-1275080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-1275080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-1275080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-1275080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right="12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fees related to the audit of the Company's financial statements, fees for services provided in connection with statutory and regulatory filings and fees for attestation services related to the Company's internal control over financial reporting as required by the Sarbanes-Oxley Act of 2002.</w:t>
      </w:r>
    </w:p>
    <w:p>
      <w:pPr>
        <w:spacing w:after="0" w:line="166" w:lineRule="exact"/>
        <w:rPr>
          <w:rFonts w:ascii="Arial" w:cs="Arial" w:eastAsia="Arial" w:hAnsi="Arial"/>
          <w:sz w:val="16"/>
          <w:szCs w:val="16"/>
          <w:color w:val="auto"/>
        </w:rPr>
      </w:pPr>
    </w:p>
    <w:p>
      <w:pPr>
        <w:ind w:left="540" w:right="56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fiscal 2007, primarily reflects fees for audits of supply arrangements. For fiscal 2006, primarily reflects due diligence related to the Company's acquisition of Lexar Media, Inc.</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reflects fees for expatriate tax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the Company by the independent auditors, except for such de minimis non-audit services for which the pre-approved requirements are waived in accordance with the rules and regulations of the SEC. A copy of the Audit Committee charter is available on the Company's web site at www.micron.com. In fiscal 2007, all audit and non-audit services provided by PwC were approved by the Audit Committee in advance of services being provided.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report has been prepared by members of the Audit Committee of the Board of Directors who served on the Audit Committee in fiscal 2007.</w:t>
      </w:r>
    </w:p>
    <w:p>
      <w:pPr>
        <w:spacing w:after="0" w:line="38"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Ms. Johnson and Messrs. Mondry and Switz served on the Audit Committee in fiscal 2007, with Ms. Johnson serving as Chairman. The Board of Directors determined that each committee member qualified as an "audit committee financial expert" for purposes of the rules and regulations of the Securities and Exchange Commission. The Board of Directors also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220"/>
        <w:spacing w:after="0" w:line="268" w:lineRule="auto"/>
        <w:rPr>
          <w:sz w:val="20"/>
          <w:szCs w:val="20"/>
          <w:color w:val="auto"/>
        </w:rPr>
      </w:pPr>
      <w:r>
        <w:rPr>
          <w:rFonts w:ascii="Arial" w:cs="Arial" w:eastAsia="Arial" w:hAnsi="Arial"/>
          <w:sz w:val="18"/>
          <w:szCs w:val="18"/>
          <w:color w:val="auto"/>
        </w:rPr>
        <w:t>determined that during their period of service on the Audit Committee each member satisfied the independence requirements of applicable federal laws and the listing standards of the NYSE.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purpose of the Audit Committee is to assist the Board of Directors in overseeing and monitoring (i) the integrity of the Company's financial statements,</w:t>
      </w:r>
    </w:p>
    <w:p>
      <w:pPr>
        <w:spacing w:after="0" w:line="38" w:lineRule="exact"/>
        <w:rPr>
          <w:sz w:val="20"/>
          <w:szCs w:val="20"/>
          <w:color w:val="auto"/>
        </w:rPr>
      </w:pPr>
    </w:p>
    <w:p>
      <w:pPr>
        <w:ind w:right="60" w:firstLine="8"/>
        <w:spacing w:after="0" w:line="255"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this report for inclusion in the Proxy Statement.</w:t>
      </w:r>
    </w:p>
    <w:p>
      <w:pPr>
        <w:spacing w:after="0" w:line="198"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The Audit Committee has reviewed and discussed the Company's audited financial statements with the Company's management, which has primary responsibility for such financial statements. PricewaterhouseCoopers LLP ("PwC"), the Company's Independent Registered Public Accounting Firm for fiscal 2007,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PwC has provided to the Audit Committee the written disclosures and the letter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the Audit Committee discussed with PwC its independence. The Audit Committee also concluded that PwC's provision of non-audit services to the Company, as described below, is compatible with PwC's independence.</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2007; appointed PwC as the Independent Registered Public Accounting Firm of the Company for the Company's fiscal year ending August 28, 2008, and approved and authorized PwC to carry out and perform certain specified non-audit services for the Company in fiscal 2008.</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left="446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security ownership information of the Company's Common Stock as of the Record Date (October 10, 2007),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 Owned(1)</w:t>
            </w:r>
          </w:p>
        </w:tc>
        <w:tc>
          <w:tcPr>
            <w:tcW w:w="1480" w:type="dxa"/>
            <w:vAlign w:val="bottom"/>
          </w:tcPr>
          <w:p>
            <w:pPr>
              <w:jc w:val="right"/>
              <w:ind w:right="93"/>
              <w:spacing w:after="0"/>
              <w:rPr>
                <w:sz w:val="20"/>
                <w:szCs w:val="20"/>
                <w:color w:val="auto"/>
              </w:rPr>
            </w:pPr>
            <w:r>
              <w:rPr>
                <w:rFonts w:ascii="Arial" w:cs="Arial" w:eastAsia="Arial" w:hAnsi="Arial"/>
                <w:sz w:val="14"/>
                <w:szCs w:val="14"/>
                <w:b w:val="1"/>
                <w:bCs w:val="1"/>
                <w:color w:val="auto"/>
              </w:rPr>
              <w:t>Right to Acquire(2)</w:t>
            </w:r>
          </w:p>
        </w:tc>
        <w:tc>
          <w:tcPr>
            <w:tcW w:w="10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Brandes Investment Partners, L.P.(4)</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81,759,015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81,759,015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11988 El Camino Real, Suite 500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Capital Research and Management Company(5)</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40,542,140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40,542,140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333 Hope Street</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Los Angeles, CA 90071-1406</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ClearBridge Advisors, LLC(6)</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50,348,500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50,348,500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339 Park Avenue</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Goldman Sachs Asset Management, L.P.(7)</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50,186,150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50,186,150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32 Old Slip</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New York, NY 10005</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Management(8)</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56,548,306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56,548,306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225 South Lake Avenue, Suite 400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Pasadena, CA 91101-3005</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174,266</w:t>
            </w:r>
          </w:p>
        </w:tc>
        <w:tc>
          <w:tcPr>
            <w:tcW w:w="1480" w:type="dxa"/>
            <w:vAlign w:val="bottom"/>
          </w:tcPr>
          <w:p>
            <w:pPr>
              <w:jc w:val="right"/>
              <w:spacing w:after="0"/>
              <w:rPr>
                <w:sz w:val="20"/>
                <w:szCs w:val="20"/>
                <w:color w:val="auto"/>
              </w:rPr>
            </w:pPr>
            <w:r>
              <w:rPr>
                <w:rFonts w:ascii="Arial" w:cs="Arial" w:eastAsia="Arial" w:hAnsi="Arial"/>
                <w:sz w:val="18"/>
                <w:szCs w:val="18"/>
                <w:color w:val="auto"/>
              </w:rPr>
              <w:t>133,322</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307,588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12,853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Steven R. Appleton(9)</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1,802,204</w:t>
            </w:r>
          </w:p>
        </w:tc>
        <w:tc>
          <w:tcPr>
            <w:tcW w:w="1480" w:type="dxa"/>
            <w:vAlign w:val="bottom"/>
          </w:tcPr>
          <w:p>
            <w:pPr>
              <w:jc w:val="right"/>
              <w:spacing w:after="0"/>
              <w:rPr>
                <w:sz w:val="20"/>
                <w:szCs w:val="20"/>
                <w:color w:val="auto"/>
              </w:rPr>
            </w:pPr>
            <w:r>
              <w:rPr>
                <w:rFonts w:ascii="Arial" w:cs="Arial" w:eastAsia="Arial" w:hAnsi="Arial"/>
                <w:sz w:val="18"/>
                <w:szCs w:val="18"/>
                <w:color w:val="auto"/>
              </w:rPr>
              <w:t>2,800,000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4,602,204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98,669</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142,086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 Mark Durcan(10)</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770,090</w:t>
            </w:r>
          </w:p>
        </w:tc>
        <w:tc>
          <w:tcPr>
            <w:tcW w:w="1480" w:type="dxa"/>
            <w:vAlign w:val="bottom"/>
          </w:tcPr>
          <w:p>
            <w:pPr>
              <w:jc w:val="right"/>
              <w:spacing w:after="0"/>
              <w:rPr>
                <w:sz w:val="20"/>
                <w:szCs w:val="20"/>
                <w:color w:val="auto"/>
              </w:rPr>
            </w:pPr>
            <w:r>
              <w:rPr>
                <w:rFonts w:ascii="Arial" w:cs="Arial" w:eastAsia="Arial" w:hAnsi="Arial"/>
                <w:sz w:val="18"/>
                <w:szCs w:val="18"/>
                <w:color w:val="auto"/>
              </w:rPr>
              <w:t>1,600,000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2,370,090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50,611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68,111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Robert A. Lothrop(11)</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109,371</w:t>
            </w:r>
          </w:p>
        </w:tc>
        <w:tc>
          <w:tcPr>
            <w:tcW w:w="1480" w:type="dxa"/>
            <w:vAlign w:val="bottom"/>
          </w:tcPr>
          <w:p>
            <w:pPr>
              <w:jc w:val="right"/>
              <w:spacing w:after="0"/>
              <w:rPr>
                <w:sz w:val="20"/>
                <w:szCs w:val="20"/>
                <w:color w:val="auto"/>
              </w:rPr>
            </w:pPr>
            <w:r>
              <w:rPr>
                <w:rFonts w:ascii="Arial" w:cs="Arial" w:eastAsia="Arial" w:hAnsi="Arial"/>
                <w:sz w:val="18"/>
                <w:szCs w:val="18"/>
                <w:color w:val="auto"/>
              </w:rPr>
              <w:t>8,933</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118,304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58,417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Brian M. Shirley</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269,795</w:t>
            </w:r>
          </w:p>
        </w:tc>
        <w:tc>
          <w:tcPr>
            <w:tcW w:w="1480" w:type="dxa"/>
            <w:vAlign w:val="bottom"/>
          </w:tcPr>
          <w:p>
            <w:pPr>
              <w:jc w:val="right"/>
              <w:spacing w:after="0"/>
              <w:rPr>
                <w:sz w:val="20"/>
                <w:szCs w:val="20"/>
                <w:color w:val="auto"/>
              </w:rPr>
            </w:pPr>
            <w:r>
              <w:rPr>
                <w:rFonts w:ascii="Arial" w:cs="Arial" w:eastAsia="Arial" w:hAnsi="Arial"/>
                <w:sz w:val="18"/>
                <w:szCs w:val="18"/>
                <w:color w:val="auto"/>
              </w:rPr>
              <w:t>472,950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742,745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Smith(12)</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29,062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29,062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Wilbur G. Stover, Jr.(13)</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168,636</w:t>
            </w:r>
          </w:p>
        </w:tc>
        <w:tc>
          <w:tcPr>
            <w:tcW w:w="1480" w:type="dxa"/>
            <w:vAlign w:val="bottom"/>
          </w:tcPr>
          <w:p>
            <w:pPr>
              <w:jc w:val="right"/>
              <w:spacing w:after="0"/>
              <w:rPr>
                <w:sz w:val="20"/>
                <w:szCs w:val="20"/>
                <w:color w:val="auto"/>
              </w:rPr>
            </w:pPr>
            <w:r>
              <w:rPr>
                <w:rFonts w:ascii="Arial" w:cs="Arial" w:eastAsia="Arial" w:hAnsi="Arial"/>
                <w:sz w:val="18"/>
                <w:szCs w:val="18"/>
                <w:color w:val="auto"/>
              </w:rPr>
              <w:t>1,357,000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1,525,636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37,792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42,167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William P. Weber(14)</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108,931</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108,931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(20 persons)</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5,735,959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12,662,948</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18,398,907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-4147820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-4147820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-4147820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-4147820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-4147820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-4147820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-4147820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-4147820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-4147820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-4147820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25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38" w:lineRule="exact"/>
        <w:rPr>
          <w:rFonts w:ascii="Arial" w:cs="Arial" w:eastAsia="Arial" w:hAnsi="Arial"/>
          <w:sz w:val="18"/>
          <w:szCs w:val="18"/>
          <w:color w:val="auto"/>
        </w:rPr>
      </w:pPr>
    </w:p>
    <w:p>
      <w:pPr>
        <w:ind w:left="5620" w:right="4240" w:hanging="5612"/>
        <w:spacing w:after="0" w:line="613" w:lineRule="auto"/>
        <w:tabs>
          <w:tab w:leader="none" w:pos="5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shares that an individual has a right to acquire within 60 days of October 10, 2007.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540" w:hanging="532"/>
        <w:spacing w:after="0" w:line="25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221"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Brandes Investment Partners have shared voting power as to 63,978,532 shares. They have shared dispositive power as to 81,759,015 shares. This information is taken from a Schedule 13G dated April 30, 2007.</w:t>
      </w:r>
    </w:p>
    <w:p>
      <w:pPr>
        <w:spacing w:after="0" w:line="199"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Research Management has sole voting power as to 4,602,820 shares and sole dispositive power as to 40,542,140 shares. This information is taken from a Schedule 13G dated December 29, 2006.</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ClearBridge Advisors LLC has shared voting power as to 43,009,668 shares and shared dispositive power as to 46,308,001 shares. ClearBridge Asset Management claims beneficial ownership as to 3,252,099 and shared voting power as to 131,583 shares and shared dispositive power as to 3,252,099 shares. Smith Barney Fund Management LLC claims beneficial shared voting and dispositive ownership as to 788,400 shares. This information was taken from a Schedule 13G dated December 31, 2006.</w:t>
      </w:r>
    </w:p>
    <w:p>
      <w:pPr>
        <w:spacing w:after="0" w:line="224" w:lineRule="exact"/>
        <w:rPr>
          <w:rFonts w:ascii="Arial" w:cs="Arial" w:eastAsia="Arial" w:hAnsi="Arial"/>
          <w:sz w:val="18"/>
          <w:szCs w:val="18"/>
          <w:color w:val="auto"/>
        </w:rPr>
      </w:pPr>
    </w:p>
    <w:p>
      <w:pPr>
        <w:ind w:left="540" w:right="70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Goldman Sachs Asset Management, L.P. has sole voting power as to 40,551,288 shares and sole dispositive power as to 50,186,150 shares. This information was taken from a Schedule 13G dated December 31, 2006.</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PrimeCap Management Company has sole voting power as to 7,794,669 shares and sole dispositive power as to 56,548,306 shares. This information was taken from a Schedule 13G dated December 31, 2006.</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20,000 shares beneficially owned by Mesa L.P.</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128,291 shares held by C &amp; E Partners L.P. and 3,101 shares beneficially owned by Mr. Durcan's spouse.</w:t>
      </w:r>
    </w:p>
    <w:p>
      <w:pPr>
        <w:spacing w:after="0" w:line="238"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82,464 shares beneficially owned in joint tenancy with Mr. Lothrop's spouse and 848 shares beneficially owned by Mr. Lothrop's spouse. Mr. Lothrop resigned from the Company's Board of Directors in December 2006.</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Smith resigned from the Company's Board of Directors in July 2007.</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3,900 shares beneficially owned by Mr. Stover's minor children.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Weber resigned from the Company's Board of Directors in December 2006.</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Throughout this discussion, those individuals named in the "Summary Compensation Table" are referred to as our "Named Executive Officers" and the Compensation Committee of the Board of Directors is referred to as the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executive compensation program is administered by the Committee, which is composed entirely of independent directors (as defined in the listing standards of the NYSE as well as applicable federal law). The Committee is comprised of Mr. Mondry, who is the Chairman of the Committee, and Dr. Aoki. The Committee assists the Board of Directors in discharging its responsibilities with respect to the compensation of the Company's officers. The Committee has direct responsibility to review and approve corporate goals and objectives relevant to the chief executive officer's compensation, evaluate his performance in light of such goals and objectives, and determine and approve his compensation level based on this evaluation. The Committee also reviews the evaluation process and compensation structure for the Company's other officers, including the other Named Executive Officers, and approves their compensation.</w:t>
      </w:r>
    </w:p>
    <w:p>
      <w:pPr>
        <w:spacing w:after="0" w:line="17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the Company's chief executive officer. A more complete description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2" w:name="page23"/>
    <w:bookmarkEnd w:id="22"/>
    <w:p>
      <w:pPr>
        <w:ind w:right="340"/>
        <w:spacing w:after="0" w:line="259" w:lineRule="auto"/>
        <w:rPr>
          <w:sz w:val="20"/>
          <w:szCs w:val="20"/>
          <w:color w:val="auto"/>
        </w:rPr>
      </w:pPr>
      <w:r>
        <w:rPr>
          <w:rFonts w:ascii="Arial" w:cs="Arial" w:eastAsia="Arial" w:hAnsi="Arial"/>
          <w:sz w:val="18"/>
          <w:szCs w:val="18"/>
          <w:color w:val="auto"/>
        </w:rPr>
        <w:t>the Committee's responsibilities is provided in the Committee's Charter approved by the Board of Directors, which can be found on the Company's website (www.micron.com) in the governance section. A more complete description of the role of the chief executive officer in the compensation process is described later in this compensation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objective of our executive compensation program</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primary long-term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objective is to create superior value for our shareholders. The objective of the </w:t>
      </w:r>
      <w:r>
        <w:rPr>
          <w:rFonts w:ascii="Arial" w:cs="Arial" w:eastAsia="Arial" w:hAnsi="Arial"/>
          <w:sz w:val="16"/>
          <w:szCs w:val="16"/>
          <w:i w:val="1"/>
          <w:iCs w:val="1"/>
          <w:color w:val="auto"/>
        </w:rPr>
        <w:t>executive compensation program</w:t>
      </w:r>
      <w:r>
        <w:rPr>
          <w:rFonts w:ascii="Arial" w:cs="Arial" w:eastAsia="Arial" w:hAnsi="Arial"/>
          <w:sz w:val="16"/>
          <w:szCs w:val="16"/>
          <w:color w:val="auto"/>
        </w:rPr>
        <w:t xml:space="preserve"> is to attract, motivate, reward, and retain highly qualified executive officers who are able to achieve the corporate objective of superior value for our shareholders. The executive compensation program is designed to provide a foundation of fixed-based compensation (base salary) and a significant portion of performance-based compensation (short-term and long-term incentive opportunities), that align executives' interests with those of our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and Company success,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What is "reasonable" and "competitive" is gauged by the Committee's review of the median Market Data (as defined below) for each of the primary elements of compensation. As a rough gauge of reasonableness, the Committee typically reviews the median of Market Data and a range of values of +/- 20% from the median.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base salary, we pay approximately at the median of the Market Data.</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With respect to short-term bonus compensation, we pay for achievement of financial, operational and strategic objectives approved by the Committee at the beginning of each fiscal year. The short-tem incentive opportunities are set to be competitive with market practices but actual incentive payouts are commensurate with achievement. Thus, we have adopted a "pay for performance" approach as it relates to short-term incentives. Although we review the short-term incentive opportunities against the median of Market Data and a range of +/- 20%, the opportunities are not necessarily limited to either the median of Market Data or the identified +/- 20% range as actual results drive payouts.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Finally, with respect to long-term incentive compensation, we believe such compensation should be tied to the success of the Company and more specifically, to increases in shareholder value (without subjecting such long-term incentive compensation to an identified boundary from the median of the Market Data). Accordingly, we make significant use of equity vehicles, such as awards of restricted stock subject to "performance-based" restrictions, as a key component of the executive compensation program. Nevertheless, to ensure the long-term incentive program helps to retain executives, we believe it is appropriate to have as a key component of our program, equity awards that are "time-based," such as awards of restricted stock where the restrictions will lapse based on continued service with the Company. The Company believes that a 50-50 split between the value of performance based-restricted shares and time-based restricted shares strikes the right balance between retentive effect and reward for long-term Company success. However, given a 50-50 split in value, the actual number of restricted shares awarded with performance-based restrictions will not be the same as the number of such shares awarded having time-based restrictions because there is a "probability of achievement" discount applied to the performance-based restricted shares. This results in the actual number of shares in the two categories being different from one another. The mechanics of the probability-of-discount factor are discussed later under the heading "Fiscal 2007 long-term equity incentives."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We believe it is important to retain flexibility, and when appropriate, to deviate from the above targets due to factors such as:</w:t>
      </w:r>
    </w:p>
    <w:p>
      <w:pPr>
        <w:spacing w:after="0" w:line="239" w:lineRule="exact"/>
        <w:rPr>
          <w:sz w:val="20"/>
          <w:szCs w:val="20"/>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the other officers within the Company and as compared to similarly situated officers within the Compensation Peer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past and anticipated financial and non-financial contributions by an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officer performance relative to his or her peers within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the other officers within the Company and as compared to officers within the Compensation Peer Group.</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etc. Accordingly, what may have been the "median" or within a reasonable range of competitiveness in one year, may be higher or lower for the next. For this reason, shareholders should understand that even though the Committee manages compensation in accordance with such guiding principles, officer compensation may vary, above or below the median, or a range from the median, year over year.</w:t>
      </w:r>
    </w:p>
    <w:p>
      <w:pPr>
        <w:spacing w:after="0" w:line="17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21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short-term incentive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Executive perquisites, which for us are minor in scope and amount, are also reviewed but are not considered to be material elements of compensation. We also believe it is appropriate for the Named Executive Officers to participate on the same terms and conditions as all other employees of the Company in programs and benefits that are offered to the employee population at large. Generally, these programs consist of medical, dental, vision, short-term and long-term disability, life insurance, time-off with pay and a 401(k) retirement program. These benefits are viewed as important for competitive purposes but not material to the overall cost of an executive compensation package offered to our Named Executive Officers.</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should align executives' interests with those of the Company's shareholders. Additionally, although the Committee reviews total direct compensation, which is the sum of base salary, short-term incentive and long-term incentive compensation for the Named Executive Officers, it does not have a fixed objective with respect such total direct compensation. For informational purposes only, for fiscal 2007, the total direct compensation approved by the Committee with respect to our Named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Executive Officers, placed Messrs. Appleton and Stover below, Mr. Durcan at, and Messrs. Shirley and Adams above the median of the Market Data.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data is gathered by Mercer from proxy statements of the Compensation Peer Group and from published compensation surveys.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Survey data may vary from year to year. For fiscal 2007, Mercer used the CHiPS' Executive &amp; Senior Management Total Compensation Survey, Radford's Executive Survey, and Buck's Executive Total Rewards Survey. These surveys, collectively, included compensation data from over 1,000 companies, national and international. The Company believes these surveys are particularly relevant for high technology companies given many of the survey participants.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Data is also gathered from proxy statements and other documents that are filed with the U.S. Securities &amp; Exchange Commission for the Compensation Peer Group. The relevant survey and proxy data for fiscal 2007 were weighted equally and are collectively referred to throughout this discussion as the "Market Data."</w:t>
      </w:r>
    </w:p>
    <w:p>
      <w:pPr>
        <w:spacing w:after="0" w:line="11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Mercer works with our management team, including our chief executive officer,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one-third to three times the size of Micron and have a high degree of business match. We believe our custom peer group is comprised of companies that are likely to be our competitors for executive talent.</w:t>
      </w:r>
    </w:p>
    <w:p>
      <w:pPr>
        <w:spacing w:after="0" w:line="19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Committee is responsible for approving the custom peer group of companies. For fiscal 2007 (i.e., with respect to determinations that were made in September of 2006), the custom peer group of companies consisted of the following: Advanced Micro Devices, Agilent Technologies Inc., Applied Materials Inc., Analog Devices, Broadcom Corporation, Freescale Semiconductors, Inc., Jabil Circuit, Inc., Nvidia Corp., National Semiconductor Corp., SanDisk Corporation, Spansion, Inc., and Texas Instruments, Inc. These companies are referred to in the compensation discussion and analysis as the "Compensation Peer Group."</w:t>
      </w:r>
    </w:p>
    <w:p>
      <w:pPr>
        <w:spacing w:after="0" w:line="16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believe it is appropriate and important to reevaluate the make up of our Compensation Peer Group annually to reflect the fact that companies are acquired or divested, product lines come and go, companies increase and decrease in revenue, operations change in scope, and the availability and accuracy of information with respect to companies change. For fiscal 2007, and based on the foregoing factors, four companies were dropped from the fiscal 2006 list (Agere Systems, Corning, Energizer Holdings and Vishay Intertechnology) and three companies, comparable in size and business scope were added (Broadcom Corporation, SanDisk Corporation and Spansion,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right="20" w:firstLine="348"/>
        <w:spacing w:after="0" w:line="298"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compensation-setting process and the determination of compensation levels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Committee reviews the compensation of our Named Executive Officers on an annual basis in connection with the annual financial results for the fiscal year just ended and projections for the current fiscal year. As mentioned previously, the Committee annually engages a compensation consultant, currently Mercer, to provide a comprehensive review of cash and non-cash elements, and also to review payment data, both historical and trend with respect to all of the Company's officers, including the Named Executive Officers.</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Mercer reviews and identifies the most recent available data and identifies the Market Data for the 25th, 50th and 75th percentile with respect to each position or rank. Mercer compares the Company's compensation data, both as to elements and amounts to be paid or potential value to be delivered, with that of the Market Data and reports its findings to the chief executive officer and the Committee chair. The Company's chief executive officer works with the consultant by providing actual Company financial data with respect to the most-recently completed fiscal year. The chief executive officer also reviews projected Company financial results for the current fiscal year and the Company's strategic business plan. The chief executive officer makes suggestions as to base salary, recommends a potential set of Company-wide, business unit and personal metrics and targets for the current fiscal year with respect to short-term incentives and offers suggestions as to long-term incentive compensation for the Named Executive Officers other than himself. He makes no recommendations as to his own level of compensation.</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Committee reviews the Market Data, discusses the Market Data with the chief executive officer and with Mercer, discusses individual officer performance based on input from the chief executive officer, and without the chief executive officer present, the chief executive officer's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to approve the compensation, including the metrics and targets for the current year and, if judged appropriate, to deviate from the Market Data, based on the factors described earlier.</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Committee has established procedures that it considers adequate to ensure that Mercer's advice to the Committee remains objective and is not influenced by the Company's management. These procedures include: a direct reporting relationship to the Committee; a provision in the Committee's engagement letter with Mercer specifying what information, data, and recommendations can be shared with management; an annual update to the Committee on Mercer's relationship with the Company, including a summary of the work performed for the Company during the preceding 12 months; and written assurances from Mercer that, within the Mercer organization, the Mercer consultant who performs services for the Company has a reporting relationship and compensation determined separately from Mercer's other lines of business and from its other work for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The individual components of the executive compensation program</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2007 base salaries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median of the Market Data. At the end of fiscal 2006, the Market Data for such year showed that Mr. Appleton's base salary of $910,000 was below the median of the Market Data. Given the Market Data median and the Company's positive financial results, not only as to net income but across the Company's operations for fiscal 2006, the Committee determined to raise Mr. Appleton's base salary for fiscal 2007 to $950,000, an amount that was at the approximate median of the Market Data for such year. At the completion of fiscal 2006, the Market Data showed that with respect to the other Named Executive Officers, all of their base salaries were below the median for their positions or ranks. The margin by which the salaries deviated from the Market Data median ranged from -3% to -23%. The Committee determined, following a recommendation by the chief executive officer and upon review by Mercer, to increase base salaries for fiscal 2007 for the remaining Named Executive Officers to reduce the margin of deviation and reflect the overall positive results for fiscal 2006. The average base salary increase for the other Named Executive Officers was approximately 12% of base salary, which was effective as of October 1, 2006. Following the increase, the base salaries for the remaining Named Executive Officers deviated from the Market Data median by a range of approximately -3% to -9%. Effective June 26, 2007, and in connection with his promotion to President of the Company, Mr. Durcan's base salary was increased from $500,000 to $600,000. His current base salary is at the median of the most recently available Market Data.</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2007 short-term incentive awards</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Annual cash awards are made to the Company's officers under the Executive Officer Performance Incentive Plan ("EIP"). The full text of the EIP, can be found at the following websites: http\www.sec.gov and www.micron.com. Consistent with the Company's guiding principles regarding annual bonus amounts, the short-term incentive "opportunity" is stated in terms of a specified percentage of each Named Executive Officer's base salary ("Target Award") and is designed to reward participants for the achievement of specified short-term individual, business-unit and/or Company-wide financial, operation or strategic goals. The Committee believes the pre-determined goals, regardless of whether tied to individual, business unit or Company-wide performance, should promote the Company's long-term success and shareholder value.</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September 2006, and in accordance with the provisions of the EIP, the Committee met and established goals for fiscal 2007. The fiscal 2007 goals were as follows: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of the Company expressed as a percentage of net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growth year-over-year for the Company expressed as a percentage,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target percentages for the memory products group and imaging products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on-time DRAM, NAND and Imaging product delivery performance expressed as a percentage,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absolute number of centimeters of silicon manufactured expressed in terms of square centimeters shipped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goal, tailored to each Named Executive Officer, given his role and responsibility within the Company.</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corporate goals of net income and revenue growth were chosen due to their direct correlation to shareholder value creation. The other business unit or operational goals were chosen primarily for their potential indirect positive impact on the Company's net income and revenue growth. The threshold, target and maximum incentive amounts that could be payable under the EIP for achievement of the goals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right="20"/>
        <w:spacing w:after="0" w:line="290" w:lineRule="auto"/>
        <w:rPr>
          <w:sz w:val="20"/>
          <w:szCs w:val="20"/>
          <w:color w:val="auto"/>
        </w:rPr>
      </w:pPr>
      <w:r>
        <w:rPr>
          <w:rFonts w:ascii="Arial" w:cs="Arial" w:eastAsia="Arial" w:hAnsi="Arial"/>
          <w:sz w:val="16"/>
          <w:szCs w:val="16"/>
          <w:color w:val="auto"/>
        </w:rPr>
        <w:t>established at the beginning of fiscal 2006 are shown in the columns "Estimated Future Payouts under Non-Equity Incentive Plan Awards" of the "Grants of Plan-Based Awards" table. The aggregate threshold amount requires considerable effort without assurance of achievement and represents the minimum level of achievement before any amounts are paid. The target payout requires a significant level of effort without assurance of goal achievement. The target level payout represents full achievement of the relevant goal. The maximum payout requires an exceptional amount of effort for results that are very aggressive, beyond target, and thought unlikely to be achieved based on information available at the time the goal was set. Not all goals, such as the manufacturing output and individual goals, had a threshold, target or maximum payout. In the case of the manufacturing output goal and the individual goals, the targets were set with the expectation that they would be achieved at no less than "target" or not at all.</w:t>
      </w:r>
    </w:p>
    <w:p>
      <w:pPr>
        <w:spacing w:after="0" w:line="172"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The Target Awards established in September of 2006 for fiscal 2007 for the Named Executive Officers were measured against the median Market Data. As previously discussed, although we review the short-term incentive opportunities against the median of Market Data and a range of +/- 20%, the opportunities are not necessarily limited to either the median of Market Data or the identified +/- 20% range. Actual results drive payouts and the Company pays for achievement of the pre-determined goals. For fiscal 2007 the following Target Awards were established for the Named Executive Officers:</w:t>
      </w:r>
    </w:p>
    <w:p>
      <w:pPr>
        <w:spacing w:after="0" w:line="18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Appleton—150% of base salary (which was 2% below the median of the relevant Market Data)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Durcan—90% of base salary (which was 1% above the median of the relevant Market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Stover—80% of base salary (which was 2% above the median of the relevant Market Data)</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Messrs. Shirley and Adams—80% and 80%, respectively (each of which was above the median of the relevant Market Data by approximately 10% for their positions/ranks)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Given that Mr. Appleton served in a position tied closely to corporate-wide results, his Target Award was heavily weighted (i.e., 90%) toward the successful completion of goals (a) and (b) described above. Given that Mr. Durcan and Mr. Stover oversaw operations that largely affected not only the Company as a whole, but the business units within the Company, it was judged appropriate to weight their Target Awards across nearly all fiscal 2007 goals with no single goal receiving more than a 25% weight and no less than a 5% weight. Messrs. Shirley and Adams, each of whom had responsibility for a significant business unit had their goals weighted toward a blend of the above corporate goals and business unit/operational goals.</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Following a review of the fiscal 2007 results, the Committee determined the Company did not meet goals (a) through (c). The on-time product delivery and manufacturing output goals, (d) and (e) above, were met between target and maximum. Results between target and maximum are interpolated on a linear basis. Individual goals were met or exceeded except in the case of Mr. Adams. These varying levels of achievement resulted in amounts being paid to the Named Executive Officers as indicated in the column "Non-Equity Incentive Plan Compensation" in the "Summary Compensation Table." Amounts paid were a function of the Named Executive Officer's base salary times percent achieved times weight given to the achieved goal. Notwithstanding Mr. Appleton having achieved the individual goal assigned to him by the Committee for fiscal 2007, in light of the Company's recent restructuring efforts, the current negative market environment and the Company's fiscal 2007 financial results, Mr. Appleton requested, and the Committee acted in accordance with such request, that he receive no short-term incentive payment.</w:t>
      </w:r>
    </w:p>
    <w:p>
      <w:pPr>
        <w:spacing w:after="0" w:line="17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EIP calls for certain performance goals to be modified under the EIP if permitted by Section 162(m) of the Internal Revenue Code of 1986, as amended (the "Code"), with respect to major corporate transactions. These events are more fully described in the EIP. Additionally, the Committee has the discretion to modify performance goals with respect to Target Awards that are not intended to satisfy Section 162(m) if the Committee determines that due to changes in business, operations, corporate or capital structure of the Company render existing performance goals to be unsuitable for a given performance period. Upon the occurrence of a "change in control" (as defined in the EIP), performance periods are deemed to have ended and the Committee will determine whether performance goals were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jc w:val="both"/>
        <w:ind w:right="20"/>
        <w:spacing w:after="0" w:line="259" w:lineRule="auto"/>
        <w:rPr>
          <w:sz w:val="20"/>
          <w:szCs w:val="20"/>
          <w:color w:val="auto"/>
        </w:rPr>
      </w:pPr>
      <w:r>
        <w:rPr>
          <w:rFonts w:ascii="Arial" w:cs="Arial" w:eastAsia="Arial" w:hAnsi="Arial"/>
          <w:sz w:val="18"/>
          <w:szCs w:val="18"/>
          <w:color w:val="auto"/>
        </w:rPr>
        <w:t>achieved. Finally, the Committee always retains the ability to exercise "negative discretion" and reduce an amount otherwise earned pursuant to the EIP. In fiscal 2007 the Committee did not exercise any discretion, positive or negative, in connection with the EIP, except, as noted above, with respect to Mr. Appleton's short-term incentive award.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2007 long-term equity incentives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Pursuant to the Company's objective to provide a competitive compensation package, with variable compensation being a significant portion of such package, the Company provided the Named Executive Officers with equity awards in fiscal 2007. In connection therewith, the Committee reviewed the Market Data for the Compensation Peer Group for fiscal 2007. The Committee determined that all of the companies in the Compensation Peer Group used stock options and nearly two-thirds of the companies used time-based restricted shares as compensation vehicles. Approximately one-third also used performance-based restricted shares as a compensation vehicle for their executives.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Committee noted that, except with respect to fiscal 2006, all prior equity awards at the Company had taken the form of stock options. Consequently, in order to bring the officers mix of equity compensation more in line with the practices of the Compensation Peer Group and to account for the fact that virtually all prior awards had been in the form of stock options, the Committee determined that it would be appropriate to grant awards comprised of restricted stock only for fiscal 2007.</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Finally, in reviewing the Market Data in September 2006, the Committee further noted that of the companies of the Compensation Peer Group awarding restricted stock, a number of them awarded both time-based and performance-based restricted shares (a majority, however, used time-based restricted shares only). Consistent with our guiding principles that equity awards should not only tie executive compensation to long-term Company success but also have retentive effect, the Committee determined to approve awards of restricted stock with one-half of the value of the awards being subject to time-based restrictions and the other half being subject to performance-based restrictions. The Committee judged the 50-50 split value approach as an appropriate balance between the focus on retention and performance.</w:t>
      </w:r>
    </w:p>
    <w:p>
      <w:pPr>
        <w:spacing w:after="0" w:line="198"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 xml:space="preserve">With respect to the </w:t>
      </w:r>
      <w:r>
        <w:rPr>
          <w:rFonts w:ascii="Arial" w:cs="Arial" w:eastAsia="Arial" w:hAnsi="Arial"/>
          <w:sz w:val="15"/>
          <w:szCs w:val="15"/>
          <w:b w:val="1"/>
          <w:bCs w:val="1"/>
          <w:i w:val="1"/>
          <w:iCs w:val="1"/>
          <w:color w:val="auto"/>
        </w:rPr>
        <w:t>time-based</w:t>
      </w:r>
      <w:r>
        <w:rPr>
          <w:rFonts w:ascii="Arial" w:cs="Arial" w:eastAsia="Arial" w:hAnsi="Arial"/>
          <w:sz w:val="15"/>
          <w:szCs w:val="15"/>
          <w:color w:val="auto"/>
        </w:rPr>
        <w:t xml:space="preserve"> restricted stock awards for fiscal 2007, the restrictions lapse as to one-fourth of the shares on each anniversary of the date of grant. With respect to the </w:t>
      </w:r>
      <w:r>
        <w:rPr>
          <w:rFonts w:ascii="Arial" w:cs="Arial" w:eastAsia="Arial" w:hAnsi="Arial"/>
          <w:sz w:val="15"/>
          <w:szCs w:val="15"/>
          <w:b w:val="1"/>
          <w:bCs w:val="1"/>
          <w:i w:val="1"/>
          <w:iCs w:val="1"/>
          <w:color w:val="auto"/>
        </w:rPr>
        <w:t>performance-based</w:t>
      </w:r>
      <w:r>
        <w:rPr>
          <w:rFonts w:ascii="Arial" w:cs="Arial" w:eastAsia="Arial" w:hAnsi="Arial"/>
          <w:sz w:val="15"/>
          <w:szCs w:val="15"/>
          <w:color w:val="auto"/>
        </w:rPr>
        <w:t xml:space="preserve"> restricted stock awards granted in fiscal 2007, the restrictions will lapse, if ever, provided the Company achieves a certain percentage return on invested capital ("ROIC") over a rolling four quarter period between the beginning of fiscal 2006 and the end of fiscal 2008 (the "Share Performance Period"). The achievement during the Share Performance Period of a lower, threshold ROIC percentage will result in the restrictions lapsing as to one-half of the fiscal 2007 performance-based shares. The achievement during the Share Performance Period of a higher, target ROIC percentage will result in the restrictions lapsing as to all of the fiscal 2007 performance-based shares. Both the threshold (lower) and target (higher) ROIC percentages require significant effort with the achievement of neither ROIC percentage being assured. In the absence of at least the threshold ROIC percentage being achieved during the Share Performance Period, the restrictions will not lapse and all of the fiscal 2007 performance-based shares set forth in the column titled "Estimated Future Payouts under Equity Incentive Plan Awards-Target" of the "Grants of Plan-Based Awards" table will be forfeited. For example, please refer to the discussion following the "Grant of Plan Based Awards" table where we indicate that it is probable our Named Executive Officers will forfeit all of their fiscal 2006 performance-based shares because the minimum specified rolling four quarter ROIC percentage will not be achieved during the relevant performance period.</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determining the amount of the long-term equity incentive awards to be received by each of the Named Executive Officers for fiscal 2007 (made in September 2006), the Committee reviewed the Market Data with respect to long-term equity incentives. The Market Data showed that Mr. Appleton's then current long-term equity incentive opportunity based on value was nearly 40% below the median of approximately $6,000,000. Consequently, for fiscal 2007, and partially due to the positive financial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for fiscal 2006, the Committee awarded Mr. Appleton a long-term equity incentive award for fiscal 2007 of $6,500,000.</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Consistent with the guiding principles that call for a 50-50 split in the value of the award, one-half with respect to time-based restricted shares and one-half with respect to performance-based shares, the Committee awarded Mr. Appleton the following number of shares, calculated as follows:</w:t>
      </w:r>
    </w:p>
    <w:p>
      <w:pPr>
        <w:spacing w:after="0" w:line="15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$3,250,000/$17.24 (a twenty day average of the Company's stock price immediately prior to award) = 188,500 shares;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$3,250,000/$13.79 (the above price per share discounted by 20% due to the performance-based restrictions) = 235,600 shares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time-based share amounts (188,500) can be found listed in the column "Stock Awards: Number of Shares of Stock or Units" of the "Grants of Plan-Based Awards" table. The performance-based share amounts (235,600) can be found listed in the column "Estimated Future Payouts under Equity Incentive Plan Awards-Target" of the "Grants of Plan-Based Awards" table. Value differences between the above and what is found in the table are attributable to the difference between the 20-day average, the 20% discount applied to the performance-based shares, and the SFAS No. 123(R) fair valuation method.</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recommendation by the chief executive officer and following a performance appraisal by him of each of the other Named Executive Officers, the Committee approved long-term incentive opportunities for fiscal 2007, all of which fell between the 25th and 75th percentile of the Market Data for their position or rank. The share amounts for the Named Executive Officers other than Mr. Appleton were calculated in the same fashion and appear in the same columns as were used for Mr. Appleton in the "Grants of Plan-Based Awards" table.</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has not and does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within approximately one week of the Company's announcement of its results for the fiscal year). Historically, long-term incentive grants to the Named Executive Officers are approved by the Committee on the same day as the grants to other officers and the exercise price of stock options is equal to the fair market value of the Company's Common Stock as defined by the applicable Company equity plan pursuant to which the award is granted. For purposes of the Company's equity plans, fair market value is defined as the average closing price as quoted on the NYSE for the last market trading day prior to the date of grant.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fiscal 2007 employee benefits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provides medical, dental, disability, life insurance and defined contribution retirement benefit programs, in which substantially all employees, including the Named Executive Officers, are entitled to participate. The role of these plans is to provide a competitive level of health, welfare, and retirement benefits to substantially all employees.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 w:name="page31"/>
    <w:bookmarkEnd w:id="30"/>
    <w:p>
      <w:pPr>
        <w:ind w:left="540" w:right="380" w:firstLine="351"/>
        <w:spacing w:after="0" w:line="294" w:lineRule="auto"/>
        <w:rPr>
          <w:sz w:val="20"/>
          <w:szCs w:val="20"/>
          <w:color w:val="auto"/>
        </w:rPr>
      </w:pPr>
      <w:r>
        <w:rPr>
          <w:rFonts w:ascii="Arial" w:cs="Arial" w:eastAsia="Arial" w:hAnsi="Arial"/>
          <w:sz w:val="16"/>
          <w:szCs w:val="16"/>
          <w:i w:val="1"/>
          <w:iCs w:val="1"/>
          <w:color w:val="auto"/>
        </w:rPr>
        <w:t xml:space="preserve">Time off with Pay. </w:t>
      </w:r>
      <w:r>
        <w:rPr>
          <w:rFonts w:ascii="Arial" w:cs="Arial" w:eastAsia="Arial" w:hAnsi="Arial"/>
          <w:sz w:val="16"/>
          <w:szCs w:val="16"/>
          <w:color w:val="auto"/>
        </w:rPr>
        <w:t>In addition to cash and equity compensation programs, the Named Executive Officers participate in various other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plans, including, but not limited to, a time-off plan. Under the time-off plan, all employees of the Company, including the Named Executive Officers, are allowed to accumulate up to 999 hours of time-off to be used for vacation, holiday, sick time, emergencies and personal needs. Amounts accumulated in excess of 999 hours, if any, are paid out as regular compensation to participants, including the Named Executive Officers, and, with respect to the latter are included in the "Summary Compensation Table."</w:t>
      </w:r>
    </w:p>
    <w:p>
      <w:pPr>
        <w:spacing w:after="0" w:line="170"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i w:val="1"/>
          <w:iCs w:val="1"/>
          <w:color w:val="auto"/>
        </w:rPr>
        <w:t xml:space="preserve">401(k) Retirement Benefits. </w:t>
      </w:r>
      <w:r>
        <w:rPr>
          <w:rFonts w:ascii="Arial" w:cs="Arial" w:eastAsia="Arial" w:hAnsi="Arial"/>
          <w:sz w:val="16"/>
          <w:szCs w:val="16"/>
          <w:color w:val="auto"/>
        </w:rPr>
        <w:t>The Company provides retirement benefits to its employees, including the Named Executive Officers, under its tax-qualified 401(k) plan. In fiscal 2007, the Company made discretionary matching contributions on behalf of each participant equal to 4% of annual eligible earnings or $2,000, whichever was greater. In addition, during fiscal 2007, the Company made a final discretionary contribution to each participant's account based on the Company's return on equity ("ROE"). The 401(k) Plan was amended to eliminate the ROE contribution for future periods. Matching contributions and ROE contributions made to the accounts of the Named Executive Officers are included in the "Summary Compensation Table." The Named Executive Officers participate in the 401(k) Plan on the same terms as all other Company employees.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have established stock ownership guidelines for our officers and directors. The Committee believes that officers will more effectively manage the Company in the best interests of the shareholders if they are also shareholders. The minimum ownership guideline for officers ranges from 10,000 to 90,000 shares, depending on the officer's position with the Company. Officers are given five years to meet the ownership guidelines. Sales restrictions may be imposed upon the Company's officers and directors if the stock ownership guidelines are not met.</w:t>
      </w:r>
    </w:p>
    <w:p>
      <w:pPr>
        <w:spacing w:after="0" w:line="16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Committee reviews the Ownership Guidelines at least annually and monitors each covered executive's progress toward, and continued compliance with, the guidelines. For fiscal 2007, all officers were in compliance with the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 million paid to the Named Executive Officers. Qualifying performance-based compensation is not subject to the deduction limit if certain requirements are met. Historically, we have structured the key component of our long-term incentives in the form of stock option grants or performance-based restricted stock awards to comply with the statute. Awards under the Company's EIP are also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the best interests of the Company and its shareholders. For fiscal 2007, the Committee believes the EIP payments complied with Section 162(m) and that the lapse of restrictions on the performance-based restricted shares, if ever, should comply with Section 162(m) at the time of lapse. Other tax consequences, whether to the Named Executive Officer or to the Company, did not influence an initial recommendation or change in an award or compensation for fiscal 2007.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implications of our executive compensation program</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recognize expense for our stock compensation plans using the fair value method in accordance with the adoption in 2006 of SFAS No. 123(R). Prior to fiscal 2006, we have recorded our compensation cost in accordance with APB Opinion No. 25, "Accounting for Stock Issued to Employees," which did not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require the recording of an expense for stock options if they were granted at a price equal to the fair market value of our common stock on the grant date.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historically approved severance agreements for each of the Company's Named Executive Officers. In general, they provide for severance payments upon termination of employment with the Company or loss of officer status, for any reason, including death, voluntary or involuntary termination, or termination with or without cause. We believe severance agreements are in the best interests of the Company and its shareholders because we believe they are necessary to attract and maintain qualified executive talent, promote candid discussion among the officers of the Company, help provide for a smooth transition when there is a change in management, provide the officer with benefits in consideration of a promise not to compete with the Company after termination of employment with the Company and release the Company, officers, directors, employees and agents from any and all claims.</w:t>
      </w:r>
    </w:p>
    <w:p>
      <w:pPr>
        <w:spacing w:after="0" w:line="174"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color w:val="auto"/>
        </w:rPr>
        <w:t>For fiscal 2007, each of our Named Executive Officers had a severance agreement in place with the Company ("Fiscal 2007 Severance Agreement"). The Fiscal 2007 Severance Agreements provide for a "Transition Period," which begins upon termination of the officer's employment or loss of officer status and ends after a period of 184 days plus any unused time the officer has remaining under the Company's time-off plan (often an additional 6 months). Provided the officer complies with noncompetition obligations following employment to which he is subject and all other terms of the Fiscal 2007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and restricted shares. With respect to short-term incentive awards and long-term equity awards that are performance-based, the officer is entitled to receive such awards only if the goals are achieved prior to or during the applicable Transition Period. "Customarily provided" refers to the Company's practices and plans with respect to the officer's benefits and compensation in effect as of the date of the officer's termination of employment or status as an officer ("Termination Date"). However, such terminated officers are not entitled to any new grants of stock options, awards of restricted shares or interests in future executive bonus pools (cash or equity) or the payment of any compensation that would be deferred past the Transition Period due to payment criteria of an incentive program, as those criteria exist as of the Termination Date.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Terminated officers are also subject to the following restrictions: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one year noncompetition obligation,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confidentiality obligations related to the Company's proprietary and confidential information that last indefinitely,</w:t>
      </w:r>
    </w:p>
    <w:p>
      <w:pPr>
        <w:spacing w:after="0" w:line="238"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nondisparagement and confidentiality obligation surrounding the reasons for, and circumstances of, the officer's termination of employment or change in officer status that lasts indefinitely. However, the Company may disclose such information as it determines, in its sole discretion, is either required by law to be disclosed or necessary to be disclosed to serve a valid business purpose.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the Company's employees and business partners</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Upon receipt of all benefits under the Fiscal 2007 Severance Agreement, the officer and Company are considered to have settled, waived, and voluntarily released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right="20" w:firstLine="341"/>
        <w:spacing w:after="0" w:line="332" w:lineRule="auto"/>
        <w:rPr>
          <w:sz w:val="20"/>
          <w:szCs w:val="20"/>
          <w:color w:val="auto"/>
        </w:rPr>
      </w:pPr>
      <w:r>
        <w:rPr>
          <w:rFonts w:ascii="Arial" w:cs="Arial" w:eastAsia="Arial" w:hAnsi="Arial"/>
          <w:sz w:val="16"/>
          <w:szCs w:val="16"/>
          <w:color w:val="auto"/>
        </w:rPr>
        <w:t>Amounts that would be paid to the Named Executive Officers under the Fiscal 2007 Severance Agreements assuming they had terminated employment with the Company as of our fiscal year end, August 30, 2007, can be found in the table "Voluntary or Involuntary Termination of Employment."</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October of 2007, and subsequent to fiscal 2007, the Committee approved amendments to the severance agreements for all of the officers of the Company, including the Named Executive Officers (the "Restated Severance Agreements"). We are currently in the process of obtaining executed Restated Severance Agreements from each such officer and, except as noted below, we expect that each of our officers, including the Named Executive Officers, will enter into a form of Restated Severance Agreement consistent with that described below. Mr. Stover, our Chief Financial Officer, recently announced his intention to retire and the terms and conditions of his retirement are not yet finalized. Accordingly, we are not able to represent that he will enter into a Restated Severance Agreement, and if so, whether its terms will be materially consistent with the Restated Severance Agreement described below. For purposes of disclosure pursuant to this Proxy Statement, however, we have assumed that he will enter into a Restated Severance Agreement and that it will contain terms that are materially consistent with those described below. Should Mr. Stover enter into a new or amended severance agreement following the date of this Proxy Statement and such agreement differs materially from the form of Restated Severance Agreement described below, such agreement will be summarized and disclosed pursuant to our filing a Form 8-K with the United States Securities &amp; Exchange Commission with respect to such event.</w:t>
      </w:r>
    </w:p>
    <w:p>
      <w:pPr>
        <w:spacing w:after="0" w:line="177"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connection with the Company's approval of the Restated Severance Agreements, the Committee engaged Mercer to review the form of Restated Severance Agreement as well as severance practices among the Compensation Peer Group. Mercer reported that cash severance protection levels for chief executive officers among the Compensation Peer Group, ranged from one to three times the individual's base salary and bonus for non-change of control severance and approximated three times the individual's base salary and bonus for change of control related severance. Chief executive officers also received continuation of Company provided benefits for typically 1.5 to 3 years. As to other named executive officers among the Compensation Peer Group, Mercer reported that cash severance protection levels were generally limited to change of control situations and approximated one to three times the individual's base salary and bonus. Company provided benefits continued for the same period of years as they did for the chief executive officers in the Compensation Peer Group.</w:t>
      </w:r>
    </w:p>
    <w:p>
      <w:pPr>
        <w:spacing w:after="0" w:line="15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For both chief executive officers and named executive officers in the Compensation Peer Group, unvested equity incentives typically vested upon a change of control and termination. The treatment of unvested equity for non-change of control severance was typically not dealt with in the individual severance arrangements but in the general provisions of the equity plans pursuant to which such equity awards were made. Mercer advised the Committee that given their survey of the relevant and available severance data from the Compensation Peer Group, the terms and protection levels of the Restated Severance Agreements, taken as a whole, were reasonable.</w:t>
      </w:r>
    </w:p>
    <w:p>
      <w:pPr>
        <w:spacing w:after="0" w:line="197"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Restated Severance Agreements amend and restate the Fiscal 2007 Severance Agreements. The benefits under the Restated Severance Agreements did not affect the Committee's decisions with respect to other elements of compensation described earlier. The form of Restated Severance Agreement is designed to:</w:t>
      </w:r>
    </w:p>
    <w:p>
      <w:pPr>
        <w:spacing w:after="0" w:line="13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a unified benefit for all Company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simplify the administration of benefit payments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 the need to "grandfather" certain portions of the severance benefits pursuant to Section 409A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conform the new severance agreements to the requirements of Section 409A,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3" w:name="page34"/>
    <w:bookmarkEnd w:id="33"/>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conform the period of severance benefits to the period of non-competition required of departing officers.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principal differences between a Named Executive Officer's severance agreement in effect for fiscal 2007 and the Restated Severance Agreement are as follows:</w:t>
      </w:r>
    </w:p>
    <w:p>
      <w:pPr>
        <w:spacing w:after="0" w:line="213" w:lineRule="exact"/>
        <w:rPr>
          <w:sz w:val="20"/>
          <w:szCs w:val="20"/>
          <w:color w:val="auto"/>
        </w:rPr>
      </w:pPr>
    </w:p>
    <w:p>
      <w:pPr>
        <w:ind w:left="1080" w:right="4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will commence upon a separation of service as defined in Section 409A, regardless of when a termination of employment or loss of officer status occurs,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to Named Executive Officers will be subject to a 6-month delay in benefit commencement as required by Section 409A,</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Transition Period will be calculated as a 12-month period regardless of unused time the officer may have remaining under the Company's time-off plan, and</w:t>
      </w:r>
    </w:p>
    <w:p>
      <w:pPr>
        <w:spacing w:after="0" w:line="212"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benefits Customarily Provided to the separating officer will include amounts accrued under the Company's time-off plan paid at 50% of the time accrued as of the separation from service, the same as for all other Company employees (except in California where the law requires a 100% payout of accrued and unpaid time off for Company employees working in California). To simplify the administration of the severance agreements, no amounts of severance pay will be considered "grandfathered" under Section 409A.</w:t>
      </w:r>
    </w:p>
    <w:p>
      <w:pPr>
        <w:spacing w:after="0" w:line="167"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Amounts that would be paid to the Named Executive Officers under the Restated Severance Agreements assuming they had terminated employment with the Company as of our fiscal year end, August 30, 2007, can be found in the table "Voluntary or Involuntary Termination of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arrangements</w:t>
      </w:r>
    </w:p>
    <w:p>
      <w:pPr>
        <w:spacing w:after="0" w:line="231"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 xml:space="preserve">The Company does not have separate change-in-control arrangements </w:t>
      </w:r>
      <w:r>
        <w:rPr>
          <w:rFonts w:ascii="Arial" w:cs="Arial" w:eastAsia="Arial" w:hAnsi="Arial"/>
          <w:sz w:val="16"/>
          <w:szCs w:val="16"/>
          <w:i w:val="1"/>
          <w:iCs w:val="1"/>
          <w:color w:val="auto"/>
        </w:rPr>
        <w:t>per se</w:t>
      </w:r>
      <w:r>
        <w:rPr>
          <w:rFonts w:ascii="Arial" w:cs="Arial" w:eastAsia="Arial" w:hAnsi="Arial"/>
          <w:sz w:val="16"/>
          <w:szCs w:val="16"/>
          <w:color w:val="auto"/>
        </w:rPr>
        <w:t xml:space="preserve"> for its executive officers or directors. However, the severance agreements described above, including the Restated Severance Agreements, provide for transitional benefits in the event of termination of employment, regardless of the reason for the termination, including a change in control. In addition, under the terms of the Company's equity compensation plans, equity awards may be substituted, assumed or accelerated upon a change in control, depending upon the circumstances.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Dr. Teruaki Aoki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During fiscal 2007, no members of the Compensation Committee (Dr. Aoki and Messrs. Lothrop, Mondry, Smith and Weber) were officers or employees of the Company or any of its subsidiaries. During fiscal 2007, no executive officer of the Company served on the Compensation Committee (or equivalent), or the board of directors of another entity whose executive officer(s) served on the Company's Compensation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FISCAL 2007 SUMMARY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Named Executive Officers in fiscal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Non-Equity</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37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w w:val="96"/>
              </w:rPr>
              <w:t>Name and Principal Position</w:t>
            </w:r>
          </w:p>
        </w:tc>
        <w:tc>
          <w:tcPr>
            <w:tcW w:w="24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060" w:type="dxa"/>
            <w:vAlign w:val="bottom"/>
          </w:tcPr>
          <w:p>
            <w:pPr>
              <w:jc w:val="right"/>
              <w:ind w:right="258"/>
              <w:spacing w:after="0"/>
              <w:rPr>
                <w:sz w:val="20"/>
                <w:szCs w:val="20"/>
                <w:color w:val="auto"/>
              </w:rPr>
            </w:pPr>
            <w:r>
              <w:rPr>
                <w:rFonts w:ascii="Arial" w:cs="Arial" w:eastAsia="Arial" w:hAnsi="Arial"/>
                <w:sz w:val="14"/>
                <w:szCs w:val="14"/>
                <w:b w:val="1"/>
                <w:bCs w:val="1"/>
                <w:color w:val="auto"/>
              </w:rPr>
              <w:t>Awards(1)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948,169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2,334,443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22,547</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3,368,316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Chief Executive Officer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Executive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W. G. Stover, Jr.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449,870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502,953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11,273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127,080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w w:val="84"/>
              </w:rPr>
              <w:t>1,119,633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8"/>
                <w:szCs w:val="18"/>
                <w:color w:val="auto"/>
              </w:rPr>
              <w:t>(Principal Financial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515,115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11,273</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203,850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2,066,508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Chief Operating Officer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President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342,000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505,607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498,677</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70,840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w w:val="84"/>
              </w:rPr>
              <w:t>1,427,408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18"/>
                <w:szCs w:val="18"/>
                <w:color w:val="auto"/>
                <w:w w:val="95"/>
              </w:rPr>
              <w:t>Vice President of Digital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gridSpan w:val="3"/>
          </w:tcPr>
          <w:p>
            <w:pPr>
              <w:spacing w:after="0"/>
              <w:rPr>
                <w:sz w:val="20"/>
                <w:szCs w:val="20"/>
                <w:color w:val="auto"/>
              </w:rPr>
            </w:pPr>
            <w:r>
              <w:rPr>
                <w:rFonts w:ascii="Arial" w:cs="Arial" w:eastAsia="Arial" w:hAnsi="Arial"/>
                <w:sz w:val="18"/>
                <w:szCs w:val="18"/>
                <w:color w:val="auto"/>
              </w:rPr>
              <w:t>Media</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394,854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244,928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128,960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1,428,943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Memory</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-2501265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-2501265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-2501265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-2501265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-2501265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-2501265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-2501265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-2501265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-2501265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-2501265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-2501265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-2501265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-2501265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-2501265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00" w:hanging="532"/>
        <w:spacing w:after="0" w:line="290"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 shown is the expense recognized in the Company's financial statements for fiscal 2007 under SFAS No. 123(R) for each Named Executive Officer's outstanding restricted stock and stock options. Assumptions used in determining the fair values of these option awards is set forth in the "Equity Plans" notes to the Company's financial statements included in its annual reports on Form 10-K for fiscal 2007, 2006 and 2005, which are incorporated herein by reference. The expense shown for these stock awards is based solely on the fair market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Any dividends payable with respect to the Company's Common Stock will be payable with respect to all awards of restricted stock.</w:t>
      </w:r>
    </w:p>
    <w:p>
      <w:pPr>
        <w:spacing w:after="0" w:line="199" w:lineRule="exact"/>
        <w:rPr>
          <w:rFonts w:ascii="Arial" w:cs="Arial" w:eastAsia="Arial" w:hAnsi="Arial"/>
          <w:sz w:val="16"/>
          <w:szCs w:val="16"/>
          <w:color w:val="auto"/>
        </w:rPr>
      </w:pPr>
    </w:p>
    <w:p>
      <w:pPr>
        <w:ind w:left="540" w:hanging="532"/>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amounts shown were paid pursuant to the Executive Officer Incentive Plan ("EIP") and relate to the achievement of certain performance milestones.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shown reflect the following compensation for each Named Executive Officer: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Matching contributions allocated by the Company to each of the Named Executive Officers pursuant to the Company's 401(k) retirement plan. The contribution for each of the Named Executive Officers for fiscal 2007 was $9,000.</w:t>
      </w:r>
    </w:p>
    <w:p>
      <w:pPr>
        <w:spacing w:after="0" w:line="212"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fiscal 2007, the Company made return on equity contributions to employees 401(k) accounts based on the Company's return of equity ("ROE"). The ROE contribution for each of the Named Executive Officers was $1,284.</w:t>
      </w:r>
    </w:p>
    <w:p>
      <w:pPr>
        <w:spacing w:after="0" w:line="199"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Under the Company's time-off plan unused time off in excess of 999 hours cannot be carried forward and is paid out in cash. Amounts paid to Messrs. Appleton and Stover in fiscal 2007 under the time-off plan were $52,873 and $18,173,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GRANTS OF PLAN-BASED AWARDS IN FISCAL 2007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plan-based award grants to the Company's Named Executive Officers in fiscal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Estimated Future Payouts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Estimated Future Payouts under Equity Incentive Plan</w:t>
            </w:r>
          </w:p>
        </w:tc>
        <w:tc>
          <w:tcPr>
            <w:tcW w:w="17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under Non-equity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Awards(1)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Incentive Plan Awards(2)</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20" w:type="dxa"/>
            <w:vAlign w:val="bottom"/>
            <w:vMerge w:val="restart"/>
          </w:tcPr>
          <w:p>
            <w:pPr>
              <w:spacing w:after="0"/>
              <w:rPr>
                <w:sz w:val="9"/>
                <w:szCs w:val="9"/>
                <w:color w:val="auto"/>
              </w:rPr>
            </w:pPr>
          </w:p>
        </w:tc>
        <w:tc>
          <w:tcPr>
            <w:tcW w:w="66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1"/>
              </w:rPr>
              <w:t>Close Price</w:t>
            </w:r>
          </w:p>
        </w:tc>
        <w:tc>
          <w:tcPr>
            <w:tcW w:w="100" w:type="dxa"/>
            <w:vAlign w:val="bottom"/>
            <w:vMerge w:val="restart"/>
          </w:tcPr>
          <w:p>
            <w:pPr>
              <w:spacing w:after="0"/>
              <w:rPr>
                <w:sz w:val="9"/>
                <w:szCs w:val="9"/>
                <w:color w:val="auto"/>
              </w:rPr>
            </w:pPr>
          </w:p>
        </w:tc>
        <w:tc>
          <w:tcPr>
            <w:tcW w:w="7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Plan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5"/>
              </w:rPr>
              <w:t>on Grant</w:t>
            </w:r>
          </w:p>
        </w:tc>
        <w:tc>
          <w:tcPr>
            <w:tcW w:w="1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174"/>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Grant Date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Approval Date</w:t>
            </w:r>
          </w:p>
        </w:tc>
        <w:tc>
          <w:tcPr>
            <w:tcW w:w="12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5"/>
                <w:szCs w:val="15"/>
                <w:color w:val="auto"/>
              </w:rPr>
            </w:pPr>
          </w:p>
        </w:tc>
        <w:tc>
          <w:tcPr>
            <w:tcW w:w="88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w:t>
            </w: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Target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Units(3)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Units(4)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Steven R. Appleton</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188,500</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17.73</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  3,370,380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Chief Executive Officer</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117,800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235,600</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4,212,528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EIP</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783,750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1,425,000</w:t>
            </w:r>
          </w:p>
        </w:tc>
        <w:tc>
          <w:tcPr>
            <w:tcW w:w="3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2,070,750</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300" w:type="dxa"/>
            <w:vAlign w:val="bottom"/>
            <w:gridSpan w:val="2"/>
          </w:tcPr>
          <w:p>
            <w:pPr>
              <w:spacing w:after="0"/>
              <w:rPr>
                <w:sz w:val="20"/>
                <w:szCs w:val="20"/>
                <w:color w:val="auto"/>
              </w:rPr>
            </w:pPr>
            <w:r>
              <w:rPr>
                <w:rFonts w:ascii="Arial" w:cs="Arial" w:eastAsia="Arial" w:hAnsi="Arial"/>
                <w:sz w:val="14"/>
                <w:szCs w:val="14"/>
                <w:color w:val="auto"/>
              </w:rPr>
              <w:t>W. G. Stover, Jr.</w:t>
            </w:r>
          </w:p>
        </w:tc>
        <w:tc>
          <w:tcPr>
            <w:tcW w:w="120" w:type="dxa"/>
            <w:vAlign w:val="bottom"/>
          </w:tcPr>
          <w:p>
            <w:pPr>
              <w:spacing w:after="0"/>
              <w:rPr>
                <w:sz w:val="24"/>
                <w:szCs w:val="2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w w:val="82"/>
              </w:rPr>
              <w:t>2004 Plan</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39,200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17.73</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color w:val="auto"/>
              </w:rPr>
              <w:t>700,896</w:t>
            </w: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w w:val="92"/>
              </w:rPr>
              <w:t>Chief Financial Officer</w:t>
            </w: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24,450</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48,900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874,332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EIP</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216,000</w:t>
            </w: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360,000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648,000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D. Mark Durcan</w:t>
            </w:r>
          </w:p>
        </w:tc>
        <w:tc>
          <w:tcPr>
            <w:tcW w:w="12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87,000</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1,555,560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President and</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108,800</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1,945,344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Chief Operating Officer</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EIP</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292,500</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08/27/2007</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08/27/2007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11.23</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495,900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300" w:type="dxa"/>
            <w:vAlign w:val="bottom"/>
            <w:gridSpan w:val="2"/>
          </w:tcPr>
          <w:p>
            <w:pPr>
              <w:spacing w:after="0"/>
              <w:rPr>
                <w:sz w:val="20"/>
                <w:szCs w:val="20"/>
                <w:color w:val="auto"/>
              </w:rPr>
            </w:pPr>
            <w:r>
              <w:rPr>
                <w:rFonts w:ascii="Arial" w:cs="Arial" w:eastAsia="Arial" w:hAnsi="Arial"/>
                <w:sz w:val="14"/>
                <w:szCs w:val="14"/>
                <w:color w:val="auto"/>
              </w:rPr>
              <w:t>Mark W. Adams</w:t>
            </w:r>
          </w:p>
        </w:tc>
        <w:tc>
          <w:tcPr>
            <w:tcW w:w="120" w:type="dxa"/>
            <w:vAlign w:val="bottom"/>
          </w:tcPr>
          <w:p>
            <w:pPr>
              <w:spacing w:after="0"/>
              <w:rPr>
                <w:sz w:val="24"/>
                <w:szCs w:val="2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w w:val="82"/>
              </w:rPr>
              <w:t>2004 Plan</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23,200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17.73</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color w:val="auto"/>
              </w:rPr>
              <w:t>414,816</w:t>
            </w: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rPr>
              <w:t>Vice President of</w:t>
            </w: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14,500</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29,000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17.73</w:t>
            </w: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518,520</w:t>
            </w: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Digital Media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EIP</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09/26/2006</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09/25/2006</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182,000</w:t>
            </w: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280,000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476,000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12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39,200</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700,896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President of</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2004 Plan</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48,900</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874,332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Memory</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EIP</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09/26/2006</w:t>
            </w: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09/25/2006</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160,000</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592,000</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-2355215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-2355215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-2055495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-2055495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-2355215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-2355215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-2055495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-2055495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-2055495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-2055495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-2055495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-2055495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-2055495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-2055495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-2055495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-2055495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-2055495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-2055495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-2055495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-2055495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-2055495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-2055495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-2055495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-2055495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-2055495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-2055495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00" w:hanging="532"/>
        <w:spacing w:after="0" w:line="233"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bonuses set in fiscal 2007 under the Executive Officer Incentive Plan ("EIP"). Payment of bonuses under the EIP is dependent upon meeting specified performance goals. Target amounts represent the aggregate amount that would be paid upon the successful achievement of each goal assigned to the Named Executive Officer. Actual amounts paid pursuant to these bonuses are included in the Summary Compensation Table under the heading "Non-equity Incentive Plan Compensation."</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restricted stock awarded in fiscal 2007 under the 2004 Equity Incentive Plan (the "2004 Plan") with performance-based restrictions. Information related to the performance-based restrictions associated with these shares is contained in Compensation Discussion and Analysis.</w:t>
      </w:r>
    </w:p>
    <w:p>
      <w:pPr>
        <w:spacing w:after="0" w:line="111"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restricted stock awarded in fiscal 2007 under the 2004 Plan with time-based restrictions. Time based restrictions lapse in four equal installments over a four year period from the date of the award.</w:t>
      </w:r>
    </w:p>
    <w:p>
      <w:pPr>
        <w:spacing w:after="0" w:line="111" w:lineRule="exact"/>
        <w:rPr>
          <w:rFonts w:ascii="Arial" w:cs="Arial" w:eastAsia="Arial" w:hAnsi="Arial"/>
          <w:sz w:val="14"/>
          <w:szCs w:val="14"/>
          <w:color w:val="auto"/>
        </w:rPr>
      </w:pPr>
    </w:p>
    <w:p>
      <w:pPr>
        <w:ind w:left="540" w:right="20" w:hanging="532"/>
        <w:spacing w:after="0" w:line="273" w:lineRule="auto"/>
        <w:tabs>
          <w:tab w:leader="none" w:pos="5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expense shown for these stock awards is based solely on the fair market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For purposes of the Company's equity plans and the calculation of "Grant Date Fair Value", the fair market value of the Company's Common Stock on the dates of grant referenced in this table (September 26, 2006 and August 24, 2007) were $17.88 and $11.02, respectively (the average closing prices on September 25, 2006 and August 24, 2007). The closing price of the Company's Common Stock on the dates of grant referenced in this table (September 26, 2006 and August 27, 2007) were $17.73 and $11.23, respectively.</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Plan Information: </w:t>
      </w:r>
      <w:r>
        <w:rPr>
          <w:rFonts w:ascii="Arial" w:cs="Arial" w:eastAsia="Arial" w:hAnsi="Arial"/>
          <w:sz w:val="16"/>
          <w:szCs w:val="16"/>
          <w:color w:val="auto"/>
        </w:rPr>
        <w:t>In fiscal 2007, compensatory awards were made to the Named Executive Officers pursuant to the Executive Officer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"EIP") and the 2004 Equity Incentive Plan (the "2004 Plan"). The EIP was approved by the Company's shareholders in November 2004. The purpose of the EIP is to attract, retain and reward qualified executives who are important to the Company's success by providing cash awards for outstanding performance at the individual, business-unit and Company-wide level. The 2004 Plan was also approved by the Company's shareholders in November 2004. The purpose of the 2004 Plan is to promote the Company's success by linking the personal interests of its employees, officers, directors and consultants to those of the Company's shareholders, and by providing participants with an incentive for outstanding performance. Permissible awards under the 2004 Plan include: options, restricted stock, restricted stock units, stock appreciation rights, deferred stock units and dividend equivalent rights. The Company has issued options, restricted stock and restricted stock units under the 2004 Plan.</w:t>
      </w:r>
    </w:p>
    <w:p>
      <w:pPr>
        <w:spacing w:after="0" w:line="166"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b w:val="1"/>
          <w:bCs w:val="1"/>
          <w:color w:val="auto"/>
        </w:rPr>
        <w:t xml:space="preserve">Lapsing of Restrictions Associated with Restricted Stock Awards: </w:t>
      </w:r>
      <w:r>
        <w:rPr>
          <w:rFonts w:ascii="Arial" w:cs="Arial" w:eastAsia="Arial" w:hAnsi="Arial"/>
          <w:sz w:val="18"/>
          <w:szCs w:val="18"/>
          <w:color w:val="auto"/>
        </w:rPr>
        <w:t>The restrictions associated with the restricted stock granted to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include both time-based restrictions and performance-based restrictions. Time-based restrictions applicable to awards made in fiscal 2005 and 2006 lapse in three equal installments over a three-year period from the date of the award. Time-based restrictions applicable to awards made in fiscal 2007 lapse in four equal installments over a four-year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period. For information on the restrictions associated with performance-based awards see, the Compensation Discussion and Analysis.</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Issuance of Performance-Based Awards: </w:t>
      </w:r>
      <w:r>
        <w:rPr>
          <w:rFonts w:ascii="Arial" w:cs="Arial" w:eastAsia="Arial" w:hAnsi="Arial"/>
          <w:sz w:val="16"/>
          <w:szCs w:val="16"/>
          <w:color w:val="auto"/>
        </w:rPr>
        <w:t>In fiscal 2006 the Company's executive officers were granted restricted stock with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related to the achievement of a minimum specified ROIC goal. While the executive officers have until the end of fiscal 2008 to achieve the performance goals associated with these shares, during fiscal 2007 it was determined that achievement of the goals was not probable and the expense the Company had previously recorded related to those shares was reversed. Specifically, for Mr. Appleton, an expense of $540,264 related to 145,000 shares was reversed and for each of Messrs. Stover and Durcan, an expense of $167,668 related to 45,000 shares was reversed. Similarly, the performance milestones related to the payment of bonuses under the EIP for fiscal 2007 were only partially achieved or not achieved at all. As a result, bonuses for fiscal 2007 were not paid out at the levels indicated in the columns labeled "Estimated Future Payouts under Non-equity Incentive Plan Awards" on the "Grants of Plan Based Awards" table. The actual amount of the EIP bonuses paid in for fiscal 2007 performance are included in the "Summary Compensation Table" in the column labeled "Non-Equity Plan Incentive Compensation." The performance milestones related to the EIP are discussed in the Compensation Discussion and Analysis.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Compensation Expense Related to Stock Options: </w:t>
      </w:r>
      <w:r>
        <w:rPr>
          <w:rFonts w:ascii="Arial" w:cs="Arial" w:eastAsia="Arial" w:hAnsi="Arial"/>
          <w:sz w:val="16"/>
          <w:szCs w:val="16"/>
          <w:color w:val="auto"/>
        </w:rPr>
        <w:t>Compensation expense related to stock options held by the Named Executive Officers is significantly</w:t>
      </w:r>
      <w:r>
        <w:rPr>
          <w:rFonts w:ascii="Arial" w:cs="Arial" w:eastAsia="Arial" w:hAnsi="Arial"/>
          <w:sz w:val="16"/>
          <w:szCs w:val="16"/>
          <w:b w:val="1"/>
          <w:bCs w:val="1"/>
          <w:color w:val="auto"/>
        </w:rPr>
        <w:t xml:space="preserve"> </w:t>
      </w:r>
      <w:r>
        <w:rPr>
          <w:rFonts w:ascii="Arial" w:cs="Arial" w:eastAsia="Arial" w:hAnsi="Arial"/>
          <w:sz w:val="16"/>
          <w:szCs w:val="16"/>
          <w:color w:val="auto"/>
        </w:rPr>
        <w:t>less then the expense related to restricted stock for two reasons. First, since fiscal 2005 the Company has not regularly granted stock options to its executive officers. While the Company retains the flexibility to award stock options to executive officers, in recent years only shares of restricted stock have been awarded. The shift to restricted stock was made in an effort to bring the composition of the executive officers' equity awards in line with that of the executive officers at other corporations within the Company's compensation peer group. (See the Compensation Discussion and Analysis for additional information related to the Company's peer group.) Second, in April 2005, the Company accelerated the vesting of outstanding options in an attempt to reduce compensation costs associated with the adoption of SFAS No. 123(R). As a result, the expenses associated with accelerated options for the Named Executive Officers' options were never required to be recorded in the Company's financial statements.</w:t>
      </w:r>
    </w:p>
    <w:p>
      <w:pPr>
        <w:spacing w:after="0" w:line="166"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 xml:space="preserve">Stock Option Vesting: </w:t>
      </w:r>
      <w:r>
        <w:rPr>
          <w:rFonts w:ascii="Arial" w:cs="Arial" w:eastAsia="Arial" w:hAnsi="Arial"/>
          <w:sz w:val="16"/>
          <w:szCs w:val="16"/>
          <w:color w:val="auto"/>
        </w:rPr>
        <w:t>Since September 2004, options granted by the Company generally vest in four equal installments over a four-year period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and have a term of six years. Mr. Adams holds options that were originally issued by Lexar Media, Inc. ("Lexar") and subsequently converted into Micron options in connection with the Company's acquisition of Lexar in June 2006. His Lexar options vest over a four-year period, with 25% vesting in the first year and the remaining 75% vesting in monthly increments thereafter. The Lexar options have a term of 10 years.</w:t>
      </w:r>
    </w:p>
    <w:p>
      <w:pPr>
        <w:spacing w:after="0" w:line="157"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 xml:space="preserve">Determination of Stock-based Compensation: </w:t>
      </w:r>
      <w:r>
        <w:rPr>
          <w:rFonts w:ascii="Arial" w:cs="Arial" w:eastAsia="Arial" w:hAnsi="Arial"/>
          <w:sz w:val="16"/>
          <w:szCs w:val="16"/>
          <w:color w:val="auto"/>
        </w:rPr>
        <w:t>Under the provisions of SFAS No. 123(R), stock-based compensation cost is estimated at the grant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68"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and derived from historical data. For stock based compensation awards with graded vesting that were granted after 2005, the Company recognizes compensation expense using the straight-line amortization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OUTSTANDING EQUITY AWARDS AT 2007 FISCAL YEAR-END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shares held by the Company's Named Executive Officers as of August 30,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640"/>
              <w:spacing w:after="0"/>
              <w:rPr>
                <w:sz w:val="20"/>
                <w:szCs w:val="20"/>
                <w:color w:val="auto"/>
              </w:rPr>
            </w:pPr>
            <w:r>
              <w:rPr>
                <w:rFonts w:ascii="Arial" w:cs="Arial" w:eastAsia="Arial" w:hAnsi="Arial"/>
                <w:sz w:val="14"/>
                <w:szCs w:val="14"/>
                <w:b w:val="1"/>
                <w:bCs w:val="1"/>
                <w:color w:val="auto"/>
                <w:w w:val="90"/>
              </w:rPr>
              <w:t>Option Awards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1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Equity Incentive Plan</w:t>
            </w:r>
          </w:p>
        </w:tc>
        <w:tc>
          <w:tcPr>
            <w:tcW w:w="1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Incentive 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Awards: Number of</w:t>
            </w:r>
          </w:p>
        </w:tc>
        <w:tc>
          <w:tcPr>
            <w:tcW w:w="6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Market or 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Unearned Shares,</w:t>
            </w:r>
          </w:p>
        </w:tc>
        <w:tc>
          <w:tcPr>
            <w:tcW w:w="6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Unearned 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1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Units or Other Rights</w:t>
            </w:r>
          </w:p>
        </w:tc>
        <w:tc>
          <w:tcPr>
            <w:tcW w:w="6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 Rights That Have Not</w:t>
            </w:r>
          </w:p>
        </w:tc>
        <w:tc>
          <w:tcPr>
            <w:tcW w:w="0" w:type="dxa"/>
            <w:vAlign w:val="bottom"/>
          </w:tcPr>
          <w:p>
            <w:pPr>
              <w:spacing w:after="0"/>
              <w:rPr>
                <w:sz w:val="1"/>
                <w:szCs w:val="1"/>
                <w:color w:val="auto"/>
              </w:rPr>
            </w:pPr>
          </w:p>
        </w:tc>
      </w:tr>
      <w:tr>
        <w:trPr>
          <w:trHeight w:val="174"/>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Exercisable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Exercise Price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5"/>
                <w:szCs w:val="15"/>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1"/>
              </w:rPr>
              <w:t>(1)</w:t>
            </w:r>
          </w:p>
        </w:tc>
        <w:tc>
          <w:tcPr>
            <w:tcW w:w="10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That Have Not Vested</w:t>
            </w:r>
          </w:p>
        </w:tc>
        <w:tc>
          <w:tcPr>
            <w:tcW w:w="6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Vested (1)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Steven R. Appleton</w:t>
            </w:r>
          </w:p>
        </w:tc>
        <w:tc>
          <w:tcPr>
            <w:tcW w:w="11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200,000</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14.02</w:t>
            </w:r>
          </w:p>
        </w:tc>
        <w:tc>
          <w:tcPr>
            <w:tcW w:w="10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9/21/2008</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23,333(2)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261,563</w:t>
            </w:r>
          </w:p>
        </w:tc>
        <w:tc>
          <w:tcPr>
            <w:tcW w:w="16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145,000(3)$</w:t>
            </w: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1,625,450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9/27/2009</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110,000(4)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1,233,100</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235,600(5)</w:t>
            </w: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2,641,076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78.31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9/1/2010</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188,500(6)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2,113,085</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9/21/2011</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9/10/2012</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3/29/2014</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420,000</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12.03</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10/1/2010</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20" w:type="dxa"/>
            <w:vAlign w:val="bottom"/>
            <w:gridSpan w:val="3"/>
          </w:tcPr>
          <w:p>
            <w:pPr>
              <w:spacing w:after="0"/>
              <w:rPr>
                <w:sz w:val="20"/>
                <w:szCs w:val="20"/>
                <w:color w:val="auto"/>
              </w:rPr>
            </w:pPr>
            <w:r>
              <w:rPr>
                <w:rFonts w:ascii="Arial" w:cs="Arial" w:eastAsia="Arial" w:hAnsi="Arial"/>
                <w:sz w:val="14"/>
                <w:szCs w:val="14"/>
                <w:color w:val="auto"/>
              </w:rPr>
              <w:t>W. G. Stover, Jr.</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122,000</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14.02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9/21/2008</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6,667(2)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74,737</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45,000(3)</w:t>
            </w:r>
          </w:p>
        </w:tc>
        <w:tc>
          <w:tcPr>
            <w:tcW w:w="6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504,450</w:t>
            </w:r>
          </w:p>
        </w:tc>
        <w:tc>
          <w:tcPr>
            <w:tcW w:w="0" w:type="dxa"/>
            <w:vAlign w:val="bottom"/>
          </w:tcPr>
          <w:p>
            <w:pPr>
              <w:spacing w:after="0"/>
              <w:rPr>
                <w:sz w:val="1"/>
                <w:szCs w:val="1"/>
                <w:color w:val="auto"/>
              </w:rPr>
            </w:pPr>
          </w:p>
        </w:tc>
      </w:tr>
      <w:tr>
        <w:trPr>
          <w:trHeight w:val="149"/>
        </w:trPr>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Chief Financial Officer</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39.94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9/27/2009</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33,333(4)</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373,663</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48,900(5)</w:t>
            </w:r>
          </w:p>
        </w:tc>
        <w:tc>
          <w:tcPr>
            <w:tcW w:w="6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548,169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78.31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9/1/2010</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39,200(6)</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439,432</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9/21/2011</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9/10/2012</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4/22/2013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112,500</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9/23/2013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112,500</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15.91</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3/29/2014</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 Mark Durcan</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9/21/2008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11,667(2)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130,787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45,000(3)</w:t>
            </w:r>
          </w:p>
        </w:tc>
        <w:tc>
          <w:tcPr>
            <w:tcW w:w="6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9/27/2009</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33,333(4)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373,663</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108,800(5)</w:t>
            </w: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Officer</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78.31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9/1/2010</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33,333(7)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373,663</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9/21/2011</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87,000(6)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975,270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9/10/2012</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504,450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3/29/2014</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130,000</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12.03</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10/1/2010</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20" w:type="dxa"/>
            <w:vAlign w:val="bottom"/>
            <w:gridSpan w:val="3"/>
          </w:tcPr>
          <w:p>
            <w:pPr>
              <w:spacing w:after="0"/>
              <w:rPr>
                <w:sz w:val="20"/>
                <w:szCs w:val="20"/>
                <w:color w:val="auto"/>
              </w:rPr>
            </w:pPr>
            <w:r>
              <w:rPr>
                <w:rFonts w:ascii="Arial" w:cs="Arial" w:eastAsia="Arial" w:hAnsi="Arial"/>
                <w:sz w:val="14"/>
                <w:szCs w:val="14"/>
                <w:color w:val="auto"/>
              </w:rPr>
              <w:t>Mark W. Adams</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25,000</w:t>
            </w:r>
          </w:p>
        </w:tc>
        <w:tc>
          <w:tcPr>
            <w:tcW w:w="1360" w:type="dxa"/>
            <w:vAlign w:val="bottom"/>
            <w:gridSpan w:val="2"/>
          </w:tcPr>
          <w:p>
            <w:pPr>
              <w:ind w:left="760"/>
              <w:spacing w:after="0"/>
              <w:rPr>
                <w:sz w:val="20"/>
                <w:szCs w:val="20"/>
                <w:color w:val="auto"/>
              </w:rPr>
            </w:pPr>
            <w:r>
              <w:rPr>
                <w:rFonts w:ascii="Arial" w:cs="Arial" w:eastAsia="Arial" w:hAnsi="Arial"/>
                <w:sz w:val="14"/>
                <w:szCs w:val="14"/>
                <w:color w:val="auto"/>
                <w:w w:val="96"/>
              </w:rPr>
              <w:t>75,000(9)</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16.68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6/27/2012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Vice President of Digital</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32,407</w:t>
            </w:r>
          </w:p>
        </w:tc>
        <w:tc>
          <w:tcPr>
            <w:tcW w:w="136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85"/>
              </w:rPr>
              <w:t>26,842(10)</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30,000(11)</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336,300</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29,000(5)</w:t>
            </w:r>
          </w:p>
        </w:tc>
        <w:tc>
          <w:tcPr>
            <w:tcW w:w="6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325,090</w:t>
            </w:r>
          </w:p>
        </w:tc>
        <w:tc>
          <w:tcPr>
            <w:tcW w:w="0" w:type="dxa"/>
            <w:vAlign w:val="bottom"/>
          </w:tcPr>
          <w:p>
            <w:pPr>
              <w:spacing w:after="0"/>
              <w:rPr>
                <w:sz w:val="1"/>
                <w:szCs w:val="1"/>
                <w:color w:val="auto"/>
              </w:rPr>
            </w:pPr>
          </w:p>
        </w:tc>
      </w:tr>
      <w:tr>
        <w:trPr>
          <w:trHeight w:val="159"/>
        </w:trPr>
        <w:tc>
          <w:tcPr>
            <w:tcW w:w="1620" w:type="dxa"/>
            <w:vAlign w:val="bottom"/>
            <w:gridSpan w:val="3"/>
          </w:tcPr>
          <w:p>
            <w:pPr>
              <w:spacing w:after="0" w:line="159" w:lineRule="exact"/>
              <w:rPr>
                <w:sz w:val="20"/>
                <w:szCs w:val="20"/>
                <w:color w:val="auto"/>
              </w:rPr>
            </w:pPr>
            <w:r>
              <w:rPr>
                <w:rFonts w:ascii="Arial" w:cs="Arial" w:eastAsia="Arial" w:hAnsi="Arial"/>
                <w:sz w:val="14"/>
                <w:szCs w:val="14"/>
                <w:color w:val="auto"/>
              </w:rPr>
              <w:t>Media</w:t>
            </w:r>
          </w:p>
        </w:tc>
        <w:tc>
          <w:tcPr>
            <w:tcW w:w="11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64,804</w:t>
            </w:r>
          </w:p>
        </w:tc>
        <w:tc>
          <w:tcPr>
            <w:tcW w:w="1360" w:type="dxa"/>
            <w:vAlign w:val="bottom"/>
            <w:gridSpan w:val="2"/>
          </w:tcPr>
          <w:p>
            <w:pPr>
              <w:ind w:left="760"/>
              <w:spacing w:after="0" w:line="159" w:lineRule="exact"/>
              <w:rPr>
                <w:sz w:val="20"/>
                <w:szCs w:val="20"/>
                <w:color w:val="auto"/>
              </w:rPr>
            </w:pPr>
            <w:r>
              <w:rPr>
                <w:rFonts w:ascii="Arial" w:cs="Arial" w:eastAsia="Arial" w:hAnsi="Arial"/>
                <w:sz w:val="14"/>
                <w:szCs w:val="14"/>
                <w:color w:val="auto"/>
                <w:w w:val="85"/>
              </w:rPr>
              <w:t>53,695(10)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10.89</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2/10/2016</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23,200(6)</w:t>
            </w: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260,072</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16,000</w:t>
            </w: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7/30/2008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8,800(12)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98,648</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48,900(5)</w:t>
            </w:r>
          </w:p>
        </w:tc>
        <w:tc>
          <w:tcPr>
            <w:tcW w:w="6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Vice President of</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9/21/2008</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Memory</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10/20/2009</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50,100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28.56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10/18/2010</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6,250</w:t>
            </w:r>
          </w:p>
        </w:tc>
        <w:tc>
          <w:tcPr>
            <w:tcW w:w="136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18,750(13)</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9/15/2011</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70,100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9/21/2011</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39,200(6)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439,432</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16,250</w:t>
            </w:r>
          </w:p>
        </w:tc>
        <w:tc>
          <w:tcPr>
            <w:tcW w:w="136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48,750(14)</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12/16/2011</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10/16/2012</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11/19/2013</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25,000</w:t>
            </w:r>
          </w:p>
        </w:tc>
        <w:tc>
          <w:tcPr>
            <w:tcW w:w="1360" w:type="dxa"/>
            <w:vAlign w:val="bottom"/>
            <w:gridSpan w:val="2"/>
            <w:shd w:val="clear" w:color="auto" w:fill="CCEEFF"/>
          </w:tcPr>
          <w:p>
            <w:pPr>
              <w:ind w:left="760"/>
              <w:spacing w:after="0" w:line="159" w:lineRule="exact"/>
              <w:rPr>
                <w:sz w:val="20"/>
                <w:szCs w:val="20"/>
                <w:color w:val="auto"/>
              </w:rPr>
            </w:pPr>
            <w:r>
              <w:rPr>
                <w:rFonts w:ascii="Arial" w:cs="Arial" w:eastAsia="Arial" w:hAnsi="Arial"/>
                <w:sz w:val="14"/>
                <w:szCs w:val="14"/>
                <w:color w:val="auto"/>
                <w:w w:val="85"/>
              </w:rPr>
              <w:t>50,000(15)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11.51</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9/1/2014</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-5039995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-5039995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-5039995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-5039995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-4319270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-4319270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-4319270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-4319270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-4319270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-4319270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-4319270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-4319270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-4319270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-4319270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-4319270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-4319270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-4319270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-4319270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-4319270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-4319270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-4319270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by $11.21, the closing price of the Company's common stock on August 30,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on November 19, 2007.</w:t>
      </w:r>
    </w:p>
    <w:p>
      <w:pPr>
        <w:spacing w:after="0" w:line="12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2008. The Company currently anticipates that the performance goals related to these shares will not be met and that the shares will be forfeited.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September 30, 2007, and September 30,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25% increments annually beginning on September 26,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February 13, 2008, and February 13,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25% increments annually beginning on August 27,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33.3% increments annually beginning on June 27,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3.45% increments monthly beginning on September 4, 2007, and ending on January 4, 2010.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June 27, 2008, and June 27, 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December 16, 2007, and December 16,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33.3% increments annually beginning on September 15,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33.3% increments annually beginning on December 16,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equal installments on September 1, 2007, and September 1, 2008.</w:t>
      </w:r>
    </w:p>
    <w:p>
      <w:pPr>
        <w:sectPr>
          <w:pgSz w:w="11900" w:h="16838" w:orient="portrait"/>
          <w:cols w:equalWidth="0" w:num="1">
            <w:col w:w="11420"/>
          </w:cols>
          <w:pgMar w:left="240" w:top="34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sets forth information related to the number of options and restricted shares held by each of the Named Executive Officers, that were exercised or vested in fiscal 2007, and the value realized.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4"/>
          </w:tcPr>
          <w:p>
            <w:pPr>
              <w:ind w:left="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Option Awards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Stock Awards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Acquired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4"/>
        </w:trPr>
        <w:tc>
          <w:tcPr>
            <w:tcW w:w="40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On Exercise</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on Exercise (1)</w:t>
            </w: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On Vesting</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On Vesting (2)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78,333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W. G. Stover, Jr.</w:t>
            </w:r>
          </w:p>
        </w:tc>
        <w:tc>
          <w:tcPr>
            <w:tcW w:w="1760" w:type="dxa"/>
            <w:vAlign w:val="bottom"/>
          </w:tcPr>
          <w:p>
            <w:pPr>
              <w:jc w:val="right"/>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43,700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23,333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387,129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4"/>
          </w:tcPr>
          <w:p>
            <w:pPr>
              <w:spacing w:after="0"/>
              <w:rPr>
                <w:sz w:val="20"/>
                <w:szCs w:val="20"/>
                <w:color w:val="auto"/>
              </w:rPr>
            </w:pPr>
            <w:r>
              <w:rPr>
                <w:rFonts w:ascii="Arial" w:cs="Arial" w:eastAsia="Arial" w:hAnsi="Arial"/>
                <w:sz w:val="18"/>
                <w:szCs w:val="18"/>
                <w:color w:val="auto"/>
              </w:rPr>
              <w:t>Vice President of Digital Media</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of Memory</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-2072640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-2072640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-2072640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-1540510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-1540510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-1540510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-1540510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-1540510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-1540510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-1540510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-1540510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calculated by multiplying the exercise price of the option by the market value of the shares on the exercise date.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of the shares on the vesting date.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following tables quantify the estimated payments and benefits for each of the Named Executive Officers pursuant to the Fiscal 2007 Severance Agreements and the Restated Severance Agreements described in the "Severance Agreements" section of the "Compensation Discussion and Analysis." The Restated Severance Agreements amend and restate the Fiscal 2007 Severance Agreements so it is not possible to receive a payment under both agreements. The amounts were calculated as if the Named Executive Officer separated from service on August 30, 2007, the last day of fiscal 2007. Stock calculations are based on $11.21 per share, which was the closing price of the Company's stock on August 30, 2007.</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"Salary" portion of severance payments are paid on the Company's regular bi-weekly payroll schedule during the officer's Transition Period subject to the possibility of a 6-month delay that may be required by Section 409A of the Code. If Section 409A imposes a 6-month delay, payments during the delay would be accumulated and paid to the officer on the first day of the seventh month following the officer's separation from service. The remaining payments would then be paid according the Company's regular payroll schedule.</w:t>
      </w:r>
    </w:p>
    <w:p>
      <w:pPr>
        <w:spacing w:after="0" w:line="197"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prior to or during the applicable Transition Period. Such payments are made at the same time as the other officers participating in the applicable bonus plan receive their payments, if any, and typically would occur during the Company's first fiscal quarter.</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Named Executive Officer paid each month for benefits coverage as an employee of the Company and the estimated premiums the Named Executive Officer would need to pay each month for the same or similar coverage as a former employee of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20"/>
        <w:spacing w:after="0" w:line="290" w:lineRule="auto"/>
        <w:rPr>
          <w:sz w:val="20"/>
          <w:szCs w:val="20"/>
          <w:color w:val="auto"/>
        </w:rPr>
      </w:pPr>
      <w:r>
        <w:rPr>
          <w:rFonts w:ascii="Arial" w:cs="Arial" w:eastAsia="Arial" w:hAnsi="Arial"/>
          <w:sz w:val="16"/>
          <w:szCs w:val="16"/>
          <w:color w:val="auto"/>
        </w:rPr>
        <w:t>This monthly amount is multiplied by the number of months in the Named Executive Officer's Transition Period and is grossed-up for taxes. In addition, a portion of the "Cash in Lieu of Benefits" payments consist of the amount of matching contribution the Named Executive Officer would have received in the Company's 401(k) plan if the Named Executive Officer had continued to participate in such plan during the Transition Period. This payment is grossed-up for taxes. All gross-up calculations and payments are based on the standard supplemental withholding rates provided by federal and state guidelines. The Company does not use the Named Executive Officer's actual tax rate for these calculations. The "Cash in Lieu of Benefits" payment is made within 30 days after the officer's separation from service, subject to the possibility of a 6-month delay that may be required by Section 409A of the Code. If Section 409A imposes a 6-month delay, the payment would be made to the officer on the first day of the seventh month following the officer's separation from service.</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"Value of Extended Option Vesting and Exercise Period" and the "Value of Extended Restricted Stock Vesting" portions of the severance arrangement have been estimated assuming the continued vesting and exercisability during the Transition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"Value of Unearned Stock Awards" was determined in the manner described below in footnote (6).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2007 Severance Agreement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3"/>
              <w:spacing w:after="0"/>
              <w:rPr>
                <w:sz w:val="20"/>
                <w:szCs w:val="20"/>
                <w:color w:val="auto"/>
              </w:rPr>
            </w:pPr>
            <w:r>
              <w:rPr>
                <w:rFonts w:ascii="Arial" w:cs="Arial" w:eastAsia="Arial" w:hAnsi="Arial"/>
                <w:sz w:val="14"/>
                <w:szCs w:val="14"/>
                <w:b w:val="1"/>
                <w:bCs w:val="1"/>
                <w:color w:val="auto"/>
                <w:w w:val="88"/>
              </w:rPr>
              <w:t>Value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5"/>
              </w:rPr>
              <w:t>Extended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Value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Extended</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Value of</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Cash in Lieu</w:t>
            </w:r>
          </w:p>
        </w:tc>
        <w:tc>
          <w:tcPr>
            <w:tcW w:w="180" w:type="dxa"/>
            <w:vAlign w:val="bottom"/>
          </w:tcPr>
          <w:p>
            <w:pPr>
              <w:spacing w:after="0"/>
              <w:rPr>
                <w:sz w:val="12"/>
                <w:szCs w:val="12"/>
                <w:color w:val="auto"/>
              </w:rPr>
            </w:pPr>
          </w:p>
        </w:tc>
        <w:tc>
          <w:tcPr>
            <w:tcW w:w="10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2"/>
              </w:rPr>
              <w:t>Vesting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unearned</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EIP</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of Benefits</w:t>
            </w:r>
          </w:p>
        </w:tc>
        <w:tc>
          <w:tcPr>
            <w:tcW w:w="180" w:type="dxa"/>
            <w:vAlign w:val="bottom"/>
          </w:tcPr>
          <w:p>
            <w:pPr>
              <w:spacing w:after="0"/>
              <w:rPr>
                <w:sz w:val="12"/>
                <w:szCs w:val="12"/>
                <w:color w:val="auto"/>
              </w:rPr>
            </w:pPr>
          </w:p>
        </w:tc>
        <w:tc>
          <w:tcPr>
            <w:tcW w:w="10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5"/>
              </w:rPr>
              <w:t>and Exercise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Salary (1)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Bonus (2)</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Payment (3)</w:t>
            </w:r>
          </w:p>
        </w:tc>
        <w:tc>
          <w:tcPr>
            <w:tcW w:w="180" w:type="dxa"/>
            <w:vAlign w:val="bottom"/>
          </w:tcPr>
          <w:p>
            <w:pPr>
              <w:spacing w:after="0"/>
              <w:rPr>
                <w:sz w:val="15"/>
                <w:szCs w:val="15"/>
                <w:color w:val="auto"/>
              </w:rPr>
            </w:pPr>
          </w:p>
        </w:tc>
        <w:tc>
          <w:tcPr>
            <w:tcW w:w="106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Period (4)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Vesting (5)</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Awards (6)</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1,406,384</w:t>
            </w: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 G. Stover, Jr.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443,602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127,080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78,465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452,899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371,432</w:t>
            </w: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79,173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748,279</w:t>
            </w: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70,840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38,037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326,058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271,282</w:t>
            </w: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939,384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Vice President of Digital</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3"/>
          </w:tcPr>
          <w:p>
            <w:pPr>
              <w:spacing w:after="0"/>
              <w:rPr>
                <w:sz w:val="20"/>
                <w:szCs w:val="20"/>
                <w:color w:val="auto"/>
              </w:rPr>
            </w:pPr>
            <w:r>
              <w:rPr>
                <w:rFonts w:ascii="Arial" w:cs="Arial" w:eastAsia="Arial" w:hAnsi="Arial"/>
                <w:sz w:val="18"/>
                <w:szCs w:val="18"/>
                <w:color w:val="auto"/>
              </w:rPr>
              <w:t>Media</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128,960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65,018</w:t>
            </w: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 Memory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-1678305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-1678305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-1678305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-1678305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-1678305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-1678305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-1678305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-1678305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-1678305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-1678305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-1678305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-1678305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-1678305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continuation during the Transition Period of the Named Executive Officer's monthly salary as of August 30, 2007. The estimated Transition Period used with respect to each Named Executive Officer is as follows: Mr. Appleton, 359 days; Mr. Stover, 359 days; Mr. Durcan, 332 days; Mr. Adams, 242 days; Mr. Shirley, 288 days.</w:t>
      </w:r>
    </w:p>
    <w:p>
      <w:pPr>
        <w:spacing w:after="0" w:line="221" w:lineRule="exact"/>
        <w:rPr>
          <w:rFonts w:ascii="Arial" w:cs="Arial" w:eastAsia="Arial" w:hAnsi="Arial"/>
          <w:sz w:val="18"/>
          <w:szCs w:val="18"/>
          <w:color w:val="auto"/>
        </w:rPr>
      </w:pPr>
    </w:p>
    <w:p>
      <w:pPr>
        <w:ind w:left="540" w:right="76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cash bonus actually earned by each Named Executive Officer for fiscal 2007, as determined by the Compensation Committee on October 8, 2007.</w:t>
      </w:r>
    </w:p>
    <w:p>
      <w:pPr>
        <w:spacing w:after="0" w:line="199"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 cash payment for an amount estimated to allow the Named Executive Officer to purchase during the Transition Period benefits similar to those he received while an employee of the Company and to compensate the Named Executive Officer for the loss of his 401(k) plan match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left="540"/>
        <w:spacing w:after="0"/>
        <w:rPr>
          <w:sz w:val="20"/>
          <w:szCs w:val="20"/>
          <w:color w:val="auto"/>
        </w:rPr>
      </w:pPr>
      <w:r>
        <w:rPr>
          <w:rFonts w:ascii="Arial" w:cs="Arial" w:eastAsia="Arial" w:hAnsi="Arial"/>
          <w:sz w:val="18"/>
          <w:szCs w:val="18"/>
          <w:color w:val="auto"/>
        </w:rPr>
        <w:t>during the Transition Period. The amount listed includes a gross-up calculation for the federal and state tax impact of the payment.</w:t>
      </w:r>
    </w:p>
    <w:p>
      <w:pPr>
        <w:spacing w:after="0" w:line="239" w:lineRule="exact"/>
        <w:rPr>
          <w:sz w:val="20"/>
          <w:szCs w:val="20"/>
          <w:color w:val="auto"/>
        </w:rPr>
      </w:pPr>
    </w:p>
    <w:p>
      <w:pPr>
        <w:ind w:left="540" w:right="120" w:hanging="532"/>
        <w:spacing w:after="0" w:line="25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option value resulting from the additional vesting and exercise period provided by the Named Executive Officer's Transition Period. The fair value of each option award is estimated as of August 30, 2007 using the Black-Scholes model. Expected volatility is based on the implied volatility from traded options on the Company's stock and historical volatility. The expected term is based on the length of transition period. The risk-free rates are based on the U.S. Treasury yield.</w:t>
      </w:r>
    </w:p>
    <w:p>
      <w:pPr>
        <w:spacing w:after="0" w:line="224"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restricted share value resulting from the additional vesting provided by the Named Executive Officer's Transition Period. Amount shown is calculated as the number of shares multiplied by $11.21 per share, the Company's closing stock price on August 30, 2007.</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performance-based goals have been established on a long-term basis using a four-quarter rolling average. Due to the Company's performance in recent fiscal quarters, the Company has assumed for purposes of this presentation that the performance-based goals related to these shares would not have been met during the Named Executive Officer's Transition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Severance Agreement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8"/>
              </w:rPr>
              <w:t>Extended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8"/>
              </w:rPr>
              <w:t>Extended</w:t>
            </w:r>
          </w:p>
        </w:tc>
        <w:tc>
          <w:tcPr>
            <w:tcW w:w="10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Value of</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Cash in Lieu</w:t>
            </w:r>
          </w:p>
        </w:tc>
        <w:tc>
          <w:tcPr>
            <w:tcW w:w="240" w:type="dxa"/>
            <w:vAlign w:val="bottom"/>
          </w:tcPr>
          <w:p>
            <w:pPr>
              <w:spacing w:after="0"/>
              <w:rPr>
                <w:sz w:val="12"/>
                <w:szCs w:val="12"/>
                <w:color w:val="auto"/>
              </w:rPr>
            </w:pPr>
          </w:p>
        </w:tc>
        <w:tc>
          <w:tcPr>
            <w:tcW w:w="11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unearned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of Benefits</w:t>
            </w:r>
          </w:p>
        </w:tc>
        <w:tc>
          <w:tcPr>
            <w:tcW w:w="240" w:type="dxa"/>
            <w:vAlign w:val="bottom"/>
          </w:tcPr>
          <w:p>
            <w:pPr>
              <w:spacing w:after="0"/>
              <w:rPr>
                <w:sz w:val="12"/>
                <w:szCs w:val="12"/>
                <w:color w:val="auto"/>
              </w:rPr>
            </w:pPr>
          </w:p>
        </w:tc>
        <w:tc>
          <w:tcPr>
            <w:tcW w:w="11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6"/>
              </w:rPr>
              <w:t>Vesting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Salary (1)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Bonus (2)</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Payment (3)</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and Exercise Period (4)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3"/>
              </w:rPr>
              <w:t>Vesting (5)</w:t>
            </w:r>
          </w:p>
        </w:tc>
        <w:tc>
          <w:tcPr>
            <w:tcW w:w="10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Awards (6)</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118,042</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1,406,384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4,071,261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W. G. Stover, Jr.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127,080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92,457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463,856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371,432</w:t>
            </w:r>
          </w:p>
        </w:tc>
        <w:tc>
          <w:tcPr>
            <w:tcW w:w="100" w:type="dxa"/>
            <w:vAlign w:val="bottom"/>
          </w:tcPr>
          <w:p>
            <w:pPr>
              <w:spacing w:after="0"/>
              <w:rPr>
                <w:sz w:val="18"/>
                <w:szCs w:val="18"/>
                <w:color w:val="auto"/>
              </w:rPr>
            </w:pPr>
          </w:p>
        </w:tc>
        <w:tc>
          <w:tcPr>
            <w:tcW w:w="11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1,504,825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203,850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874,391</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70,840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64,708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271,282</w:t>
            </w:r>
          </w:p>
        </w:tc>
        <w:tc>
          <w:tcPr>
            <w:tcW w:w="100" w:type="dxa"/>
            <w:vAlign w:val="bottom"/>
          </w:tcPr>
          <w:p>
            <w:pPr>
              <w:spacing w:after="0"/>
              <w:rPr>
                <w:sz w:val="18"/>
                <w:szCs w:val="18"/>
                <w:color w:val="auto"/>
              </w:rPr>
            </w:pPr>
          </w:p>
        </w:tc>
        <w:tc>
          <w:tcPr>
            <w:tcW w:w="11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1,158,609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w w:val="94"/>
              </w:rPr>
              <w:t>Vice President of Digital Media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128,960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233,168</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 Memory</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-1540510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-1540510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-1540510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-1540510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-1540510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-1540510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-1540510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-1540510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-1540510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-1540510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-1540510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-1540510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-1540510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August 30, 2007.</w:t>
      </w:r>
    </w:p>
    <w:p>
      <w:pPr>
        <w:spacing w:after="0" w:line="252" w:lineRule="exact"/>
        <w:rPr>
          <w:rFonts w:ascii="Arial" w:cs="Arial" w:eastAsia="Arial" w:hAnsi="Arial"/>
          <w:sz w:val="18"/>
          <w:szCs w:val="18"/>
          <w:color w:val="auto"/>
        </w:rPr>
      </w:pPr>
    </w:p>
    <w:p>
      <w:pPr>
        <w:ind w:left="540" w:right="760" w:hanging="532"/>
        <w:spacing w:after="0" w:line="26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cash bonus actually earned by each Named Executive Officer for fiscal 2007, as determined by the Compensation Committee on October 8, 2007.</w:t>
      </w:r>
    </w:p>
    <w:p>
      <w:pPr>
        <w:spacing w:after="0" w:line="199"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 cash payment for an amount estimated to allow the Named Executive Officer to purchase during the Transition Period benefits similar to those he received while an employee of the Company and to compensate the Named Executive Officer for the loss of his 401(k) plan match during the 12-month Transition Period. The amount listed includes a gross-up calculation for the tax impact of the payment.</w:t>
      </w:r>
    </w:p>
    <w:p>
      <w:pPr>
        <w:spacing w:after="0" w:line="174"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option value resulting from the additional vesting and exercise period provided by the Named Executive Officer's 12-month Transition Period. The fair value of each option award is estimated as of August 30, 2007 using the Black-Scholes model. Expected volatility is based on the implied volatility from traded options on the Company's stock and historical volatility. The expected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left="540"/>
        <w:spacing w:after="0"/>
        <w:rPr>
          <w:sz w:val="20"/>
          <w:szCs w:val="20"/>
          <w:color w:val="auto"/>
        </w:rPr>
      </w:pPr>
      <w:r>
        <w:rPr>
          <w:rFonts w:ascii="Arial" w:cs="Arial" w:eastAsia="Arial" w:hAnsi="Arial"/>
          <w:sz w:val="18"/>
          <w:szCs w:val="18"/>
          <w:color w:val="auto"/>
        </w:rPr>
        <w:t>term is based on the length of transition period. The risk-free rates are based on the U.S. Treasury yield.</w:t>
      </w:r>
    </w:p>
    <w:p>
      <w:pPr>
        <w:spacing w:after="0" w:line="239" w:lineRule="exact"/>
        <w:rPr>
          <w:sz w:val="20"/>
          <w:szCs w:val="20"/>
          <w:color w:val="auto"/>
        </w:rPr>
      </w:pPr>
    </w:p>
    <w:p>
      <w:pPr>
        <w:ind w:left="540" w:right="580" w:hanging="532"/>
        <w:spacing w:after="0" w:line="370"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Represents the restricted share value resulting from the additional vesting provided by the Named Executive Officer's 12-month Transition Period. Amount shown is calculated as the number of shares multiplied by $11.21 per share, the Company's closing stock price on August 30, 2007.</w:t>
      </w:r>
    </w:p>
    <w:p>
      <w:pPr>
        <w:spacing w:after="0" w:line="143" w:lineRule="exact"/>
        <w:rPr>
          <w:rFonts w:ascii="Arial" w:cs="Arial" w:eastAsia="Arial" w:hAnsi="Arial"/>
          <w:sz w:val="15"/>
          <w:szCs w:val="15"/>
          <w:color w:val="auto"/>
        </w:rPr>
      </w:pPr>
    </w:p>
    <w:p>
      <w:pPr>
        <w:ind w:left="540" w:right="80" w:hanging="532"/>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performance-based goals have been established on a long-term basis using a four-quarter rolling average. Due to the Company's performance in recent fiscal quarters, the Company has assumed for purposes of this presentation that the performance-based goals related to these shares would not have been met during the Named Executive Officer's 12-month Transition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does not have change-in-control arrangements for its Named Executive Officers. However, the severance agreements described above provide for transitional benefits in the event of termination of employment, whether or not the termination is in connection with a change in control. In addition, under the Company's equity plans, upon a change in control or corporate transaction, outstanding awards become fully vested or may be accelerated at the discretion of the administrator of the plan. A change in control is generally defined as a change in the majority of the Board's directors within a specified time period or the acquisition of 35% or more of the Company's outstanding Common Stock. A corporate transaction is generally defined as merger or sale of substantially all of the Company's assets.</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Under the Company's annual incentive plan, the EIP, a change in control results in an early payout of awards, to the extent earned. Upon a change in control, performance achievement is measured as of the last day of the month preceding the change in control and is paid within 30 days.</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the estimated benefits payable to the Named Executive Officers assuming a change in control or corporate transaction occurred on August 30, 2007. We have assumed for simplicity of presentation that benefits earned as of August 31, 2007, would have equaled benefits earned as of the end of the preceding month in the event of a change of control.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Value of</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60" w:type="dxa"/>
            <w:vAlign w:val="bottom"/>
          </w:tcPr>
          <w:p>
            <w:pPr>
              <w:ind w:left="6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EIP Bonus(1)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Options(2)</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Stock(3)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7,874,274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 G. Stover, Jr.</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127,080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1,940,451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2,067,531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4,081,931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70,840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5,653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921,462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Vice President of Digital Media</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1,310,449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 Memory</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-1540510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-1540510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-1540510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-1540510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-1540510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-1540510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-1540510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-1540510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performance measured as of August 30, 2007 and the target award for the officer for fiscal 2007, as determined by the Compensation Committee on October 8, 2007.</w:t>
      </w:r>
    </w:p>
    <w:p>
      <w:pPr>
        <w:spacing w:after="0" w:line="199"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$11.21, the closing price of the Company's stock on August 30, 2007, over the accelerated option's exercise price.</w:t>
      </w:r>
    </w:p>
    <w:p>
      <w:pPr>
        <w:spacing w:after="0" w:line="21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Assumes the lapsing of all restrictions associated with the shares. Amount shown is calculated as the number of shares on which restrictions would lapse multiplied by $11.21 per share.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The following table provides information as of August 30, 2007, regarding Common Stock that may be issued pursuant to the Company's equity compensation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Number Of Securities To Be</w:t>
            </w:r>
          </w:p>
        </w:tc>
        <w:tc>
          <w:tcPr>
            <w:tcW w:w="480" w:type="dxa"/>
            <w:vAlign w:val="bottom"/>
          </w:tcPr>
          <w:p>
            <w:pPr>
              <w:spacing w:after="0"/>
              <w:rPr>
                <w:sz w:val="12"/>
                <w:szCs w:val="12"/>
                <w:color w:val="auto"/>
              </w:rPr>
            </w:pPr>
          </w:p>
        </w:tc>
        <w:tc>
          <w:tcPr>
            <w:tcW w:w="1680" w:type="dxa"/>
            <w:vAlign w:val="bottom"/>
          </w:tcPr>
          <w:p>
            <w:pPr>
              <w:jc w:val="center"/>
              <w:ind w:right="412"/>
              <w:spacing w:after="0" w:line="149" w:lineRule="exact"/>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2"/>
                <w:szCs w:val="12"/>
                <w:color w:val="auto"/>
              </w:rPr>
            </w:pPr>
          </w:p>
        </w:tc>
        <w:tc>
          <w:tcPr>
            <w:tcW w:w="2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2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 Exercise Price Of</w:t>
            </w:r>
          </w:p>
        </w:tc>
        <w:tc>
          <w:tcPr>
            <w:tcW w:w="340" w:type="dxa"/>
            <w:vAlign w:val="bottom"/>
          </w:tcPr>
          <w:p>
            <w:pPr>
              <w:spacing w:after="0"/>
              <w:rPr>
                <w:sz w:val="12"/>
                <w:szCs w:val="12"/>
                <w:color w:val="auto"/>
              </w:rPr>
            </w:pPr>
          </w:p>
        </w:tc>
        <w:tc>
          <w:tcPr>
            <w:tcW w:w="2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Outstanding Options, Warrants</w:t>
            </w:r>
          </w:p>
        </w:tc>
        <w:tc>
          <w:tcPr>
            <w:tcW w:w="2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 Options, Warrants and</w:t>
            </w:r>
          </w:p>
        </w:tc>
        <w:tc>
          <w:tcPr>
            <w:tcW w:w="340" w:type="dxa"/>
            <w:vAlign w:val="bottom"/>
          </w:tcPr>
          <w:p>
            <w:pPr>
              <w:spacing w:after="0"/>
              <w:rPr>
                <w:sz w:val="12"/>
                <w:szCs w:val="12"/>
                <w:color w:val="auto"/>
              </w:rPr>
            </w:pPr>
          </w:p>
        </w:tc>
        <w:tc>
          <w:tcPr>
            <w:tcW w:w="2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Equity Compensation Plans (Excluding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and Rights</w:t>
            </w:r>
          </w:p>
        </w:tc>
        <w:tc>
          <w:tcPr>
            <w:tcW w:w="480" w:type="dxa"/>
            <w:vAlign w:val="bottom"/>
          </w:tcPr>
          <w:p>
            <w:pPr>
              <w:spacing w:after="0"/>
              <w:rPr>
                <w:sz w:val="15"/>
                <w:szCs w:val="15"/>
                <w:color w:val="auto"/>
              </w:rPr>
            </w:pPr>
          </w:p>
        </w:tc>
        <w:tc>
          <w:tcPr>
            <w:tcW w:w="1680" w:type="dxa"/>
            <w:vAlign w:val="bottom"/>
          </w:tcPr>
          <w:p>
            <w:pPr>
              <w:jc w:val="center"/>
              <w:ind w:right="392"/>
              <w:spacing w:after="0"/>
              <w:rPr>
                <w:sz w:val="20"/>
                <w:szCs w:val="20"/>
                <w:color w:val="auto"/>
              </w:rPr>
            </w:pPr>
            <w:r>
              <w:rPr>
                <w:rFonts w:ascii="Arial" w:cs="Arial" w:eastAsia="Arial" w:hAnsi="Arial"/>
                <w:sz w:val="14"/>
                <w:szCs w:val="14"/>
                <w:b w:val="1"/>
                <w:bCs w:val="1"/>
                <w:color w:val="auto"/>
                <w:w w:val="87"/>
              </w:rPr>
              <w:t>Rights</w:t>
            </w:r>
          </w:p>
        </w:tc>
        <w:tc>
          <w:tcPr>
            <w:tcW w:w="340" w:type="dxa"/>
            <w:vAlign w:val="bottom"/>
          </w:tcPr>
          <w:p>
            <w:pPr>
              <w:spacing w:after="0"/>
              <w:rPr>
                <w:sz w:val="15"/>
                <w:szCs w:val="15"/>
                <w:color w:val="auto"/>
              </w:rPr>
            </w:pPr>
          </w:p>
        </w:tc>
        <w:tc>
          <w:tcPr>
            <w:tcW w:w="2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Securities Reflected in 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Shareholders(1)</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87,416,976</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w:t>
            </w:r>
          </w:p>
        </w:tc>
        <w:tc>
          <w:tcPr>
            <w:tcW w:w="2860" w:type="dxa"/>
            <w:vAlign w:val="bottom"/>
            <w:gridSpan w:val="3"/>
            <w:shd w:val="clear" w:color="auto" w:fill="CCEEFF"/>
          </w:tcPr>
          <w:p>
            <w:pPr>
              <w:ind w:left="2100"/>
              <w:spacing w:after="0" w:line="149" w:lineRule="exact"/>
              <w:rPr>
                <w:sz w:val="20"/>
                <w:szCs w:val="20"/>
                <w:color w:val="auto"/>
              </w:rPr>
            </w:pPr>
            <w:r>
              <w:rPr>
                <w:rFonts w:ascii="Arial" w:cs="Arial" w:eastAsia="Arial" w:hAnsi="Arial"/>
                <w:sz w:val="14"/>
                <w:szCs w:val="14"/>
                <w:color w:val="auto"/>
                <w:w w:val="84"/>
              </w:rPr>
              <w:t>44,218,471(2)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Equity Compensation Plans Not Approved By Shareholders(3)(4)</w:t>
            </w:r>
          </w:p>
        </w:tc>
        <w:tc>
          <w:tcPr>
            <w:tcW w:w="1920" w:type="dxa"/>
            <w:vAlign w:val="bottom"/>
          </w:tcPr>
          <w:p>
            <w:pPr>
              <w:jc w:val="right"/>
              <w:spacing w:after="0"/>
              <w:rPr>
                <w:sz w:val="20"/>
                <w:szCs w:val="20"/>
                <w:color w:val="auto"/>
              </w:rPr>
            </w:pPr>
            <w:r>
              <w:rPr>
                <w:rFonts w:ascii="Arial" w:cs="Arial" w:eastAsia="Arial" w:hAnsi="Arial"/>
                <w:sz w:val="14"/>
                <w:szCs w:val="14"/>
                <w:color w:val="auto"/>
              </w:rPr>
              <w:t>34,039,142</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18.28</w:t>
            </w:r>
          </w:p>
        </w:tc>
        <w:tc>
          <w:tcPr>
            <w:tcW w:w="2700" w:type="dxa"/>
            <w:vAlign w:val="bottom"/>
            <w:gridSpan w:val="2"/>
          </w:tcPr>
          <w:p>
            <w:pPr>
              <w:ind w:left="2100"/>
              <w:spacing w:after="0"/>
              <w:rPr>
                <w:sz w:val="20"/>
                <w:szCs w:val="20"/>
                <w:color w:val="auto"/>
              </w:rPr>
            </w:pPr>
            <w:r>
              <w:rPr>
                <w:rFonts w:ascii="Arial" w:cs="Arial" w:eastAsia="Arial" w:hAnsi="Arial"/>
                <w:sz w:val="14"/>
                <w:szCs w:val="14"/>
                <w:color w:val="auto"/>
                <w:w w:val="82"/>
              </w:rPr>
              <w:t>15,280,042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Totals</w:t>
            </w: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121,456,118</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w:t>
            </w:r>
          </w:p>
        </w:tc>
        <w:tc>
          <w:tcPr>
            <w:tcW w:w="2700" w:type="dxa"/>
            <w:vAlign w:val="bottom"/>
            <w:gridSpan w:val="2"/>
            <w:shd w:val="clear" w:color="auto" w:fill="CCEEFF"/>
          </w:tcPr>
          <w:p>
            <w:pPr>
              <w:ind w:left="2100"/>
              <w:spacing w:after="0" w:line="149" w:lineRule="exact"/>
              <w:rPr>
                <w:sz w:val="20"/>
                <w:szCs w:val="20"/>
                <w:color w:val="auto"/>
              </w:rPr>
            </w:pPr>
            <w:r>
              <w:rPr>
                <w:rFonts w:ascii="Arial" w:cs="Arial" w:eastAsia="Arial" w:hAnsi="Arial"/>
                <w:sz w:val="14"/>
                <w:szCs w:val="14"/>
                <w:color w:val="auto"/>
                <w:w w:val="82"/>
              </w:rPr>
              <w:t>59,498,513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-777240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-777240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-777240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-777240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-777240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-777240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-434340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-434340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-434340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-434340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80" w:hanging="532"/>
        <w:spacing w:after="0" w:line="239"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shares issuable upon exercise of options and restricted stock units granted pursuant to the Company's 1994 Stock Option Plan Plan, 2001 Stock Option Plan, 2004 Equity Incentive Plan, 1996 Lexar Stock Option Plan and 2000 Lexar Stock Option Plan and rights under the 1998 Director's Stock Incentive Plan.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2,092,682 shares reserved for issuance under the Company's Employee Stock Purchase Plan.</w:t>
      </w:r>
    </w:p>
    <w:p>
      <w:pPr>
        <w:spacing w:after="0" w:line="122" w:lineRule="exact"/>
        <w:rPr>
          <w:rFonts w:ascii="Arial" w:cs="Arial" w:eastAsia="Arial" w:hAnsi="Arial"/>
          <w:sz w:val="14"/>
          <w:szCs w:val="14"/>
          <w:color w:val="auto"/>
        </w:rPr>
      </w:pPr>
    </w:p>
    <w:p>
      <w:pPr>
        <w:ind w:left="540" w:right="220" w:hanging="532"/>
        <w:spacing w:after="0" w:line="230"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shares assumable upon exercise of options granted pursuant to the Company's Nonstatutory Stock Option Plan, 1998 Nonstatutory Stock Option Plan, 1997 Nonstatutory Stock Option Plan and the 2002 Employee Inducement Stock Option Plan. Options granted under the aforementioned plans have terms ranging from six to ten years. The exercise price and the vesting schedule of the options granted under the Nonstatutory Plans are determined by the administrators of the plans or the Company's Board of Directors. Executive officers and directors do not participate in the aforementioned plans.</w:t>
      </w:r>
    </w:p>
    <w:p>
      <w:pPr>
        <w:spacing w:after="0" w:line="112" w:lineRule="exact"/>
        <w:rPr>
          <w:rFonts w:ascii="Arial" w:cs="Arial" w:eastAsia="Arial" w:hAnsi="Arial"/>
          <w:sz w:val="14"/>
          <w:szCs w:val="14"/>
          <w:color w:val="auto"/>
        </w:rPr>
      </w:pPr>
    </w:p>
    <w:p>
      <w:pPr>
        <w:ind w:left="540" w:right="20" w:hanging="532"/>
        <w:spacing w:after="0" w:line="230"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Does not include 9,095 shares with a weighted average exercise price of $6.85 issuable upon exercise of options outstanding under the Rendition 1994 Equity Incentive Plan, which was assumed by the Company in connection with its acquisition of Rendition, Inc. in September 1998. Does not include 14,694 shares with a weighted average exercise price of $0.88 issuable upon exercise of options outstanding under the Micron Quantum Devices ("MQD") 1996 Stock Option Plan, which was assumed by the Company in connection with the merger of MQD (a former subsidiary of the Company) into the Company in February 1998.</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Related party transactions are reviewed by the Company's Board of Directors. Related parties include the Company's directors and officers, their family members and affiliates. In cases where the related party is a director, that director does not participate in the review of the proposed transaction. In reviewing a proposed related party transaction, the Board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the Company and the related party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fiscal 2007, the Company paid $213 million to Lam Research Corporation ("Lam") for semiconductor manufacturing equipment and related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received approximately $232,000 from Lam for the sale of used equipment in fiscal 2007. Mr. Bagley is the Executive Chairman of Lam.</w:t>
      </w:r>
    </w:p>
    <w:p>
      <w:pPr>
        <w:spacing w:after="0" w:line="24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December 2006, the Company acquired the CMOS image sensor business of Avago Technologies Limited ("Avago"). In connection with the acquisition, the Company paid Avago $55 million in fiscal 2007. With an additional $2 million payable to Avago at August 30, 2007. Under the acquisition agreement the Company is obligated to pay additional contingent payments of up to $13 million through December 2008 if certain milestones are met. The Company also paid Avago approximately $513,000 in fiscal 2007 for transition and other related services in connection with the acquisition. Ms. Johnson is the Senior Vice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240"/>
        <w:spacing w:after="0" w:line="268" w:lineRule="auto"/>
        <w:rPr>
          <w:sz w:val="20"/>
          <w:szCs w:val="20"/>
          <w:color w:val="auto"/>
        </w:rPr>
      </w:pPr>
      <w:r>
        <w:rPr>
          <w:rFonts w:ascii="Arial" w:cs="Arial" w:eastAsia="Arial" w:hAnsi="Arial"/>
          <w:sz w:val="18"/>
          <w:szCs w:val="18"/>
          <w:color w:val="auto"/>
        </w:rPr>
        <w:t>President, Finance and Chief Financial Officer of Avago. Ms. Johnson did not participate in any deliberations of the Company's Board of Directors concerning this transaction.</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During fiscal 2007, the Grove Hotel and Qwest Arena in Boise, Idaho, received approximately $291,000 for business conducted with the Company. The Company uses the Grove Hotel for business visitors and conferences, and leases a suite for events at the Qwest Arena. Mr. Appleton has an interest in a limited liability company that is a minority owner of the Grove Hotel and Qwest Arena.</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Section 16(a) of the Securities and Exchange Act of 1934 (the "Exchange Act") requires the Company's directors and executive officers, and persons who own beneficially more than 10% of the Common Stock of the Company, to file reports of ownership and changes of ownership with the Securities and Exchange Commission and the New York Stock Exchange ("NYSE"). Copies of all filed reports are required to be furnished to the Company pursuant to Section 16(a) of the Exchange Act.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August 30, 2007.</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DEADLINE FOR RECEIPT OF SHAREHOLDER PROPOSALS FOR 2008 ANNUAL MEETING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Proposals of shareholders of the Company which are intended to be presented at the Company's 2008 Annual Meeting of Shareholders must be received by the Company at its principal executive offices located at 8000 South Federal Way, Boise, Idaho 83716-9632, no later than July 8, 2008, and must also be in compliance with the Company's Restated Certificate of Incorporation and its Bylaws and with applicable laws and regulations in order to be included in the Proxy Statement and form of proxy relating to that meeting. Proposals which are received after July 8, 2008, will be untimely and will not be considered at the meeting.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November 5, 2008</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ind w:left="10300"/>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2007 EQUITY INCENTIVE PLAN</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94" w:lineRule="exact"/>
        <w:rPr>
          <w:sz w:val="20"/>
          <w:szCs w:val="20"/>
          <w:color w:val="auto"/>
        </w:rPr>
      </w:pPr>
    </w:p>
    <w:p>
      <w:pPr>
        <w:ind w:left="540" w:right="60" w:firstLine="359"/>
        <w:spacing w:after="0" w:line="268" w:lineRule="auto"/>
        <w:tabs>
          <w:tab w:leader="none" w:pos="13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85" w:lineRule="exact"/>
        <w:rPr>
          <w:rFonts w:ascii="Arial" w:cs="Arial" w:eastAsia="Arial" w:hAnsi="Arial"/>
          <w:sz w:val="18"/>
          <w:szCs w:val="18"/>
          <w:color w:val="auto"/>
        </w:rPr>
      </w:pPr>
    </w:p>
    <w:p>
      <w:pPr>
        <w:ind w:left="540" w:firstLine="359"/>
        <w:spacing w:after="0" w:line="259" w:lineRule="auto"/>
        <w:tabs>
          <w:tab w:leader="none" w:pos="14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194" w:lineRule="exact"/>
        <w:rPr>
          <w:rFonts w:ascii="Arial" w:cs="Arial" w:eastAsia="Arial" w:hAnsi="Arial"/>
          <w:sz w:val="18"/>
          <w:szCs w:val="18"/>
          <w:color w:val="auto"/>
        </w:rPr>
      </w:pPr>
    </w:p>
    <w:p>
      <w:pPr>
        <w:ind w:left="540" w:right="20" w:firstLine="359"/>
        <w:spacing w:after="0" w:line="298" w:lineRule="auto"/>
        <w:tabs>
          <w:tab w:leader="none" w:pos="13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66" w:lineRule="exact"/>
        <w:rPr>
          <w:rFonts w:ascii="Arial" w:cs="Arial" w:eastAsia="Arial" w:hAnsi="Arial"/>
          <w:sz w:val="16"/>
          <w:szCs w:val="16"/>
          <w:color w:val="auto"/>
        </w:rPr>
      </w:pPr>
    </w:p>
    <w:p>
      <w:pPr>
        <w:ind w:left="1420" w:hanging="52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400" w:hanging="501"/>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1080" w:right="80" w:firstLine="447"/>
        <w:spacing w:after="0" w:line="256"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left="540" w:right="100"/>
        <w:spacing w:after="0" w:line="256" w:lineRule="auto"/>
        <w:rPr>
          <w:sz w:val="20"/>
          <w:szCs w:val="20"/>
          <w:color w:val="auto"/>
        </w:rPr>
      </w:pPr>
      <w:r>
        <w:rPr>
          <w:rFonts w:ascii="Arial" w:cs="Arial" w:eastAsia="Arial" w:hAnsi="Arial"/>
          <w:sz w:val="18"/>
          <w:szCs w:val="18"/>
          <w:color w:val="auto"/>
        </w:rPr>
        <w:t>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7" w:lineRule="exact"/>
        <w:rPr>
          <w:sz w:val="20"/>
          <w:szCs w:val="20"/>
          <w:color w:val="auto"/>
        </w:rPr>
      </w:pPr>
    </w:p>
    <w:p>
      <w:pPr>
        <w:ind w:left="540" w:right="40" w:firstLine="403"/>
        <w:spacing w:after="0" w:line="290" w:lineRule="auto"/>
        <w:tabs>
          <w:tab w:leader="none" w:pos="1413"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2" w:lineRule="exact"/>
        <w:rPr>
          <w:rFonts w:ascii="Arial" w:cs="Arial" w:eastAsia="Arial" w:hAnsi="Arial"/>
          <w:sz w:val="16"/>
          <w:szCs w:val="16"/>
          <w:color w:val="auto"/>
        </w:rPr>
      </w:pPr>
    </w:p>
    <w:p>
      <w:pPr>
        <w:ind w:left="540" w:firstLine="360"/>
        <w:spacing w:after="0" w:line="285" w:lineRule="auto"/>
        <w:tabs>
          <w:tab w:leader="none" w:pos="1418"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5" w:lineRule="exact"/>
        <w:rPr>
          <w:rFonts w:ascii="Arial" w:cs="Arial" w:eastAsia="Arial" w:hAnsi="Arial"/>
          <w:sz w:val="16"/>
          <w:szCs w:val="16"/>
          <w:color w:val="auto"/>
        </w:rPr>
      </w:pPr>
    </w:p>
    <w:p>
      <w:pPr>
        <w:ind w:left="1420" w:hanging="520"/>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firstLine="359"/>
        <w:spacing w:after="0" w:line="259" w:lineRule="auto"/>
        <w:tabs>
          <w:tab w:leader="none" w:pos="8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46" w:name="page47"/>
    <w:bookmarkEnd w:id="46"/>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220" w:firstLine="359"/>
        <w:spacing w:after="0" w:line="288" w:lineRule="auto"/>
        <w:tabs>
          <w:tab w:leader="none" w:pos="8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3" w:lineRule="exact"/>
        <w:rPr>
          <w:rFonts w:ascii="Arial" w:cs="Arial" w:eastAsia="Arial" w:hAnsi="Arial"/>
          <w:sz w:val="16"/>
          <w:szCs w:val="16"/>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ind w:right="20" w:firstLine="359"/>
        <w:spacing w:after="0" w:line="289" w:lineRule="auto"/>
        <w:tabs>
          <w:tab w:leader="none" w:pos="8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72" w:lineRule="exact"/>
        <w:rPr>
          <w:rFonts w:ascii="Arial" w:cs="Arial" w:eastAsia="Arial" w:hAnsi="Arial"/>
          <w:sz w:val="16"/>
          <w:szCs w:val="16"/>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right="140" w:firstLine="359"/>
        <w:spacing w:after="0" w:line="332" w:lineRule="auto"/>
        <w:tabs>
          <w:tab w:leader="none" w:pos="8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39" w:lineRule="exact"/>
        <w:rPr>
          <w:rFonts w:ascii="Arial" w:cs="Arial" w:eastAsia="Arial" w:hAnsi="Arial"/>
          <w:sz w:val="16"/>
          <w:szCs w:val="16"/>
          <w:color w:val="auto"/>
        </w:rPr>
      </w:pPr>
    </w:p>
    <w:p>
      <w:pPr>
        <w:ind w:right="280" w:firstLine="359"/>
        <w:spacing w:after="0" w:line="268" w:lineRule="auto"/>
        <w:tabs>
          <w:tab w:leader="none" w:pos="8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85" w:lineRule="exact"/>
        <w:rPr>
          <w:rFonts w:ascii="Arial" w:cs="Arial" w:eastAsia="Arial" w:hAnsi="Arial"/>
          <w:sz w:val="18"/>
          <w:szCs w:val="18"/>
          <w:color w:val="auto"/>
        </w:rPr>
      </w:pPr>
    </w:p>
    <w:p>
      <w:pPr>
        <w:ind w:firstLine="359"/>
        <w:spacing w:after="0" w:line="291" w:lineRule="auto"/>
        <w:tabs>
          <w:tab w:leader="none" w:pos="8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47" w:name="page48"/>
    <w:bookmarkEnd w:id="47"/>
    <w:p>
      <w:pPr>
        <w:jc w:val="both"/>
        <w:ind w:right="80"/>
        <w:spacing w:after="0" w:line="306" w:lineRule="auto"/>
        <w:rPr>
          <w:sz w:val="20"/>
          <w:szCs w:val="20"/>
          <w:color w:val="auto"/>
        </w:rPr>
      </w:pPr>
      <w:r>
        <w:rPr>
          <w:rFonts w:ascii="Arial" w:cs="Arial" w:eastAsia="Arial" w:hAnsi="Arial"/>
          <w:sz w:val="16"/>
          <w:szCs w:val="16"/>
          <w:color w:val="auto"/>
        </w:rPr>
        <w:t>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61" w:lineRule="exact"/>
        <w:rPr>
          <w:sz w:val="20"/>
          <w:szCs w:val="20"/>
          <w:color w:val="auto"/>
        </w:rPr>
      </w:pPr>
    </w:p>
    <w:p>
      <w:pPr>
        <w:ind w:left="840" w:hanging="481"/>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w:t>
      </w:r>
    </w:p>
    <w:p>
      <w:pPr>
        <w:spacing w:after="0" w:line="225" w:lineRule="exact"/>
        <w:rPr>
          <w:rFonts w:ascii="Arial" w:cs="Arial" w:eastAsia="Arial" w:hAnsi="Arial"/>
          <w:sz w:val="18"/>
          <w:szCs w:val="18"/>
          <w:color w:val="auto"/>
        </w:rPr>
      </w:pPr>
    </w:p>
    <w:p>
      <w:pPr>
        <w:jc w:val="both"/>
        <w:ind w:right="300" w:firstLine="359"/>
        <w:spacing w:after="0" w:line="259" w:lineRule="auto"/>
        <w:tabs>
          <w:tab w:leader="none" w:pos="8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94" w:lineRule="exact"/>
        <w:rPr>
          <w:rFonts w:ascii="Arial" w:cs="Arial" w:eastAsia="Arial" w:hAnsi="Arial"/>
          <w:sz w:val="18"/>
          <w:szCs w:val="18"/>
          <w:color w:val="auto"/>
        </w:rPr>
      </w:pPr>
    </w:p>
    <w:p>
      <w:pPr>
        <w:ind w:right="200" w:firstLine="359"/>
        <w:spacing w:after="0" w:line="268" w:lineRule="auto"/>
        <w:tabs>
          <w:tab w:leader="none" w:pos="8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85" w:lineRule="exact"/>
        <w:rPr>
          <w:rFonts w:ascii="Arial" w:cs="Arial" w:eastAsia="Arial" w:hAnsi="Arial"/>
          <w:sz w:val="18"/>
          <w:szCs w:val="18"/>
          <w:color w:val="auto"/>
        </w:rPr>
      </w:pPr>
    </w:p>
    <w:p>
      <w:pPr>
        <w:ind w:left="880" w:hanging="521"/>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48" w:lineRule="exact"/>
        <w:rPr>
          <w:rFonts w:ascii="Arial" w:cs="Arial" w:eastAsia="Arial" w:hAnsi="Arial"/>
          <w:sz w:val="16"/>
          <w:szCs w:val="16"/>
          <w:color w:val="auto"/>
        </w:rPr>
      </w:pPr>
    </w:p>
    <w:p>
      <w:pPr>
        <w:ind w:left="880" w:hanging="521"/>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firstLine="359"/>
        <w:spacing w:after="0" w:line="268" w:lineRule="auto"/>
        <w:tabs>
          <w:tab w:leader="none" w:pos="8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85" w:lineRule="exact"/>
        <w:rPr>
          <w:rFonts w:ascii="Arial" w:cs="Arial" w:eastAsia="Arial" w:hAnsi="Arial"/>
          <w:sz w:val="18"/>
          <w:szCs w:val="18"/>
          <w:color w:val="auto"/>
        </w:rPr>
      </w:pPr>
    </w:p>
    <w:p>
      <w:pPr>
        <w:ind w:right="140" w:firstLine="359"/>
        <w:spacing w:after="0" w:line="268"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85" w:lineRule="exact"/>
        <w:rPr>
          <w:rFonts w:ascii="Arial" w:cs="Arial" w:eastAsia="Arial" w:hAnsi="Arial"/>
          <w:sz w:val="18"/>
          <w:szCs w:val="18"/>
          <w:color w:val="auto"/>
        </w:rPr>
      </w:pPr>
    </w:p>
    <w:p>
      <w:pPr>
        <w:ind w:right="280" w:firstLine="359"/>
        <w:spacing w:after="0" w:line="259"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94" w:lineRule="exact"/>
        <w:rPr>
          <w:rFonts w:ascii="Arial" w:cs="Arial" w:eastAsia="Arial" w:hAnsi="Arial"/>
          <w:sz w:val="18"/>
          <w:szCs w:val="18"/>
          <w:color w:val="auto"/>
        </w:rPr>
      </w:pPr>
    </w:p>
    <w:p>
      <w:pPr>
        <w:ind w:right="60" w:firstLine="359"/>
        <w:spacing w:after="0" w:line="298" w:lineRule="auto"/>
        <w:tabs>
          <w:tab w:leader="none" w:pos="8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167" w:lineRule="exact"/>
        <w:rPr>
          <w:sz w:val="20"/>
          <w:szCs w:val="20"/>
          <w:color w:val="auto"/>
        </w:rPr>
      </w:pPr>
    </w:p>
    <w:p>
      <w:pPr>
        <w:ind w:right="280" w:firstLine="359"/>
        <w:spacing w:after="0" w:line="332" w:lineRule="auto"/>
        <w:tabs>
          <w:tab w:leader="none" w:pos="8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39" w:lineRule="exact"/>
        <w:rPr>
          <w:rFonts w:ascii="Arial" w:cs="Arial" w:eastAsia="Arial" w:hAnsi="Arial"/>
          <w:sz w:val="16"/>
          <w:szCs w:val="16"/>
          <w:color w:val="auto"/>
        </w:rPr>
      </w:pPr>
    </w:p>
    <w:p>
      <w:pPr>
        <w:ind w:right="420" w:firstLine="359"/>
        <w:spacing w:after="0" w:line="268" w:lineRule="auto"/>
        <w:tabs>
          <w:tab w:leader="none" w:pos="8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85" w:lineRule="exact"/>
        <w:rPr>
          <w:rFonts w:ascii="Arial" w:cs="Arial" w:eastAsia="Arial" w:hAnsi="Arial"/>
          <w:sz w:val="18"/>
          <w:szCs w:val="18"/>
          <w:color w:val="auto"/>
        </w:rPr>
      </w:pPr>
    </w:p>
    <w:p>
      <w:pPr>
        <w:ind w:left="860" w:hanging="501"/>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25" w:lineRule="exact"/>
        <w:rPr>
          <w:rFonts w:ascii="Arial" w:cs="Arial" w:eastAsia="Arial" w:hAnsi="Arial"/>
          <w:sz w:val="18"/>
          <w:szCs w:val="18"/>
          <w:color w:val="auto"/>
        </w:rPr>
      </w:pPr>
    </w:p>
    <w:p>
      <w:pPr>
        <w:ind w:right="240" w:firstLine="359"/>
        <w:spacing w:after="0" w:line="332" w:lineRule="auto"/>
        <w:tabs>
          <w:tab w:leader="none" w:pos="863" w:val="left"/>
        </w:tabs>
        <w:numPr>
          <w:ilvl w:val="0"/>
          <w:numId w:val="46"/>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39" w:lineRule="exact"/>
        <w:rPr>
          <w:rFonts w:ascii="Arial" w:cs="Arial" w:eastAsia="Arial" w:hAnsi="Arial"/>
          <w:sz w:val="16"/>
          <w:szCs w:val="16"/>
          <w:color w:val="auto"/>
        </w:rPr>
      </w:pPr>
    </w:p>
    <w:p>
      <w:pPr>
        <w:ind w:right="80" w:firstLine="359"/>
        <w:spacing w:after="0" w:line="268"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48" w:name="page49"/>
    <w:bookmarkEnd w:id="48"/>
    <w:p>
      <w:pPr>
        <w:ind w:left="1400" w:hanging="501"/>
        <w:spacing w:after="0"/>
        <w:tabs>
          <w:tab w:leader="none" w:pos="1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48" w:lineRule="exact"/>
        <w:rPr>
          <w:rFonts w:ascii="Arial" w:cs="Arial" w:eastAsia="Arial" w:hAnsi="Arial"/>
          <w:sz w:val="16"/>
          <w:szCs w:val="16"/>
          <w:color w:val="auto"/>
        </w:rPr>
      </w:pPr>
    </w:p>
    <w:p>
      <w:pPr>
        <w:ind w:left="540" w:right="60" w:firstLine="359"/>
        <w:spacing w:after="0" w:line="332" w:lineRule="auto"/>
        <w:tabs>
          <w:tab w:leader="none" w:pos="14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39" w:lineRule="exact"/>
        <w:rPr>
          <w:rFonts w:ascii="Arial" w:cs="Arial" w:eastAsia="Arial" w:hAnsi="Arial"/>
          <w:sz w:val="16"/>
          <w:szCs w:val="16"/>
          <w:color w:val="auto"/>
        </w:rPr>
      </w:pPr>
    </w:p>
    <w:p>
      <w:pPr>
        <w:ind w:left="540" w:right="280" w:firstLine="359"/>
        <w:spacing w:after="0" w:line="268" w:lineRule="auto"/>
        <w:tabs>
          <w:tab w:leader="none" w:pos="14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85" w:lineRule="exact"/>
        <w:rPr>
          <w:rFonts w:ascii="Arial" w:cs="Arial" w:eastAsia="Arial" w:hAnsi="Arial"/>
          <w:sz w:val="18"/>
          <w:szCs w:val="18"/>
          <w:color w:val="auto"/>
        </w:rPr>
      </w:pPr>
    </w:p>
    <w:p>
      <w:pPr>
        <w:ind w:left="540" w:right="220" w:firstLine="359"/>
        <w:spacing w:after="0" w:line="370" w:lineRule="auto"/>
        <w:tabs>
          <w:tab w:leader="none" w:pos="1413" w:val="left"/>
        </w:tabs>
        <w:numPr>
          <w:ilvl w:val="0"/>
          <w:numId w:val="47"/>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16" w:lineRule="exact"/>
        <w:rPr>
          <w:rFonts w:ascii="Arial" w:cs="Arial" w:eastAsia="Arial" w:hAnsi="Arial"/>
          <w:sz w:val="15"/>
          <w:szCs w:val="15"/>
          <w:color w:val="auto"/>
        </w:rPr>
      </w:pPr>
    </w:p>
    <w:p>
      <w:pPr>
        <w:ind w:left="540" w:right="160" w:firstLine="359"/>
        <w:spacing w:after="0" w:line="268" w:lineRule="auto"/>
        <w:tabs>
          <w:tab w:leader="none" w:pos="14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85" w:lineRule="exact"/>
        <w:rPr>
          <w:rFonts w:ascii="Arial" w:cs="Arial" w:eastAsia="Arial" w:hAnsi="Arial"/>
          <w:sz w:val="18"/>
          <w:szCs w:val="18"/>
          <w:color w:val="auto"/>
        </w:rPr>
      </w:pPr>
    </w:p>
    <w:p>
      <w:pPr>
        <w:ind w:left="540" w:right="260" w:firstLine="359"/>
        <w:spacing w:after="0" w:line="370" w:lineRule="auto"/>
        <w:tabs>
          <w:tab w:leader="none" w:pos="1403"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16" w:lineRule="exact"/>
        <w:rPr>
          <w:rFonts w:ascii="Arial" w:cs="Arial" w:eastAsia="Arial" w:hAnsi="Arial"/>
          <w:sz w:val="15"/>
          <w:szCs w:val="15"/>
          <w:color w:val="auto"/>
        </w:rPr>
      </w:pPr>
    </w:p>
    <w:p>
      <w:pPr>
        <w:ind w:left="540" w:firstLine="359"/>
        <w:spacing w:after="0" w:line="259" w:lineRule="auto"/>
        <w:tabs>
          <w:tab w:leader="none" w:pos="14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94" w:lineRule="exact"/>
        <w:rPr>
          <w:rFonts w:ascii="Arial" w:cs="Arial" w:eastAsia="Arial" w:hAnsi="Arial"/>
          <w:sz w:val="18"/>
          <w:szCs w:val="18"/>
          <w:color w:val="auto"/>
        </w:rPr>
      </w:pPr>
    </w:p>
    <w:p>
      <w:pPr>
        <w:ind w:left="1500" w:hanging="601"/>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1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9" w:name="page50"/>
    <w:bookmarkEnd w:id="49"/>
    <w:p>
      <w:pPr>
        <w:spacing w:after="0" w:line="291" w:lineRule="auto"/>
        <w:rPr>
          <w:sz w:val="20"/>
          <w:szCs w:val="20"/>
          <w:color w:val="auto"/>
        </w:rPr>
      </w:pPr>
      <w:r>
        <w:rPr>
          <w:rFonts w:ascii="Arial" w:cs="Arial" w:eastAsia="Arial" w:hAnsi="Arial"/>
          <w:sz w:val="16"/>
          <w:szCs w:val="16"/>
          <w:color w:val="auto"/>
        </w:rPr>
        <w:t>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ACTION AND INTERPRETATIONS BY THE COMMITTEE.</w:t>
      </w:r>
      <w:r>
        <w:rPr>
          <w:rFonts w:ascii="Arial" w:cs="Arial" w:eastAsia="Arial" w:hAnsi="Arial"/>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72" w:lineRule="exact"/>
        <w:rPr>
          <w:sz w:val="20"/>
          <w:szCs w:val="20"/>
          <w:color w:val="auto"/>
        </w:rPr>
      </w:pPr>
    </w:p>
    <w:p>
      <w:pPr>
        <w:ind w:left="360"/>
        <w:spacing w:after="0"/>
        <w:tabs>
          <w:tab w:leader="none" w:pos="780" w:val="left"/>
          <w:tab w:leader="none" w:pos="3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AUTHORITY OF COMMITTEE.</w:t>
      </w:r>
      <w:r>
        <w:rPr>
          <w:sz w:val="20"/>
          <w:szCs w:val="20"/>
          <w:color w:val="auto"/>
        </w:rPr>
        <w:tab/>
      </w:r>
      <w:r>
        <w:rPr>
          <w:rFonts w:ascii="Arial" w:cs="Arial" w:eastAsia="Arial" w:hAnsi="Arial"/>
          <w:sz w:val="15"/>
          <w:szCs w:val="15"/>
          <w:color w:val="auto"/>
        </w:rPr>
        <w:t>Except as provided below, the Committee has the exclusive power, authority and discretion to:</w:t>
      </w:r>
    </w:p>
    <w:p>
      <w:pPr>
        <w:spacing w:after="0" w:line="225" w:lineRule="exact"/>
        <w:rPr>
          <w:sz w:val="20"/>
          <w:szCs w:val="20"/>
          <w:color w:val="auto"/>
        </w:rPr>
      </w:pPr>
    </w:p>
    <w:p>
      <w:pPr>
        <w:ind w:left="1400" w:hanging="501"/>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400" w:hanging="501"/>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25" w:lineRule="exact"/>
        <w:rPr>
          <w:rFonts w:ascii="Arial" w:cs="Arial" w:eastAsia="Arial" w:hAnsi="Arial"/>
          <w:sz w:val="18"/>
          <w:szCs w:val="18"/>
          <w:color w:val="auto"/>
        </w:rPr>
      </w:pPr>
    </w:p>
    <w:p>
      <w:pPr>
        <w:ind w:left="540" w:right="460" w:firstLine="359"/>
        <w:spacing w:after="0" w:line="306" w:lineRule="auto"/>
        <w:tabs>
          <w:tab w:leader="none" w:pos="13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0" w:lineRule="exact"/>
        <w:rPr>
          <w:rFonts w:ascii="Arial" w:cs="Arial" w:eastAsia="Arial" w:hAnsi="Arial"/>
          <w:sz w:val="16"/>
          <w:szCs w:val="16"/>
          <w:color w:val="auto"/>
        </w:rPr>
      </w:pPr>
    </w:p>
    <w:p>
      <w:pPr>
        <w:ind w:left="540" w:right="180" w:firstLine="359"/>
        <w:spacing w:after="0" w:line="268" w:lineRule="auto"/>
        <w:tabs>
          <w:tab w:leader="none" w:pos="14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4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85" w:lineRule="exact"/>
        <w:rPr>
          <w:rFonts w:ascii="Arial" w:cs="Arial" w:eastAsia="Arial" w:hAnsi="Arial"/>
          <w:sz w:val="18"/>
          <w:szCs w:val="18"/>
          <w:color w:val="auto"/>
        </w:rPr>
      </w:pPr>
    </w:p>
    <w:p>
      <w:pPr>
        <w:ind w:left="1420" w:hanging="521"/>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420" w:hanging="521"/>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48" w:lineRule="exact"/>
        <w:rPr>
          <w:rFonts w:ascii="Arial" w:cs="Arial" w:eastAsia="Arial" w:hAnsi="Arial"/>
          <w:sz w:val="16"/>
          <w:szCs w:val="16"/>
          <w:color w:val="auto"/>
        </w:rPr>
      </w:pPr>
    </w:p>
    <w:p>
      <w:pPr>
        <w:ind w:left="540" w:right="600" w:firstLine="359"/>
        <w:spacing w:after="0" w:line="268" w:lineRule="auto"/>
        <w:tabs>
          <w:tab w:leader="none" w:pos="14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85" w:lineRule="exact"/>
        <w:rPr>
          <w:rFonts w:ascii="Arial" w:cs="Arial" w:eastAsia="Arial" w:hAnsi="Arial"/>
          <w:sz w:val="18"/>
          <w:szCs w:val="18"/>
          <w:color w:val="auto"/>
        </w:rPr>
      </w:pPr>
    </w:p>
    <w:p>
      <w:pPr>
        <w:ind w:left="1400" w:hanging="501"/>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left="540" w:right="140" w:firstLine="359"/>
        <w:spacing w:after="0" w:line="259" w:lineRule="auto"/>
        <w:tabs>
          <w:tab w:leader="none" w:pos="13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94"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w:t>
      </w:r>
    </w:p>
    <w:p>
      <w:pPr>
        <w:spacing w:after="0" w:line="3" w:lineRule="exact"/>
        <w:rPr>
          <w:sz w:val="20"/>
          <w:szCs w:val="20"/>
          <w:color w:val="auto"/>
        </w:rPr>
      </w:pPr>
    </w:p>
    <w:p>
      <w:pPr>
        <w:ind w:firstLine="8"/>
        <w:spacing w:after="0" w:line="302"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63"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SUBJECT TO THE PLAN</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30,000,000;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86" w:lineRule="exact"/>
        <w:rPr>
          <w:sz w:val="20"/>
          <w:szCs w:val="20"/>
          <w:color w:val="auto"/>
        </w:rPr>
      </w:pPr>
    </w:p>
    <w:p>
      <w:pPr>
        <w:ind w:left="540" w:right="200" w:firstLine="359"/>
        <w:spacing w:after="0" w:line="268" w:lineRule="auto"/>
        <w:tabs>
          <w:tab w:leader="none" w:pos="13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85" w:lineRule="exact"/>
        <w:rPr>
          <w:rFonts w:ascii="Arial" w:cs="Arial" w:eastAsia="Arial" w:hAnsi="Arial"/>
          <w:sz w:val="18"/>
          <w:szCs w:val="18"/>
          <w:color w:val="auto"/>
        </w:rPr>
      </w:pPr>
    </w:p>
    <w:p>
      <w:pPr>
        <w:ind w:left="1420" w:hanging="521"/>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25" w:lineRule="exact"/>
        <w:rPr>
          <w:rFonts w:ascii="Arial" w:cs="Arial" w:eastAsia="Arial" w:hAnsi="Arial"/>
          <w:sz w:val="18"/>
          <w:szCs w:val="18"/>
          <w:color w:val="auto"/>
        </w:rPr>
      </w:pPr>
    </w:p>
    <w:p>
      <w:pPr>
        <w:ind w:left="540" w:right="340" w:firstLine="359"/>
        <w:spacing w:after="0" w:line="306" w:lineRule="auto"/>
        <w:tabs>
          <w:tab w:leader="none" w:pos="13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the extent that the full number of Shares subject to an Option or SAR is not issued upon exercise of the Option or SAR for any reason, including by reason of net-settlement of the Award, only the number of Shares issued and delivered upon exercise of the Option or SAR shall be considered for purposes of determining the number of Shares remaining available for issuance pursuant to Awards granted under the Plan.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1" w:name="page52"/>
    <w:bookmarkEnd w:id="51"/>
    <w:p>
      <w:pPr>
        <w:ind w:left="540" w:right="80" w:firstLine="359"/>
        <w:spacing w:after="0" w:line="268" w:lineRule="auto"/>
        <w:tabs>
          <w:tab w:leader="none" w:pos="14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ind w:left="360"/>
        <w:spacing w:after="0"/>
        <w:tabs>
          <w:tab w:leader="none" w:pos="780" w:val="left"/>
          <w:tab w:leader="none" w:pos="1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The Committee is authorized to grant Options to Participants on the following terms and conditions:</w:t>
      </w:r>
    </w:p>
    <w:p>
      <w:pPr>
        <w:spacing w:after="0" w:line="225" w:lineRule="exact"/>
        <w:rPr>
          <w:sz w:val="20"/>
          <w:szCs w:val="20"/>
          <w:color w:val="auto"/>
        </w:rPr>
      </w:pPr>
    </w:p>
    <w:p>
      <w:pPr>
        <w:ind w:left="1080" w:right="100" w:firstLine="360"/>
        <w:spacing w:after="0" w:line="259" w:lineRule="auto"/>
        <w:tabs>
          <w:tab w:leader="none" w:pos="180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under an Option shall be determined by the Committee; provided that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any Option (other than an Option issued as a substitute Award pursuant to Section 14.14) shall not be less than the Fair Market Value as of the Grant Date.</w:t>
      </w:r>
    </w:p>
    <w:p>
      <w:pPr>
        <w:spacing w:after="0" w:line="194" w:lineRule="exact"/>
        <w:rPr>
          <w:rFonts w:ascii="Arial" w:cs="Arial" w:eastAsia="Arial" w:hAnsi="Arial"/>
          <w:sz w:val="18"/>
          <w:szCs w:val="18"/>
          <w:color w:val="auto"/>
        </w:rPr>
      </w:pPr>
    </w:p>
    <w:p>
      <w:pPr>
        <w:ind w:left="1080" w:right="100" w:firstLine="360"/>
        <w:spacing w:after="0" w:line="332" w:lineRule="auto"/>
        <w:tabs>
          <w:tab w:leader="none" w:pos="181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REPRICING. </w:t>
      </w:r>
      <w:r>
        <w:rPr>
          <w:rFonts w:ascii="Arial" w:cs="Arial" w:eastAsia="Arial" w:hAnsi="Arial"/>
          <w:sz w:val="16"/>
          <w:szCs w:val="16"/>
          <w:color w:val="auto"/>
        </w:rPr>
        <w:t>Except as otherwise provided in Section 15.1, the exercise price of an Option may not be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cancellation and regrant or otherwise, without the prior approval of the shareholders of the Company.</w:t>
      </w:r>
    </w:p>
    <w:p>
      <w:pPr>
        <w:spacing w:after="0" w:line="139" w:lineRule="exact"/>
        <w:rPr>
          <w:rFonts w:ascii="Arial" w:cs="Arial" w:eastAsia="Arial" w:hAnsi="Arial"/>
          <w:sz w:val="16"/>
          <w:szCs w:val="16"/>
          <w:color w:val="auto"/>
        </w:rPr>
      </w:pPr>
    </w:p>
    <w:p>
      <w:pPr>
        <w:jc w:val="both"/>
        <w:ind w:left="1080" w:right="60" w:firstLine="360"/>
        <w:spacing w:after="0" w:line="259" w:lineRule="auto"/>
        <w:tabs>
          <w:tab w:leader="none" w:pos="180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TIME AND CONDITIONS OF EXERCISE. </w:t>
      </w:r>
      <w:r>
        <w:rPr>
          <w:rFonts w:ascii="Arial" w:cs="Arial" w:eastAsia="Arial" w:hAnsi="Arial"/>
          <w:sz w:val="18"/>
          <w:szCs w:val="18"/>
          <w:color w:val="auto"/>
        </w:rPr>
        <w:t>The Committee shall determine the time or times at which an Option may be exercised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or in part, subject to Section 7.1(e). The Committee shall also determine the performance or other conditions, if any, that must be satisfied before all or part of an Option may be exercised or vested.</w:t>
      </w:r>
    </w:p>
    <w:p>
      <w:pPr>
        <w:spacing w:after="0" w:line="194" w:lineRule="exact"/>
        <w:rPr>
          <w:rFonts w:ascii="Arial" w:cs="Arial" w:eastAsia="Arial" w:hAnsi="Arial"/>
          <w:sz w:val="18"/>
          <w:szCs w:val="18"/>
          <w:color w:val="auto"/>
        </w:rPr>
      </w:pPr>
    </w:p>
    <w:p>
      <w:pPr>
        <w:ind w:left="1080" w:right="20" w:firstLine="360"/>
        <w:spacing w:after="0" w:line="259" w:lineRule="auto"/>
        <w:tabs>
          <w:tab w:leader="none" w:pos="1811"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The Committee shall determine the methods by which the exercise price of an Option may be paid, the form of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cash, Shares, or other property (including "cashless exercise" arrangements), and the methods by which Shares shall be delivered or deemed to be delivered to Participants.</w:t>
      </w:r>
    </w:p>
    <w:p>
      <w:pPr>
        <w:spacing w:after="0" w:line="194" w:lineRule="exact"/>
        <w:rPr>
          <w:rFonts w:ascii="Arial" w:cs="Arial" w:eastAsia="Arial" w:hAnsi="Arial"/>
          <w:sz w:val="18"/>
          <w:szCs w:val="18"/>
          <w:color w:val="auto"/>
        </w:rPr>
      </w:pPr>
    </w:p>
    <w:p>
      <w:pPr>
        <w:ind w:left="1080" w:right="240" w:firstLine="360"/>
        <w:spacing w:after="0" w:line="268" w:lineRule="auto"/>
        <w:tabs>
          <w:tab w:leader="none" w:pos="180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EXERCISE TERM. </w:t>
      </w:r>
      <w:r>
        <w:rPr>
          <w:rFonts w:ascii="Arial" w:cs="Arial" w:eastAsia="Arial" w:hAnsi="Arial"/>
          <w:sz w:val="18"/>
          <w:szCs w:val="18"/>
          <w:color w:val="auto"/>
        </w:rPr>
        <w:t>Except for Nonstatutory Options granted to Participants outside the United States, no Option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be exercisable for more than ten years from the Grant Date.</w:t>
      </w:r>
    </w:p>
    <w:p>
      <w:pPr>
        <w:spacing w:after="0" w:line="185" w:lineRule="exact"/>
        <w:rPr>
          <w:rFonts w:ascii="Arial" w:cs="Arial" w:eastAsia="Arial" w:hAnsi="Arial"/>
          <w:sz w:val="18"/>
          <w:szCs w:val="18"/>
          <w:color w:val="auto"/>
        </w:rPr>
      </w:pPr>
    </w:p>
    <w:p>
      <w:pPr>
        <w:ind w:left="1080" w:right="520" w:firstLine="360"/>
        <w:spacing w:after="0" w:line="268" w:lineRule="auto"/>
        <w:tabs>
          <w:tab w:leader="none" w:pos="178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NO DEFERRAL FEATURE. </w:t>
      </w:r>
      <w:r>
        <w:rPr>
          <w:rFonts w:ascii="Arial" w:cs="Arial" w:eastAsia="Arial" w:hAnsi="Arial"/>
          <w:sz w:val="18"/>
          <w:szCs w:val="18"/>
          <w:color w:val="auto"/>
        </w:rPr>
        <w:t>No Option shall provide for any feature for the deferral of compensation other than the deferral of</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income until the exercise or disposition of the Option.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jc w:val="both"/>
        <w:ind w:left="1080" w:right="100" w:firstLine="360"/>
        <w:spacing w:after="0" w:line="256" w:lineRule="auto"/>
        <w:tabs>
          <w:tab w:leader="none" w:pos="181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Participant who is also a participant in the Retirement at Micron ("RAM") Section 401(k) Plan and who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APPRECIATION RIGHTS</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86" w:lineRule="exact"/>
        <w:rPr>
          <w:sz w:val="20"/>
          <w:szCs w:val="20"/>
          <w:color w:val="auto"/>
        </w:rPr>
      </w:pPr>
    </w:p>
    <w:p>
      <w:pPr>
        <w:ind w:left="540" w:right="400" w:firstLine="359"/>
        <w:spacing w:after="0" w:line="268" w:lineRule="auto"/>
        <w:tabs>
          <w:tab w:leader="none" w:pos="1262"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RIGHT TO PAYMENT. </w:t>
      </w:r>
      <w:r>
        <w:rPr>
          <w:rFonts w:ascii="Arial" w:cs="Arial" w:eastAsia="Arial" w:hAnsi="Arial"/>
          <w:sz w:val="18"/>
          <w:szCs w:val="18"/>
          <w:color w:val="auto"/>
        </w:rPr>
        <w:t>Upon the exercise of a Stock Appreciation Right, the Participant to whom it is granted has the right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080" w:right="220" w:firstLine="360"/>
        <w:spacing w:after="0" w:line="268" w:lineRule="auto"/>
        <w:tabs>
          <w:tab w:leader="none" w:pos="17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85" w:lineRule="exact"/>
        <w:rPr>
          <w:rFonts w:ascii="Arial" w:cs="Arial" w:eastAsia="Arial" w:hAnsi="Arial"/>
          <w:sz w:val="18"/>
          <w:szCs w:val="18"/>
          <w:color w:val="auto"/>
        </w:rPr>
      </w:pPr>
    </w:p>
    <w:p>
      <w:pPr>
        <w:ind w:left="540" w:right="420" w:firstLine="359"/>
        <w:spacing w:after="0" w:line="332" w:lineRule="auto"/>
        <w:tabs>
          <w:tab w:leader="none" w:pos="1271"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REPRICING. </w:t>
      </w:r>
      <w:r>
        <w:rPr>
          <w:rFonts w:ascii="Arial" w:cs="Arial" w:eastAsia="Arial" w:hAnsi="Arial"/>
          <w:sz w:val="16"/>
          <w:szCs w:val="16"/>
          <w:color w:val="auto"/>
        </w:rPr>
        <w:t>Except as otherwise provided in Section 15.1, the base price of a SAR may not be reduced,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by cancellation and regrant or otherwise, without the prior approval of the shareholders of the Company.</w:t>
      </w:r>
    </w:p>
    <w:p>
      <w:pPr>
        <w:spacing w:after="0" w:line="139" w:lineRule="exact"/>
        <w:rPr>
          <w:rFonts w:ascii="Arial" w:cs="Arial" w:eastAsia="Arial" w:hAnsi="Arial"/>
          <w:sz w:val="16"/>
          <w:szCs w:val="16"/>
          <w:color w:val="auto"/>
        </w:rPr>
      </w:pPr>
    </w:p>
    <w:p>
      <w:pPr>
        <w:ind w:left="540" w:right="280" w:firstLine="359"/>
        <w:spacing w:after="0" w:line="268" w:lineRule="auto"/>
        <w:tabs>
          <w:tab w:leader="none" w:pos="1262"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EXERCISE TERM. </w:t>
      </w:r>
      <w:r>
        <w:rPr>
          <w:rFonts w:ascii="Arial" w:cs="Arial" w:eastAsia="Arial" w:hAnsi="Arial"/>
          <w:sz w:val="18"/>
          <w:szCs w:val="18"/>
          <w:color w:val="auto"/>
        </w:rPr>
        <w:t>Except for SARs granted to Participants outside the United States, no SAR shall be exercisable for more than ten years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Grant Date.</w:t>
      </w:r>
    </w:p>
    <w:p>
      <w:pPr>
        <w:spacing w:after="0" w:line="185" w:lineRule="exact"/>
        <w:rPr>
          <w:rFonts w:ascii="Arial" w:cs="Arial" w:eastAsia="Arial" w:hAnsi="Arial"/>
          <w:sz w:val="18"/>
          <w:szCs w:val="18"/>
          <w:color w:val="auto"/>
        </w:rPr>
      </w:pPr>
    </w:p>
    <w:p>
      <w:pPr>
        <w:ind w:left="540" w:right="200" w:firstLine="359"/>
        <w:spacing w:after="0" w:line="268" w:lineRule="auto"/>
        <w:tabs>
          <w:tab w:leader="none" w:pos="127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NO DEFERRAL FEATURE. </w:t>
      </w:r>
      <w:r>
        <w:rPr>
          <w:rFonts w:ascii="Arial" w:cs="Arial" w:eastAsia="Arial" w:hAnsi="Arial"/>
          <w:sz w:val="18"/>
          <w:szCs w:val="18"/>
          <w:color w:val="auto"/>
        </w:rPr>
        <w:t>No SAR shall provide for any feature for the deferral of compensation other than the deferral of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until the exercise or disposition of the SAR.</w:t>
      </w:r>
    </w:p>
    <w:p>
      <w:pPr>
        <w:spacing w:after="0" w:line="185" w:lineRule="exact"/>
        <w:rPr>
          <w:rFonts w:ascii="Arial" w:cs="Arial" w:eastAsia="Arial" w:hAnsi="Arial"/>
          <w:sz w:val="18"/>
          <w:szCs w:val="18"/>
          <w:color w:val="auto"/>
        </w:rPr>
      </w:pPr>
    </w:p>
    <w:p>
      <w:pPr>
        <w:ind w:left="540" w:right="200" w:firstLine="359"/>
        <w:spacing w:after="0" w:line="306" w:lineRule="auto"/>
        <w:tabs>
          <w:tab w:leader="none" w:pos="1262"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OTHER TERMS. </w:t>
      </w:r>
      <w:r>
        <w:rPr>
          <w:rFonts w:ascii="Arial" w:cs="Arial" w:eastAsia="Arial" w:hAnsi="Arial"/>
          <w:sz w:val="16"/>
          <w:szCs w:val="16"/>
          <w:color w:val="auto"/>
        </w:rPr>
        <w:t>All awards of Stock Appreciation Rights shall be evidenced by an Award Certificate. Subject to the limitations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SHARES</w:t>
      </w:r>
    </w:p>
    <w:p>
      <w:pPr>
        <w:spacing w:after="0" w:line="21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ind w:right="160"/>
        <w:spacing w:after="0" w:line="289" w:lineRule="auto"/>
        <w:rPr>
          <w:sz w:val="20"/>
          <w:szCs w:val="20"/>
          <w:color w:val="auto"/>
        </w:rPr>
      </w:pPr>
      <w:r>
        <w:rPr>
          <w:rFonts w:ascii="Arial" w:cs="Arial" w:eastAsia="Arial" w:hAnsi="Arial"/>
          <w:sz w:val="16"/>
          <w:szCs w:val="16"/>
          <w:color w:val="auto"/>
        </w:rPr>
        <w:t>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4" w:name="page55"/>
    <w:bookmarkEnd w:id="54"/>
    <w:p>
      <w:pPr>
        <w:ind w:right="20"/>
        <w:spacing w:after="0" w:line="259" w:lineRule="auto"/>
        <w:rPr>
          <w:sz w:val="20"/>
          <w:szCs w:val="20"/>
          <w:color w:val="auto"/>
        </w:rPr>
      </w:pPr>
      <w:r>
        <w:rPr>
          <w:rFonts w:ascii="Arial" w:cs="Arial" w:eastAsia="Arial" w:hAnsi="Arial"/>
          <w:sz w:val="18"/>
          <w:szCs w:val="18"/>
          <w:color w:val="auto"/>
        </w:rPr>
        <w:t>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DEFERRED STOCK UNITS</w:t>
      </w:r>
    </w:p>
    <w:p>
      <w:pPr>
        <w:spacing w:after="0" w:line="219"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EQUIVALENTS</w:t>
      </w:r>
    </w:p>
    <w:p>
      <w:pPr>
        <w:spacing w:after="0" w:line="219"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i w:val="1"/>
          <w:iCs w:val="1"/>
          <w:color w:val="auto"/>
        </w:rPr>
        <w:t>GRANT OF DIVIDEND EQUIVALENTS.</w:t>
      </w:r>
      <w:r>
        <w:rPr>
          <w:rFonts w:ascii="Arial" w:cs="Arial" w:eastAsia="Arial" w:hAnsi="Arial"/>
          <w:sz w:val="15"/>
          <w:szCs w:val="15"/>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w:t>
      </w:r>
    </w:p>
    <w:p>
      <w:pPr>
        <w:spacing w:after="0" w:line="3"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Certificate, Dividend Equivalents will be paid or distributed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OR OTHER STOCK-BASED AWARDS</w:t>
      </w:r>
    </w:p>
    <w:p>
      <w:pPr>
        <w:spacing w:after="0" w:line="21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ind w:right="80"/>
        <w:spacing w:after="0" w:line="298" w:lineRule="auto"/>
        <w:rPr>
          <w:sz w:val="20"/>
          <w:szCs w:val="20"/>
          <w:color w:val="auto"/>
        </w:rPr>
      </w:pPr>
      <w:r>
        <w:rPr>
          <w:rFonts w:ascii="Arial" w:cs="Arial" w:eastAsia="Arial" w:hAnsi="Arial"/>
          <w:sz w:val="16"/>
          <w:szCs w:val="16"/>
          <w:color w:val="auto"/>
        </w:rPr>
        <w:t>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PROVISIONS APPLICABLE TO AWARDS</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2"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ind w:right="40"/>
        <w:spacing w:after="0" w:line="259" w:lineRule="auto"/>
        <w:rPr>
          <w:sz w:val="20"/>
          <w:szCs w:val="20"/>
          <w:color w:val="auto"/>
        </w:rPr>
      </w:pPr>
      <w:r>
        <w:rPr>
          <w:rFonts w:ascii="Arial" w:cs="Arial" w:eastAsia="Arial" w:hAnsi="Arial"/>
          <w:sz w:val="18"/>
          <w:szCs w:val="18"/>
          <w:color w:val="auto"/>
        </w:rPr>
        <w:t>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17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7" w:name="page58"/>
    <w:bookmarkEnd w:id="57"/>
    <w:p>
      <w:pPr>
        <w:ind w:right="100" w:firstLine="351"/>
        <w:spacing w:after="0" w:line="289"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i w:val="1"/>
          <w:iCs w:val="1"/>
          <w:color w:val="auto"/>
        </w:rPr>
        <w:t>EFFECT OF ACCELERATION.</w:t>
      </w:r>
      <w:r>
        <w:rPr>
          <w:rFonts w:ascii="Arial" w:cs="Arial" w:eastAsia="Arial" w:hAnsi="Arial"/>
          <w:sz w:val="16"/>
          <w:szCs w:val="16"/>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72"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25" w:lineRule="exact"/>
        <w:rPr>
          <w:sz w:val="20"/>
          <w:szCs w:val="20"/>
          <w:color w:val="auto"/>
        </w:rPr>
      </w:pPr>
    </w:p>
    <w:p>
      <w:pPr>
        <w:ind w:left="540" w:firstLine="359"/>
        <w:spacing w:after="0" w:line="259" w:lineRule="auto"/>
        <w:tabs>
          <w:tab w:leader="none" w:pos="1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When granting any other Award, the Committee may designate such Award as a Qualified Performance-Based Award, based upon a</w:t>
      </w:r>
    </w:p>
    <w:p>
      <w:pPr>
        <w:spacing w:after="0" w:line="38" w:lineRule="exact"/>
        <w:rPr>
          <w:rFonts w:ascii="Arial" w:cs="Arial" w:eastAsia="Arial" w:hAnsi="Arial"/>
          <w:sz w:val="16"/>
          <w:szCs w:val="16"/>
          <w:color w:val="auto"/>
        </w:rPr>
      </w:pPr>
    </w:p>
    <w:p>
      <w:pPr>
        <w:ind w:left="540" w:right="100"/>
        <w:spacing w:after="0" w:line="253" w:lineRule="auto"/>
        <w:rPr>
          <w:rFonts w:ascii="Arial" w:cs="Arial" w:eastAsia="Arial" w:hAnsi="Arial"/>
          <w:sz w:val="16"/>
          <w:szCs w:val="16"/>
          <w:color w:val="auto"/>
        </w:rPr>
      </w:pPr>
      <w:r>
        <w:rPr>
          <w:rFonts w:ascii="Arial" w:cs="Arial" w:eastAsia="Arial" w:hAnsi="Arial"/>
          <w:sz w:val="18"/>
          <w:szCs w:val="18"/>
          <w:color w:val="auto"/>
        </w:rPr>
        <w:t>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12" w:lineRule="exact"/>
        <w:rPr>
          <w:rFonts w:ascii="Arial" w:cs="Arial" w:eastAsia="Arial" w:hAnsi="Arial"/>
          <w:sz w:val="16"/>
          <w:szCs w:val="16"/>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620" w:right="280" w:hanging="532"/>
        <w:spacing w:after="0" w:line="268" w:lineRule="auto"/>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38" w:lineRule="exact"/>
        <w:rPr>
          <w:rFonts w:ascii="Arial" w:cs="Arial" w:eastAsia="Arial" w:hAnsi="Arial"/>
          <w:sz w:val="18"/>
          <w:szCs w:val="18"/>
          <w:color w:val="auto"/>
        </w:rPr>
      </w:pPr>
    </w:p>
    <w:p>
      <w:pPr>
        <w:ind w:left="1620" w:right="40" w:hanging="532"/>
        <w:spacing w:after="0" w:line="332" w:lineRule="auto"/>
        <w:tabs>
          <w:tab w:leader="none" w:pos="16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ind w:right="20" w:firstLine="351"/>
        <w:spacing w:after="0" w:line="291"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74" w:lineRule="exact"/>
        <w:rPr>
          <w:sz w:val="20"/>
          <w:szCs w:val="20"/>
          <w:color w:val="auto"/>
        </w:rPr>
      </w:pPr>
    </w:p>
    <w:p>
      <w:pPr>
        <w:ind w:right="40" w:firstLine="359"/>
        <w:spacing w:after="0" w:line="288" w:lineRule="auto"/>
        <w:tabs>
          <w:tab w:leader="none" w:pos="853"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173" w:lineRule="exact"/>
        <w:rPr>
          <w:rFonts w:ascii="Arial" w:cs="Arial" w:eastAsia="Arial" w:hAnsi="Arial"/>
          <w:sz w:val="16"/>
          <w:szCs w:val="16"/>
          <w:color w:val="auto"/>
        </w:rPr>
      </w:pPr>
    </w:p>
    <w:p>
      <w:pPr>
        <w:ind w:right="260" w:firstLine="359"/>
        <w:spacing w:after="0" w:line="286" w:lineRule="auto"/>
        <w:tabs>
          <w:tab w:leader="none" w:pos="8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w:t>
      </w:r>
    </w:p>
    <w:p>
      <w:pPr>
        <w:ind w:right="80" w:firstLine="8"/>
        <w:spacing w:after="0" w:line="290" w:lineRule="auto"/>
        <w:tabs>
          <w:tab w:leader="none" w:pos="23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2" w:lineRule="exact"/>
        <w:rPr>
          <w:rFonts w:ascii="Arial" w:cs="Arial" w:eastAsia="Arial" w:hAnsi="Arial"/>
          <w:sz w:val="16"/>
          <w:szCs w:val="16"/>
          <w:color w:val="auto"/>
        </w:rPr>
      </w:pPr>
    </w:p>
    <w:p>
      <w:pPr>
        <w:ind w:firstLine="359"/>
        <w:spacing w:after="0" w:line="287" w:lineRule="auto"/>
        <w:tabs>
          <w:tab w:leader="none" w:pos="844"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9" w:name="page60"/>
    <w:bookmarkEnd w:id="59"/>
    <w:p>
      <w:pPr>
        <w:ind w:left="540"/>
        <w:spacing w:after="0"/>
        <w:rPr>
          <w:sz w:val="20"/>
          <w:szCs w:val="20"/>
          <w:color w:val="auto"/>
        </w:rPr>
      </w:pPr>
      <w:r>
        <w:rPr>
          <w:rFonts w:ascii="Arial" w:cs="Arial" w:eastAsia="Arial" w:hAnsi="Arial"/>
          <w:sz w:val="16"/>
          <w:szCs w:val="16"/>
          <w:color w:val="auto"/>
        </w:rPr>
        <w:t>value thereof, or otherwise in a manner that would cause the Qualified Performance-Based Award to cease to qualify for the Section 162(m) Exemption.</w:t>
      </w:r>
    </w:p>
    <w:p>
      <w:pPr>
        <w:spacing w:after="0" w:line="248" w:lineRule="exact"/>
        <w:rPr>
          <w:sz w:val="20"/>
          <w:szCs w:val="20"/>
          <w:color w:val="auto"/>
        </w:rPr>
      </w:pPr>
    </w:p>
    <w:p>
      <w:pPr>
        <w:ind w:left="540" w:right="380" w:firstLine="359"/>
        <w:spacing w:after="0" w:line="268" w:lineRule="auto"/>
        <w:tabs>
          <w:tab w:leader="none" w:pos="14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85" w:lineRule="exact"/>
        <w:rPr>
          <w:rFonts w:ascii="Arial" w:cs="Arial" w:eastAsia="Arial" w:hAnsi="Arial"/>
          <w:sz w:val="18"/>
          <w:szCs w:val="18"/>
          <w:color w:val="auto"/>
        </w:rPr>
      </w:pPr>
    </w:p>
    <w:p>
      <w:pPr>
        <w:ind w:left="540" w:firstLine="359"/>
        <w:spacing w:after="0" w:line="289" w:lineRule="auto"/>
        <w:tabs>
          <w:tab w:leader="none" w:pos="14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72"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1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0" w:name="page61"/>
    <w:bookmarkEnd w:id="60"/>
    <w:p>
      <w:pPr>
        <w:ind w:right="340"/>
        <w:spacing w:after="0" w:line="305" w:lineRule="auto"/>
        <w:rPr>
          <w:sz w:val="20"/>
          <w:szCs w:val="20"/>
          <w:color w:val="auto"/>
        </w:rPr>
      </w:pPr>
      <w:r>
        <w:rPr>
          <w:rFonts w:ascii="Arial" w:cs="Arial" w:eastAsia="Arial" w:hAnsi="Arial"/>
          <w:sz w:val="15"/>
          <w:szCs w:val="15"/>
          <w:color w:val="auto"/>
        </w:rPr>
        <w:t>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w:t>
      </w:r>
    </w:p>
    <w:p>
      <w:pPr>
        <w:ind w:firstLine="8"/>
        <w:spacing w:after="0" w:line="290"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ind w:right="200" w:firstLine="351"/>
        <w:spacing w:after="0" w:line="268"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86" w:lineRule="exact"/>
        <w:rPr>
          <w:sz w:val="20"/>
          <w:szCs w:val="20"/>
          <w:color w:val="auto"/>
        </w:rPr>
      </w:pPr>
    </w:p>
    <w:p>
      <w:pPr>
        <w:ind w:left="540" w:right="60" w:firstLine="359"/>
        <w:spacing w:after="0" w:line="298" w:lineRule="auto"/>
        <w:tabs>
          <w:tab w:leader="none" w:pos="1393"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66" w:lineRule="exact"/>
        <w:rPr>
          <w:rFonts w:ascii="Arial" w:cs="Arial" w:eastAsia="Arial" w:hAnsi="Arial"/>
          <w:sz w:val="16"/>
          <w:szCs w:val="16"/>
          <w:color w:val="auto"/>
        </w:rPr>
      </w:pPr>
    </w:p>
    <w:p>
      <w:pPr>
        <w:ind w:left="1400" w:hanging="501"/>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540" w:right="540" w:firstLine="359"/>
        <w:spacing w:after="0" w:line="268" w:lineRule="auto"/>
        <w:tabs>
          <w:tab w:leader="none" w:pos="13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85" w:lineRule="exact"/>
        <w:rPr>
          <w:rFonts w:ascii="Arial" w:cs="Arial" w:eastAsia="Arial" w:hAnsi="Arial"/>
          <w:sz w:val="18"/>
          <w:szCs w:val="18"/>
          <w:color w:val="auto"/>
        </w:rPr>
      </w:pPr>
    </w:p>
    <w:p>
      <w:pPr>
        <w:ind w:left="540" w:right="100" w:firstLine="359"/>
        <w:spacing w:after="0" w:line="294" w:lineRule="auto"/>
        <w:tabs>
          <w:tab w:leader="none" w:pos="1403"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86"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25" w:lineRule="exact"/>
        <w:rPr>
          <w:sz w:val="20"/>
          <w:szCs w:val="20"/>
          <w:color w:val="auto"/>
        </w:rPr>
      </w:pPr>
    </w:p>
    <w:p>
      <w:pPr>
        <w:ind w:left="540" w:firstLine="359"/>
        <w:spacing w:after="0" w:line="256" w:lineRule="auto"/>
        <w:tabs>
          <w:tab w:leader="none" w:pos="13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ind w:left="540"/>
        <w:spacing w:after="0" w:line="290" w:lineRule="auto"/>
        <w:rPr>
          <w:sz w:val="20"/>
          <w:szCs w:val="20"/>
          <w:color w:val="auto"/>
        </w:rPr>
      </w:pPr>
      <w:r>
        <w:rPr>
          <w:rFonts w:ascii="Arial" w:cs="Arial" w:eastAsia="Arial" w:hAnsi="Arial"/>
          <w:sz w:val="16"/>
          <w:szCs w:val="16"/>
          <w:color w:val="auto"/>
        </w:rPr>
        <w:t xml:space="preserve">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6"/>
          <w:szCs w:val="16"/>
          <w:i w:val="1"/>
          <w:iCs w:val="1"/>
          <w:color w:val="auto"/>
        </w:rPr>
        <w:t>vesting</w:t>
      </w:r>
      <w:r>
        <w:rPr>
          <w:rFonts w:ascii="Arial" w:cs="Arial" w:eastAsia="Arial" w:hAnsi="Arial"/>
          <w:sz w:val="16"/>
          <w:szCs w:val="16"/>
          <w:color w:val="auto"/>
        </w:rPr>
        <w:t xml:space="preserve">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172" w:lineRule="exact"/>
        <w:rPr>
          <w:sz w:val="20"/>
          <w:szCs w:val="20"/>
          <w:color w:val="auto"/>
        </w:rPr>
      </w:pPr>
    </w:p>
    <w:p>
      <w:pPr>
        <w:ind w:left="540" w:right="280" w:firstLine="359"/>
        <w:spacing w:after="0" w:line="306" w:lineRule="auto"/>
        <w:tabs>
          <w:tab w:leader="none" w:pos="140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160" w:lineRule="exact"/>
        <w:rPr>
          <w:rFonts w:ascii="Arial" w:cs="Arial" w:eastAsia="Arial" w:hAnsi="Arial"/>
          <w:sz w:val="16"/>
          <w:szCs w:val="16"/>
          <w:color w:val="auto"/>
        </w:rPr>
      </w:pPr>
    </w:p>
    <w:p>
      <w:pPr>
        <w:ind w:left="540" w:right="100" w:firstLine="359"/>
        <w:spacing w:after="0" w:line="255" w:lineRule="auto"/>
        <w:tabs>
          <w:tab w:leader="none" w:pos="13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6" w:lineRule="exact"/>
        <w:rPr>
          <w:rFonts w:ascii="Arial" w:cs="Arial" w:eastAsia="Arial" w:hAnsi="Arial"/>
          <w:sz w:val="18"/>
          <w:szCs w:val="18"/>
          <w:color w:val="auto"/>
        </w:rPr>
      </w:pPr>
    </w:p>
    <w:p>
      <w:pPr>
        <w:ind w:left="1080" w:right="160" w:firstLine="447"/>
        <w:spacing w:after="0" w:line="259" w:lineRule="auto"/>
        <w:tabs>
          <w:tab w:leader="none" w:pos="19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4" w:lineRule="exact"/>
        <w:rPr>
          <w:rFonts w:ascii="Arial" w:cs="Arial" w:eastAsia="Arial" w:hAnsi="Arial"/>
          <w:sz w:val="18"/>
          <w:szCs w:val="18"/>
          <w:color w:val="auto"/>
        </w:rPr>
      </w:pPr>
    </w:p>
    <w:p>
      <w:pPr>
        <w:ind w:left="1080" w:right="240" w:firstLine="403"/>
        <w:spacing w:after="0" w:line="294" w:lineRule="auto"/>
        <w:tabs>
          <w:tab w:leader="none" w:pos="19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as permitted in such final regulations, the Company's Specified Employees and its application of the six-month delay rule of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i w:val="1"/>
          <w:iCs w:val="1"/>
          <w:color w:val="auto"/>
        </w:rPr>
        <w:t>WITHHOLDING.</w:t>
      </w:r>
      <w:r>
        <w:rPr>
          <w:rFonts w:ascii="Arial" w:cs="Arial" w:eastAsia="Arial" w:hAnsi="Arial"/>
          <w:sz w:val="18"/>
          <w:szCs w:val="18"/>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ind w:right="200"/>
        <w:spacing w:after="0" w:line="332" w:lineRule="auto"/>
        <w:rPr>
          <w:sz w:val="20"/>
          <w:szCs w:val="20"/>
          <w:color w:val="auto"/>
        </w:rPr>
      </w:pPr>
      <w:r>
        <w:rPr>
          <w:rFonts w:ascii="Arial" w:cs="Arial" w:eastAsia="Arial" w:hAnsi="Arial"/>
          <w:sz w:val="16"/>
          <w:szCs w:val="16"/>
          <w:color w:val="auto"/>
        </w:rPr>
        <w:t>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74"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39" w:lineRule="exact"/>
        <w:rPr>
          <w:sz w:val="20"/>
          <w:szCs w:val="20"/>
          <w:color w:val="auto"/>
        </w:rPr>
      </w:pPr>
    </w:p>
    <w:p>
      <w:pPr>
        <w:ind w:left="360"/>
        <w:spacing w:after="0"/>
        <w:tabs>
          <w:tab w:leader="none" w:pos="860" w:val="left"/>
          <w:tab w:leader="none" w:pos="19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sz w:val="20"/>
          <w:szCs w:val="20"/>
          <w:color w:val="auto"/>
        </w:rPr>
        <w:tab/>
      </w:r>
      <w:r>
        <w:rPr>
          <w:rFonts w:ascii="Arial" w:cs="Arial" w:eastAsia="Arial" w:hAnsi="Arial"/>
          <w:sz w:val="15"/>
          <w:szCs w:val="15"/>
          <w:color w:val="auto"/>
        </w:rPr>
        <w:t>The expenses of administering the Plan shall be borne by the Company and its Affiliates.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25" w:lineRule="exact"/>
        <w:rPr>
          <w:sz w:val="20"/>
          <w:szCs w:val="20"/>
          <w:color w:val="auto"/>
        </w:rPr>
      </w:pPr>
    </w:p>
    <w:p>
      <w:pPr>
        <w:ind w:left="540" w:right="100" w:firstLine="359"/>
        <w:spacing w:after="0" w:line="255" w:lineRule="auto"/>
        <w:tabs>
          <w:tab w:leader="none" w:pos="13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6" w:lineRule="exact"/>
        <w:rPr>
          <w:rFonts w:ascii="Arial" w:cs="Arial" w:eastAsia="Arial" w:hAnsi="Arial"/>
          <w:sz w:val="18"/>
          <w:szCs w:val="18"/>
          <w:color w:val="auto"/>
        </w:rPr>
      </w:pPr>
    </w:p>
    <w:p>
      <w:pPr>
        <w:ind w:left="540" w:right="160" w:firstLine="359"/>
        <w:spacing w:after="0" w:line="298" w:lineRule="auto"/>
        <w:tabs>
          <w:tab w:leader="none" w:pos="1403"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left="540" w:right="40"/>
        <w:spacing w:after="0" w:line="291" w:lineRule="auto"/>
        <w:rPr>
          <w:sz w:val="20"/>
          <w:szCs w:val="20"/>
          <w:color w:val="auto"/>
        </w:rPr>
      </w:pPr>
      <w:r>
        <w:rPr>
          <w:rFonts w:ascii="Arial" w:cs="Arial" w:eastAsia="Arial" w:hAnsi="Arial"/>
          <w:sz w:val="16"/>
          <w:szCs w:val="16"/>
          <w:color w:val="auto"/>
        </w:rPr>
        <w:t>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32"/>
          <w:szCs w:val="32"/>
          <w:b w:val="1"/>
          <w:bCs w:val="1"/>
          <w:color w:val="auto"/>
        </w:rPr>
        <w:t>Directions to the</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2007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160020</wp:posOffset>
            </wp:positionV>
            <wp:extent cx="5514340" cy="4579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14340"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To be held at</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Micron's Headquarters</w:t>
      </w:r>
    </w:p>
    <w:p>
      <w:pPr>
        <w:jc w:val="center"/>
        <w:ind w:right="-20"/>
        <w:spacing w:after="0" w:line="237" w:lineRule="auto"/>
        <w:rPr>
          <w:sz w:val="20"/>
          <w:szCs w:val="20"/>
          <w:color w:val="auto"/>
        </w:rPr>
      </w:pPr>
      <w:r>
        <w:rPr>
          <w:rFonts w:ascii="Arial" w:cs="Arial" w:eastAsia="Arial" w:hAnsi="Arial"/>
          <w:sz w:val="32"/>
          <w:szCs w:val="32"/>
          <w:b w:val="1"/>
          <w:bCs w:val="1"/>
          <w:color w:val="auto"/>
        </w:rPr>
        <w:t>8000 S. Federal Way, Boise, ID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Tuesday, December 4, 2007,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158115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2644775</wp:posOffset>
            </wp:positionH>
            <wp:positionV relativeFrom="page">
              <wp:posOffset>88900</wp:posOffset>
            </wp:positionV>
            <wp:extent cx="2272665" cy="651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272665" cy="651510"/>
                    </a:xfrm>
                    <a:prstGeom prst="rect">
                      <a:avLst/>
                    </a:prstGeom>
                    <a:noFill/>
                  </pic:spPr>
                </pic:pic>
              </a:graphicData>
            </a:graphic>
          </wp:anchor>
        </w:drawing>
        <w:t>2007 ANNUAL MEETING OF SHAREHOLDERS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4, 2007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Company's Headquarters</w:t>
      </w:r>
    </w:p>
    <w:p>
      <w:pPr>
        <w:jc w:val="center"/>
        <w:spacing w:after="0" w:line="223" w:lineRule="auto"/>
        <w:rPr>
          <w:sz w:val="20"/>
          <w:szCs w:val="20"/>
          <w:color w:val="auto"/>
        </w:rPr>
      </w:pPr>
      <w:r>
        <w:rPr>
          <w:rFonts w:ascii="Arial" w:cs="Arial" w:eastAsia="Arial" w:hAnsi="Arial"/>
          <w:sz w:val="14"/>
          <w:szCs w:val="14"/>
          <w:b w:val="1"/>
          <w:bCs w:val="1"/>
          <w:color w:val="auto"/>
        </w:rPr>
        <w:t>8000 S. Federal Way,</w:t>
      </w:r>
    </w:p>
    <w:p>
      <w:pPr>
        <w:jc w:val="center"/>
        <w:spacing w:after="0"/>
        <w:rPr>
          <w:sz w:val="20"/>
          <w:szCs w:val="20"/>
          <w:color w:val="auto"/>
        </w:rPr>
      </w:pPr>
      <w:r>
        <w:rPr>
          <w:rFonts w:ascii="Arial" w:cs="Arial" w:eastAsia="Arial" w:hAnsi="Arial"/>
          <w:sz w:val="14"/>
          <w:szCs w:val="14"/>
          <w:b w:val="1"/>
          <w:bCs w:val="1"/>
          <w:color w:val="auto"/>
        </w:rPr>
        <w:t>Boise, Idaho 83716-9632</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If you consented to access your proxy information electronically, you may view it by going to Micron's website. You can get there by typing in the following address: http://www.micron.com</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If you would like to access the proxy materials electronically next year, go to the following Consent site address: http://www.econsent.com/mu/</w:t>
      </w:r>
    </w:p>
    <w:p>
      <w:pPr>
        <w:sectPr>
          <w:pgSz w:w="11900" w:h="16838" w:orient="portrait"/>
          <w:cols w:equalWidth="0" w:num="1">
            <w:col w:w="11420"/>
          </w:cols>
          <w:pgMar w:left="240" w:top="1369"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Micron Technology,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proxy</w:t>
      </w:r>
    </w:p>
    <w:p>
      <w:pPr>
        <w:spacing w:after="0" w:line="214" w:lineRule="exact"/>
        <w:rPr>
          <w:sz w:val="20"/>
          <w:szCs w:val="20"/>
          <w:color w:val="auto"/>
        </w:rPr>
      </w:pPr>
    </w:p>
    <w:p>
      <w:pPr>
        <w:sectPr>
          <w:pgSz w:w="11900" w:h="16838" w:orient="portrait"/>
          <w:cols w:equalWidth="0" w:num="2">
            <w:col w:w="10360" w:space="720"/>
            <w:col w:w="340"/>
          </w:cols>
          <w:pgMar w:left="240" w:top="1369" w:right="2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206" w:lineRule="exact"/>
        <w:rPr>
          <w:sz w:val="20"/>
          <w:szCs w:val="20"/>
          <w:color w:val="auto"/>
        </w:rPr>
      </w:pPr>
    </w:p>
    <w:p>
      <w:pPr>
        <w:ind w:right="240"/>
        <w:spacing w:after="0" w:line="273"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2007 Annual Meeting of Shareholders and Proxy Statement, each dated November 5, 2007, and hereby appoints Steven R. Appleton and D. Mark Durcan, and each of them, proxies and attorneys-in-fact, with full power to each of substitution, on behalf and in the name of the undersigned, to represent the undersigned at the 2007 Annual Meeting of Shareholders of Micron Technology, Inc., to be held December 4, 2007, at 9:00 a.m., Mountain Standard Time, at the </w:t>
      </w:r>
      <w:r>
        <w:rPr>
          <w:rFonts w:ascii="Arial" w:cs="Arial" w:eastAsia="Arial" w:hAnsi="Arial"/>
          <w:sz w:val="12"/>
          <w:szCs w:val="12"/>
          <w:b w:val="1"/>
          <w:bCs w:val="1"/>
          <w:color w:val="auto"/>
        </w:rPr>
        <w:t>Company's</w:t>
      </w:r>
      <w:r>
        <w:rPr>
          <w:rFonts w:ascii="Arial" w:cs="Arial" w:eastAsia="Arial" w:hAnsi="Arial"/>
          <w:sz w:val="12"/>
          <w:szCs w:val="12"/>
          <w:color w:val="auto"/>
        </w:rPr>
        <w:t xml:space="preserve"> </w:t>
      </w:r>
      <w:r>
        <w:rPr>
          <w:rFonts w:ascii="Arial" w:cs="Arial" w:eastAsia="Arial" w:hAnsi="Arial"/>
          <w:sz w:val="12"/>
          <w:szCs w:val="12"/>
          <w:b w:val="1"/>
          <w:bCs w:val="1"/>
          <w:color w:val="auto"/>
        </w:rPr>
        <w:t>headquarters located at 8000 South Federal Way, Boise, Idaho 83716-9632</w:t>
      </w:r>
      <w:r>
        <w:rPr>
          <w:rFonts w:ascii="Arial" w:cs="Arial" w:eastAsia="Arial" w:hAnsi="Arial"/>
          <w:sz w:val="12"/>
          <w:szCs w:val="12"/>
          <w:color w:val="auto"/>
        </w:rPr>
        <w:t>, and at any adjournment or adjournments thereof, and to vote (including cumulatively, if required) all shares of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which the undersigned would be entitled to vote if then and there personally present, on the matters set forth below:</w:t>
      </w:r>
    </w:p>
    <w:p>
      <w:pPr>
        <w:spacing w:after="0" w:line="172" w:lineRule="exact"/>
        <w:rPr>
          <w:sz w:val="20"/>
          <w:szCs w:val="20"/>
          <w:color w:val="auto"/>
        </w:rPr>
      </w:pPr>
    </w:p>
    <w:p>
      <w:pPr>
        <w:jc w:val="both"/>
        <w:ind w:right="60"/>
        <w:spacing w:after="0" w:line="234"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herein by the undersigned shareholder(s). </w:t>
      </w:r>
      <w:r>
        <w:rPr>
          <w:rFonts w:ascii="Arial" w:cs="Arial" w:eastAsia="Arial" w:hAnsi="Arial"/>
          <w:sz w:val="14"/>
          <w:szCs w:val="14"/>
          <w:b w:val="1"/>
          <w:bCs w:val="1"/>
          <w:color w:val="auto"/>
        </w:rPr>
        <w:t>If no direction is made, this proxy will be voted FOR Proposals 1,</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2 and 3. </w:t>
      </w:r>
      <w:r>
        <w:rPr>
          <w:rFonts w:ascii="Arial" w:cs="Arial" w:eastAsia="Arial" w:hAnsi="Arial"/>
          <w:sz w:val="14"/>
          <w:szCs w:val="14"/>
          <w:color w:val="auto"/>
        </w:rPr>
        <w:t>If any other matters properly come before the meeting, or if cumulative voting is required, the persons named in this proxy will vote, in their discretion, provided that they will not vote in the election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for persons for whom authority to vote has been withheld.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9"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There are three ways to vote your Proxy</w:t>
      </w:r>
    </w:p>
    <w:p>
      <w:pPr>
        <w:sectPr>
          <w:pgSz w:w="11900" w:h="16838" w:orient="portrait"/>
          <w:cols w:equalWidth="0" w:num="1">
            <w:col w:w="11300"/>
          </w:cols>
          <w:pgMar w:left="240" w:top="127" w:right="359" w:bottom="1440" w:gutter="0" w:footer="0" w:header="0"/>
        </w:sectPr>
      </w:pPr>
    </w:p>
    <w:p>
      <w:pPr>
        <w:spacing w:after="0" w:line="227"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Your telephone or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COMPANY #</w:t>
      </w:r>
    </w:p>
    <w:p>
      <w:pPr>
        <w:spacing w:after="0" w:line="373" w:lineRule="exact"/>
        <w:rPr>
          <w:sz w:val="20"/>
          <w:szCs w:val="20"/>
          <w:color w:val="auto"/>
        </w:rPr>
      </w:pPr>
    </w:p>
    <w:p>
      <w:pPr>
        <w:sectPr>
          <w:pgSz w:w="11900" w:h="16838" w:orient="portrait"/>
          <w:cols w:equalWidth="0" w:num="2">
            <w:col w:w="7300" w:space="480"/>
            <w:col w:w="3520"/>
          </w:cols>
          <w:pgMar w:left="240" w:top="127" w:right="3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VOTE BY PHONE — TOLL FREE — 1-800-560-1965 — QUICK *** EASY *** IMMEDIATE</w:t>
      </w:r>
    </w:p>
    <w:p>
      <w:pPr>
        <w:sectPr>
          <w:pgSz w:w="11900" w:h="16838" w:orient="portrait"/>
          <w:cols w:equalWidth="0" w:num="1">
            <w:col w:w="11300"/>
          </w:cols>
          <w:pgMar w:left="240" w:top="127" w:right="359" w:bottom="1440" w:gutter="0" w:footer="0" w:header="0"/>
          <w:type w:val="continuous"/>
        </w:sectPr>
      </w:pPr>
    </w:p>
    <w:p>
      <w:pPr>
        <w:spacing w:after="0" w:line="215"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Use any touch-tone telephone to vote your proxy 24 hours a day, 7 days a week, until 12:00 p.m. (CT) on December 3,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Please have your proxy card and the last four digits of your Social Security Number or Tax Payer Identification number available. Follow the simple instructions the voice provides you.</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http://www.eproxy.com/mu/ — QUICK *** EASY *** IMMEDIATE</w:t>
      </w:r>
    </w:p>
    <w:p>
      <w:pPr>
        <w:spacing w:after="0" w:line="192"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Use the Internet to vote your proxy 24 hours a day, 7 days a week, until 12:00 p.m. (CT) on December 3, 2007.</w:t>
      </w:r>
    </w:p>
    <w:p>
      <w:pPr>
        <w:spacing w:after="0" w:line="122"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Please have your proxy card and the last four digits of your Social Security Number or Tax Payer Identification number available. Follow the simple instructions to obtain your records and create an electronic ballot.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Mark, sign and date your proxy card and return it in the postage-paid envelope we've provided or return it to </w:t>
      </w:r>
      <w:r>
        <w:rPr>
          <w:rFonts w:ascii="Arial" w:cs="Arial" w:eastAsia="Arial" w:hAnsi="Arial"/>
          <w:sz w:val="12"/>
          <w:szCs w:val="12"/>
          <w:b w:val="1"/>
          <w:bCs w:val="1"/>
          <w:color w:val="auto"/>
        </w:rPr>
        <w:t>Micron Technology, Inc.</w:t>
      </w:r>
      <w:r>
        <w:rPr>
          <w:rFonts w:ascii="Arial" w:cs="Arial" w:eastAsia="Arial" w:hAnsi="Arial"/>
          <w:sz w:val="12"/>
          <w:szCs w:val="12"/>
          <w:color w:val="auto"/>
        </w:rPr>
        <w:t>, c/o Shareowner Services</w:t>
      </w:r>
      <w:r>
        <w:rPr>
          <w:rFonts w:ascii="Arial" w:cs="Arial" w:eastAsia="Arial" w:hAnsi="Arial"/>
          <w:sz w:val="19"/>
          <w:szCs w:val="19"/>
          <w:color w:val="auto"/>
          <w:vertAlign w:val="superscript"/>
        </w:rPr>
        <w:t>SM</w:t>
      </w:r>
      <w:r>
        <w:rPr>
          <w:rFonts w:ascii="Arial" w:cs="Arial" w:eastAsia="Arial" w:hAnsi="Arial"/>
          <w:sz w:val="12"/>
          <w:szCs w:val="12"/>
          <w:color w:val="auto"/>
        </w:rPr>
        <w:t>, P.O. Box 64873, St. Paul, MN 55164-0873.</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If you vote by Phone or Internet, please do not mail your Proxy Card</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The Board of Directors Recommends a Vote FOR Proposals 1, 2 and 3.</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color w:val="auto"/>
              </w:rPr>
              <w:t>1.   ELECTION OF</w:t>
            </w:r>
          </w:p>
        </w:tc>
        <w:tc>
          <w:tcPr>
            <w:tcW w:w="2140" w:type="dxa"/>
            <w:vAlign w:val="bottom"/>
            <w:gridSpan w:val="2"/>
          </w:tcPr>
          <w:p>
            <w:pPr>
              <w:ind w:left="360"/>
              <w:spacing w:after="0"/>
              <w:rPr>
                <w:sz w:val="20"/>
                <w:szCs w:val="20"/>
                <w:color w:val="auto"/>
              </w:rPr>
            </w:pPr>
            <w:r>
              <w:rPr>
                <w:rFonts w:ascii="Arial" w:cs="Arial" w:eastAsia="Arial" w:hAnsi="Arial"/>
                <w:sz w:val="14"/>
                <w:szCs w:val="14"/>
                <w:color w:val="auto"/>
              </w:rPr>
              <w:t>01 Steven R. Appleton</w:t>
            </w:r>
          </w:p>
        </w:tc>
        <w:tc>
          <w:tcPr>
            <w:tcW w:w="2320" w:type="dxa"/>
            <w:vAlign w:val="bottom"/>
            <w:gridSpan w:val="2"/>
          </w:tcPr>
          <w:p>
            <w:pPr>
              <w:ind w:left="560"/>
              <w:spacing w:after="0"/>
              <w:rPr>
                <w:sz w:val="20"/>
                <w:szCs w:val="20"/>
                <w:color w:val="auto"/>
              </w:rPr>
            </w:pPr>
            <w:r>
              <w:rPr>
                <w:rFonts w:ascii="Arial" w:cs="Arial" w:eastAsia="Arial" w:hAnsi="Arial"/>
                <w:sz w:val="14"/>
                <w:szCs w:val="14"/>
                <w:color w:val="auto"/>
              </w:rPr>
              <w:t>05 Mercedes Johnson</w:t>
            </w:r>
          </w:p>
        </w:tc>
        <w:tc>
          <w:tcPr>
            <w:tcW w:w="660" w:type="dxa"/>
            <w:vAlign w:val="bottom"/>
          </w:tcPr>
          <w:p>
            <w:pPr>
              <w:ind w:left="420"/>
              <w:spacing w:after="0"/>
              <w:rPr>
                <w:sz w:val="20"/>
                <w:szCs w:val="20"/>
                <w:color w:val="auto"/>
              </w:rPr>
            </w:pPr>
            <w:r>
              <w:rPr>
                <w:rFonts w:ascii="Arial" w:cs="Arial" w:eastAsia="Arial" w:hAnsi="Arial"/>
                <w:sz w:val="14"/>
                <w:szCs w:val="14"/>
                <w:color w:val="auto"/>
              </w:rPr>
              <w:t>o</w:t>
            </w:r>
          </w:p>
        </w:tc>
        <w:tc>
          <w:tcPr>
            <w:tcW w:w="1740" w:type="dxa"/>
            <w:vAlign w:val="bottom"/>
          </w:tcPr>
          <w:p>
            <w:pPr>
              <w:ind w:left="200"/>
              <w:spacing w:after="0"/>
              <w:rPr>
                <w:sz w:val="20"/>
                <w:szCs w:val="20"/>
                <w:color w:val="auto"/>
              </w:rPr>
            </w:pPr>
            <w:r>
              <w:rPr>
                <w:rFonts w:ascii="Arial" w:cs="Arial" w:eastAsia="Arial" w:hAnsi="Arial"/>
                <w:sz w:val="14"/>
                <w:szCs w:val="14"/>
                <w:color w:val="auto"/>
              </w:rPr>
              <w:t>FOR nominees</w:t>
            </w:r>
          </w:p>
        </w:tc>
        <w:tc>
          <w:tcPr>
            <w:tcW w:w="680" w:type="dxa"/>
            <w:vAlign w:val="bottom"/>
          </w:tcPr>
          <w:p>
            <w:pPr>
              <w:ind w:left="420"/>
              <w:spacing w:after="0"/>
              <w:rPr>
                <w:sz w:val="20"/>
                <w:szCs w:val="20"/>
                <w:color w:val="auto"/>
              </w:rPr>
            </w:pPr>
            <w:r>
              <w:rPr>
                <w:rFonts w:ascii="Arial" w:cs="Arial" w:eastAsia="Arial" w:hAnsi="Arial"/>
                <w:sz w:val="14"/>
                <w:szCs w:val="14"/>
                <w:color w:val="auto"/>
              </w:rPr>
              <w:t>o</w:t>
            </w:r>
          </w:p>
        </w:tc>
        <w:tc>
          <w:tcPr>
            <w:tcW w:w="1420" w:type="dxa"/>
            <w:vAlign w:val="bottom"/>
          </w:tcPr>
          <w:p>
            <w:pPr>
              <w:ind w:left="180"/>
              <w:spacing w:after="0"/>
              <w:rPr>
                <w:sz w:val="20"/>
                <w:szCs w:val="20"/>
                <w:color w:val="auto"/>
              </w:rPr>
            </w:pPr>
            <w:r>
              <w:rPr>
                <w:rFonts w:ascii="Arial" w:cs="Arial" w:eastAsia="Arial" w:hAnsi="Arial"/>
                <w:sz w:val="14"/>
                <w:szCs w:val="14"/>
                <w:color w:val="auto"/>
                <w:w w:val="92"/>
              </w:rPr>
              <w:t>WITHHOLD authority</w:t>
            </w:r>
          </w:p>
        </w:tc>
      </w:tr>
      <w:tr>
        <w:trPr>
          <w:trHeight w:val="149"/>
        </w:trPr>
        <w:tc>
          <w:tcPr>
            <w:tcW w:w="1560" w:type="dxa"/>
            <w:vAlign w:val="bottom"/>
          </w:tcPr>
          <w:p>
            <w:pPr>
              <w:ind w:left="320"/>
              <w:spacing w:after="0" w:line="149" w:lineRule="exact"/>
              <w:rPr>
                <w:sz w:val="20"/>
                <w:szCs w:val="20"/>
                <w:color w:val="auto"/>
              </w:rPr>
            </w:pPr>
            <w:r>
              <w:rPr>
                <w:rFonts w:ascii="Arial" w:cs="Arial" w:eastAsia="Arial" w:hAnsi="Arial"/>
                <w:sz w:val="14"/>
                <w:szCs w:val="14"/>
                <w:color w:val="auto"/>
              </w:rPr>
              <w:t>DIRECTORS:</w:t>
            </w:r>
          </w:p>
        </w:tc>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02</w:t>
            </w:r>
          </w:p>
        </w:tc>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Teruaki Aoki</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76"/>
              </w:rPr>
              <w:t>06</w:t>
            </w:r>
          </w:p>
        </w:tc>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Lawrence N. Mondry</w:t>
            </w:r>
          </w:p>
        </w:tc>
        <w:tc>
          <w:tcPr>
            <w:tcW w:w="66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listed</w:t>
            </w:r>
          </w:p>
        </w:tc>
        <w:tc>
          <w:tcPr>
            <w:tcW w:w="680" w:type="dxa"/>
            <w:vAlign w:val="bottom"/>
          </w:tcPr>
          <w:p>
            <w:pPr>
              <w:spacing w:after="0"/>
              <w:rPr>
                <w:sz w:val="12"/>
                <w:szCs w:val="12"/>
                <w:color w:val="auto"/>
              </w:rPr>
            </w:pPr>
          </w:p>
        </w:tc>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vote for all</w:t>
            </w:r>
          </w:p>
        </w:tc>
      </w:tr>
      <w:tr>
        <w:trPr>
          <w:trHeight w:val="149"/>
        </w:trPr>
        <w:tc>
          <w:tcPr>
            <w:tcW w:w="1560" w:type="dxa"/>
            <w:vAlign w:val="bottom"/>
          </w:tcPr>
          <w:p>
            <w:pPr>
              <w:spacing w:after="0"/>
              <w:rPr>
                <w:sz w:val="12"/>
                <w:szCs w:val="12"/>
                <w:color w:val="auto"/>
              </w:rPr>
            </w:pPr>
          </w:p>
        </w:tc>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03</w:t>
            </w:r>
          </w:p>
        </w:tc>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James W. Bagley</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76"/>
              </w:rPr>
              <w:t>07</w:t>
            </w:r>
          </w:p>
        </w:tc>
        <w:tc>
          <w:tcPr>
            <w:tcW w:w="1620" w:type="dxa"/>
            <w:vAlign w:val="bottom"/>
          </w:tcPr>
          <w:p>
            <w:pPr>
              <w:ind w:left="20"/>
              <w:spacing w:after="0" w:line="149" w:lineRule="exact"/>
              <w:rPr>
                <w:sz w:val="20"/>
                <w:szCs w:val="20"/>
                <w:color w:val="auto"/>
              </w:rPr>
            </w:pPr>
            <w:r>
              <w:rPr>
                <w:rFonts w:ascii="Arial" w:cs="Arial" w:eastAsia="Arial" w:hAnsi="Arial"/>
                <w:sz w:val="14"/>
                <w:szCs w:val="14"/>
                <w:color w:val="auto"/>
              </w:rPr>
              <w:t>Robert E. Switz</w:t>
            </w:r>
          </w:p>
        </w:tc>
        <w:tc>
          <w:tcPr>
            <w:tcW w:w="66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(except as indicated)</w:t>
            </w:r>
          </w:p>
        </w:tc>
        <w:tc>
          <w:tcPr>
            <w:tcW w:w="680" w:type="dxa"/>
            <w:vAlign w:val="bottom"/>
          </w:tcPr>
          <w:p>
            <w:pPr>
              <w:spacing w:after="0"/>
              <w:rPr>
                <w:sz w:val="12"/>
                <w:szCs w:val="12"/>
                <w:color w:val="auto"/>
              </w:rPr>
            </w:pPr>
          </w:p>
        </w:tc>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nominees listed</w:t>
            </w:r>
          </w:p>
        </w:tc>
      </w:tr>
      <w:tr>
        <w:trPr>
          <w:trHeight w:val="172"/>
        </w:trPr>
        <w:tc>
          <w:tcPr>
            <w:tcW w:w="156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Arial" w:cs="Arial" w:eastAsia="Arial" w:hAnsi="Arial"/>
                <w:sz w:val="14"/>
                <w:szCs w:val="14"/>
                <w:color w:val="auto"/>
                <w:w w:val="89"/>
              </w:rPr>
              <w:t>04</w:t>
            </w:r>
          </w:p>
        </w:tc>
        <w:tc>
          <w:tcPr>
            <w:tcW w:w="1620" w:type="dxa"/>
            <w:vAlign w:val="bottom"/>
          </w:tcPr>
          <w:p>
            <w:pPr>
              <w:ind w:left="20"/>
              <w:spacing w:after="0"/>
              <w:rPr>
                <w:sz w:val="20"/>
                <w:szCs w:val="20"/>
                <w:color w:val="auto"/>
              </w:rPr>
            </w:pPr>
            <w:r>
              <w:rPr>
                <w:rFonts w:ascii="Arial" w:cs="Arial" w:eastAsia="Arial" w:hAnsi="Arial"/>
                <w:sz w:val="14"/>
                <w:szCs w:val="14"/>
                <w:color w:val="auto"/>
              </w:rPr>
              <w:t>Robert L. Bailey</w:t>
            </w: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 To withhold authority to vote for any indicated nominee,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write the number(s) of the nominee(s) in the box provided to the right.)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60" w:type="dxa"/>
            <w:vAlign w:val="bottom"/>
          </w:tcPr>
          <w:p>
            <w:pPr>
              <w:ind w:left="18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Please fold here</w:t>
            </w:r>
            <w:r>
              <w:rPr>
                <w:rFonts w:ascii="Arial" w:cs="Arial" w:eastAsia="Arial" w:hAnsi="Arial"/>
                <w:sz w:val="14"/>
                <w:szCs w:val="14"/>
                <w:color w:val="auto"/>
              </w:rPr>
              <w:t xml:space="preserve"> —</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41"/>
        </w:trPr>
        <w:tc>
          <w:tcPr>
            <w:tcW w:w="34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w w:val="95"/>
              </w:rPr>
              <w:t>PROPOSAL BY THE COMPANY TO APPROVE THE COMPANY'S 2007 EQUITY INCENTIVE PLAN</w:t>
            </w:r>
          </w:p>
        </w:tc>
        <w:tc>
          <w:tcPr>
            <w:tcW w:w="420" w:type="dxa"/>
            <w:vAlign w:val="bottom"/>
          </w:tcPr>
          <w:p>
            <w:pPr>
              <w:ind w:left="160"/>
              <w:spacing w:after="0"/>
              <w:rPr>
                <w:sz w:val="20"/>
                <w:szCs w:val="20"/>
                <w:color w:val="auto"/>
              </w:rPr>
            </w:pPr>
            <w:r>
              <w:rPr>
                <w:rFonts w:ascii="Arial" w:cs="Arial" w:eastAsia="Arial" w:hAnsi="Arial"/>
                <w:sz w:val="14"/>
                <w:szCs w:val="14"/>
                <w:color w:val="auto"/>
              </w:rPr>
              <w:t>o</w:t>
            </w:r>
          </w:p>
        </w:tc>
        <w:tc>
          <w:tcPr>
            <w:tcW w:w="800" w:type="dxa"/>
            <w:vAlign w:val="bottom"/>
          </w:tcPr>
          <w:p>
            <w:pPr>
              <w:ind w:left="180"/>
              <w:spacing w:after="0"/>
              <w:rPr>
                <w:sz w:val="20"/>
                <w:szCs w:val="20"/>
                <w:color w:val="auto"/>
              </w:rPr>
            </w:pPr>
            <w:r>
              <w:rPr>
                <w:rFonts w:ascii="Arial" w:cs="Arial" w:eastAsia="Arial" w:hAnsi="Arial"/>
                <w:sz w:val="14"/>
                <w:szCs w:val="14"/>
                <w:color w:val="auto"/>
              </w:rPr>
              <w:t>For</w:t>
            </w:r>
          </w:p>
        </w:tc>
        <w:tc>
          <w:tcPr>
            <w:tcW w:w="540" w:type="dxa"/>
            <w:vAlign w:val="bottom"/>
          </w:tcPr>
          <w:p>
            <w:pPr>
              <w:ind w:left="420"/>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Against</w:t>
            </w:r>
          </w:p>
        </w:tc>
        <w:tc>
          <w:tcPr>
            <w:tcW w:w="780" w:type="dxa"/>
            <w:vAlign w:val="bottom"/>
          </w:tcPr>
          <w:p>
            <w:pPr>
              <w:ind w:left="500"/>
              <w:spacing w:after="0"/>
              <w:rPr>
                <w:sz w:val="20"/>
                <w:szCs w:val="20"/>
                <w:color w:val="auto"/>
              </w:rPr>
            </w:pPr>
            <w:r>
              <w:rPr>
                <w:rFonts w:ascii="Arial" w:cs="Arial" w:eastAsia="Arial" w:hAnsi="Arial"/>
                <w:sz w:val="14"/>
                <w:szCs w:val="14"/>
                <w:color w:val="auto"/>
              </w:rPr>
              <w:t>o</w:t>
            </w:r>
          </w:p>
        </w:tc>
        <w:tc>
          <w:tcPr>
            <w:tcW w:w="600" w:type="dxa"/>
            <w:vAlign w:val="bottom"/>
          </w:tcPr>
          <w:p>
            <w:pPr>
              <w:ind w:left="180"/>
              <w:spacing w:after="0"/>
              <w:rPr>
                <w:sz w:val="20"/>
                <w:szCs w:val="20"/>
                <w:color w:val="auto"/>
              </w:rPr>
            </w:pPr>
            <w:r>
              <w:rPr>
                <w:rFonts w:ascii="Arial" w:cs="Arial" w:eastAsia="Arial" w:hAnsi="Arial"/>
                <w:sz w:val="14"/>
                <w:szCs w:val="14"/>
                <w:color w:val="auto"/>
                <w:w w:val="85"/>
              </w:rPr>
              <w:t>Abstain</w:t>
            </w:r>
          </w:p>
        </w:tc>
      </w:tr>
      <w:tr>
        <w:trPr>
          <w:trHeight w:val="172"/>
        </w:trPr>
        <w:tc>
          <w:tcPr>
            <w:tcW w:w="34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WITH 30,000,000 SHARES RESERVED FOR ISSUANCE THEREUNDER</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3"/>
        </w:trPr>
        <w:tc>
          <w:tcPr>
            <w:tcW w:w="34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PROPOSAL BY THE COMPANY TO RATIFY THE APPOINTMENT OF</w:t>
            </w:r>
          </w:p>
        </w:tc>
        <w:tc>
          <w:tcPr>
            <w:tcW w:w="420" w:type="dxa"/>
            <w:vAlign w:val="bottom"/>
          </w:tcPr>
          <w:p>
            <w:pPr>
              <w:ind w:left="160"/>
              <w:spacing w:after="0"/>
              <w:rPr>
                <w:sz w:val="20"/>
                <w:szCs w:val="20"/>
                <w:color w:val="auto"/>
              </w:rPr>
            </w:pPr>
            <w:r>
              <w:rPr>
                <w:rFonts w:ascii="Arial" w:cs="Arial" w:eastAsia="Arial" w:hAnsi="Arial"/>
                <w:sz w:val="14"/>
                <w:szCs w:val="14"/>
                <w:color w:val="auto"/>
              </w:rPr>
              <w:t>o</w:t>
            </w:r>
          </w:p>
        </w:tc>
        <w:tc>
          <w:tcPr>
            <w:tcW w:w="800" w:type="dxa"/>
            <w:vAlign w:val="bottom"/>
          </w:tcPr>
          <w:p>
            <w:pPr>
              <w:ind w:left="180"/>
              <w:spacing w:after="0"/>
              <w:rPr>
                <w:sz w:val="20"/>
                <w:szCs w:val="20"/>
                <w:color w:val="auto"/>
              </w:rPr>
            </w:pPr>
            <w:r>
              <w:rPr>
                <w:rFonts w:ascii="Arial" w:cs="Arial" w:eastAsia="Arial" w:hAnsi="Arial"/>
                <w:sz w:val="14"/>
                <w:szCs w:val="14"/>
                <w:color w:val="auto"/>
              </w:rPr>
              <w:t>For</w:t>
            </w:r>
          </w:p>
        </w:tc>
        <w:tc>
          <w:tcPr>
            <w:tcW w:w="540" w:type="dxa"/>
            <w:vAlign w:val="bottom"/>
          </w:tcPr>
          <w:p>
            <w:pPr>
              <w:ind w:left="420"/>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3"/>
                <w:szCs w:val="23"/>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Against</w:t>
            </w:r>
          </w:p>
        </w:tc>
        <w:tc>
          <w:tcPr>
            <w:tcW w:w="780" w:type="dxa"/>
            <w:vAlign w:val="bottom"/>
          </w:tcPr>
          <w:p>
            <w:pPr>
              <w:ind w:left="500"/>
              <w:spacing w:after="0"/>
              <w:rPr>
                <w:sz w:val="20"/>
                <w:szCs w:val="20"/>
                <w:color w:val="auto"/>
              </w:rPr>
            </w:pPr>
            <w:r>
              <w:rPr>
                <w:rFonts w:ascii="Arial" w:cs="Arial" w:eastAsia="Arial" w:hAnsi="Arial"/>
                <w:sz w:val="14"/>
                <w:szCs w:val="14"/>
                <w:color w:val="auto"/>
              </w:rPr>
              <w:t>o</w:t>
            </w:r>
          </w:p>
        </w:tc>
        <w:tc>
          <w:tcPr>
            <w:tcW w:w="600" w:type="dxa"/>
            <w:vAlign w:val="bottom"/>
          </w:tcPr>
          <w:p>
            <w:pPr>
              <w:ind w:left="180"/>
              <w:spacing w:after="0"/>
              <w:rPr>
                <w:sz w:val="20"/>
                <w:szCs w:val="20"/>
                <w:color w:val="auto"/>
              </w:rPr>
            </w:pPr>
            <w:r>
              <w:rPr>
                <w:rFonts w:ascii="Arial" w:cs="Arial" w:eastAsia="Arial" w:hAnsi="Arial"/>
                <w:sz w:val="14"/>
                <w:szCs w:val="14"/>
                <w:color w:val="auto"/>
                <w:w w:val="85"/>
              </w:rPr>
              <w:t>Abstain</w:t>
            </w:r>
          </w:p>
        </w:tc>
      </w:tr>
      <w:tr>
        <w:trPr>
          <w:trHeight w:val="149"/>
        </w:trPr>
        <w:tc>
          <w:tcPr>
            <w:tcW w:w="340" w:type="dxa"/>
            <w:vAlign w:val="bottom"/>
          </w:tcPr>
          <w:p>
            <w:pPr>
              <w:spacing w:after="0"/>
              <w:rPr>
                <w:sz w:val="12"/>
                <w:szCs w:val="12"/>
                <w:color w:val="auto"/>
              </w:rPr>
            </w:pPr>
          </w:p>
        </w:tc>
        <w:tc>
          <w:tcPr>
            <w:tcW w:w="61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4"/>
              </w:rPr>
              <w:t>PRICEWATERHOUSECOOPERS LLP AS THE COMPANY'S INDEPENDENT REGISTERED PUBLIC</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2"/>
        </w:trPr>
        <w:tc>
          <w:tcPr>
            <w:tcW w:w="34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ACCOUNTING FIRM FOR THE FISCAL YEAR ENDING AUGUST 28, 2008</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8"/>
        </w:trPr>
        <w:tc>
          <w:tcPr>
            <w:tcW w:w="10280" w:type="dxa"/>
            <w:vAlign w:val="bottom"/>
            <w:gridSpan w:val="10"/>
          </w:tcPr>
          <w:p>
            <w:pPr>
              <w:spacing w:after="0"/>
              <w:rPr>
                <w:sz w:val="20"/>
                <w:szCs w:val="20"/>
                <w:color w:val="auto"/>
              </w:rPr>
            </w:pPr>
            <w:r>
              <w:rPr>
                <w:rFonts w:ascii="Arial" w:cs="Arial" w:eastAsia="Arial" w:hAnsi="Arial"/>
                <w:sz w:val="14"/>
                <w:szCs w:val="14"/>
                <w:b w:val="1"/>
                <w:bCs w:val="1"/>
                <w:color w:val="auto"/>
                <w:w w:val="98"/>
              </w:rPr>
              <w:t>THIS PROXY WHEN PROPERLY EXECUTED WILL BE VOTED AS DIRECTED OR, IF NO DIRECTION IS GIVEN, WILL BE VOTED FOR PROPOSALS 1, 2 AND 3.</w:t>
            </w:r>
          </w:p>
        </w:tc>
        <w:tc>
          <w:tcPr>
            <w:tcW w:w="600" w:type="dxa"/>
            <w:vAlign w:val="bottom"/>
          </w:tcPr>
          <w:p>
            <w:pPr>
              <w:spacing w:after="0"/>
              <w:rPr>
                <w:sz w:val="24"/>
                <w:szCs w:val="24"/>
                <w:color w:val="auto"/>
              </w:rPr>
            </w:pPr>
          </w:p>
        </w:tc>
      </w:tr>
      <w:tr>
        <w:trPr>
          <w:trHeight w:val="347"/>
        </w:trPr>
        <w:tc>
          <w:tcPr>
            <w:tcW w:w="2200" w:type="dxa"/>
            <w:vAlign w:val="bottom"/>
            <w:gridSpan w:val="2"/>
          </w:tcPr>
          <w:p>
            <w:pPr>
              <w:spacing w:after="0"/>
              <w:rPr>
                <w:sz w:val="20"/>
                <w:szCs w:val="20"/>
                <w:color w:val="auto"/>
              </w:rPr>
            </w:pPr>
            <w:r>
              <w:rPr>
                <w:rFonts w:ascii="Arial" w:cs="Arial" w:eastAsia="Arial" w:hAnsi="Arial"/>
                <w:sz w:val="14"/>
                <w:szCs w:val="14"/>
                <w:color w:val="auto"/>
              </w:rPr>
              <w:t>Address Change? Mark Box</w:t>
            </w:r>
          </w:p>
        </w:tc>
        <w:tc>
          <w:tcPr>
            <w:tcW w:w="1040" w:type="dxa"/>
            <w:vAlign w:val="bottom"/>
          </w:tcPr>
          <w:p>
            <w:pPr>
              <w:ind w:left="680"/>
              <w:spacing w:after="0"/>
              <w:rPr>
                <w:sz w:val="20"/>
                <w:szCs w:val="20"/>
                <w:color w:val="auto"/>
              </w:rPr>
            </w:pPr>
            <w:r>
              <w:rPr>
                <w:rFonts w:ascii="Arial" w:cs="Arial" w:eastAsia="Arial" w:hAnsi="Arial"/>
                <w:sz w:val="14"/>
                <w:szCs w:val="14"/>
                <w:color w:val="auto"/>
              </w:rPr>
              <w:t>o</w:t>
            </w:r>
          </w:p>
        </w:tc>
        <w:tc>
          <w:tcPr>
            <w:tcW w:w="3260" w:type="dxa"/>
            <w:vAlign w:val="bottom"/>
          </w:tcPr>
          <w:p>
            <w:pPr>
              <w:ind w:left="300"/>
              <w:spacing w:after="0"/>
              <w:rPr>
                <w:sz w:val="20"/>
                <w:szCs w:val="20"/>
                <w:color w:val="auto"/>
              </w:rPr>
            </w:pPr>
            <w:r>
              <w:rPr>
                <w:rFonts w:ascii="Arial" w:cs="Arial" w:eastAsia="Arial" w:hAnsi="Arial"/>
                <w:sz w:val="14"/>
                <w:szCs w:val="14"/>
                <w:color w:val="auto"/>
              </w:rPr>
              <w:t>Date:</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2200" w:type="dxa"/>
            <w:vAlign w:val="bottom"/>
            <w:gridSpan w:val="2"/>
          </w:tcPr>
          <w:p>
            <w:pPr>
              <w:spacing w:after="0"/>
              <w:rPr>
                <w:sz w:val="20"/>
                <w:szCs w:val="20"/>
                <w:color w:val="auto"/>
              </w:rPr>
            </w:pPr>
            <w:r>
              <w:rPr>
                <w:rFonts w:ascii="Arial" w:cs="Arial" w:eastAsia="Arial" w:hAnsi="Arial"/>
                <w:sz w:val="14"/>
                <w:szCs w:val="14"/>
                <w:color w:val="auto"/>
              </w:rPr>
              <w:t>Indicate changes below:</w:t>
            </w:r>
          </w:p>
        </w:tc>
        <w:tc>
          <w:tcPr>
            <w:tcW w:w="1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24"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Signature(s) in Box</w:t>
      </w:r>
    </w:p>
    <w:p>
      <w:pPr>
        <w:ind w:left="3540"/>
        <w:spacing w:after="0" w:line="227" w:lineRule="auto"/>
        <w:rPr>
          <w:sz w:val="20"/>
          <w:szCs w:val="20"/>
          <w:color w:val="auto"/>
        </w:rPr>
      </w:pPr>
      <w:r>
        <w:rPr>
          <w:rFonts w:ascii="Arial" w:cs="Arial" w:eastAsia="Arial" w:hAnsi="Arial"/>
          <w:sz w:val="14"/>
          <w:szCs w:val="14"/>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type w:val="continuous"/>
        </w:sectPr>
      </w:pPr>
    </w:p>
    <w:bookmarkStart w:id="68" w:name="page69"/>
    <w:bookmarkEnd w:id="68"/>
    <w:p>
      <w:pPr>
        <w:jc w:val="center"/>
        <w:ind w:right="-79"/>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137160</wp:posOffset>
            </wp:positionV>
            <wp:extent cx="694690"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46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2007 ANNUAL MEETING OF SHAREHOLDERS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DECEMBER 4, 2007</w:t>
      </w:r>
    </w:p>
    <w:p>
      <w:pPr>
        <w:spacing w:after="0" w:line="192" w:lineRule="exact"/>
        <w:rPr>
          <w:sz w:val="20"/>
          <w:szCs w:val="20"/>
          <w:color w:val="auto"/>
        </w:rPr>
      </w:pPr>
    </w:p>
    <w:p>
      <w:pPr>
        <w:ind w:firstLine="268"/>
        <w:spacing w:after="0" w:line="273"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2007 Annual Meeting of Shareholders and Proxy Statement, each dated November 5, 2007, and hereby appoints Steven R. Appleton and D. Mark Durcan., and each of them, proxies and attorneys-in-fact, with full power to each of substitution, on behalf and in the name of the undersigned, to represent the undersigned at the 2007 Annual Meeting of Shareholders of Micron Technology, Inc., to be held December 4, 2007, at 9:00 a.m., Mountain Standard Time, at the </w:t>
      </w:r>
      <w:r>
        <w:rPr>
          <w:rFonts w:ascii="Arial" w:cs="Arial" w:eastAsia="Arial" w:hAnsi="Arial"/>
          <w:sz w:val="12"/>
          <w:szCs w:val="12"/>
          <w:b w:val="1"/>
          <w:bCs w:val="1"/>
          <w:color w:val="auto"/>
        </w:rPr>
        <w:t>Company's</w:t>
      </w:r>
      <w:r>
        <w:rPr>
          <w:rFonts w:ascii="Arial" w:cs="Arial" w:eastAsia="Arial" w:hAnsi="Arial"/>
          <w:sz w:val="12"/>
          <w:szCs w:val="12"/>
          <w:color w:val="auto"/>
        </w:rPr>
        <w:t xml:space="preserve"> </w:t>
      </w:r>
      <w:r>
        <w:rPr>
          <w:rFonts w:ascii="Arial" w:cs="Arial" w:eastAsia="Arial" w:hAnsi="Arial"/>
          <w:sz w:val="12"/>
          <w:szCs w:val="12"/>
          <w:b w:val="1"/>
          <w:bCs w:val="1"/>
          <w:color w:val="auto"/>
        </w:rPr>
        <w:t>headquarters located at 8000 South Federal Way, Boise, Idaho 83716 9632</w:t>
      </w:r>
      <w:r>
        <w:rPr>
          <w:rFonts w:ascii="Arial" w:cs="Arial" w:eastAsia="Arial" w:hAnsi="Arial"/>
          <w:sz w:val="12"/>
          <w:szCs w:val="12"/>
          <w:color w:val="auto"/>
        </w:rPr>
        <w:t>, and at any adjournment or adjournments thereof, and to vote (including cumulatively, if required) all shares of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which the undersigned would be entitled to vote if then and there personally present, on the matters set forth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2400" w:type="dxa"/>
            <w:vAlign w:val="bottom"/>
          </w:tcPr>
          <w:p>
            <w:pPr>
              <w:ind w:left="140"/>
              <w:spacing w:after="0"/>
              <w:rPr>
                <w:sz w:val="20"/>
                <w:szCs w:val="20"/>
                <w:color w:val="auto"/>
              </w:rPr>
            </w:pPr>
            <w:r>
              <w:rPr>
                <w:rFonts w:ascii="Arial" w:cs="Arial" w:eastAsia="Arial" w:hAnsi="Arial"/>
                <w:sz w:val="14"/>
                <w:szCs w:val="14"/>
                <w:color w:val="auto"/>
              </w:rPr>
              <w:t>ELECTION OF DIRECTORS</w:t>
            </w:r>
          </w:p>
        </w:tc>
        <w:tc>
          <w:tcPr>
            <w:tcW w:w="3120" w:type="dxa"/>
            <w:vAlign w:val="bottom"/>
          </w:tcPr>
          <w:p>
            <w:pPr>
              <w:ind w:left="620"/>
              <w:spacing w:after="0"/>
              <w:rPr>
                <w:sz w:val="20"/>
                <w:szCs w:val="20"/>
                <w:color w:val="auto"/>
              </w:rPr>
            </w:pPr>
            <w:r>
              <w:rPr>
                <w:rFonts w:ascii="Arial" w:cs="Arial" w:eastAsia="Arial" w:hAnsi="Arial"/>
                <w:sz w:val="14"/>
                <w:szCs w:val="14"/>
                <w:color w:val="auto"/>
              </w:rPr>
              <w:t>FOR nominees listed below</w:t>
            </w:r>
          </w:p>
        </w:tc>
        <w:tc>
          <w:tcPr>
            <w:tcW w:w="3020" w:type="dxa"/>
            <w:vAlign w:val="bottom"/>
          </w:tcPr>
          <w:p>
            <w:pPr>
              <w:ind w:left="1000"/>
              <w:spacing w:after="0"/>
              <w:rPr>
                <w:sz w:val="20"/>
                <w:szCs w:val="20"/>
                <w:color w:val="auto"/>
              </w:rPr>
            </w:pPr>
            <w:r>
              <w:rPr>
                <w:rFonts w:ascii="Arial" w:cs="Arial" w:eastAsia="Arial" w:hAnsi="Arial"/>
                <w:sz w:val="14"/>
                <w:szCs w:val="14"/>
                <w:color w:val="auto"/>
                <w:w w:val="92"/>
              </w:rPr>
              <w:t>WITHHOLD authority to vote for all</w:t>
            </w:r>
          </w:p>
        </w:tc>
      </w:tr>
      <w:tr>
        <w:trPr>
          <w:trHeight w:val="172"/>
        </w:trPr>
        <w:tc>
          <w:tcPr>
            <w:tcW w:w="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120" w:type="dxa"/>
            <w:vAlign w:val="bottom"/>
          </w:tcPr>
          <w:p>
            <w:pPr>
              <w:ind w:left="620"/>
              <w:spacing w:after="0"/>
              <w:rPr>
                <w:sz w:val="20"/>
                <w:szCs w:val="20"/>
                <w:color w:val="auto"/>
              </w:rPr>
            </w:pPr>
            <w:r>
              <w:rPr>
                <w:rFonts w:ascii="Arial" w:cs="Arial" w:eastAsia="Arial" w:hAnsi="Arial"/>
                <w:sz w:val="14"/>
                <w:szCs w:val="14"/>
                <w:i w:val="1"/>
                <w:iCs w:val="1"/>
                <w:color w:val="auto"/>
              </w:rPr>
              <w:t xml:space="preserve">(except as indicated) </w:t>
            </w:r>
            <w:r>
              <w:rPr>
                <w:rFonts w:ascii="Arial" w:cs="Arial" w:eastAsia="Arial" w:hAnsi="Arial"/>
                <w:sz w:val="14"/>
                <w:szCs w:val="14"/>
                <w:color w:val="auto"/>
              </w:rPr>
              <w:t>o</w:t>
            </w:r>
          </w:p>
        </w:tc>
        <w:tc>
          <w:tcPr>
            <w:tcW w:w="3020" w:type="dxa"/>
            <w:vAlign w:val="bottom"/>
          </w:tcPr>
          <w:p>
            <w:pPr>
              <w:ind w:left="1000"/>
              <w:spacing w:after="0"/>
              <w:rPr>
                <w:sz w:val="20"/>
                <w:szCs w:val="20"/>
                <w:color w:val="auto"/>
              </w:rPr>
            </w:pPr>
            <w:r>
              <w:rPr>
                <w:rFonts w:ascii="Arial" w:cs="Arial" w:eastAsia="Arial" w:hAnsi="Arial"/>
                <w:sz w:val="14"/>
                <w:szCs w:val="14"/>
                <w:color w:val="auto"/>
              </w:rPr>
              <w:t>nominees listed below o</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wish to withhold authority to vote for any individual nominee, strike a line through that nominee's name in the list below:</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Steven R. Appleton; Teruaki Aoki; James W. Bagley; Robert L. Bailey; Mercedes Johnson; Lawrence N. Mondry; Robert E. Switz.</w:t>
      </w:r>
    </w:p>
    <w:p>
      <w:pPr>
        <w:spacing w:after="0" w:line="190" w:lineRule="exact"/>
        <w:rPr>
          <w:sz w:val="20"/>
          <w:szCs w:val="20"/>
          <w:color w:val="auto"/>
        </w:rPr>
      </w:pPr>
    </w:p>
    <w:p>
      <w:pPr>
        <w:ind w:left="540" w:hanging="532"/>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PROPOSAL BY THE COMPANY TO APPROVE THE COMPANY'S 2007 EQUITY INCENTIVE PLAN WITH 30,000,000 SHARES RESERVED FOR ISSUANCE THEREUNDER</w:t>
      </w:r>
    </w:p>
    <w:p>
      <w:pPr>
        <w:spacing w:after="0" w:line="200" w:lineRule="exact"/>
        <w:rPr>
          <w:sz w:val="20"/>
          <w:szCs w:val="20"/>
          <w:color w:val="auto"/>
        </w:rPr>
      </w:pPr>
    </w:p>
    <w:p>
      <w:pPr>
        <w:spacing w:after="0" w:line="270" w:lineRule="exact"/>
        <w:rPr>
          <w:sz w:val="20"/>
          <w:szCs w:val="20"/>
          <w:color w:val="auto"/>
        </w:rPr>
      </w:pPr>
    </w:p>
    <w:p>
      <w:pPr>
        <w:ind w:left="2640"/>
        <w:spacing w:after="0"/>
        <w:tabs>
          <w:tab w:leader="none" w:pos="2820" w:val="left"/>
          <w:tab w:leader="none" w:pos="4900" w:val="left"/>
          <w:tab w:leader="none" w:pos="5100" w:val="left"/>
          <w:tab w:leader="none" w:pos="7280" w:val="left"/>
          <w:tab w:leader="none" w:pos="7480" w:val="left"/>
        </w:tabs>
        <w:rPr>
          <w:sz w:val="20"/>
          <w:szCs w:val="20"/>
          <w:color w:val="auto"/>
        </w:rPr>
      </w:pPr>
      <w:r>
        <w:rPr>
          <w:rFonts w:ascii="Arial" w:cs="Arial" w:eastAsia="Arial" w:hAnsi="Arial"/>
          <w:sz w:val="14"/>
          <w:szCs w:val="14"/>
          <w:color w:val="auto"/>
        </w:rPr>
        <w:t>o</w:t>
        <w:tab/>
        <w:t>FOR</w:t>
      </w:r>
      <w:r>
        <w:rPr>
          <w:sz w:val="20"/>
          <w:szCs w:val="20"/>
          <w:color w:val="auto"/>
        </w:rPr>
        <w:tab/>
      </w:r>
      <w:r>
        <w:rPr>
          <w:rFonts w:ascii="Arial" w:cs="Arial" w:eastAsia="Arial" w:hAnsi="Arial"/>
          <w:sz w:val="14"/>
          <w:szCs w:val="14"/>
          <w:color w:val="auto"/>
        </w:rPr>
        <w:t>o</w:t>
        <w:tab/>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14"/>
          <w:szCs w:val="14"/>
          <w:b w:val="1"/>
          <w:bCs w:val="1"/>
          <w:color w:val="auto"/>
        </w:rPr>
        <w:t>(continued from other side)</w:t>
      </w:r>
    </w:p>
    <w:p>
      <w:pPr>
        <w:spacing w:after="0" w:line="192" w:lineRule="exact"/>
        <w:rPr>
          <w:sz w:val="20"/>
          <w:szCs w:val="20"/>
          <w:color w:val="auto"/>
        </w:rPr>
      </w:pPr>
    </w:p>
    <w:p>
      <w:pPr>
        <w:ind w:left="540" w:right="820" w:hanging="532"/>
        <w:spacing w:after="0" w:line="239"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PROPOSAL BY THE COMPANY TO RATIFY THE APPOINTMENT OF PRICEWATERHOUSECOOPERS LLP AS THE COMPANY'S INDEPENDENT REGISTERED PUBLIC ACCOUNTING FIRM FOR THE FISCAL YEAR ENDING AUGUST 28, 2008</w:t>
      </w:r>
    </w:p>
    <w:p>
      <w:pPr>
        <w:spacing w:after="0" w:line="200" w:lineRule="exact"/>
        <w:rPr>
          <w:sz w:val="20"/>
          <w:szCs w:val="20"/>
          <w:color w:val="auto"/>
        </w:rPr>
      </w:pPr>
    </w:p>
    <w:p>
      <w:pPr>
        <w:spacing w:after="0" w:line="236" w:lineRule="exact"/>
        <w:rPr>
          <w:sz w:val="20"/>
          <w:szCs w:val="20"/>
          <w:color w:val="auto"/>
        </w:rPr>
      </w:pPr>
    </w:p>
    <w:p>
      <w:pPr>
        <w:ind w:left="2640"/>
        <w:spacing w:after="0"/>
        <w:tabs>
          <w:tab w:leader="none" w:pos="2820" w:val="left"/>
          <w:tab w:leader="none" w:pos="4900" w:val="left"/>
          <w:tab w:leader="none" w:pos="5100" w:val="left"/>
          <w:tab w:leader="none" w:pos="7280" w:val="left"/>
          <w:tab w:leader="none" w:pos="7480" w:val="left"/>
        </w:tabs>
        <w:rPr>
          <w:sz w:val="20"/>
          <w:szCs w:val="20"/>
          <w:color w:val="auto"/>
        </w:rPr>
      </w:pPr>
      <w:r>
        <w:rPr>
          <w:rFonts w:ascii="Arial" w:cs="Arial" w:eastAsia="Arial" w:hAnsi="Arial"/>
          <w:sz w:val="14"/>
          <w:szCs w:val="14"/>
          <w:color w:val="auto"/>
        </w:rPr>
        <w:t>o</w:t>
        <w:tab/>
        <w:t>FOR</w:t>
      </w:r>
      <w:r>
        <w:rPr>
          <w:sz w:val="20"/>
          <w:szCs w:val="20"/>
          <w:color w:val="auto"/>
        </w:rPr>
        <w:tab/>
      </w:r>
      <w:r>
        <w:rPr>
          <w:rFonts w:ascii="Arial" w:cs="Arial" w:eastAsia="Arial" w:hAnsi="Arial"/>
          <w:sz w:val="14"/>
          <w:szCs w:val="14"/>
          <w:color w:val="auto"/>
        </w:rPr>
        <w:t>o</w:t>
        <w:tab/>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and in their discretion, upon such other matter or matters which may properly come before the meeting or any adjournment or adjournments thereof.</w:t>
      </w:r>
    </w:p>
    <w:p>
      <w:pPr>
        <w:spacing w:after="0" w:line="202" w:lineRule="exact"/>
        <w:rPr>
          <w:sz w:val="20"/>
          <w:szCs w:val="20"/>
          <w:color w:val="auto"/>
        </w:rPr>
      </w:pPr>
    </w:p>
    <w:p>
      <w:pPr>
        <w:ind w:firstLine="268"/>
        <w:spacing w:after="0" w:line="234"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herein by the undersigned shareholder(s). </w:t>
      </w:r>
      <w:r>
        <w:rPr>
          <w:rFonts w:ascii="Arial" w:cs="Arial" w:eastAsia="Arial" w:hAnsi="Arial"/>
          <w:sz w:val="14"/>
          <w:szCs w:val="14"/>
          <w:b w:val="1"/>
          <w:bCs w:val="1"/>
          <w:color w:val="auto"/>
        </w:rPr>
        <w:t>If no direction is made, this proxy will be voted FOR</w:t>
      </w:r>
      <w:r>
        <w:rPr>
          <w:rFonts w:ascii="Arial" w:cs="Arial" w:eastAsia="Arial" w:hAnsi="Arial"/>
          <w:sz w:val="14"/>
          <w:szCs w:val="14"/>
          <w:color w:val="auto"/>
        </w:rPr>
        <w:t xml:space="preserve"> </w:t>
      </w:r>
      <w:r>
        <w:rPr>
          <w:rFonts w:ascii="Arial" w:cs="Arial" w:eastAsia="Arial" w:hAnsi="Arial"/>
          <w:sz w:val="14"/>
          <w:szCs w:val="14"/>
          <w:b w:val="1"/>
          <w:bCs w:val="1"/>
          <w:color w:val="auto"/>
        </w:rPr>
        <w:t>Proposals 1, 2, and 3</w:t>
      </w:r>
      <w:r>
        <w:rPr>
          <w:rFonts w:ascii="Arial" w:cs="Arial" w:eastAsia="Arial" w:hAnsi="Arial"/>
          <w:sz w:val="14"/>
          <w:szCs w:val="14"/>
          <w:color w:val="auto"/>
        </w:rPr>
        <w:t>. If any other matters properly come before the meeting, or if cumulative voting is required, the persons named in this proxy will vote, in their discretion, provided that they will not vote in</w:t>
      </w:r>
      <w:r>
        <w:rPr>
          <w:rFonts w:ascii="Arial" w:cs="Arial" w:eastAsia="Arial" w:hAnsi="Arial"/>
          <w:sz w:val="14"/>
          <w:szCs w:val="14"/>
          <w:b w:val="1"/>
          <w:bCs w:val="1"/>
          <w:color w:val="auto"/>
        </w:rPr>
        <w:t xml:space="preserve"> </w:t>
      </w:r>
      <w:r>
        <w:rPr>
          <w:rFonts w:ascii="Arial" w:cs="Arial" w:eastAsia="Arial" w:hAnsi="Arial"/>
          <w:sz w:val="14"/>
          <w:szCs w:val="14"/>
          <w:color w:val="auto"/>
        </w:rPr>
        <w:t>the election of directors for persons for whom authority to vote has been withheld.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65405</wp:posOffset>
            </wp:positionV>
            <wp:extent cx="177927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79270" cy="215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374015</wp:posOffset>
            </wp:positionV>
            <wp:extent cx="243078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219710</wp:posOffset>
            </wp:positionV>
            <wp:extent cx="243078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left="3460"/>
        <w:spacing w:after="0"/>
        <w:rPr>
          <w:sz w:val="20"/>
          <w:szCs w:val="20"/>
          <w:color w:val="auto"/>
        </w:rPr>
      </w:pPr>
      <w:r>
        <w:rPr>
          <w:rFonts w:ascii="Arial" w:cs="Arial" w:eastAsia="Arial" w:hAnsi="Arial"/>
          <w:sz w:val="14"/>
          <w:szCs w:val="14"/>
          <w:color w:val="auto"/>
        </w:rPr>
        <w:t>Signature</w:t>
      </w:r>
    </w:p>
    <w:p>
      <w:pPr>
        <w:ind w:left="5540"/>
        <w:spacing w:after="0" w:line="221" w:lineRule="auto"/>
        <w:rPr>
          <w:sz w:val="20"/>
          <w:szCs w:val="20"/>
          <w:color w:val="auto"/>
        </w:rPr>
      </w:pPr>
      <w:r>
        <w:rPr>
          <w:rFonts w:ascii="Arial" w:cs="Arial" w:eastAsia="Arial" w:hAnsi="Arial"/>
          <w:sz w:val="14"/>
          <w:szCs w:val="14"/>
          <w:color w:val="auto"/>
        </w:rPr>
        <w:t>(This proxy should be voted, signed, and dated by the shareholder(s)</w:t>
      </w:r>
    </w:p>
    <w:p>
      <w:pPr>
        <w:ind w:left="5540"/>
        <w:spacing w:after="0" w:line="221" w:lineRule="auto"/>
        <w:rPr>
          <w:sz w:val="20"/>
          <w:szCs w:val="20"/>
          <w:color w:val="auto"/>
        </w:rPr>
      </w:pPr>
      <w:r>
        <w:rPr>
          <w:rFonts w:ascii="Arial" w:cs="Arial" w:eastAsia="Arial" w:hAnsi="Arial"/>
          <w:sz w:val="14"/>
          <w:szCs w:val="14"/>
          <w:color w:val="auto"/>
        </w:rPr>
        <w:t>exactly as his or her name appears hereon, and returned promptly in</w:t>
      </w:r>
    </w:p>
    <w:p>
      <w:pPr>
        <w:ind w:left="5540"/>
        <w:spacing w:after="0" w:line="222" w:lineRule="auto"/>
        <w:rPr>
          <w:sz w:val="20"/>
          <w:szCs w:val="20"/>
          <w:color w:val="auto"/>
        </w:rPr>
      </w:pPr>
      <w:r>
        <w:rPr>
          <w:rFonts w:ascii="Arial" w:cs="Arial" w:eastAsia="Arial" w:hAnsi="Arial"/>
          <w:sz w:val="14"/>
          <w:szCs w:val="14"/>
          <w:color w:val="auto"/>
        </w:rPr>
        <w:t>the enclosed envelope. Persons signing in a fiduciary capacity should</w:t>
      </w:r>
    </w:p>
    <w:p>
      <w:pPr>
        <w:ind w:left="5540"/>
        <w:spacing w:after="0" w:line="221" w:lineRule="auto"/>
        <w:rPr>
          <w:sz w:val="20"/>
          <w:szCs w:val="20"/>
          <w:color w:val="auto"/>
        </w:rPr>
      </w:pPr>
      <w:r>
        <w:rPr>
          <w:rFonts w:ascii="Arial" w:cs="Arial" w:eastAsia="Arial" w:hAnsi="Arial"/>
          <w:sz w:val="14"/>
          <w:szCs w:val="14"/>
          <w:color w:val="auto"/>
        </w:rPr>
        <w:t>so indicate. If shares are held by joint tenants or as community</w:t>
      </w:r>
    </w:p>
    <w:p>
      <w:pPr>
        <w:ind w:left="5540"/>
        <w:spacing w:after="0"/>
        <w:rPr>
          <w:sz w:val="20"/>
          <w:szCs w:val="20"/>
          <w:color w:val="auto"/>
        </w:rPr>
      </w:pPr>
      <w:r>
        <w:rPr>
          <w:rFonts w:ascii="Arial" w:cs="Arial" w:eastAsia="Arial" w:hAnsi="Arial"/>
          <w:sz w:val="14"/>
          <w:szCs w:val="14"/>
          <w:color w:val="auto"/>
        </w:rPr>
        <w:t>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Notice of 2007 Annual Meeting of Shareholders December 4, 2007</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CONCERNING SOLICITATION AND VOTING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2—APPROVAL OF 2007 EQUITY INCENTIVE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3—RATIFICATION OF PRICEWATERHOUSECOOPERS LLP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PRINCIPAL SHAREHOLDERS</w:t>
        </w:r>
      </w:hyperlink>
    </w:p>
    <w:p>
      <w:pPr>
        <w:spacing w:after="0" w:line="9" w:lineRule="exact"/>
        <w:rPr>
          <w:sz w:val="20"/>
          <w:szCs w:val="20"/>
          <w:color w:val="auto"/>
        </w:rPr>
      </w:pPr>
    </w:p>
    <w:p>
      <w:pPr>
        <w:ind w:right="1519"/>
        <w:spacing w:after="0" w:line="250"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COMPENSATION AND RELATED INFORMATION COMPENSATION DISCUSSION AND ANALYSIS</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COMPENSATION COMMITTEE REPORT ON EXECUTIVE COMPENSATION</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FISCAL 2007 SUMMARY COMPENSATION TABLE</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GRANTS OF PLAN-BASED AWARDS IN FISCAL 2007</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OUTSTANDING EQUITY AWARDS AT 2007 FISCAL YEAR-END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OPTION EXERCISES AND STOCK VESTED</w:t>
        </w:r>
      </w:hyperlink>
    </w:p>
    <w:p>
      <w:pPr>
        <w:spacing w:after="0" w:line="9" w:lineRule="exact"/>
        <w:rPr>
          <w:rFonts w:ascii="Arial" w:cs="Arial" w:eastAsia="Arial" w:hAnsi="Arial"/>
          <w:sz w:val="18"/>
          <w:szCs w:val="18"/>
          <w:u w:val="single" w:color="auto"/>
          <w:color w:val="0000EE"/>
        </w:rPr>
      </w:pPr>
    </w:p>
    <w:p>
      <w:pPr>
        <w:ind w:right="4359"/>
        <w:spacing w:after="0" w:line="250"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POTENTIAL PAYMENTS UPON TERMINATION OR CHANGE IN CONTROL</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EQUITY COMPENSATION PLAN INFORMATION</w:t>
        </w:r>
      </w:hyperlink>
    </w:p>
    <w:p>
      <w:pPr>
        <w:spacing w:after="0" w:line="1" w:lineRule="exact"/>
        <w:rPr>
          <w:sz w:val="20"/>
          <w:szCs w:val="20"/>
          <w:color w:val="auto"/>
        </w:rPr>
      </w:pPr>
    </w:p>
    <w:p>
      <w:pPr>
        <w:ind w:right="4659"/>
        <w:spacing w:after="0" w:line="281" w:lineRule="auto"/>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CERTAIN RELATIONSHIPS AND RELATED TRANSACTIONS</w:t>
        </w:r>
      </w:hyperlink>
      <w:r>
        <w:rPr>
          <w:rFonts w:ascii="Arial" w:cs="Arial" w:eastAsia="Arial" w:hAnsi="Arial"/>
          <w:sz w:val="16"/>
          <w:szCs w:val="16"/>
          <w:u w:val="single" w:color="auto"/>
          <w:color w:val="0000EE"/>
        </w:rPr>
        <w:t xml:space="preserve"> </w:t>
      </w:r>
      <w:hyperlink w:anchor="page44">
        <w:r>
          <w:rPr>
            <w:rFonts w:ascii="Arial" w:cs="Arial" w:eastAsia="Arial" w:hAnsi="Arial"/>
            <w:sz w:val="16"/>
            <w:szCs w:val="16"/>
            <w:u w:val="single" w:color="auto"/>
            <w:color w:val="0000EE"/>
          </w:rPr>
          <w:t>SECTION 16(A) BENEFICIAL OWNERSHIP REPORTING COMPLIANCE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DEADLINE FOR RECEIPT OF SHAREHOLDER PROPOSALS FOR 2008 ANNUAL MEETING</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APPENDIX 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MICRON TECHNOLOGY, INC. 2007 EQUITY INCENTIVE PLAN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ARTICLE 1 PURPOSE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ARTICLE 2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ARTICLE 3 EFFECTIVE TERM OF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ARTICLE 4 ADMINISTRATION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ARTICLE 5 SHARES SUBJECT TO THE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ARTICLE 6 ELIGIBILITY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ARTICLE 7 STOCK OPTIONS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ARTICLE 8 STOCK APPRECIATION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ARTICLE 9 PERFORMANCE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ARTICLE 10 RESTRICTED STOCK AND RESTRICTED STOCK UNIT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11 DEFERRED STOCK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12 DIVIDEND EQUIVALENTS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13 STOCK OR OTHER STOCK-BASED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ARTICLE 14 PROVISIONS APPLICABLE TO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ARTICLE 15 CHANGES IN CAPITAL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ARTICLE 16 AMENDMENT, MODIFICATION AND TERMINATION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ARTICLE 17 GENERAL PROVISIONS</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o"/>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o"/>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o"/>
      <w:numFmt w:val="bullet"/>
      <w:start w:val="1"/>
    </w:lvl>
    <w:lvl w:ilvl="1">
      <w:lvlJc w:val="left"/>
      <w:lvlText w:val="(%2)"/>
      <w:numFmt w:val="decimal"/>
      <w:start w:val="1"/>
    </w:lvl>
  </w:abstractNum>
  <w:abstractNum w:abstractNumId="5">
    <w:nsid w:val="77465F01"/>
    <w:multiLevelType w:val="hybridMultilevel"/>
    <w:lvl w:ilvl="0">
      <w:lvlJc w:val="left"/>
      <w:lvlText w:val="(%1)"/>
      <w:numFmt w:val="decimal"/>
      <w:start w:val="4"/>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lowerRoman"/>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lvl w:ilvl="1">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lowerRoman"/>
      <w:start w:val="2"/>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3"/>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lvl w:ilvl="1">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4"/>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5"/>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lowerLetter"/>
      <w:start w:val="1"/>
    </w:lvl>
    <w:lvl w:ilvl="1">
      <w:lvlJc w:val="left"/>
      <w:lvlText w:val="(%2)"/>
      <w:numFmt w:val="lowerLetter"/>
      <w:start w:val="9"/>
    </w:lvl>
  </w:abstractNum>
  <w:abstractNum w:abstractNumId="41">
    <w:nsid w:val="23F9C13C"/>
    <w:multiLevelType w:val="hybridMultilevel"/>
    <w:lvl w:ilvl="0">
      <w:lvlJc w:val="left"/>
      <w:lvlText w:val="%1"/>
      <w:numFmt w:val="lowerLetter"/>
      <w:start w:val="1"/>
    </w:lvl>
    <w:lvl w:ilvl="1">
      <w:lvlJc w:val="left"/>
      <w:lvlText w:val="(%2)"/>
      <w:numFmt w:val="lowerRoman"/>
      <w:start w:val="2"/>
    </w:lvl>
  </w:abstractNum>
  <w:abstractNum w:abstractNumId="42">
    <w:nsid w:val="649BB77C"/>
    <w:multiLevelType w:val="hybridMultilevel"/>
    <w:lvl w:ilvl="0">
      <w:lvlJc w:val="left"/>
      <w:lvlText w:val="(%1)"/>
      <w:numFmt w:val="lowerLetter"/>
      <w:start w:val="6"/>
    </w:lvl>
    <w:lvl w:ilvl="1">
      <w:lvlJc w:val="left"/>
      <w:lvlText w:val="%2"/>
      <w:numFmt w:val="lowerRoman"/>
      <w:start w:val="1"/>
    </w:lvl>
  </w:abstractNum>
  <w:abstractNum w:abstractNumId="43">
    <w:nsid w:val="275AC794"/>
    <w:multiLevelType w:val="hybridMultilevel"/>
    <w:lvl w:ilvl="0">
      <w:lvlJc w:val="left"/>
      <w:lvlText w:val="(%1)"/>
      <w:numFmt w:val="lowerLetter"/>
      <w:start w:val="7"/>
    </w:lvl>
  </w:abstractNum>
  <w:abstractNum w:abstractNumId="44">
    <w:nsid w:val="39386575"/>
    <w:multiLevelType w:val="hybridMultilevel"/>
    <w:lvl w:ilvl="0">
      <w:lvlJc w:val="left"/>
      <w:lvlText w:val="(%1)"/>
      <w:numFmt w:val="lowerLetter"/>
      <w:start w:val="18"/>
    </w:lvl>
  </w:abstractNum>
  <w:abstractNum w:abstractNumId="45">
    <w:nsid w:val="1CF10FD8"/>
    <w:multiLevelType w:val="hybridMultilevel"/>
    <w:lvl w:ilvl="0">
      <w:lvlJc w:val="left"/>
      <w:lvlText w:val="(%1)"/>
      <w:numFmt w:val="lowerLetter"/>
      <w:start w:val="27"/>
    </w:lvl>
  </w:abstractNum>
  <w:abstractNum w:abstractNumId="46">
    <w:nsid w:val="180115BE"/>
    <w:multiLevelType w:val="hybridMultilevel"/>
    <w:lvl w:ilvl="0">
      <w:lvlJc w:val="left"/>
      <w:lvlText w:val="(%1)"/>
      <w:numFmt w:val="lowerLetter"/>
      <w:start w:val="32"/>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13"/>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4"/>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7"/>
    </w:lvl>
  </w:abstractNum>
  <w:abstractNum w:abstractNumId="54">
    <w:nsid w:val="3F6AB60F"/>
    <w:multiLevelType w:val="hybridMultilevel"/>
    <w:lvl w:ilvl="0">
      <w:lvlJc w:val="left"/>
      <w:lvlText w:val="(%1)"/>
      <w:numFmt w:val="lowerLetter"/>
      <w:start w:val="1"/>
    </w:lvl>
    <w:lvl w:ilvl="1">
      <w:lvlJc w:val="left"/>
      <w:lvlText w:val="(%2)"/>
      <w:numFmt w:val="decimal"/>
      <w:start w:val="1"/>
    </w:lvl>
  </w:abstractNum>
  <w:abstractNum w:abstractNumId="55">
    <w:nsid w:val="61574095"/>
    <w:multiLevelType w:val="hybridMultilevel"/>
    <w:lvl w:ilvl="0">
      <w:lvlJc w:val="left"/>
      <w:lvlText w:val="(%1)"/>
      <w:numFmt w:val="lowerLetter"/>
      <w:start w:val="1"/>
    </w:lvl>
    <w:lvl w:ilvl="1">
      <w:lvlJc w:val="left"/>
      <w:lvlText w:val="•"/>
      <w:numFmt w:val="bullet"/>
      <w:start w:val="1"/>
    </w:lvl>
  </w:abstractNum>
  <w:abstractNum w:abstractNumId="56">
    <w:nsid w:val="7E0C57B1"/>
    <w:multiLevelType w:val="hybridMultilevel"/>
    <w:lvl w:ilvl="0">
      <w:lvlJc w:val="left"/>
      <w:lvlText w:val="%1"/>
      <w:numFmt w:val="lowerLetter"/>
      <w:start w:val="1"/>
    </w:lvl>
    <w:lvl w:ilvl="1">
      <w:lvlJc w:val="left"/>
      <w:lvlText w:val="(%2)"/>
      <w:numFmt w:val="lowerLetter"/>
      <w:start w:val="3"/>
    </w:lvl>
  </w:abstractNum>
  <w:abstractNum w:abstractNumId="57">
    <w:nsid w:val="77AE35EB"/>
    <w:multiLevelType w:val="hybridMultilevel"/>
    <w:lvl w:ilvl="0">
      <w:lvlJc w:val="left"/>
      <w:lvlText w:val="(%1)"/>
      <w:numFmt w:val="lowerLetter"/>
      <w:start w:val="1"/>
    </w:lvl>
    <w:lvl w:ilvl="1">
      <w:lvlJc w:val="left"/>
      <w:lvlText w:val="(%2)"/>
      <w:numFmt w:val="lowerLetter"/>
      <w:start w:val="5"/>
    </w:lvl>
  </w:abstractNum>
  <w:abstractNum w:abstractNumId="58">
    <w:nsid w:val="579BE4F1"/>
    <w:multiLevelType w:val="hybridMultilevel"/>
    <w:lvl w:ilvl="0">
      <w:lvlJc w:val="left"/>
      <w:lvlText w:val="(%1)"/>
      <w:numFmt w:val="lowerLetter"/>
      <w:start w:val="6"/>
    </w:lvl>
  </w:abstractNum>
  <w:abstractNum w:abstractNumId="59">
    <w:nsid w:val="310C50B3"/>
    <w:multiLevelType w:val="hybridMultilevel"/>
    <w:lvl w:ilvl="0">
      <w:lvlJc w:val="left"/>
      <w:lvlText w:val="(%1)"/>
      <w:numFmt w:val="lowerRoman"/>
      <w:start w:val="2"/>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2"/>
    </w:lvl>
    <w:lvl w:ilvl="1">
      <w:lvlJc w:val="left"/>
      <w:lvlText w:val="(%2)"/>
      <w:numFmt w:val="lowerRoman"/>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2"/>
    </w:lvl>
  </w:abstractNum>
  <w:abstractNum w:abstractNumId="67">
    <w:nsid w:val="5DB70AE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2019-12-13T13:08:23Z</dcterms:created>
  <dcterms:modified xsi:type="dcterms:W3CDTF">2019-12-13T13:08:23Z</dcterms:modified>
</cp:coreProperties>
</file>