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Arial" w:cs="Arial" w:eastAsia="Arial" w:hAnsi="Arial"/>
          <w:sz w:val="12"/>
          <w:szCs w:val="12"/>
          <w:color w:val="003366"/>
        </w:rPr>
        <w:t>TABLE OF CONTENTS</w:t>
      </w:r>
    </w:p>
    <w:p>
      <w:pPr>
        <w:spacing w:after="0" w:line="200" w:lineRule="exact"/>
        <w:rPr>
          <w:sz w:val="24"/>
          <w:szCs w:val="24"/>
          <w:color w:val="auto"/>
        </w:rPr>
      </w:pPr>
    </w:p>
    <w:p>
      <w:pPr>
        <w:spacing w:after="0" w:line="218" w:lineRule="exact"/>
        <w:rPr>
          <w:sz w:val="24"/>
          <w:szCs w:val="24"/>
          <w:color w:val="auto"/>
        </w:rPr>
      </w:pPr>
    </w:p>
    <w:p>
      <w:pPr>
        <w:ind w:left="2100"/>
        <w:spacing w:after="0"/>
        <w:rPr>
          <w:sz w:val="20"/>
          <w:szCs w:val="20"/>
          <w:color w:val="auto"/>
        </w:rPr>
      </w:pPr>
      <w:r>
        <w:rPr>
          <w:rFonts w:ascii="Arial" w:cs="Arial" w:eastAsia="Arial" w:hAnsi="Arial"/>
          <w:sz w:val="13"/>
          <w:szCs w:val="13"/>
          <w:b w:val="1"/>
          <w:bCs w:val="1"/>
          <w:color w:val="auto"/>
        </w:rPr>
        <w:t>As filed with the Securities and Exchange Commission on November 2, 2023</w:t>
      </w:r>
    </w:p>
    <w:p>
      <w:pPr>
        <w:spacing w:after="0" w:line="38" w:lineRule="exact"/>
        <w:rPr>
          <w:sz w:val="24"/>
          <w:szCs w:val="24"/>
          <w:color w:val="auto"/>
        </w:rPr>
      </w:pPr>
    </w:p>
    <w:p>
      <w:pPr>
        <w:jc w:val="right"/>
        <w:ind w:right="499"/>
        <w:spacing w:after="0"/>
        <w:rPr>
          <w:sz w:val="20"/>
          <w:szCs w:val="20"/>
          <w:color w:val="auto"/>
        </w:rPr>
      </w:pPr>
      <w:r>
        <w:rPr>
          <w:rFonts w:ascii="Arial" w:cs="Arial" w:eastAsia="Arial" w:hAnsi="Arial"/>
          <w:sz w:val="13"/>
          <w:szCs w:val="13"/>
          <w:b w:val="1"/>
          <w:bCs w:val="1"/>
          <w:color w:val="auto"/>
        </w:rPr>
        <w:t>Registration No. 333-      ​</w:t>
      </w:r>
    </w:p>
    <w:p>
      <w:pPr>
        <w:spacing w:after="0" w:line="26" w:lineRule="exact"/>
        <w:rPr>
          <w:sz w:val="24"/>
          <w:szCs w:val="24"/>
          <w:color w:val="auto"/>
        </w:rPr>
      </w:pPr>
    </w:p>
    <w:p>
      <w:pPr>
        <w:ind w:left="520"/>
        <w:spacing w:after="0"/>
        <w:rPr>
          <w:sz w:val="20"/>
          <w:szCs w:val="20"/>
          <w:color w:val="auto"/>
        </w:rPr>
      </w:pPr>
      <w:r>
        <w:rPr>
          <w:rFonts w:ascii="Arial" w:cs="Arial" w:eastAsia="Arial" w:hAnsi="Arial"/>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332740</wp:posOffset>
            </wp:positionH>
            <wp:positionV relativeFrom="paragraph">
              <wp:posOffset>1905</wp:posOffset>
            </wp:positionV>
            <wp:extent cx="505460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54600" cy="1397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43815</wp:posOffset>
            </wp:positionV>
            <wp:extent cx="50546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54600" cy="6985"/>
                    </a:xfrm>
                    <a:prstGeom prst="rect">
                      <a:avLst/>
                    </a:prstGeom>
                    <a:noFill/>
                  </pic:spPr>
                </pic:pic>
              </a:graphicData>
            </a:graphic>
          </wp:anchor>
        </w:drawing>
      </w:r>
    </w:p>
    <w:p>
      <w:pPr>
        <w:sectPr>
          <w:pgSz w:w="11900" w:h="16838" w:orient="portrait"/>
          <w:cols w:equalWidth="0" w:num="1">
            <w:col w:w="9019"/>
          </w:cols>
          <w:pgMar w:left="1440" w:top="187" w:right="1440" w:bottom="1440" w:gutter="0" w:footer="0" w:header="0"/>
        </w:sectPr>
      </w:pPr>
    </w:p>
    <w:p>
      <w:pPr>
        <w:spacing w:after="0" w:line="102" w:lineRule="exact"/>
        <w:rPr>
          <w:sz w:val="24"/>
          <w:szCs w:val="24"/>
          <w:color w:val="auto"/>
        </w:rPr>
      </w:pPr>
    </w:p>
    <w:p>
      <w:pPr>
        <w:jc w:val="center"/>
        <w:ind w:left="1180"/>
        <w:spacing w:after="0"/>
        <w:rPr>
          <w:sz w:val="20"/>
          <w:szCs w:val="20"/>
          <w:color w:val="auto"/>
        </w:rPr>
      </w:pPr>
      <w:r>
        <w:rPr>
          <w:rFonts w:ascii="Arial" w:cs="Arial" w:eastAsia="Arial" w:hAnsi="Arial"/>
          <w:sz w:val="24"/>
          <w:szCs w:val="24"/>
          <w:b w:val="1"/>
          <w:bCs w:val="1"/>
          <w:color w:val="auto"/>
        </w:rPr>
        <w:t>UNITED STATES</w:t>
      </w:r>
    </w:p>
    <w:p>
      <w:pPr>
        <w:spacing w:after="0" w:line="8" w:lineRule="exact"/>
        <w:rPr>
          <w:sz w:val="24"/>
          <w:szCs w:val="24"/>
          <w:color w:val="auto"/>
        </w:rPr>
      </w:pPr>
    </w:p>
    <w:p>
      <w:pPr>
        <w:jc w:val="center"/>
        <w:ind w:left="1240"/>
        <w:spacing w:after="0"/>
        <w:rPr>
          <w:sz w:val="20"/>
          <w:szCs w:val="20"/>
          <w:color w:val="auto"/>
        </w:rPr>
      </w:pPr>
      <w:r>
        <w:rPr>
          <w:rFonts w:ascii="Arial" w:cs="Arial" w:eastAsia="Arial" w:hAnsi="Arial"/>
          <w:sz w:val="24"/>
          <w:szCs w:val="24"/>
          <w:b w:val="1"/>
          <w:bCs w:val="1"/>
          <w:color w:val="auto"/>
        </w:rPr>
        <w:t>SECURITIES AND EXCHANGE COMMISSION</w:t>
      </w:r>
    </w:p>
    <w:p>
      <w:pPr>
        <w:spacing w:after="0" w:line="25" w:lineRule="exact"/>
        <w:rPr>
          <w:sz w:val="24"/>
          <w:szCs w:val="24"/>
          <w:color w:val="auto"/>
        </w:rPr>
      </w:pPr>
    </w:p>
    <w:p>
      <w:pPr>
        <w:jc w:val="center"/>
        <w:ind w:left="124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2359025</wp:posOffset>
            </wp:positionH>
            <wp:positionV relativeFrom="paragraph">
              <wp:posOffset>52705</wp:posOffset>
            </wp:positionV>
            <wp:extent cx="10096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29" w:lineRule="exact"/>
        <w:rPr>
          <w:sz w:val="24"/>
          <w:szCs w:val="24"/>
          <w:color w:val="auto"/>
        </w:rPr>
      </w:pPr>
    </w:p>
    <w:p>
      <w:pPr>
        <w:jc w:val="center"/>
        <w:ind w:left="1240"/>
        <w:spacing w:after="0"/>
        <w:rPr>
          <w:sz w:val="20"/>
          <w:szCs w:val="20"/>
          <w:color w:val="auto"/>
        </w:rPr>
      </w:pPr>
      <w:r>
        <w:rPr>
          <w:rFonts w:ascii="Arial" w:cs="Arial" w:eastAsia="Arial" w:hAnsi="Arial"/>
          <w:sz w:val="24"/>
          <w:szCs w:val="24"/>
          <w:b w:val="1"/>
          <w:bCs w:val="1"/>
          <w:color w:val="auto"/>
        </w:rPr>
        <w:t>FORM S-3</w:t>
      </w:r>
    </w:p>
    <w:p>
      <w:pPr>
        <w:spacing w:after="0" w:line="55" w:lineRule="exact"/>
        <w:rPr>
          <w:sz w:val="24"/>
          <w:szCs w:val="24"/>
          <w:color w:val="auto"/>
        </w:rPr>
      </w:pPr>
    </w:p>
    <w:p>
      <w:pPr>
        <w:ind w:left="2380"/>
        <w:spacing w:after="0"/>
        <w:rPr>
          <w:sz w:val="20"/>
          <w:szCs w:val="20"/>
          <w:color w:val="auto"/>
        </w:rPr>
      </w:pPr>
      <w:r>
        <w:rPr>
          <w:rFonts w:ascii="Arial" w:cs="Arial" w:eastAsia="Arial" w:hAnsi="Arial"/>
          <w:sz w:val="13"/>
          <w:szCs w:val="13"/>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52705</wp:posOffset>
            </wp:positionV>
            <wp:extent cx="1395095"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509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3180"/>
        <w:spacing w:after="0"/>
        <w:rPr>
          <w:sz w:val="20"/>
          <w:szCs w:val="20"/>
          <w:color w:val="auto"/>
        </w:rPr>
      </w:pPr>
      <w:r>
        <w:rPr>
          <w:rFonts w:ascii="Arial" w:cs="Arial" w:eastAsia="Arial" w:hAnsi="Arial"/>
          <w:sz w:val="24"/>
          <w:szCs w:val="24"/>
          <w:b w:val="1"/>
          <w:bCs w:val="1"/>
          <w:color w:val="auto"/>
        </w:rPr>
        <w:t>Micron Technology, Inc.</w:t>
      </w:r>
    </w:p>
    <w:p>
      <w:pPr>
        <w:spacing w:after="0" w:line="55" w:lineRule="exact"/>
        <w:rPr>
          <w:sz w:val="24"/>
          <w:szCs w:val="24"/>
          <w:color w:val="auto"/>
        </w:rPr>
      </w:pPr>
    </w:p>
    <w:p>
      <w:pPr>
        <w:ind w:left="3140"/>
        <w:spacing w:after="0"/>
        <w:rPr>
          <w:sz w:val="20"/>
          <w:szCs w:val="20"/>
          <w:color w:val="auto"/>
        </w:rPr>
      </w:pPr>
      <w:r>
        <w:rPr>
          <w:rFonts w:ascii="Arial" w:cs="Arial" w:eastAsia="Arial" w:hAnsi="Arial"/>
          <w:sz w:val="12"/>
          <w:szCs w:val="12"/>
          <w:color w:val="auto"/>
        </w:rPr>
        <w:t>(Exact name of Registrant as specified in its charter)</w:t>
      </w:r>
    </w:p>
    <w:p>
      <w:pPr>
        <w:spacing w:after="0" w:line="47" w:lineRule="exact"/>
        <w:rPr>
          <w:sz w:val="24"/>
          <w:szCs w:val="24"/>
          <w:color w:val="auto"/>
        </w:rPr>
      </w:pPr>
    </w:p>
    <w:p>
      <w:pPr>
        <w:ind w:left="520"/>
        <w:spacing w:after="0"/>
        <w:tabs>
          <w:tab w:leader="none" w:pos="2160" w:val="left"/>
          <w:tab w:leader="none" w:pos="4440" w:val="left"/>
          <w:tab w:leader="none" w:pos="616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Delaware</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3"/>
          <w:szCs w:val="13"/>
          <w:b w:val="1"/>
          <w:bCs w:val="1"/>
          <w:color w:val="auto"/>
        </w:rPr>
        <w:t>75-1618004</w:t>
      </w:r>
    </w:p>
    <w:p>
      <w:pPr>
        <w:ind w:left="520"/>
        <w:spacing w:after="0"/>
        <w:tabs>
          <w:tab w:leader="none" w:pos="940" w:val="left"/>
          <w:tab w:leader="none" w:pos="4440" w:val="left"/>
          <w:tab w:leader="none" w:pos="5480" w:val="left"/>
        </w:tabs>
        <w:rPr>
          <w:sz w:val="20"/>
          <w:szCs w:val="20"/>
          <w:color w:val="auto"/>
        </w:rPr>
      </w:pPr>
      <w:r>
        <w:rPr>
          <w:rFonts w:ascii="Arial" w:cs="Arial" w:eastAsia="Arial" w:hAnsi="Arial"/>
          <w:sz w:val="17"/>
          <w:szCs w:val="17"/>
          <w:color w:val="auto"/>
          <w:vertAlign w:val="superscript"/>
        </w:rPr>
        <w:t>​</w:t>
      </w:r>
      <w:r>
        <w:rPr>
          <w:sz w:val="20"/>
          <w:szCs w:val="20"/>
          <w:color w:val="auto"/>
        </w:rPr>
        <w:tab/>
      </w:r>
      <w:r>
        <w:rPr>
          <w:rFonts w:ascii="Arial" w:cs="Arial" w:eastAsia="Arial" w:hAnsi="Arial"/>
          <w:sz w:val="9"/>
          <w:szCs w:val="9"/>
          <w:color w:val="auto"/>
        </w:rPr>
        <w:t>(State or other jurisdiction of incorporation or organization)</w:t>
      </w:r>
      <w:r>
        <w:rPr>
          <w:sz w:val="20"/>
          <w:szCs w:val="20"/>
          <w:color w:val="auto"/>
        </w:rPr>
        <w:tab/>
      </w:r>
      <w:r>
        <w:rPr>
          <w:rFonts w:ascii="Arial" w:cs="Arial" w:eastAsia="Arial" w:hAnsi="Arial"/>
          <w:sz w:val="24"/>
          <w:szCs w:val="24"/>
          <w:color w:val="auto"/>
          <w:vertAlign w:val="superscript"/>
        </w:rPr>
        <w:t>​ ​</w:t>
      </w:r>
      <w:r>
        <w:rPr>
          <w:sz w:val="20"/>
          <w:szCs w:val="20"/>
          <w:color w:val="auto"/>
        </w:rPr>
        <w:tab/>
      </w:r>
      <w:r>
        <w:rPr>
          <w:rFonts w:ascii="Arial" w:cs="Arial" w:eastAsia="Arial" w:hAnsi="Arial"/>
          <w:sz w:val="11"/>
          <w:szCs w:val="11"/>
          <w:color w:val="auto"/>
        </w:rPr>
        <w:t>(I.R.S. Employer Identification Number)</w:t>
      </w:r>
    </w:p>
    <w:p>
      <w:pPr>
        <w:spacing w:after="0" w:line="1" w:lineRule="exact"/>
        <w:rPr>
          <w:sz w:val="24"/>
          <w:szCs w:val="24"/>
          <w:color w:val="auto"/>
        </w:rPr>
      </w:pPr>
    </w:p>
    <w:p>
      <w:pPr>
        <w:jc w:val="center"/>
        <w:ind w:left="1200"/>
        <w:spacing w:after="0"/>
        <w:rPr>
          <w:sz w:val="20"/>
          <w:szCs w:val="20"/>
          <w:color w:val="auto"/>
        </w:rPr>
      </w:pPr>
      <w:r>
        <w:rPr>
          <w:rFonts w:ascii="Arial" w:cs="Arial" w:eastAsia="Arial" w:hAnsi="Arial"/>
          <w:sz w:val="13"/>
          <w:szCs w:val="13"/>
          <w:b w:val="1"/>
          <w:bCs w:val="1"/>
          <w:color w:val="auto"/>
        </w:rPr>
        <w:t>8000 South Federal Way, Boise, Idaho 83716-9632</w:t>
      </w:r>
    </w:p>
    <w:p>
      <w:pPr>
        <w:spacing w:after="0" w:line="5" w:lineRule="exact"/>
        <w:rPr>
          <w:sz w:val="24"/>
          <w:szCs w:val="24"/>
          <w:color w:val="auto"/>
        </w:rPr>
      </w:pPr>
    </w:p>
    <w:p>
      <w:pPr>
        <w:jc w:val="center"/>
        <w:ind w:left="1240"/>
        <w:spacing w:after="0"/>
        <w:rPr>
          <w:sz w:val="20"/>
          <w:szCs w:val="20"/>
          <w:color w:val="auto"/>
        </w:rPr>
      </w:pPr>
      <w:r>
        <w:rPr>
          <w:rFonts w:ascii="Arial" w:cs="Arial" w:eastAsia="Arial" w:hAnsi="Arial"/>
          <w:sz w:val="13"/>
          <w:szCs w:val="13"/>
          <w:b w:val="1"/>
          <w:bCs w:val="1"/>
          <w:color w:val="auto"/>
        </w:rPr>
        <w:t>(208) 368-4000</w:t>
      </w:r>
    </w:p>
    <w:p>
      <w:pPr>
        <w:spacing w:after="0" w:line="33" w:lineRule="exact"/>
        <w:rPr>
          <w:sz w:val="24"/>
          <w:szCs w:val="24"/>
          <w:color w:val="auto"/>
        </w:rPr>
      </w:pPr>
    </w:p>
    <w:p>
      <w:pPr>
        <w:jc w:val="center"/>
        <w:ind w:left="1240"/>
        <w:spacing w:after="0"/>
        <w:rPr>
          <w:sz w:val="20"/>
          <w:szCs w:val="20"/>
          <w:color w:val="auto"/>
        </w:rPr>
      </w:pPr>
      <w:r>
        <w:rPr>
          <w:rFonts w:ascii="Arial" w:cs="Arial" w:eastAsia="Arial" w:hAnsi="Arial"/>
          <w:sz w:val="11"/>
          <w:szCs w:val="1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2359025</wp:posOffset>
            </wp:positionH>
            <wp:positionV relativeFrom="paragraph">
              <wp:posOffset>55245</wp:posOffset>
            </wp:positionV>
            <wp:extent cx="10096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19" w:lineRule="exact"/>
        <w:rPr>
          <w:sz w:val="24"/>
          <w:szCs w:val="24"/>
          <w:color w:val="auto"/>
        </w:rPr>
      </w:pPr>
    </w:p>
    <w:p>
      <w:pPr>
        <w:jc w:val="center"/>
        <w:ind w:left="1200"/>
        <w:spacing w:after="0"/>
        <w:rPr>
          <w:sz w:val="20"/>
          <w:szCs w:val="20"/>
          <w:color w:val="auto"/>
        </w:rPr>
      </w:pPr>
      <w:r>
        <w:rPr>
          <w:rFonts w:ascii="Arial" w:cs="Arial" w:eastAsia="Arial" w:hAnsi="Arial"/>
          <w:sz w:val="13"/>
          <w:szCs w:val="13"/>
          <w:b w:val="1"/>
          <w:bCs w:val="1"/>
          <w:color w:val="auto"/>
        </w:rPr>
        <w:t>Michael Myers, Esq.</w:t>
      </w:r>
    </w:p>
    <w:p>
      <w:pPr>
        <w:spacing w:after="0" w:line="21" w:lineRule="exact"/>
        <w:rPr>
          <w:sz w:val="24"/>
          <w:szCs w:val="24"/>
          <w:color w:val="auto"/>
        </w:rPr>
      </w:pPr>
    </w:p>
    <w:p>
      <w:pPr>
        <w:jc w:val="center"/>
        <w:ind w:left="1200"/>
        <w:spacing w:after="0"/>
        <w:rPr>
          <w:sz w:val="20"/>
          <w:szCs w:val="20"/>
          <w:color w:val="auto"/>
        </w:rPr>
      </w:pPr>
      <w:r>
        <w:rPr>
          <w:rFonts w:ascii="Arial" w:cs="Arial" w:eastAsia="Arial" w:hAnsi="Arial"/>
          <w:sz w:val="13"/>
          <w:szCs w:val="13"/>
          <w:b w:val="1"/>
          <w:bCs w:val="1"/>
          <w:color w:val="auto"/>
        </w:rPr>
        <w:t>Vice President, Interim General Counsel and Corporate Secretary</w:t>
      </w:r>
    </w:p>
    <w:p>
      <w:pPr>
        <w:spacing w:after="0" w:line="5" w:lineRule="exact"/>
        <w:rPr>
          <w:sz w:val="24"/>
          <w:szCs w:val="24"/>
          <w:color w:val="auto"/>
        </w:rPr>
      </w:pPr>
    </w:p>
    <w:p>
      <w:pPr>
        <w:jc w:val="center"/>
        <w:ind w:left="1200"/>
        <w:spacing w:after="0"/>
        <w:rPr>
          <w:sz w:val="20"/>
          <w:szCs w:val="20"/>
          <w:color w:val="auto"/>
        </w:rPr>
      </w:pPr>
      <w:r>
        <w:rPr>
          <w:rFonts w:ascii="Arial" w:cs="Arial" w:eastAsia="Arial" w:hAnsi="Arial"/>
          <w:sz w:val="13"/>
          <w:szCs w:val="13"/>
          <w:b w:val="1"/>
          <w:bCs w:val="1"/>
          <w:color w:val="auto"/>
        </w:rPr>
        <w:t>Micron Technology, Inc.</w:t>
      </w:r>
    </w:p>
    <w:p>
      <w:pPr>
        <w:spacing w:after="0" w:line="5" w:lineRule="exact"/>
        <w:rPr>
          <w:sz w:val="24"/>
          <w:szCs w:val="24"/>
          <w:color w:val="auto"/>
        </w:rPr>
      </w:pPr>
    </w:p>
    <w:p>
      <w:pPr>
        <w:jc w:val="center"/>
        <w:ind w:left="1200"/>
        <w:spacing w:after="0"/>
        <w:rPr>
          <w:sz w:val="20"/>
          <w:szCs w:val="20"/>
          <w:color w:val="auto"/>
        </w:rPr>
      </w:pPr>
      <w:r>
        <w:rPr>
          <w:rFonts w:ascii="Arial" w:cs="Arial" w:eastAsia="Arial" w:hAnsi="Arial"/>
          <w:sz w:val="13"/>
          <w:szCs w:val="13"/>
          <w:b w:val="1"/>
          <w:bCs w:val="1"/>
          <w:color w:val="auto"/>
        </w:rPr>
        <w:t>8000 South Federal Way, Boise, Idaho 83716-9632</w:t>
      </w:r>
    </w:p>
    <w:p>
      <w:pPr>
        <w:spacing w:after="0" w:line="5" w:lineRule="exact"/>
        <w:rPr>
          <w:sz w:val="24"/>
          <w:szCs w:val="24"/>
          <w:color w:val="auto"/>
        </w:rPr>
      </w:pPr>
    </w:p>
    <w:p>
      <w:pPr>
        <w:jc w:val="center"/>
        <w:ind w:left="1240"/>
        <w:spacing w:after="0"/>
        <w:rPr>
          <w:sz w:val="20"/>
          <w:szCs w:val="20"/>
          <w:color w:val="auto"/>
        </w:rPr>
      </w:pPr>
      <w:r>
        <w:rPr>
          <w:rFonts w:ascii="Arial" w:cs="Arial" w:eastAsia="Arial" w:hAnsi="Arial"/>
          <w:sz w:val="13"/>
          <w:szCs w:val="13"/>
          <w:b w:val="1"/>
          <w:bCs w:val="1"/>
          <w:color w:val="auto"/>
        </w:rPr>
        <w:t>(208) 368-4000</w:t>
      </w:r>
    </w:p>
    <w:p>
      <w:pPr>
        <w:spacing w:after="0" w:line="33" w:lineRule="exact"/>
        <w:rPr>
          <w:sz w:val="24"/>
          <w:szCs w:val="24"/>
          <w:color w:val="auto"/>
        </w:rPr>
      </w:pPr>
    </w:p>
    <w:p>
      <w:pPr>
        <w:jc w:val="center"/>
        <w:ind w:left="1240"/>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2359025</wp:posOffset>
            </wp:positionH>
            <wp:positionV relativeFrom="paragraph">
              <wp:posOffset>48260</wp:posOffset>
            </wp:positionV>
            <wp:extent cx="10096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10" w:lineRule="exact"/>
        <w:rPr>
          <w:sz w:val="24"/>
          <w:szCs w:val="24"/>
          <w:color w:val="auto"/>
        </w:rPr>
      </w:pPr>
    </w:p>
    <w:p>
      <w:pPr>
        <w:jc w:val="center"/>
        <w:ind w:left="1240"/>
        <w:spacing w:after="0"/>
        <w:rPr>
          <w:sz w:val="20"/>
          <w:szCs w:val="20"/>
          <w:color w:val="auto"/>
        </w:rPr>
      </w:pPr>
      <w:r>
        <w:rPr>
          <w:rFonts w:ascii="Arial" w:cs="Arial" w:eastAsia="Arial" w:hAnsi="Arial"/>
          <w:sz w:val="13"/>
          <w:szCs w:val="13"/>
          <w:i w:val="1"/>
          <w:iCs w:val="1"/>
          <w:color w:val="auto"/>
        </w:rPr>
        <w:t>Copies to:</w:t>
      </w:r>
    </w:p>
    <w:p>
      <w:pPr>
        <w:spacing w:after="0" w:line="36" w:lineRule="exact"/>
        <w:rPr>
          <w:sz w:val="24"/>
          <w:szCs w:val="24"/>
          <w:color w:val="auto"/>
        </w:rPr>
      </w:pPr>
    </w:p>
    <w:p>
      <w:pPr>
        <w:jc w:val="center"/>
        <w:ind w:left="1200"/>
        <w:spacing w:after="0"/>
        <w:rPr>
          <w:sz w:val="20"/>
          <w:szCs w:val="20"/>
          <w:color w:val="auto"/>
        </w:rPr>
      </w:pPr>
      <w:r>
        <w:rPr>
          <w:rFonts w:ascii="Arial" w:cs="Arial" w:eastAsia="Arial" w:hAnsi="Arial"/>
          <w:sz w:val="13"/>
          <w:szCs w:val="13"/>
          <w:b w:val="1"/>
          <w:bCs w:val="1"/>
          <w:color w:val="auto"/>
        </w:rPr>
        <w:t>Patrick J. Schultheis, Esq.</w:t>
      </w:r>
    </w:p>
    <w:p>
      <w:pPr>
        <w:spacing w:after="0" w:line="21" w:lineRule="exact"/>
        <w:rPr>
          <w:sz w:val="24"/>
          <w:szCs w:val="24"/>
          <w:color w:val="auto"/>
        </w:rPr>
      </w:pPr>
    </w:p>
    <w:p>
      <w:pPr>
        <w:jc w:val="center"/>
        <w:ind w:left="1200"/>
        <w:spacing w:after="0"/>
        <w:rPr>
          <w:sz w:val="20"/>
          <w:szCs w:val="20"/>
          <w:color w:val="auto"/>
        </w:rPr>
      </w:pPr>
      <w:r>
        <w:rPr>
          <w:rFonts w:ascii="Arial" w:cs="Arial" w:eastAsia="Arial" w:hAnsi="Arial"/>
          <w:sz w:val="13"/>
          <w:szCs w:val="13"/>
          <w:b w:val="1"/>
          <w:bCs w:val="1"/>
          <w:color w:val="auto"/>
        </w:rPr>
        <w:t>Erik F. Franks, Esq.</w:t>
      </w:r>
    </w:p>
    <w:p>
      <w:pPr>
        <w:spacing w:after="0" w:line="5" w:lineRule="exact"/>
        <w:rPr>
          <w:sz w:val="24"/>
          <w:szCs w:val="24"/>
          <w:color w:val="auto"/>
        </w:rPr>
      </w:pPr>
    </w:p>
    <w:p>
      <w:pPr>
        <w:jc w:val="center"/>
        <w:ind w:left="1200"/>
        <w:spacing w:after="0"/>
        <w:rPr>
          <w:sz w:val="20"/>
          <w:szCs w:val="20"/>
          <w:color w:val="auto"/>
        </w:rPr>
      </w:pPr>
      <w:r>
        <w:rPr>
          <w:rFonts w:ascii="Arial" w:cs="Arial" w:eastAsia="Arial" w:hAnsi="Arial"/>
          <w:sz w:val="13"/>
          <w:szCs w:val="13"/>
          <w:b w:val="1"/>
          <w:bCs w:val="1"/>
          <w:color w:val="auto"/>
        </w:rPr>
        <w:t>Michael A. Rosati, Esq.</w:t>
      </w:r>
    </w:p>
    <w:p>
      <w:pPr>
        <w:spacing w:after="0" w:line="5" w:lineRule="exact"/>
        <w:rPr>
          <w:sz w:val="24"/>
          <w:szCs w:val="24"/>
          <w:color w:val="auto"/>
        </w:rPr>
      </w:pPr>
    </w:p>
    <w:p>
      <w:pPr>
        <w:jc w:val="center"/>
        <w:ind w:left="1200"/>
        <w:spacing w:after="0"/>
        <w:rPr>
          <w:sz w:val="20"/>
          <w:szCs w:val="20"/>
          <w:color w:val="auto"/>
        </w:rPr>
      </w:pPr>
      <w:r>
        <w:rPr>
          <w:rFonts w:ascii="Arial" w:cs="Arial" w:eastAsia="Arial" w:hAnsi="Arial"/>
          <w:sz w:val="13"/>
          <w:szCs w:val="13"/>
          <w:b w:val="1"/>
          <w:bCs w:val="1"/>
          <w:color w:val="auto"/>
        </w:rPr>
        <w:t>Wilson Sonsini Goodrich &amp; Rosati, Professional Corporation</w:t>
      </w:r>
    </w:p>
    <w:p>
      <w:pPr>
        <w:spacing w:after="0" w:line="5" w:lineRule="exact"/>
        <w:rPr>
          <w:sz w:val="24"/>
          <w:szCs w:val="24"/>
          <w:color w:val="auto"/>
        </w:rPr>
      </w:pPr>
    </w:p>
    <w:p>
      <w:pPr>
        <w:jc w:val="center"/>
        <w:ind w:left="1200"/>
        <w:spacing w:after="0"/>
        <w:rPr>
          <w:sz w:val="20"/>
          <w:szCs w:val="20"/>
          <w:color w:val="auto"/>
        </w:rPr>
      </w:pPr>
      <w:r>
        <w:rPr>
          <w:rFonts w:ascii="Arial" w:cs="Arial" w:eastAsia="Arial" w:hAnsi="Arial"/>
          <w:sz w:val="13"/>
          <w:szCs w:val="13"/>
          <w:b w:val="1"/>
          <w:bCs w:val="1"/>
          <w:color w:val="auto"/>
        </w:rPr>
        <w:t>650 Page Mill Road, Palo Alto, California 94304</w:t>
      </w:r>
    </w:p>
    <w:p>
      <w:pPr>
        <w:spacing w:after="0" w:line="5" w:lineRule="exact"/>
        <w:rPr>
          <w:sz w:val="24"/>
          <w:szCs w:val="24"/>
          <w:color w:val="auto"/>
        </w:rPr>
      </w:pPr>
    </w:p>
    <w:p>
      <w:pPr>
        <w:jc w:val="center"/>
        <w:ind w:left="1240"/>
        <w:spacing w:after="0"/>
        <w:rPr>
          <w:sz w:val="20"/>
          <w:szCs w:val="20"/>
          <w:color w:val="auto"/>
        </w:rPr>
      </w:pPr>
      <w:r>
        <w:rPr>
          <w:rFonts w:ascii="Arial" w:cs="Arial" w:eastAsia="Arial" w:hAnsi="Arial"/>
          <w:sz w:val="13"/>
          <w:szCs w:val="13"/>
          <w:b w:val="1"/>
          <w:bCs w:val="1"/>
          <w:color w:val="auto"/>
        </w:rPr>
        <w:t>(650) 493-9300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978" w:lineRule="exact"/>
        <w:rPr>
          <w:sz w:val="24"/>
          <w:szCs w:val="24"/>
          <w:color w:val="auto"/>
        </w:rPr>
      </w:pPr>
    </w:p>
    <w:p>
      <w:pPr>
        <w:sectPr>
          <w:pgSz w:w="11900" w:h="16838" w:orient="portrait"/>
          <w:cols w:equalWidth="0" w:num="2">
            <w:col w:w="7760" w:space="720"/>
            <w:col w:w="539"/>
          </w:cols>
          <w:pgMar w:left="1440" w:top="187" w:right="1440" w:bottom="1440" w:gutter="0" w:footer="0" w:header="0"/>
          <w:type w:val="continuous"/>
        </w:sectPr>
      </w:pPr>
    </w:p>
    <w:p>
      <w:pPr>
        <w:ind w:left="520" w:right="559"/>
        <w:spacing w:after="0" w:line="290" w:lineRule="auto"/>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From time to time after the effective date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Registration Statement.</w:t>
      </w:r>
    </w:p>
    <w:p>
      <w:pPr>
        <w:spacing w:after="0" w:line="11" w:lineRule="exact"/>
        <w:rPr>
          <w:sz w:val="24"/>
          <w:szCs w:val="24"/>
          <w:color w:val="auto"/>
        </w:rPr>
      </w:pPr>
    </w:p>
    <w:p>
      <w:pPr>
        <w:ind w:left="520" w:right="719"/>
        <w:spacing w:after="0" w:line="171" w:lineRule="exact"/>
        <w:rPr>
          <w:sz w:val="20"/>
          <w:szCs w:val="20"/>
          <w:color w:val="auto"/>
        </w:rPr>
      </w:pP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34" w:lineRule="exact"/>
        <w:rPr>
          <w:sz w:val="24"/>
          <w:szCs w:val="24"/>
          <w:color w:val="auto"/>
        </w:rPr>
      </w:pPr>
    </w:p>
    <w:p>
      <w:pPr>
        <w:jc w:val="both"/>
        <w:ind w:left="520" w:right="659"/>
        <w:spacing w:after="0" w:line="166"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24" w:lineRule="exact"/>
        <w:rPr>
          <w:sz w:val="24"/>
          <w:szCs w:val="24"/>
          <w:color w:val="auto"/>
        </w:rPr>
      </w:pPr>
    </w:p>
    <w:p>
      <w:pPr>
        <w:ind w:left="520" w:right="859"/>
        <w:spacing w:after="0" w:line="16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left="520" w:right="819"/>
        <w:spacing w:after="0" w:line="171"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4" w:lineRule="exact"/>
        <w:rPr>
          <w:sz w:val="24"/>
          <w:szCs w:val="24"/>
          <w:color w:val="auto"/>
        </w:rPr>
      </w:pPr>
    </w:p>
    <w:p>
      <w:pPr>
        <w:ind w:left="520" w:right="879"/>
        <w:spacing w:after="0" w:line="171"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3"/>
          <w:szCs w:val="13"/>
          <w:color w:val="auto"/>
        </w:rPr>
        <w:t>☒</w:t>
      </w:r>
    </w:p>
    <w:p>
      <w:pPr>
        <w:spacing w:after="0" w:line="23" w:lineRule="exact"/>
        <w:rPr>
          <w:sz w:val="24"/>
          <w:szCs w:val="24"/>
          <w:color w:val="auto"/>
        </w:rPr>
      </w:pPr>
    </w:p>
    <w:p>
      <w:pPr>
        <w:ind w:left="520" w:right="619"/>
        <w:spacing w:after="0" w:line="171"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23" w:lineRule="exact"/>
        <w:rPr>
          <w:sz w:val="24"/>
          <w:szCs w:val="24"/>
          <w:color w:val="auto"/>
        </w:rPr>
      </w:pPr>
    </w:p>
    <w:p>
      <w:pPr>
        <w:jc w:val="both"/>
        <w:ind w:left="520" w:right="539"/>
        <w:spacing w:after="0" w:line="26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p>
      <w:pPr>
        <w:jc w:val="center"/>
        <w:ind w:right="-20"/>
        <w:spacing w:after="0"/>
        <w:tabs>
          <w:tab w:leader="none" w:pos="100" w:val="left"/>
          <w:tab w:leader="none" w:pos="80" w:val="left"/>
          <w:tab w:leader="none" w:pos="80" w:val="left"/>
          <w:tab w:leader="none" w:pos="100" w:val="left"/>
          <w:tab w:leader="none" w:pos="100" w:val="left"/>
          <w:tab w:leader="none" w:pos="80" w:val="left"/>
          <w:tab w:leader="none" w:pos="100" w:val="left"/>
          <w:tab w:leader="none" w:pos="100" w:val="left"/>
        </w:tabs>
        <w:rPr>
          <w:sz w:val="20"/>
          <w:szCs w:val="20"/>
          <w:color w:val="auto"/>
        </w:rPr>
      </w:pPr>
      <w:r>
        <w:rPr>
          <w:rFonts w:ascii="Arial" w:cs="Arial" w:eastAsia="Arial" w:hAnsi="Arial"/>
          <w:sz w:val="13"/>
          <w:szCs w:val="13"/>
          <w:color w:val="auto"/>
        </w:rPr>
        <w:t>​Large accelerated filer</w:t>
        <w:tab/>
        <w:t>​</w:t>
        <w:tab/>
        <w:t>​ Accelerated filer</w:t>
        <w:tab/>
        <w:t>​</w:t>
        <w:tab/>
        <w:t>​ Non-accelerated filer</w:t>
        <w:tab/>
        <w:t>​</w:t>
        <w:tab/>
        <w:t>​ Smaller reporting company</w:t>
        <w:tab/>
        <w:t>​</w:t>
        <w:tab/>
        <w:t>​ Emerging growth company ​</w:t>
      </w:r>
    </w:p>
    <w:p>
      <w:pPr>
        <w:ind w:left="1140"/>
        <w:spacing w:after="0" w:line="131" w:lineRule="exact"/>
        <w:tabs>
          <w:tab w:leader="none" w:pos="2560" w:val="left"/>
          <w:tab w:leader="none" w:pos="3980" w:val="left"/>
          <w:tab w:leader="none" w:pos="5700" w:val="left"/>
          <w:tab w:leader="none" w:pos="76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196" w:lineRule="exact"/>
        <w:rPr>
          <w:sz w:val="24"/>
          <w:szCs w:val="24"/>
          <w:color w:val="auto"/>
        </w:rPr>
      </w:pPr>
    </w:p>
    <w:p>
      <w:pPr>
        <w:ind w:left="520" w:right="899"/>
        <w:spacing w:after="0" w:line="17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332740</wp:posOffset>
            </wp:positionH>
            <wp:positionV relativeFrom="paragraph">
              <wp:posOffset>18415</wp:posOffset>
            </wp:positionV>
            <wp:extent cx="50546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54600" cy="6985"/>
                    </a:xfrm>
                    <a:prstGeom prst="rect">
                      <a:avLst/>
                    </a:prstGeom>
                    <a:noFill/>
                  </pic:spPr>
                </pic:pic>
              </a:graphicData>
            </a:graphic>
          </wp:anchor>
        </w:drawing>
      </w:r>
    </w:p>
    <w:p>
      <w:pPr>
        <w:spacing w:after="0" w:line="25" w:lineRule="exact"/>
        <w:rPr>
          <w:sz w:val="24"/>
          <w:szCs w:val="24"/>
          <w:color w:val="auto"/>
        </w:rPr>
      </w:pPr>
    </w:p>
    <w:p>
      <w:pPr>
        <w:ind w:left="520"/>
        <w:spacing w:after="0"/>
        <w:rPr>
          <w:sz w:val="20"/>
          <w:szCs w:val="20"/>
          <w:color w:val="auto"/>
        </w:rPr>
      </w:pPr>
      <w:r>
        <w:rPr>
          <w:rFonts w:ascii="Arial" w:cs="Arial" w:eastAsia="Arial" w:hAnsi="Arial"/>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332740</wp:posOffset>
            </wp:positionH>
            <wp:positionV relativeFrom="paragraph">
              <wp:posOffset>3175</wp:posOffset>
            </wp:positionV>
            <wp:extent cx="505460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4600" cy="139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207645</wp:posOffset>
            </wp:positionV>
            <wp:extent cx="558419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87" w:right="1440" w:bottom="144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107950</wp:posOffset>
            </wp:positionV>
            <wp:extent cx="1395095" cy="385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509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20"/>
        <w:spacing w:after="0"/>
        <w:rPr>
          <w:sz w:val="20"/>
          <w:szCs w:val="20"/>
          <w:color w:val="auto"/>
        </w:rPr>
      </w:pPr>
      <w:r>
        <w:rPr>
          <w:rFonts w:ascii="Arial" w:cs="Arial" w:eastAsia="Arial" w:hAnsi="Arial"/>
          <w:sz w:val="32"/>
          <w:szCs w:val="32"/>
          <w:b w:val="1"/>
          <w:bCs w:val="1"/>
          <w:color w:val="auto"/>
        </w:rPr>
        <w:t>MICRON TECHNOLOGY, INC.</w:t>
      </w:r>
    </w:p>
    <w:p>
      <w:pPr>
        <w:spacing w:after="0" w:line="187"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Common Stock</w:t>
      </w:r>
    </w:p>
    <w:p>
      <w:pPr>
        <w:spacing w:after="0" w:line="26"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Debt Securities</w:t>
      </w:r>
    </w:p>
    <w:p>
      <w:pPr>
        <w:spacing w:after="0" w:line="2"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Warrants</w:t>
      </w:r>
    </w:p>
    <w:p>
      <w:pPr>
        <w:spacing w:after="0" w:line="2"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Purchase Contracts</w:t>
      </w:r>
    </w:p>
    <w:p>
      <w:pPr>
        <w:spacing w:after="0" w:line="2" w:lineRule="exact"/>
        <w:rPr>
          <w:sz w:val="20"/>
          <w:szCs w:val="20"/>
          <w:color w:val="auto"/>
        </w:rPr>
      </w:pPr>
    </w:p>
    <w:p>
      <w:pPr>
        <w:jc w:val="center"/>
        <w:ind w:right="-500"/>
        <w:spacing w:after="0"/>
        <w:rPr>
          <w:sz w:val="20"/>
          <w:szCs w:val="20"/>
          <w:color w:val="auto"/>
        </w:rPr>
      </w:pPr>
      <w:r>
        <w:rPr>
          <w:rFonts w:ascii="Arial" w:cs="Arial" w:eastAsia="Arial" w:hAnsi="Arial"/>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83185</wp:posOffset>
            </wp:positionV>
            <wp:extent cx="100965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88" w:lineRule="exact"/>
        <w:rPr>
          <w:sz w:val="20"/>
          <w:szCs w:val="20"/>
          <w:color w:val="auto"/>
        </w:rPr>
      </w:pPr>
    </w:p>
    <w:p>
      <w:pPr>
        <w:ind w:left="1420" w:right="1159"/>
        <w:spacing w:after="0" w:line="266" w:lineRule="auto"/>
        <w:rPr>
          <w:sz w:val="20"/>
          <w:szCs w:val="20"/>
          <w:color w:val="auto"/>
        </w:rPr>
      </w:pPr>
      <w:r>
        <w:rPr>
          <w:rFonts w:ascii="Arial" w:cs="Arial" w:eastAsia="Arial" w:hAnsi="Arial"/>
          <w:sz w:val="15"/>
          <w:szCs w:val="15"/>
          <w:color w:val="auto"/>
        </w:rPr>
        <w:t>We may offer and sell the securities identified above from time to time in one or more offerings. This prospectus provides you with a general description of the securities.</w:t>
      </w:r>
    </w:p>
    <w:p>
      <w:pPr>
        <w:spacing w:after="0" w:line="92" w:lineRule="exact"/>
        <w:rPr>
          <w:sz w:val="20"/>
          <w:szCs w:val="20"/>
          <w:color w:val="auto"/>
        </w:rPr>
      </w:pPr>
    </w:p>
    <w:p>
      <w:pPr>
        <w:ind w:left="1420" w:right="1059"/>
        <w:spacing w:after="0" w:line="273" w:lineRule="auto"/>
        <w:rPr>
          <w:sz w:val="20"/>
          <w:szCs w:val="20"/>
          <w:color w:val="auto"/>
        </w:rPr>
      </w:pPr>
      <w:r>
        <w:rPr>
          <w:rFonts w:ascii="Arial" w:cs="Arial" w:eastAsia="Arial" w:hAnsi="Arial"/>
          <w:sz w:val="14"/>
          <w:szCs w:val="14"/>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89" w:lineRule="exact"/>
        <w:rPr>
          <w:sz w:val="20"/>
          <w:szCs w:val="20"/>
          <w:color w:val="auto"/>
        </w:rPr>
      </w:pPr>
    </w:p>
    <w:p>
      <w:pPr>
        <w:ind w:left="1420" w:right="979"/>
        <w:spacing w:after="0" w:line="248" w:lineRule="auto"/>
        <w:rPr>
          <w:sz w:val="20"/>
          <w:szCs w:val="20"/>
          <w:color w:val="auto"/>
        </w:rPr>
      </w:pPr>
      <w:r>
        <w:rPr>
          <w:rFonts w:ascii="Arial" w:cs="Arial" w:eastAsia="Arial" w:hAnsi="Arial"/>
          <w:sz w:val="15"/>
          <w:szCs w:val="15"/>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74930</wp:posOffset>
            </wp:positionV>
            <wp:extent cx="100965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67" w:lineRule="exact"/>
        <w:rPr>
          <w:sz w:val="20"/>
          <w:szCs w:val="20"/>
          <w:color w:val="auto"/>
        </w:rPr>
      </w:pPr>
    </w:p>
    <w:p>
      <w:pPr>
        <w:ind w:left="1420" w:right="1019"/>
        <w:spacing w:after="0" w:line="260" w:lineRule="auto"/>
        <w:rPr>
          <w:sz w:val="20"/>
          <w:szCs w:val="20"/>
          <w:color w:val="auto"/>
        </w:rPr>
      </w:pPr>
      <w:r>
        <w:rPr>
          <w:rFonts w:ascii="Arial" w:cs="Arial" w:eastAsia="Arial" w:hAnsi="Arial"/>
          <w:sz w:val="15"/>
          <w:szCs w:val="15"/>
          <w:b w:val="1"/>
          <w:bCs w:val="1"/>
          <w:color w:val="auto"/>
        </w:rPr>
        <w:t xml:space="preserve">INVESTING IN OUR SECURITIES INVOLVES RISKS. SEE “RISK FACTORS” ON PAGE </w:t>
      </w:r>
      <w:r>
        <w:rPr>
          <w:rFonts w:ascii="Arial" w:cs="Arial" w:eastAsia="Arial" w:hAnsi="Arial"/>
          <w:sz w:val="15"/>
          <w:szCs w:val="15"/>
          <w:b w:val="1"/>
          <w:bCs w:val="1"/>
          <w:u w:val="single" w:color="auto"/>
          <w:color w:val="0000EE"/>
        </w:rPr>
        <w:t>5</w:t>
      </w:r>
      <w:r>
        <w:rPr>
          <w:rFonts w:ascii="Arial" w:cs="Arial" w:eastAsia="Arial" w:hAnsi="Arial"/>
          <w:sz w:val="15"/>
          <w:szCs w:val="15"/>
          <w:b w:val="1"/>
          <w:bCs w:val="1"/>
          <w:color w:val="auto"/>
        </w:rPr>
        <w:t xml:space="preserve"> 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69850</wp:posOffset>
            </wp:positionV>
            <wp:extent cx="100965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67" w:lineRule="exact"/>
        <w:rPr>
          <w:sz w:val="20"/>
          <w:szCs w:val="20"/>
          <w:color w:val="auto"/>
        </w:rPr>
      </w:pPr>
    </w:p>
    <w:p>
      <w:pPr>
        <w:jc w:val="both"/>
        <w:ind w:left="1420" w:right="1099"/>
        <w:spacing w:after="0" w:line="255" w:lineRule="auto"/>
        <w:rPr>
          <w:sz w:val="20"/>
          <w:szCs w:val="20"/>
          <w:color w:val="auto"/>
        </w:rPr>
      </w:pPr>
      <w:r>
        <w:rPr>
          <w:rFonts w:ascii="Arial" w:cs="Arial" w:eastAsia="Arial" w:hAnsi="Arial"/>
          <w:sz w:val="15"/>
          <w:szCs w:val="15"/>
          <w:color w:val="auto"/>
        </w:rPr>
        <w:t>Our common stock is listed on The Nasdaq Global Select Market (“Nasdaq”) under the symbol “MU.” On November 1, 2023, the last reported sale price of our common stock on Nasdaq was $69.40 per share.</w:t>
      </w:r>
    </w:p>
    <w:p>
      <w:pPr>
        <w:spacing w:after="0" w:line="83" w:lineRule="exact"/>
        <w:rPr>
          <w:sz w:val="20"/>
          <w:szCs w:val="20"/>
          <w:color w:val="auto"/>
        </w:rPr>
      </w:pPr>
    </w:p>
    <w:p>
      <w:pPr>
        <w:ind w:left="1420" w:right="1079"/>
        <w:spacing w:after="0" w:line="26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74"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The date of this prospectus is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1004570</wp:posOffset>
            </wp:positionV>
            <wp:extent cx="558419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 w:name="page3"/>
    <w:bookmarkEnd w:id="2"/>
    <w:p>
      <w:pPr>
        <w:ind w:left="12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TABLE OF CONTENTS</w:t>
      </w:r>
    </w:p>
    <w:p>
      <w:pPr>
        <w:spacing w:after="0" w:line="164"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About</w:t>
      </w:r>
      <w:r>
        <w:rPr>
          <w:rFonts w:ascii="Arial" w:cs="Arial" w:eastAsia="Arial" w:hAnsi="Arial"/>
          <w:sz w:val="15"/>
          <w:szCs w:val="15"/>
          <w:color w:val="000000"/>
        </w:rPr>
        <w:t>​</w:t>
      </w:r>
      <w:r>
        <w:rPr>
          <w:rFonts w:ascii="Arial" w:cs="Arial" w:eastAsia="Arial" w:hAnsi="Arial"/>
          <w:sz w:val="15"/>
          <w:szCs w:val="15"/>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-95250</wp:posOffset>
            </wp:positionV>
            <wp:extent cx="4265295" cy="984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5295" cy="98425"/>
                    </a:xfrm>
                    <a:prstGeom prst="rect">
                      <a:avLst/>
                    </a:prstGeom>
                    <a:noFill/>
                  </pic:spPr>
                </pic:pic>
              </a:graphicData>
            </a:graphic>
          </wp:anchor>
        </w:drawing>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4"/>
          <w:szCs w:val="14"/>
          <w:color w:val="0000EE"/>
        </w:rPr>
        <w:t>Where</w:t>
      </w:r>
      <w:r>
        <w:rPr>
          <w:rFonts w:ascii="Arial" w:cs="Arial" w:eastAsia="Arial" w:hAnsi="Arial"/>
          <w:sz w:val="14"/>
          <w:szCs w:val="14"/>
          <w:color w:val="000000"/>
        </w:rPr>
        <w:t>​</w:t>
      </w:r>
      <w:r>
        <w:rPr>
          <w:rFonts w:ascii="Arial" w:cs="Arial" w:eastAsia="Arial" w:hAnsi="Arial"/>
          <w:sz w:val="14"/>
          <w:szCs w:val="14"/>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-3810</wp:posOffset>
            </wp:positionV>
            <wp:extent cx="4265295" cy="161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40"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The</w:t>
      </w:r>
      <w:r>
        <w:rPr>
          <w:rFonts w:ascii="Arial" w:cs="Arial" w:eastAsia="Arial" w:hAnsi="Arial"/>
          <w:sz w:val="15"/>
          <w:szCs w:val="15"/>
          <w:color w:val="000000"/>
        </w:rPr>
        <w:t>​</w:t>
      </w:r>
      <w:r>
        <w:rPr>
          <w:rFonts w:ascii="Arial" w:cs="Arial" w:eastAsia="Arial" w:hAnsi="Arial"/>
          <w:sz w:val="15"/>
          <w:szCs w:val="15"/>
          <w:color w:val="0000EE"/>
        </w:rPr>
        <w:t xml:space="preserve"> Company</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Risk</w:t>
      </w:r>
      <w:r>
        <w:rPr>
          <w:rFonts w:ascii="Arial" w:cs="Arial" w:eastAsia="Arial" w:hAnsi="Arial"/>
          <w:sz w:val="15"/>
          <w:szCs w:val="15"/>
          <w:color w:val="000000"/>
        </w:rPr>
        <w:t>​</w:t>
      </w:r>
      <w:r>
        <w:rPr>
          <w:rFonts w:ascii="Arial" w:cs="Arial" w:eastAsia="Arial" w:hAnsi="Arial"/>
          <w:sz w:val="15"/>
          <w:szCs w:val="15"/>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-10795</wp:posOffset>
            </wp:positionV>
            <wp:extent cx="4265295" cy="161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Use</w:t>
      </w:r>
      <w:r>
        <w:rPr>
          <w:rFonts w:ascii="Arial" w:cs="Arial" w:eastAsia="Arial" w:hAnsi="Arial"/>
          <w:sz w:val="15"/>
          <w:szCs w:val="15"/>
          <w:color w:val="000000"/>
        </w:rPr>
        <w:t>​</w:t>
      </w:r>
      <w:r>
        <w:rPr>
          <w:rFonts w:ascii="Arial" w:cs="Arial" w:eastAsia="Arial" w:hAnsi="Arial"/>
          <w:sz w:val="15"/>
          <w:szCs w:val="15"/>
          <w:color w:val="0000EE"/>
        </w:rPr>
        <w:t xml:space="preserv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Description</w:t>
      </w:r>
      <w:r>
        <w:rPr>
          <w:rFonts w:ascii="Arial" w:cs="Arial" w:eastAsia="Arial" w:hAnsi="Arial"/>
          <w:sz w:val="15"/>
          <w:szCs w:val="15"/>
          <w:color w:val="000000"/>
        </w:rPr>
        <w:t>​</w:t>
      </w:r>
      <w:r>
        <w:rPr>
          <w:rFonts w:ascii="Arial" w:cs="Arial" w:eastAsia="Arial" w:hAnsi="Arial"/>
          <w:sz w:val="15"/>
          <w:szCs w:val="15"/>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-10795</wp:posOffset>
            </wp:positionV>
            <wp:extent cx="4265295" cy="161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Plan</w:t>
      </w:r>
      <w:r>
        <w:rPr>
          <w:rFonts w:ascii="Arial" w:cs="Arial" w:eastAsia="Arial" w:hAnsi="Arial"/>
          <w:sz w:val="15"/>
          <w:szCs w:val="15"/>
          <w:color w:val="000000"/>
        </w:rPr>
        <w:t>​</w:t>
      </w:r>
      <w:r>
        <w:rPr>
          <w:rFonts w:ascii="Arial" w:cs="Arial" w:eastAsia="Arial" w:hAnsi="Arial"/>
          <w:sz w:val="15"/>
          <w:szCs w:val="15"/>
          <w:color w:val="0000EE"/>
        </w:rPr>
        <w:t xml:space="preserve"> of Distribution</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Legal</w:t>
      </w:r>
      <w:r>
        <w:rPr>
          <w:rFonts w:ascii="Arial" w:cs="Arial" w:eastAsia="Arial" w:hAnsi="Arial"/>
          <w:sz w:val="15"/>
          <w:szCs w:val="15"/>
          <w:color w:val="000000"/>
        </w:rPr>
        <w:t>​</w:t>
      </w:r>
      <w:r>
        <w:rPr>
          <w:rFonts w:ascii="Arial" w:cs="Arial" w:eastAsia="Arial" w:hAnsi="Arial"/>
          <w:sz w:val="15"/>
          <w:szCs w:val="15"/>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-10795</wp:posOffset>
            </wp:positionV>
            <wp:extent cx="4265295" cy="161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r>
        <w:rPr>
          <w:rFonts w:ascii="Arial" w:cs="Arial" w:eastAsia="Arial" w:hAnsi="Arial"/>
          <w:sz w:val="15"/>
          <w:szCs w:val="15"/>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w:t>
      </w:r>
      <w:r>
        <w:rPr>
          <w:rFonts w:ascii="Arial" w:cs="Arial" w:eastAsia="Arial" w:hAnsi="Arial"/>
          <w:sz w:val="15"/>
          <w:szCs w:val="15"/>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2</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4</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5</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6</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7</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8</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w:t>
      </w:r>
    </w:p>
    <w:p>
      <w:pPr>
        <w:sectPr>
          <w:pgSz w:w="11900" w:h="16838" w:orient="portrait"/>
          <w:cols w:equalWidth="0" w:num="2">
            <w:col w:w="6860" w:space="720"/>
            <w:col w:w="1439"/>
          </w:cols>
          <w:pgMar w:left="1440" w:top="98" w:right="1440" w:bottom="1440" w:gutter="0" w:footer="0" w:header="0"/>
        </w:sectPr>
      </w:pPr>
    </w:p>
    <w:bookmarkStart w:id="3" w:name="page4"/>
    <w:bookmarkEnd w:id="3"/>
    <w:p>
      <w:pPr>
        <w:ind w:left="12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ABOUT THIS PROSPECTUS</w:t>
      </w:r>
    </w:p>
    <w:p>
      <w:pPr>
        <w:spacing w:after="0" w:line="142" w:lineRule="exact"/>
        <w:rPr>
          <w:sz w:val="20"/>
          <w:szCs w:val="20"/>
          <w:color w:val="auto"/>
        </w:rPr>
      </w:pPr>
    </w:p>
    <w:p>
      <w:pPr>
        <w:ind w:left="1140" w:right="1159"/>
        <w:spacing w:after="0" w:line="247" w:lineRule="auto"/>
        <w:rPr>
          <w:sz w:val="20"/>
          <w:szCs w:val="20"/>
          <w:color w:val="auto"/>
        </w:rPr>
      </w:pPr>
      <w:r>
        <w:rPr>
          <w:rFonts w:ascii="Arial" w:cs="Arial" w:eastAsia="Arial" w:hAnsi="Arial"/>
          <w:sz w:val="15"/>
          <w:szCs w:val="15"/>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09" w:lineRule="exact"/>
        <w:rPr>
          <w:sz w:val="20"/>
          <w:szCs w:val="20"/>
          <w:color w:val="auto"/>
        </w:rPr>
      </w:pPr>
    </w:p>
    <w:p>
      <w:pPr>
        <w:ind w:left="1140" w:right="1199"/>
        <w:spacing w:after="0" w:line="246" w:lineRule="auto"/>
        <w:rPr>
          <w:sz w:val="20"/>
          <w:szCs w:val="20"/>
          <w:color w:val="auto"/>
        </w:rPr>
      </w:pPr>
      <w:r>
        <w:rPr>
          <w:rFonts w:ascii="Arial" w:cs="Arial" w:eastAsia="Arial" w:hAnsi="Arial"/>
          <w:sz w:val="15"/>
          <w:szCs w:val="15"/>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07" w:lineRule="exact"/>
        <w:rPr>
          <w:sz w:val="20"/>
          <w:szCs w:val="20"/>
          <w:color w:val="auto"/>
        </w:rPr>
      </w:pPr>
    </w:p>
    <w:p>
      <w:pPr>
        <w:ind w:left="1140" w:right="1219"/>
        <w:spacing w:after="0" w:line="282" w:lineRule="auto"/>
        <w:rPr>
          <w:sz w:val="20"/>
          <w:szCs w:val="20"/>
          <w:color w:val="auto"/>
        </w:rPr>
      </w:pPr>
      <w:r>
        <w:rPr>
          <w:rFonts w:ascii="Arial" w:cs="Arial" w:eastAsia="Arial" w:hAnsi="Arial"/>
          <w:sz w:val="14"/>
          <w:szCs w:val="14"/>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ind w:left="12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WHERE YOU CAN FIND MORE</w:t>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INFORMATION;</w:t>
      </w:r>
    </w:p>
    <w:p>
      <w:pPr>
        <w:ind w:left="1140"/>
        <w:spacing w:after="0"/>
        <w:rPr>
          <w:sz w:val="20"/>
          <w:szCs w:val="20"/>
          <w:color w:val="auto"/>
        </w:rPr>
      </w:pPr>
      <w:r>
        <w:rPr>
          <w:rFonts w:ascii="Arial" w:cs="Arial" w:eastAsia="Arial" w:hAnsi="Arial"/>
          <w:sz w:val="32"/>
          <w:szCs w:val="32"/>
          <w:b w:val="1"/>
          <w:bCs w:val="1"/>
          <w:color w:val="auto"/>
        </w:rPr>
        <w:t>INCORPORATION BY REFERENCE</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Available Information</w:t>
      </w:r>
    </w:p>
    <w:p>
      <w:pPr>
        <w:spacing w:after="0" w:line="141" w:lineRule="exact"/>
        <w:rPr>
          <w:sz w:val="20"/>
          <w:szCs w:val="20"/>
          <w:color w:val="auto"/>
        </w:rPr>
      </w:pPr>
    </w:p>
    <w:p>
      <w:pPr>
        <w:ind w:left="1140" w:right="1219"/>
        <w:spacing w:after="0" w:line="255" w:lineRule="auto"/>
        <w:rPr>
          <w:sz w:val="20"/>
          <w:szCs w:val="20"/>
          <w:color w:val="auto"/>
        </w:rPr>
      </w:pPr>
      <w:r>
        <w:rPr>
          <w:rFonts w:ascii="Arial" w:cs="Arial" w:eastAsia="Arial" w:hAnsi="Arial"/>
          <w:sz w:val="15"/>
          <w:szCs w:val="15"/>
          <w:color w:val="auto"/>
        </w:rPr>
        <w:t xml:space="preserve">We file reports, proxy statements, and other information with the SEC. The SEC maintains a website at </w:t>
      </w:r>
      <w:r>
        <w:rPr>
          <w:rFonts w:ascii="Arial" w:cs="Arial" w:eastAsia="Arial" w:hAnsi="Arial"/>
          <w:sz w:val="15"/>
          <w:szCs w:val="15"/>
          <w:i w:val="1"/>
          <w:iCs w:val="1"/>
          <w:color w:val="auto"/>
        </w:rPr>
        <w:t>www.sec.gov</w:t>
      </w:r>
      <w:r>
        <w:rPr>
          <w:rFonts w:ascii="Arial" w:cs="Arial" w:eastAsia="Arial" w:hAnsi="Arial"/>
          <w:sz w:val="15"/>
          <w:szCs w:val="15"/>
          <w:color w:val="auto"/>
        </w:rPr>
        <w:t>, from which interested persons can electronically access any document we file</w:t>
      </w:r>
      <w:r>
        <w:rPr>
          <w:rFonts w:ascii="Arial" w:cs="Arial" w:eastAsia="Arial" w:hAnsi="Arial"/>
          <w:sz w:val="15"/>
          <w:szCs w:val="15"/>
          <w:i w:val="1"/>
          <w:iCs w:val="1"/>
          <w:color w:val="auto"/>
        </w:rPr>
        <w:t xml:space="preserve"> </w:t>
      </w:r>
      <w:r>
        <w:rPr>
          <w:rFonts w:ascii="Arial" w:cs="Arial" w:eastAsia="Arial" w:hAnsi="Arial"/>
          <w:sz w:val="15"/>
          <w:szCs w:val="15"/>
          <w:color w:val="auto"/>
        </w:rPr>
        <w:t>electronically with the SEC.</w:t>
      </w:r>
    </w:p>
    <w:p>
      <w:pPr>
        <w:spacing w:after="0" w:line="85" w:lineRule="exact"/>
        <w:rPr>
          <w:sz w:val="20"/>
          <w:szCs w:val="20"/>
          <w:color w:val="auto"/>
        </w:rPr>
      </w:pPr>
    </w:p>
    <w:p>
      <w:pPr>
        <w:ind w:left="1140" w:right="1279"/>
        <w:spacing w:after="0" w:line="274" w:lineRule="auto"/>
        <w:rPr>
          <w:sz w:val="20"/>
          <w:szCs w:val="20"/>
          <w:color w:val="auto"/>
        </w:rPr>
      </w:pPr>
      <w:r>
        <w:rPr>
          <w:rFonts w:ascii="Arial" w:cs="Arial" w:eastAsia="Arial" w:hAnsi="Arial"/>
          <w:sz w:val="15"/>
          <w:szCs w:val="15"/>
          <w:color w:val="auto"/>
        </w:rPr>
        <w:t xml:space="preserve">Our website address is </w:t>
      </w:r>
      <w:r>
        <w:rPr>
          <w:rFonts w:ascii="Arial" w:cs="Arial" w:eastAsia="Arial" w:hAnsi="Arial"/>
          <w:sz w:val="15"/>
          <w:szCs w:val="15"/>
          <w:i w:val="1"/>
          <w:iCs w:val="1"/>
          <w:color w:val="auto"/>
        </w:rPr>
        <w:t>www.micron.com</w:t>
      </w:r>
      <w:r>
        <w:rPr>
          <w:rFonts w:ascii="Arial" w:cs="Arial" w:eastAsia="Arial" w:hAnsi="Arial"/>
          <w:sz w:val="15"/>
          <w:szCs w:val="15"/>
          <w:color w:val="auto"/>
        </w:rPr>
        <w:t>. The information on our website, however, is not, and should not be deemed to be, a part of this prospectus.</w:t>
      </w:r>
    </w:p>
    <w:p>
      <w:pPr>
        <w:spacing w:after="0" w:line="87" w:lineRule="exact"/>
        <w:rPr>
          <w:sz w:val="20"/>
          <w:szCs w:val="20"/>
          <w:color w:val="auto"/>
        </w:rPr>
      </w:pPr>
    </w:p>
    <w:p>
      <w:pPr>
        <w:ind w:left="1140" w:right="1159"/>
        <w:spacing w:after="0" w:line="248" w:lineRule="auto"/>
        <w:rPr>
          <w:sz w:val="20"/>
          <w:szCs w:val="20"/>
          <w:color w:val="auto"/>
        </w:rPr>
      </w:pPr>
      <w:r>
        <w:rPr>
          <w:rFonts w:ascii="Arial" w:cs="Arial" w:eastAsia="Arial" w:hAnsi="Arial"/>
          <w:sz w:val="15"/>
          <w:szCs w:val="15"/>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Incorporation by Reference</w:t>
      </w:r>
    </w:p>
    <w:p>
      <w:pPr>
        <w:spacing w:after="0" w:line="130" w:lineRule="exact"/>
        <w:rPr>
          <w:sz w:val="20"/>
          <w:szCs w:val="20"/>
          <w:color w:val="auto"/>
        </w:rPr>
      </w:pPr>
    </w:p>
    <w:p>
      <w:pPr>
        <w:ind w:left="1140" w:right="1239"/>
        <w:spacing w:after="0" w:line="249" w:lineRule="auto"/>
        <w:rPr>
          <w:sz w:val="20"/>
          <w:szCs w:val="20"/>
          <w:color w:val="auto"/>
        </w:rPr>
      </w:pPr>
      <w:r>
        <w:rPr>
          <w:rFonts w:ascii="Arial" w:cs="Arial" w:eastAsia="Arial" w:hAnsi="Arial"/>
          <w:sz w:val="15"/>
          <w:szCs w:val="15"/>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05" w:lineRule="exact"/>
        <w:rPr>
          <w:sz w:val="20"/>
          <w:szCs w:val="20"/>
          <w:color w:val="auto"/>
        </w:rPr>
      </w:pPr>
    </w:p>
    <w:p>
      <w:pPr>
        <w:ind w:left="1140" w:right="1179"/>
        <w:spacing w:after="0" w:line="269" w:lineRule="auto"/>
        <w:rPr>
          <w:sz w:val="20"/>
          <w:szCs w:val="20"/>
          <w:color w:val="auto"/>
        </w:rPr>
      </w:pPr>
      <w:r>
        <w:rPr>
          <w:rFonts w:ascii="Arial" w:cs="Arial" w:eastAsia="Arial" w:hAnsi="Arial"/>
          <w:sz w:val="14"/>
          <w:szCs w:val="14"/>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95" w:lineRule="exact"/>
        <w:rPr>
          <w:sz w:val="20"/>
          <w:szCs w:val="20"/>
          <w:color w:val="auto"/>
        </w:rPr>
      </w:pPr>
    </w:p>
    <w:p>
      <w:pPr>
        <w:ind w:left="1140" w:right="1859"/>
        <w:spacing w:after="0" w:line="266" w:lineRule="auto"/>
        <w:rPr>
          <w:sz w:val="20"/>
          <w:szCs w:val="20"/>
          <w:color w:val="auto"/>
        </w:rPr>
      </w:pPr>
      <w:r>
        <w:rPr>
          <w:rFonts w:ascii="Arial" w:cs="Arial" w:eastAsia="Arial" w:hAnsi="Arial"/>
          <w:sz w:val="15"/>
          <w:szCs w:val="15"/>
          <w:color w:val="auto"/>
        </w:rPr>
        <w:t>This prospectus and any accompanying prospectus supplement incorporate by reference the documents set forth below that have previously been filed with the SEC:</w:t>
      </w:r>
    </w:p>
    <w:p>
      <w:pPr>
        <w:spacing w:after="0" w:line="59" w:lineRule="exact"/>
        <w:rPr>
          <w:sz w:val="20"/>
          <w:szCs w:val="20"/>
          <w:color w:val="auto"/>
        </w:rPr>
      </w:pPr>
    </w:p>
    <w:p>
      <w:pPr>
        <w:ind w:left="1580" w:right="1319" w:hanging="138"/>
        <w:spacing w:after="0" w:line="266" w:lineRule="auto"/>
        <w:tabs>
          <w:tab w:leader="none" w:pos="1580" w:val="left"/>
        </w:tabs>
        <w:numPr>
          <w:ilvl w:val="0"/>
          <w:numId w:val="1"/>
        </w:numPr>
        <w:rPr>
          <w:rFonts w:ascii="Arial" w:cs="Arial" w:eastAsia="Arial" w:hAnsi="Arial"/>
          <w:sz w:val="15"/>
          <w:szCs w:val="15"/>
          <w:u w:val="single" w:color="auto"/>
          <w:color w:val="0000EE"/>
        </w:rPr>
      </w:pPr>
      <w:hyperlink r:id="rId29">
        <w:r>
          <w:rPr>
            <w:rFonts w:ascii="Arial" w:cs="Arial" w:eastAsia="Arial" w:hAnsi="Arial"/>
            <w:sz w:val="15"/>
            <w:szCs w:val="15"/>
            <w:u w:val="single" w:color="auto"/>
            <w:color w:val="0000EE"/>
          </w:rPr>
          <w:t>Our Annual Report on Form 10-K for the fiscal year ended August 31, 2023, filed with the SEC</w:t>
        </w:r>
      </w:hyperlink>
      <w:r>
        <w:rPr>
          <w:rFonts w:ascii="Arial" w:cs="Arial" w:eastAsia="Arial" w:hAnsi="Arial"/>
          <w:sz w:val="15"/>
          <w:szCs w:val="15"/>
          <w:u w:val="single" w:color="auto"/>
          <w:color w:val="0000EE"/>
        </w:rPr>
        <w:t xml:space="preserve"> </w:t>
      </w:r>
      <w:hyperlink r:id="rId29">
        <w:r>
          <w:rPr>
            <w:rFonts w:ascii="Arial" w:cs="Arial" w:eastAsia="Arial" w:hAnsi="Arial"/>
            <w:sz w:val="15"/>
            <w:szCs w:val="15"/>
            <w:u w:val="single" w:color="auto"/>
            <w:color w:val="0000EE"/>
          </w:rPr>
          <w:t>on October 6, 2023.</w:t>
        </w:r>
      </w:hyperlink>
    </w:p>
    <w:p>
      <w:pPr>
        <w:spacing w:after="0" w:line="59" w:lineRule="exact"/>
        <w:rPr>
          <w:rFonts w:ascii="Arial" w:cs="Arial" w:eastAsia="Arial" w:hAnsi="Arial"/>
          <w:sz w:val="15"/>
          <w:szCs w:val="15"/>
          <w:u w:val="single" w:color="auto"/>
          <w:color w:val="0000EE"/>
        </w:rPr>
      </w:pPr>
    </w:p>
    <w:p>
      <w:pPr>
        <w:ind w:left="1580" w:right="1179" w:hanging="138"/>
        <w:spacing w:after="0" w:line="255" w:lineRule="auto"/>
        <w:tabs>
          <w:tab w:leader="none" w:pos="1580" w:val="left"/>
        </w:tabs>
        <w:numPr>
          <w:ilvl w:val="0"/>
          <w:numId w:val="1"/>
        </w:numPr>
        <w:rPr>
          <w:rFonts w:ascii="Arial" w:cs="Arial" w:eastAsia="Arial" w:hAnsi="Arial"/>
          <w:sz w:val="15"/>
          <w:szCs w:val="15"/>
          <w:u w:val="single" w:color="auto"/>
          <w:color w:val="0000EE"/>
        </w:rPr>
      </w:pPr>
      <w:hyperlink r:id="rId30">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w:t>
        </w:r>
      </w:hyperlink>
      <w:r>
        <w:rPr>
          <w:rFonts w:ascii="Arial" w:cs="Arial" w:eastAsia="Arial" w:hAnsi="Arial"/>
          <w:sz w:val="15"/>
          <w:szCs w:val="15"/>
          <w:color w:val="auto"/>
        </w:rPr>
        <w:t xml:space="preserve"> </w:t>
      </w:r>
      <w:hyperlink r:id="rId31">
        <w:r>
          <w:rPr>
            <w:rFonts w:ascii="Arial" w:cs="Arial" w:eastAsia="Arial" w:hAnsi="Arial"/>
            <w:sz w:val="15"/>
            <w:szCs w:val="15"/>
            <w:u w:val="single" w:color="auto"/>
            <w:color w:val="0000EE"/>
          </w:rPr>
          <w:t>fiscal year ended September 1, 2022</w:t>
        </w:r>
        <w:r>
          <w:rPr>
            <w:rFonts w:ascii="Arial" w:cs="Arial" w:eastAsia="Arial" w:hAnsi="Arial"/>
            <w:sz w:val="15"/>
            <w:szCs w:val="15"/>
            <w:color w:val="0000EE"/>
          </w:rPr>
          <w:t xml:space="preserve"> </w:t>
        </w:r>
        <w:r>
          <w:rPr>
            <w:rFonts w:ascii="Arial" w:cs="Arial" w:eastAsia="Arial" w:hAnsi="Arial"/>
            <w:sz w:val="15"/>
            <w:szCs w:val="15"/>
            <w:color w:val="000000"/>
          </w:rPr>
          <w:t>from our</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Definitive Proxy Statement on Schedule 14A, filed</w:t>
        </w:r>
      </w:hyperlink>
      <w:r>
        <w:rPr>
          <w:rFonts w:ascii="Arial" w:cs="Arial" w:eastAsia="Arial" w:hAnsi="Arial"/>
          <w:sz w:val="15"/>
          <w:szCs w:val="15"/>
          <w:color w:val="0000EE"/>
        </w:rPr>
        <w:t xml:space="preserve"> </w:t>
      </w:r>
      <w:hyperlink r:id="rId31">
        <w:r>
          <w:rPr>
            <w:rFonts w:ascii="Arial" w:cs="Arial" w:eastAsia="Arial" w:hAnsi="Arial"/>
            <w:sz w:val="15"/>
            <w:szCs w:val="15"/>
            <w:u w:val="single" w:color="auto"/>
            <w:color w:val="0000EE"/>
          </w:rPr>
          <w:t>with the SEC on December 2, 2022.</w:t>
        </w:r>
      </w:hyperlink>
    </w:p>
    <w:p>
      <w:pPr>
        <w:spacing w:after="0" w:line="68" w:lineRule="exact"/>
        <w:rPr>
          <w:rFonts w:ascii="Arial" w:cs="Arial" w:eastAsia="Arial" w:hAnsi="Arial"/>
          <w:sz w:val="15"/>
          <w:szCs w:val="15"/>
          <w:u w:val="single" w:color="auto"/>
          <w:color w:val="0000EE"/>
        </w:rPr>
      </w:pPr>
    </w:p>
    <w:p>
      <w:pPr>
        <w:ind w:left="1580" w:right="1319" w:hanging="138"/>
        <w:spacing w:after="0" w:line="255" w:lineRule="auto"/>
        <w:tabs>
          <w:tab w:leader="none" w:pos="1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The description of our common stock, par value $0.10 per share, contained in our registration statement on </w:t>
      </w:r>
      <w:hyperlink r:id="rId32">
        <w:r>
          <w:rPr>
            <w:rFonts w:ascii="Arial" w:cs="Arial" w:eastAsia="Arial" w:hAnsi="Arial"/>
            <w:sz w:val="15"/>
            <w:szCs w:val="15"/>
            <w:u w:val="single" w:color="auto"/>
            <w:color w:val="0000EE"/>
          </w:rPr>
          <w:t>Form 8-A, filed with the SEC on December 21, 2009</w:t>
        </w:r>
      </w:hyperlink>
      <w:r>
        <w:rPr>
          <w:rFonts w:ascii="Arial" w:cs="Arial" w:eastAsia="Arial" w:hAnsi="Arial"/>
          <w:sz w:val="15"/>
          <w:szCs w:val="15"/>
          <w:color w:val="auto"/>
        </w:rPr>
        <w:t>, including any subsequently filed amendments and reports updating such description.</w:t>
      </w:r>
    </w:p>
    <w:p>
      <w:pPr>
        <w:spacing w:after="0" w:line="102" w:lineRule="exact"/>
        <w:rPr>
          <w:rFonts w:ascii="Arial" w:cs="Arial" w:eastAsia="Arial" w:hAnsi="Arial"/>
          <w:sz w:val="15"/>
          <w:szCs w:val="15"/>
          <w:color w:val="0000EE"/>
        </w:rPr>
      </w:pPr>
    </w:p>
    <w:p>
      <w:pPr>
        <w:ind w:left="1140" w:right="1379"/>
        <w:spacing w:after="0" w:line="302" w:lineRule="auto"/>
        <w:rPr>
          <w:sz w:val="20"/>
          <w:szCs w:val="20"/>
          <w:color w:val="auto"/>
        </w:rPr>
      </w:pPr>
      <w:r>
        <w:rPr>
          <w:rFonts w:ascii="Arial" w:cs="Arial" w:eastAsia="Arial" w:hAnsi="Arial"/>
          <w:sz w:val="14"/>
          <w:szCs w:val="14"/>
          <w:color w:val="auto"/>
        </w:rPr>
        <w:t>All reports and other documents we subsequently file pursuant to Section 13(a), 13(c), 14 or 15(d) of the Exchange Act prior to the termination of this offering but excluding any information furnished to,</w:t>
      </w:r>
    </w:p>
    <w:p>
      <w:pPr>
        <w:spacing w:after="0" w:line="268" w:lineRule="exact"/>
        <w:rPr>
          <w:rFonts w:ascii="Arial" w:cs="Arial" w:eastAsia="Arial" w:hAnsi="Arial"/>
          <w:sz w:val="15"/>
          <w:szCs w:val="15"/>
          <w:color w:val="0000EE"/>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 w:name="page6"/>
    <w:bookmarkEnd w:id="5"/>
    <w:p>
      <w:pPr>
        <w:ind w:left="12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40" w:right="1259"/>
        <w:spacing w:after="0" w:line="266" w:lineRule="auto"/>
        <w:rPr>
          <w:sz w:val="20"/>
          <w:szCs w:val="20"/>
          <w:color w:val="auto"/>
        </w:rPr>
      </w:pPr>
      <w:r>
        <w:rPr>
          <w:rFonts w:ascii="Arial" w:cs="Arial" w:eastAsia="Arial" w:hAnsi="Arial"/>
          <w:sz w:val="15"/>
          <w:szCs w:val="15"/>
          <w:color w:val="auto"/>
        </w:rPr>
        <w:t>rather than filed with, the SEC, will also be incorporated by reference into this prospectus and deemed to be part of this prospectus from the date of the filing of such reports and documents.</w:t>
      </w:r>
    </w:p>
    <w:p>
      <w:pPr>
        <w:spacing w:after="0" w:line="92" w:lineRule="exact"/>
        <w:rPr>
          <w:sz w:val="20"/>
          <w:szCs w:val="20"/>
          <w:color w:val="auto"/>
        </w:rPr>
      </w:pPr>
    </w:p>
    <w:p>
      <w:pPr>
        <w:ind w:left="1140" w:right="1239"/>
        <w:spacing w:after="0" w:line="255" w:lineRule="auto"/>
        <w:rPr>
          <w:sz w:val="20"/>
          <w:szCs w:val="20"/>
          <w:color w:val="auto"/>
        </w:rPr>
      </w:pPr>
      <w:r>
        <w:rPr>
          <w:rFonts w:ascii="Arial" w:cs="Arial" w:eastAsia="Arial" w:hAnsi="Arial"/>
          <w:sz w:val="15"/>
          <w:szCs w:val="15"/>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02"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Micron Technology, Inc.</w:t>
      </w:r>
    </w:p>
    <w:p>
      <w:pPr>
        <w:spacing w:after="0" w:line="14"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8000 South Federal Way</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15"/>
          <w:szCs w:val="15"/>
          <w:color w:val="auto"/>
        </w:rPr>
        <w:t>Boise, Idaho 83716-9632</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(208) 368-4000</w:t>
      </w:r>
    </w:p>
    <w:p>
      <w:pPr>
        <w:spacing w:after="0" w:line="105" w:lineRule="exact"/>
        <w:rPr>
          <w:sz w:val="20"/>
          <w:szCs w:val="20"/>
          <w:color w:val="auto"/>
        </w:rPr>
      </w:pPr>
    </w:p>
    <w:p>
      <w:pPr>
        <w:jc w:val="both"/>
        <w:ind w:left="1140" w:right="1999"/>
        <w:spacing w:after="0" w:line="302" w:lineRule="auto"/>
        <w:rPr>
          <w:sz w:val="20"/>
          <w:szCs w:val="20"/>
          <w:color w:val="auto"/>
        </w:rPr>
      </w:pPr>
      <w:r>
        <w:rPr>
          <w:rFonts w:ascii="Arial" w:cs="Arial" w:eastAsia="Arial" w:hAnsi="Arial"/>
          <w:sz w:val="14"/>
          <w:szCs w:val="14"/>
          <w:color w:val="auto"/>
        </w:rPr>
        <w:t>Exhibits to the filings will not be sent, however, unless those exhibits have specifically been incorporated by reference in this prospectus or any accompanying prospectus supplement.</w:t>
      </w:r>
    </w:p>
    <w:p>
      <w:pPr>
        <w:spacing w:after="0" w:line="70" w:lineRule="exact"/>
        <w:rPr>
          <w:sz w:val="20"/>
          <w:szCs w:val="20"/>
          <w:color w:val="auto"/>
        </w:rPr>
      </w:pPr>
    </w:p>
    <w:p>
      <w:pPr>
        <w:ind w:left="1140" w:right="1759"/>
        <w:spacing w:after="0" w:line="302" w:lineRule="auto"/>
        <w:rPr>
          <w:sz w:val="20"/>
          <w:szCs w:val="20"/>
          <w:color w:val="auto"/>
        </w:rPr>
      </w:pPr>
      <w:r>
        <w:rPr>
          <w:rFonts w:ascii="Arial" w:cs="Arial" w:eastAsia="Arial" w:hAnsi="Arial"/>
          <w:sz w:val="14"/>
          <w:szCs w:val="14"/>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 w:name="page7"/>
    <w:bookmarkEnd w:id="6"/>
    <w:p>
      <w:pPr>
        <w:ind w:left="12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THE COMPANY</w:t>
      </w:r>
    </w:p>
    <w:p>
      <w:pPr>
        <w:spacing w:after="0" w:line="142" w:lineRule="exact"/>
        <w:rPr>
          <w:sz w:val="20"/>
          <w:szCs w:val="20"/>
          <w:color w:val="auto"/>
        </w:rPr>
      </w:pPr>
    </w:p>
    <w:p>
      <w:pPr>
        <w:ind w:left="1140" w:right="1159"/>
        <w:spacing w:after="0" w:line="220" w:lineRule="auto"/>
        <w:rPr>
          <w:sz w:val="20"/>
          <w:szCs w:val="20"/>
          <w:color w:val="auto"/>
        </w:rPr>
      </w:pPr>
      <w:r>
        <w:rPr>
          <w:rFonts w:ascii="Arial" w:cs="Arial" w:eastAsia="Arial" w:hAnsi="Arial"/>
          <w:sz w:val="15"/>
          <w:szCs w:val="15"/>
          <w:color w:val="auto"/>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and Crucial</w:t>
      </w:r>
      <w:r>
        <w:rPr>
          <w:rFonts w:ascii="Arial" w:cs="Arial" w:eastAsia="Arial" w:hAnsi="Arial"/>
          <w:sz w:val="22"/>
          <w:szCs w:val="22"/>
          <w:color w:val="auto"/>
          <w:vertAlign w:val="superscript"/>
        </w:rPr>
        <w:t>®</w:t>
      </w:r>
      <w:r>
        <w:rPr>
          <w:rFonts w:ascii="Arial" w:cs="Arial" w:eastAsia="Arial" w:hAnsi="Arial"/>
          <w:sz w:val="15"/>
          <w:szCs w:val="15"/>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15" w:lineRule="exact"/>
        <w:rPr>
          <w:sz w:val="20"/>
          <w:szCs w:val="20"/>
          <w:color w:val="auto"/>
        </w:rPr>
      </w:pPr>
    </w:p>
    <w:p>
      <w:pPr>
        <w:ind w:left="1140" w:right="1179"/>
        <w:spacing w:after="0" w:line="266" w:lineRule="auto"/>
        <w:rPr>
          <w:sz w:val="20"/>
          <w:szCs w:val="20"/>
          <w:color w:val="auto"/>
        </w:rPr>
      </w:pPr>
      <w:r>
        <w:rPr>
          <w:rFonts w:ascii="Arial" w:cs="Arial" w:eastAsia="Arial" w:hAnsi="Arial"/>
          <w:sz w:val="14"/>
          <w:szCs w:val="14"/>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87" w:lineRule="exact"/>
        <w:rPr>
          <w:sz w:val="20"/>
          <w:szCs w:val="20"/>
          <w:color w:val="auto"/>
        </w:rPr>
      </w:pPr>
    </w:p>
    <w:p>
      <w:pPr>
        <w:jc w:val="both"/>
        <w:ind w:left="1140" w:right="1399"/>
        <w:spacing w:after="0" w:line="282" w:lineRule="auto"/>
        <w:rPr>
          <w:sz w:val="20"/>
          <w:szCs w:val="20"/>
          <w:color w:val="auto"/>
        </w:rPr>
      </w:pPr>
      <w:r>
        <w:rPr>
          <w:rFonts w:ascii="Arial" w:cs="Arial" w:eastAsia="Arial" w:hAnsi="Arial"/>
          <w:sz w:val="14"/>
          <w:szCs w:val="14"/>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ind w:left="12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RISK FACTORS</w:t>
      </w:r>
    </w:p>
    <w:p>
      <w:pPr>
        <w:spacing w:after="0" w:line="142" w:lineRule="exact"/>
        <w:rPr>
          <w:sz w:val="20"/>
          <w:szCs w:val="20"/>
          <w:color w:val="auto"/>
        </w:rPr>
      </w:pPr>
    </w:p>
    <w:p>
      <w:pPr>
        <w:ind w:left="1140" w:right="1359"/>
        <w:spacing w:after="0" w:line="248" w:lineRule="auto"/>
        <w:rPr>
          <w:sz w:val="20"/>
          <w:szCs w:val="20"/>
          <w:color w:val="auto"/>
        </w:rPr>
      </w:pPr>
      <w:r>
        <w:rPr>
          <w:rFonts w:ascii="Arial" w:cs="Arial" w:eastAsia="Arial" w:hAnsi="Arial"/>
          <w:sz w:val="15"/>
          <w:szCs w:val="15"/>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 w:name="page9"/>
    <w:bookmarkEnd w:id="8"/>
    <w:p>
      <w:pPr>
        <w:ind w:left="12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USE OF PROCEEDS</w:t>
      </w:r>
    </w:p>
    <w:p>
      <w:pPr>
        <w:spacing w:after="0" w:line="142" w:lineRule="exact"/>
        <w:rPr>
          <w:sz w:val="20"/>
          <w:szCs w:val="20"/>
          <w:color w:val="auto"/>
        </w:rPr>
      </w:pPr>
    </w:p>
    <w:p>
      <w:pPr>
        <w:ind w:left="1140" w:right="1839"/>
        <w:spacing w:after="0" w:line="266" w:lineRule="auto"/>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 w:name="page10"/>
    <w:bookmarkEnd w:id="9"/>
    <w:p>
      <w:pPr>
        <w:ind w:left="12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DESCRIPTION OF SECURITIES</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We may issue from time to time, in one or more offerings, the following securities:</w:t>
      </w:r>
    </w:p>
    <w:p>
      <w:pPr>
        <w:spacing w:after="0" w:line="92" w:lineRule="exact"/>
        <w:rPr>
          <w:sz w:val="20"/>
          <w:szCs w:val="20"/>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shares of common stock, par value $0.10 per share, of the Company;</w:t>
      </w:r>
    </w:p>
    <w:p>
      <w:pPr>
        <w:spacing w:after="0" w:line="92" w:lineRule="exact"/>
        <w:rPr>
          <w:rFonts w:ascii="Arial" w:cs="Arial" w:eastAsia="Arial" w:hAnsi="Arial"/>
          <w:sz w:val="15"/>
          <w:szCs w:val="15"/>
          <w:color w:val="auto"/>
        </w:rPr>
      </w:pPr>
    </w:p>
    <w:p>
      <w:pPr>
        <w:ind w:left="1580" w:right="1479" w:hanging="138"/>
        <w:spacing w:after="0" w:line="266" w:lineRule="auto"/>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debt securities, which may be senior or subordinated, and which may be convertible into our common stock or be non-convertible;</w:t>
      </w:r>
    </w:p>
    <w:p>
      <w:pPr>
        <w:spacing w:after="0" w:line="59"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warrants;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purchase contracts; 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units.</w:t>
      </w:r>
    </w:p>
    <w:p>
      <w:pPr>
        <w:spacing w:after="0" w:line="126" w:lineRule="exact"/>
        <w:rPr>
          <w:sz w:val="20"/>
          <w:szCs w:val="20"/>
          <w:color w:val="auto"/>
        </w:rPr>
      </w:pPr>
    </w:p>
    <w:p>
      <w:pPr>
        <w:ind w:left="1140" w:right="1239"/>
        <w:spacing w:after="0" w:line="255" w:lineRule="auto"/>
        <w:rPr>
          <w:sz w:val="20"/>
          <w:szCs w:val="20"/>
          <w:color w:val="auto"/>
        </w:rPr>
      </w:pPr>
      <w:r>
        <w:rPr>
          <w:rFonts w:ascii="Arial" w:cs="Arial" w:eastAsia="Arial" w:hAnsi="Arial"/>
          <w:sz w:val="15"/>
          <w:szCs w:val="15"/>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91" w:lineRule="exact"/>
        <w:rPr>
          <w:sz w:val="20"/>
          <w:szCs w:val="20"/>
          <w:color w:val="auto"/>
        </w:rPr>
      </w:pPr>
    </w:p>
    <w:p>
      <w:pPr>
        <w:ind w:left="1140" w:right="1179"/>
        <w:spacing w:after="0" w:line="250" w:lineRule="auto"/>
        <w:rPr>
          <w:sz w:val="20"/>
          <w:szCs w:val="20"/>
          <w:color w:val="auto"/>
        </w:rPr>
      </w:pPr>
      <w:r>
        <w:rPr>
          <w:rFonts w:ascii="Arial" w:cs="Arial" w:eastAsia="Arial" w:hAnsi="Arial"/>
          <w:sz w:val="15"/>
          <w:szCs w:val="15"/>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 w:name="page11"/>
    <w:bookmarkEnd w:id="10"/>
    <w:p>
      <w:pPr>
        <w:ind w:left="12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PLAN OF DISTRIBUTION</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We may sell the offered securities from time to time:</w:t>
      </w:r>
    </w:p>
    <w:p>
      <w:pPr>
        <w:spacing w:after="0" w:line="92" w:lineRule="exact"/>
        <w:rPr>
          <w:sz w:val="20"/>
          <w:szCs w:val="20"/>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through underwriters or dealers;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through agents;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directly to one or more purchasers; or</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through a combination of any of these methods of sale.</w:t>
      </w:r>
    </w:p>
    <w:p>
      <w:pPr>
        <w:spacing w:after="0" w:line="126" w:lineRule="exact"/>
        <w:rPr>
          <w:sz w:val="20"/>
          <w:szCs w:val="20"/>
          <w:color w:val="auto"/>
        </w:rPr>
      </w:pPr>
    </w:p>
    <w:p>
      <w:pPr>
        <w:ind w:left="1140" w:right="1439"/>
        <w:spacing w:after="0" w:line="266" w:lineRule="auto"/>
        <w:rPr>
          <w:sz w:val="20"/>
          <w:szCs w:val="20"/>
          <w:color w:val="auto"/>
        </w:rPr>
      </w:pPr>
      <w:r>
        <w:rPr>
          <w:rFonts w:ascii="Arial" w:cs="Arial" w:eastAsia="Arial" w:hAnsi="Arial"/>
          <w:sz w:val="15"/>
          <w:szCs w:val="15"/>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 w:name="page12"/>
    <w:bookmarkEnd w:id="11"/>
    <w:p>
      <w:pPr>
        <w:ind w:left="12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LEGAL MATTERS</w:t>
      </w:r>
    </w:p>
    <w:p>
      <w:pPr>
        <w:spacing w:after="0" w:line="142" w:lineRule="exact"/>
        <w:rPr>
          <w:sz w:val="20"/>
          <w:szCs w:val="20"/>
          <w:color w:val="auto"/>
        </w:rPr>
      </w:pPr>
    </w:p>
    <w:p>
      <w:pPr>
        <w:ind w:left="1140" w:right="1559"/>
        <w:spacing w:after="0" w:line="276" w:lineRule="auto"/>
        <w:rPr>
          <w:sz w:val="20"/>
          <w:szCs w:val="20"/>
          <w:color w:val="auto"/>
        </w:rPr>
      </w:pPr>
      <w:r>
        <w:rPr>
          <w:rFonts w:ascii="Arial" w:cs="Arial" w:eastAsia="Arial" w:hAnsi="Arial"/>
          <w:sz w:val="14"/>
          <w:szCs w:val="14"/>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07"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EXPERTS</w:t>
      </w:r>
    </w:p>
    <w:p>
      <w:pPr>
        <w:spacing w:after="0" w:line="142" w:lineRule="exact"/>
        <w:rPr>
          <w:sz w:val="20"/>
          <w:szCs w:val="20"/>
          <w:color w:val="auto"/>
        </w:rPr>
      </w:pPr>
    </w:p>
    <w:p>
      <w:pPr>
        <w:ind w:left="1140" w:right="1239"/>
        <w:spacing w:after="0" w:line="249" w:lineRule="auto"/>
        <w:rPr>
          <w:rFonts w:ascii="Arial" w:cs="Arial" w:eastAsia="Arial" w:hAnsi="Arial"/>
          <w:sz w:val="15"/>
          <w:szCs w:val="15"/>
          <w:color w:val="auto"/>
        </w:rPr>
      </w:pPr>
      <w:r>
        <w:rPr>
          <w:rFonts w:ascii="Arial" w:cs="Arial" w:eastAsia="Arial" w:hAnsi="Arial"/>
          <w:sz w:val="15"/>
          <w:szCs w:val="15"/>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29">
        <w:r>
          <w:rPr>
            <w:rFonts w:ascii="Arial" w:cs="Arial" w:eastAsia="Arial" w:hAnsi="Arial"/>
            <w:sz w:val="15"/>
            <w:szCs w:val="15"/>
            <w:u w:val="single" w:color="auto"/>
            <w:color w:val="0000EE"/>
          </w:rPr>
          <w:t>Annual Report on Form 10-K</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Micron Technology, Inc. for the year ended August 31, 2023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 w:name="page13"/>
    <w:bookmarkEnd w:id="12"/>
    <w:p>
      <w:pPr>
        <w:ind w:left="12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auto"/>
        </w:rPr>
        <w:t>PART II</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auto"/>
        </w:rPr>
        <w:t>INFORMATION NOT REQUIRED IN PROSPECTUS</w:t>
      </w:r>
    </w:p>
    <w:p>
      <w:pPr>
        <w:spacing w:after="0" w:line="136"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auto"/>
        </w:rPr>
        <w:t>Item 14.  Other Expenses of Issuance and Distribution</w:t>
      </w:r>
    </w:p>
    <w:p>
      <w:pPr>
        <w:spacing w:after="0" w:line="133" w:lineRule="exact"/>
        <w:rPr>
          <w:sz w:val="20"/>
          <w:szCs w:val="20"/>
          <w:color w:val="auto"/>
        </w:rPr>
      </w:pPr>
    </w:p>
    <w:p>
      <w:pPr>
        <w:ind w:left="1140" w:right="1279"/>
        <w:spacing w:after="0" w:line="250" w:lineRule="auto"/>
        <w:rPr>
          <w:sz w:val="20"/>
          <w:szCs w:val="20"/>
          <w:color w:val="auto"/>
        </w:rPr>
      </w:pPr>
      <w:r>
        <w:rPr>
          <w:rFonts w:ascii="Arial" w:cs="Arial" w:eastAsia="Arial" w:hAnsi="Arial"/>
          <w:sz w:val="15"/>
          <w:szCs w:val="15"/>
          <w:color w:val="auto"/>
        </w:rPr>
        <w:t>The following is an estimate of the expenses (all of which are to be paid by the registrant) that we may incur in connection with the securities being registered hereby.</w:t>
      </w:r>
    </w:p>
    <w:p>
      <w:pPr>
        <w:sectPr>
          <w:pgSz w:w="11900" w:h="16838" w:orient="portrait"/>
          <w:cols w:equalWidth="0" w:num="1">
            <w:col w:w="9019"/>
          </w:cols>
          <w:pgMar w:left="1440" w:top="98" w:right="1440" w:bottom="1440" w:gutter="0" w:footer="0" w:header="0"/>
        </w:sectPr>
      </w:pPr>
    </w:p>
    <w:p>
      <w:pPr>
        <w:spacing w:after="0" w:line="12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-102235</wp:posOffset>
            </wp:positionV>
            <wp:extent cx="4262120" cy="105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4262120" cy="105410"/>
                    </a:xfrm>
                    <a:prstGeom prst="rect">
                      <a:avLst/>
                    </a:prstGeom>
                    <a:noFill/>
                  </pic:spPr>
                </pic:pic>
              </a:graphicData>
            </a:graphic>
          </wp:anchor>
        </w:drawing>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9525</wp:posOffset>
            </wp:positionV>
            <wp:extent cx="4262120" cy="133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Legal​ fees and expenses (including Blue Sky fees)</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9525</wp:posOffset>
            </wp:positionV>
            <wp:extent cx="4262120" cy="133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Transfer​ agent, trustee, and warrant agent fees and expenses</w:t>
      </w:r>
    </w:p>
    <w:p>
      <w:pPr>
        <w:ind w:left="1140"/>
        <w:spacing w:after="0" w:line="193" w:lineRule="auto"/>
        <w:rPr>
          <w:sz w:val="20"/>
          <w:szCs w:val="20"/>
          <w:color w:val="auto"/>
        </w:rPr>
      </w:pPr>
      <w:r>
        <w:rPr>
          <w:rFonts w:ascii="Arial" w:cs="Arial" w:eastAsia="Arial" w:hAnsi="Arial"/>
          <w:sz w:val="15"/>
          <w:szCs w:val="15"/>
          <w:color w:val="auto"/>
        </w:rPr>
        <w:t>Miscellaneous</w:t>
      </w:r>
      <w:r>
        <w:rPr>
          <w:rFonts w:ascii="Arial" w:cs="Arial" w:eastAsia="Arial" w:hAnsi="Arial"/>
          <w:sz w:val="29"/>
          <w:szCs w:val="29"/>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-12700</wp:posOffset>
            </wp:positionV>
            <wp:extent cx="4262120" cy="161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4262120" cy="161290"/>
                    </a:xfrm>
                    <a:prstGeom prst="rect">
                      <a:avLst/>
                    </a:prstGeom>
                    <a:noFill/>
                  </pic:spPr>
                </pic:pic>
              </a:graphicData>
            </a:graphic>
          </wp:anchor>
        </w:drawing>
      </w:r>
    </w:p>
    <w:p>
      <w:pPr>
        <w:ind w:left="1140"/>
        <w:spacing w:after="0" w:line="180" w:lineRule="auto"/>
        <w:rPr>
          <w:sz w:val="20"/>
          <w:szCs w:val="20"/>
          <w:color w:val="auto"/>
        </w:rPr>
      </w:pPr>
      <w:r>
        <w:rPr>
          <w:rFonts w:ascii="Arial" w:cs="Arial" w:eastAsia="Arial" w:hAnsi="Arial"/>
          <w:sz w:val="9"/>
          <w:szCs w:val="9"/>
          <w:color w:val="auto"/>
        </w:rPr>
        <w:t>Total</w:t>
      </w:r>
    </w:p>
    <w:p>
      <w:pPr>
        <w:ind w:left="11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52070</wp:posOffset>
            </wp:positionV>
            <wp:extent cx="100965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22"/>
          <w:szCs w:val="22"/>
          <w:color w:val="auto"/>
          <w:vertAlign w:val="superscript"/>
        </w:rPr>
        <w:t>(1)</w:t>
      </w:r>
      <w:r>
        <w:rPr>
          <w:rFonts w:ascii="Arial" w:cs="Arial" w:eastAsia="Arial" w:hAnsi="Arial"/>
          <w:sz w:val="15"/>
          <w:szCs w:val="15"/>
          <w:color w:val="auto"/>
        </w:rPr>
        <w:t>​</w:t>
      </w:r>
    </w:p>
    <w:tbl>
      <w:tblPr>
        <w:tblLayout w:type="fixed"/>
        <w:tblInd w:w="0" w:type="dxa"/>
        <w:tblCellMar>
          <w:top w:w="0" w:type="dxa"/>
          <w:left w:w="0" w:type="dxa"/>
          <w:bottom w:w="0" w:type="dxa"/>
          <w:right w:w="0" w:type="dxa"/>
        </w:tblCellMar>
      </w:tblPr>
      <w:tr>
        <w:trPr>
          <w:trHeight w:val="202"/>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320" w:type="dxa"/>
            <w:vAlign w:val="bottom"/>
          </w:tcPr>
          <w:p>
            <w:pPr>
              <w:ind w:left="20"/>
              <w:spacing w:after="0"/>
              <w:rPr>
                <w:sz w:val="20"/>
                <w:szCs w:val="20"/>
                <w:color w:val="auto"/>
              </w:rPr>
            </w:pPr>
            <w:r>
              <w:rPr>
                <w:rFonts w:ascii="Arial" w:cs="Arial" w:eastAsia="Arial" w:hAnsi="Arial"/>
                <w:sz w:val="11"/>
                <w:szCs w:val="11"/>
                <w:color w:val="auto"/>
              </w:rPr>
              <w:t>​</w:t>
            </w:r>
          </w:p>
        </w:tc>
        <w:tc>
          <w:tcPr>
            <w:tcW w:w="420" w:type="dxa"/>
            <w:vAlign w:val="bottom"/>
          </w:tcPr>
          <w:p>
            <w:pPr>
              <w:ind w:left="280"/>
              <w:spacing w:after="0" w:line="202" w:lineRule="exact"/>
              <w:rPr>
                <w:sz w:val="20"/>
                <w:szCs w:val="20"/>
                <w:color w:val="auto"/>
              </w:rPr>
            </w:pPr>
            <w:r>
              <w:rPr>
                <w:rFonts w:ascii="Arial" w:cs="Arial" w:eastAsia="Arial" w:hAnsi="Arial"/>
                <w:sz w:val="10"/>
                <w:szCs w:val="10"/>
                <w:color w:val="auto"/>
                <w:w w:val="97"/>
              </w:rPr>
              <w:t>(2)</w:t>
            </w:r>
            <w:r>
              <w:rPr>
                <w:rFonts w:ascii="Arial" w:cs="Arial" w:eastAsia="Arial" w:hAnsi="Arial"/>
                <w:sz w:val="23"/>
                <w:szCs w:val="23"/>
                <w:color w:val="auto"/>
                <w:w w:val="97"/>
                <w:vertAlign w:val="subscript"/>
              </w:rPr>
              <w:t>​</w:t>
            </w:r>
          </w:p>
        </w:tc>
      </w:tr>
      <w:tr>
        <w:trPr>
          <w:trHeight w:val="210"/>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320" w:type="dxa"/>
            <w:vAlign w:val="bottom"/>
          </w:tcPr>
          <w:p>
            <w:pPr>
              <w:ind w:left="20"/>
              <w:spacing w:after="0"/>
              <w:rPr>
                <w:sz w:val="20"/>
                <w:szCs w:val="20"/>
                <w:color w:val="auto"/>
              </w:rPr>
            </w:pPr>
            <w:r>
              <w:rPr>
                <w:rFonts w:ascii="Arial" w:cs="Arial" w:eastAsia="Arial" w:hAnsi="Arial"/>
                <w:sz w:val="11"/>
                <w:szCs w:val="11"/>
                <w:color w:val="auto"/>
              </w:rPr>
              <w:t>​</w:t>
            </w:r>
          </w:p>
        </w:tc>
        <w:tc>
          <w:tcPr>
            <w:tcW w:w="420" w:type="dxa"/>
            <w:vAlign w:val="bottom"/>
          </w:tcPr>
          <w:p>
            <w:pPr>
              <w:ind w:left="280"/>
              <w:spacing w:after="0" w:line="210" w:lineRule="exact"/>
              <w:rPr>
                <w:sz w:val="20"/>
                <w:szCs w:val="20"/>
                <w:color w:val="auto"/>
              </w:rPr>
            </w:pPr>
            <w:r>
              <w:rPr>
                <w:rFonts w:ascii="Arial" w:cs="Arial" w:eastAsia="Arial" w:hAnsi="Arial"/>
                <w:sz w:val="10"/>
                <w:szCs w:val="10"/>
                <w:color w:val="auto"/>
                <w:w w:val="97"/>
              </w:rPr>
              <w:t>(2)</w:t>
            </w:r>
            <w:r>
              <w:rPr>
                <w:rFonts w:ascii="Arial" w:cs="Arial" w:eastAsia="Arial" w:hAnsi="Arial"/>
                <w:sz w:val="24"/>
                <w:szCs w:val="24"/>
                <w:color w:val="auto"/>
                <w:w w:val="97"/>
                <w:vertAlign w:val="subscript"/>
              </w:rPr>
              <w:t>​</w:t>
            </w:r>
          </w:p>
        </w:tc>
      </w:tr>
      <w:tr>
        <w:trPr>
          <w:trHeight w:val="210"/>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320" w:type="dxa"/>
            <w:vAlign w:val="bottom"/>
          </w:tcPr>
          <w:p>
            <w:pPr>
              <w:ind w:left="20"/>
              <w:spacing w:after="0"/>
              <w:rPr>
                <w:sz w:val="20"/>
                <w:szCs w:val="20"/>
                <w:color w:val="auto"/>
              </w:rPr>
            </w:pPr>
            <w:r>
              <w:rPr>
                <w:rFonts w:ascii="Arial" w:cs="Arial" w:eastAsia="Arial" w:hAnsi="Arial"/>
                <w:sz w:val="11"/>
                <w:szCs w:val="11"/>
                <w:color w:val="auto"/>
              </w:rPr>
              <w:t>​</w:t>
            </w:r>
          </w:p>
        </w:tc>
        <w:tc>
          <w:tcPr>
            <w:tcW w:w="420" w:type="dxa"/>
            <w:vAlign w:val="bottom"/>
          </w:tcPr>
          <w:p>
            <w:pPr>
              <w:ind w:left="280"/>
              <w:spacing w:after="0" w:line="210" w:lineRule="exact"/>
              <w:rPr>
                <w:sz w:val="20"/>
                <w:szCs w:val="20"/>
                <w:color w:val="auto"/>
              </w:rPr>
            </w:pPr>
            <w:r>
              <w:rPr>
                <w:rFonts w:ascii="Arial" w:cs="Arial" w:eastAsia="Arial" w:hAnsi="Arial"/>
                <w:sz w:val="10"/>
                <w:szCs w:val="10"/>
                <w:color w:val="auto"/>
                <w:w w:val="97"/>
              </w:rPr>
              <w:t>(2)</w:t>
            </w:r>
            <w:r>
              <w:rPr>
                <w:rFonts w:ascii="Arial" w:cs="Arial" w:eastAsia="Arial" w:hAnsi="Arial"/>
                <w:sz w:val="24"/>
                <w:szCs w:val="24"/>
                <w:color w:val="auto"/>
                <w:w w:val="97"/>
                <w:vertAlign w:val="subscript"/>
              </w:rPr>
              <w:t>​</w:t>
            </w:r>
          </w:p>
        </w:tc>
      </w:tr>
      <w:tr>
        <w:trPr>
          <w:trHeight w:val="210"/>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320" w:type="dxa"/>
            <w:vAlign w:val="bottom"/>
          </w:tcPr>
          <w:p>
            <w:pPr>
              <w:ind w:left="20"/>
              <w:spacing w:after="0"/>
              <w:rPr>
                <w:sz w:val="20"/>
                <w:szCs w:val="20"/>
                <w:color w:val="auto"/>
              </w:rPr>
            </w:pPr>
            <w:r>
              <w:rPr>
                <w:rFonts w:ascii="Arial" w:cs="Arial" w:eastAsia="Arial" w:hAnsi="Arial"/>
                <w:sz w:val="11"/>
                <w:szCs w:val="11"/>
                <w:color w:val="auto"/>
              </w:rPr>
              <w:t>​</w:t>
            </w:r>
          </w:p>
        </w:tc>
        <w:tc>
          <w:tcPr>
            <w:tcW w:w="420" w:type="dxa"/>
            <w:vAlign w:val="bottom"/>
          </w:tcPr>
          <w:p>
            <w:pPr>
              <w:ind w:left="280"/>
              <w:spacing w:after="0" w:line="210" w:lineRule="exact"/>
              <w:rPr>
                <w:sz w:val="20"/>
                <w:szCs w:val="20"/>
                <w:color w:val="auto"/>
              </w:rPr>
            </w:pPr>
            <w:r>
              <w:rPr>
                <w:rFonts w:ascii="Arial" w:cs="Arial" w:eastAsia="Arial" w:hAnsi="Arial"/>
                <w:sz w:val="10"/>
                <w:szCs w:val="10"/>
                <w:color w:val="auto"/>
                <w:w w:val="97"/>
              </w:rPr>
              <w:t>(2)</w:t>
            </w:r>
            <w:r>
              <w:rPr>
                <w:rFonts w:ascii="Arial" w:cs="Arial" w:eastAsia="Arial" w:hAnsi="Arial"/>
                <w:sz w:val="24"/>
                <w:szCs w:val="24"/>
                <w:color w:val="auto"/>
                <w:w w:val="97"/>
                <w:vertAlign w:val="subscript"/>
              </w:rPr>
              <w:t>​</w:t>
            </w:r>
          </w:p>
        </w:tc>
      </w:tr>
      <w:tr>
        <w:trPr>
          <w:trHeight w:val="240"/>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320" w:type="dxa"/>
            <w:vAlign w:val="bottom"/>
          </w:tcPr>
          <w:p>
            <w:pPr>
              <w:ind w:left="20"/>
              <w:spacing w:after="0"/>
              <w:rPr>
                <w:sz w:val="20"/>
                <w:szCs w:val="20"/>
                <w:color w:val="auto"/>
              </w:rPr>
            </w:pPr>
            <w:r>
              <w:rPr>
                <w:rFonts w:ascii="Arial" w:cs="Arial" w:eastAsia="Arial" w:hAnsi="Arial"/>
                <w:sz w:val="11"/>
                <w:szCs w:val="11"/>
                <w:color w:val="auto"/>
              </w:rPr>
              <w:t>​</w:t>
            </w:r>
          </w:p>
        </w:tc>
        <w:tc>
          <w:tcPr>
            <w:tcW w:w="420" w:type="dxa"/>
            <w:vAlign w:val="bottom"/>
          </w:tcPr>
          <w:p>
            <w:pPr>
              <w:ind w:left="280"/>
              <w:spacing w:after="0" w:line="240" w:lineRule="exact"/>
              <w:rPr>
                <w:sz w:val="20"/>
                <w:szCs w:val="20"/>
                <w:color w:val="auto"/>
              </w:rPr>
            </w:pPr>
            <w:r>
              <w:rPr>
                <w:rFonts w:ascii="Arial" w:cs="Arial" w:eastAsia="Arial" w:hAnsi="Arial"/>
                <w:sz w:val="11"/>
                <w:szCs w:val="11"/>
                <w:color w:val="auto"/>
                <w:w w:val="88"/>
              </w:rPr>
              <w:t>(2)</w:t>
            </w:r>
            <w:r>
              <w:rPr>
                <w:rFonts w:ascii="Arial" w:cs="Arial" w:eastAsia="Arial" w:hAnsi="Arial"/>
                <w:sz w:val="27"/>
                <w:szCs w:val="27"/>
                <w:color w:val="auto"/>
                <w:w w:val="88"/>
                <w:vertAlign w:val="subscript"/>
              </w:rPr>
              <w:t>​</w:t>
            </w:r>
          </w:p>
        </w:tc>
      </w:tr>
    </w:tbl>
    <w:p>
      <w:pPr>
        <w:ind w:left="800" w:hanging="655"/>
        <w:spacing w:after="0" w:line="188" w:lineRule="auto"/>
        <w:tabs>
          <w:tab w:leader="none" w:pos="800" w:val="left"/>
        </w:tabs>
        <w:numPr>
          <w:ilvl w:val="1"/>
          <w:numId w:val="4"/>
        </w:numPr>
        <w:rPr>
          <w:rFonts w:ascii="Arial" w:cs="Arial" w:eastAsia="Arial" w:hAnsi="Arial"/>
          <w:sz w:val="11"/>
          <w:szCs w:val="11"/>
          <w:color w:val="auto"/>
          <w:vertAlign w:val="subscript"/>
        </w:rPr>
      </w:pPr>
      <w:r>
        <w:rPr>
          <w:rFonts w:ascii="Arial" w:cs="Arial" w:eastAsia="Arial" w:hAnsi="Arial"/>
          <w:sz w:val="7"/>
          <w:szCs w:val="7"/>
          <w:color w:val="auto"/>
        </w:rPr>
        <w:t>(2)</w:t>
      </w:r>
    </w:p>
    <w:p>
      <w:pPr>
        <w:ind w:left="100" w:hanging="94"/>
        <w:spacing w:after="0"/>
        <w:tabs>
          <w:tab w:leader="none" w:pos="100" w:val="left"/>
        </w:tabs>
        <w:numPr>
          <w:ilvl w:val="0"/>
          <w:numId w:val="4"/>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-3175</wp:posOffset>
            </wp:positionV>
            <wp:extent cx="48387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483870" cy="698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6240" w:space="720"/>
            <w:col w:w="2059"/>
          </w:cols>
          <w:pgMar w:left="1440" w:top="98" w:right="1440" w:bottom="1440" w:gutter="0" w:footer="0" w:header="0"/>
          <w:type w:val="continuous"/>
        </w:sectPr>
      </w:pPr>
    </w:p>
    <w:p>
      <w:pPr>
        <w:ind w:left="1440" w:right="1279" w:hanging="292"/>
        <w:spacing w:after="0" w:line="255" w:lineRule="auto"/>
        <w:tabs>
          <w:tab w:leader="none" w:pos="1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Pursuant to Rules 456(b) and 457(r) under the Securities Act of 1933, as amended, the SEC registration fee will be paid at the time of any particular offering of securities under the registration statement, and is therefore not currently determinable.</w:t>
      </w:r>
    </w:p>
    <w:p>
      <w:pPr>
        <w:spacing w:after="0" w:line="35" w:lineRule="exact"/>
        <w:rPr>
          <w:rFonts w:ascii="Arial" w:cs="Arial" w:eastAsia="Arial" w:hAnsi="Arial"/>
          <w:sz w:val="15"/>
          <w:szCs w:val="15"/>
          <w:color w:val="auto"/>
        </w:rPr>
      </w:pPr>
    </w:p>
    <w:p>
      <w:pPr>
        <w:ind w:left="1440" w:right="1679" w:hanging="292"/>
        <w:spacing w:after="0" w:line="266" w:lineRule="auto"/>
        <w:tabs>
          <w:tab w:leader="none" w:pos="1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These fees and expenses are calculated based on the securities offered and the number of issuances and accordingly cannot be estimated at this time.</w:t>
      </w:r>
    </w:p>
    <w:p>
      <w:pPr>
        <w:spacing w:after="0" w:line="125"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auto"/>
        </w:rPr>
        <w:t>Item 15.  Indemnification of Directors and Officers</w:t>
      </w:r>
    </w:p>
    <w:p>
      <w:pPr>
        <w:spacing w:after="0" w:line="133" w:lineRule="exact"/>
        <w:rPr>
          <w:sz w:val="20"/>
          <w:szCs w:val="20"/>
          <w:color w:val="auto"/>
        </w:rPr>
      </w:pPr>
    </w:p>
    <w:p>
      <w:pPr>
        <w:ind w:left="1140" w:right="1219"/>
        <w:spacing w:after="0" w:line="238" w:lineRule="auto"/>
        <w:rPr>
          <w:sz w:val="20"/>
          <w:szCs w:val="20"/>
          <w:color w:val="auto"/>
        </w:rPr>
      </w:pPr>
      <w:r>
        <w:rPr>
          <w:rFonts w:ascii="Arial" w:cs="Arial" w:eastAsia="Arial" w:hAnsi="Arial"/>
          <w:sz w:val="15"/>
          <w:szCs w:val="15"/>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00" w:lineRule="exact"/>
        <w:rPr>
          <w:sz w:val="20"/>
          <w:szCs w:val="20"/>
          <w:color w:val="auto"/>
        </w:rPr>
      </w:pPr>
    </w:p>
    <w:p>
      <w:pPr>
        <w:ind w:left="1140" w:right="1159"/>
        <w:spacing w:after="0" w:line="236" w:lineRule="auto"/>
        <w:rPr>
          <w:sz w:val="20"/>
          <w:szCs w:val="20"/>
          <w:color w:val="auto"/>
        </w:rPr>
      </w:pPr>
      <w:r>
        <w:rPr>
          <w:rFonts w:ascii="Arial" w:cs="Arial" w:eastAsia="Arial" w:hAnsi="Arial"/>
          <w:sz w:val="15"/>
          <w:szCs w:val="15"/>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6" w:lineRule="exact"/>
        <w:rPr>
          <w:sz w:val="20"/>
          <w:szCs w:val="20"/>
          <w:color w:val="auto"/>
        </w:rPr>
      </w:pPr>
    </w:p>
    <w:p>
      <w:pPr>
        <w:ind w:left="1140" w:right="1239"/>
        <w:spacing w:after="0" w:line="262" w:lineRule="auto"/>
        <w:rPr>
          <w:sz w:val="20"/>
          <w:szCs w:val="20"/>
          <w:color w:val="auto"/>
        </w:rPr>
      </w:pPr>
      <w:r>
        <w:rPr>
          <w:rFonts w:ascii="Arial" w:cs="Arial" w:eastAsia="Arial" w:hAnsi="Arial"/>
          <w:sz w:val="14"/>
          <w:szCs w:val="14"/>
          <w:color w:val="auto"/>
        </w:rPr>
        <w:t>Section 145 further provides that to the extent a director or officer of a corporation has been successful on the merits or otherwise in the defense of any action, suit, or proceeding referred to in subsections</w:t>
      </w:r>
    </w:p>
    <w:p>
      <w:pPr>
        <w:spacing w:after="0" w:line="1" w:lineRule="exact"/>
        <w:rPr>
          <w:sz w:val="20"/>
          <w:szCs w:val="20"/>
          <w:color w:val="auto"/>
        </w:rPr>
      </w:pPr>
    </w:p>
    <w:p>
      <w:pPr>
        <w:ind w:left="1360" w:hanging="212"/>
        <w:spacing w:after="0"/>
        <w:tabs>
          <w:tab w:leader="none" w:pos="13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and (b) of Section 145, or in defense of any claim, issue, or matter therein, such person shall be</w:t>
      </w:r>
    </w:p>
    <w:p>
      <w:pPr>
        <w:spacing w:after="0" w:line="314" w:lineRule="exact"/>
        <w:rPr>
          <w:rFonts w:ascii="Arial" w:cs="Arial" w:eastAsia="Arial" w:hAnsi="Arial"/>
          <w:sz w:val="15"/>
          <w:szCs w:val="15"/>
          <w:color w:val="auto"/>
        </w:rPr>
      </w:pPr>
    </w:p>
    <w:p>
      <w:pPr>
        <w:ind w:left="4380"/>
        <w:spacing w:after="0"/>
        <w:rPr>
          <w:rFonts w:ascii="Arial" w:cs="Arial" w:eastAsia="Arial" w:hAnsi="Arial"/>
          <w:sz w:val="15"/>
          <w:szCs w:val="15"/>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3" w:name="page14"/>
    <w:bookmarkEnd w:id="13"/>
    <w:p>
      <w:pPr>
        <w:ind w:left="12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40" w:right="1179"/>
        <w:spacing w:after="0" w:line="247" w:lineRule="auto"/>
        <w:rPr>
          <w:sz w:val="20"/>
          <w:szCs w:val="20"/>
          <w:color w:val="auto"/>
        </w:rPr>
      </w:pPr>
      <w:r>
        <w:rPr>
          <w:rFonts w:ascii="Arial" w:cs="Arial" w:eastAsia="Arial" w:hAnsi="Arial"/>
          <w:sz w:val="15"/>
          <w:szCs w:val="15"/>
          <w:color w:val="auto"/>
        </w:rPr>
        <w:t>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11" w:lineRule="exact"/>
        <w:rPr>
          <w:sz w:val="20"/>
          <w:szCs w:val="20"/>
          <w:color w:val="auto"/>
        </w:rPr>
      </w:pPr>
    </w:p>
    <w:p>
      <w:pPr>
        <w:ind w:left="1140" w:right="1219"/>
        <w:spacing w:after="0" w:line="249" w:lineRule="auto"/>
        <w:rPr>
          <w:sz w:val="20"/>
          <w:szCs w:val="20"/>
          <w:color w:val="auto"/>
        </w:rPr>
      </w:pPr>
      <w:r>
        <w:rPr>
          <w:rFonts w:ascii="Arial" w:cs="Arial" w:eastAsia="Arial" w:hAnsi="Arial"/>
          <w:sz w:val="15"/>
          <w:szCs w:val="15"/>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05" w:lineRule="exact"/>
        <w:rPr>
          <w:sz w:val="20"/>
          <w:szCs w:val="20"/>
          <w:color w:val="auto"/>
        </w:rPr>
      </w:pPr>
    </w:p>
    <w:p>
      <w:pPr>
        <w:ind w:left="1140" w:right="1299"/>
        <w:spacing w:after="0" w:line="249" w:lineRule="auto"/>
        <w:rPr>
          <w:sz w:val="20"/>
          <w:szCs w:val="20"/>
          <w:color w:val="auto"/>
        </w:rPr>
      </w:pPr>
      <w:r>
        <w:rPr>
          <w:rFonts w:ascii="Arial" w:cs="Arial" w:eastAsia="Arial" w:hAnsi="Arial"/>
          <w:sz w:val="15"/>
          <w:szCs w:val="15"/>
          <w:color w:val="auto"/>
        </w:rPr>
        <w:t>Our certificate of incorporation, as amended, provides for the elimination of liability of our directors to the extent permitted by the DGCL. Our Bylaws, as amended, provide for mandatory indemnification of our officers, directors, employees, and other agents to the extent set forth in our certificate of incorporation. In addition, we have entered into indemnification agreements with our directors and certain of our officers. The indemnification agreements provide such directors and officers with further indemnification to the maximum extent permitted by the DGCL.</w:t>
      </w:r>
    </w:p>
    <w:p>
      <w:pPr>
        <w:spacing w:after="0" w:line="96" w:lineRule="exact"/>
        <w:rPr>
          <w:sz w:val="20"/>
          <w:szCs w:val="20"/>
          <w:color w:val="auto"/>
        </w:rPr>
      </w:pPr>
    </w:p>
    <w:p>
      <w:pPr>
        <w:ind w:left="1140" w:right="1219"/>
        <w:spacing w:after="0" w:line="282" w:lineRule="auto"/>
        <w:rPr>
          <w:sz w:val="20"/>
          <w:szCs w:val="20"/>
          <w:color w:val="auto"/>
        </w:rPr>
      </w:pPr>
      <w:r>
        <w:rPr>
          <w:rFonts w:ascii="Arial" w:cs="Arial" w:eastAsia="Arial" w:hAnsi="Arial"/>
          <w:sz w:val="14"/>
          <w:szCs w:val="14"/>
          <w:color w:val="auto"/>
        </w:rPr>
        <w:t>We have in effect a directors and officers liability insurance policy indemnifying our directors and officers and the directors and officers of our subsidiaries within a specific limit for certain liabilities incurred by them, including liabilities under the Securities Act. We pay the entire premium of this policy.</w:t>
      </w:r>
    </w:p>
    <w:p>
      <w:pPr>
        <w:spacing w:after="0" w:line="84" w:lineRule="exact"/>
        <w:rPr>
          <w:sz w:val="20"/>
          <w:szCs w:val="20"/>
          <w:color w:val="auto"/>
        </w:rPr>
      </w:pPr>
    </w:p>
    <w:p>
      <w:pPr>
        <w:ind w:left="1140" w:right="1339"/>
        <w:spacing w:after="0" w:line="255" w:lineRule="auto"/>
        <w:rPr>
          <w:sz w:val="20"/>
          <w:szCs w:val="20"/>
          <w:color w:val="auto"/>
        </w:rPr>
      </w:pPr>
      <w:r>
        <w:rPr>
          <w:rFonts w:ascii="Arial" w:cs="Arial" w:eastAsia="Arial" w:hAnsi="Arial"/>
          <w:sz w:val="15"/>
          <w:szCs w:val="15"/>
          <w:color w:val="auto"/>
        </w:rPr>
        <w:t>We believe that our certificate of incorporation and bylaw provisions, our directors and officers liability insurance policy and our indemnification agreements are necessary to attract and retain qualified persons to serve as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 w:name="page15"/>
    <w:bookmarkEnd w:id="14"/>
    <w:p>
      <w:pPr>
        <w:ind w:left="12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auto"/>
        </w:rPr>
        <w:t>Item 16.  Exhibits</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following exhibits are filed as part of this registration statement on Form S-3.</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w w:val="99"/>
              </w:rPr>
              <w:t>Exhibit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0" w:type="dxa"/>
            <w:vAlign w:val="bottom"/>
            <w:gridSpan w:val="4"/>
          </w:tcPr>
          <w:p>
            <w:pPr>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10"/>
                <w:szCs w:val="10"/>
                <w:b w:val="1"/>
                <w:bCs w:val="1"/>
                <w:color w:val="auto"/>
              </w:rPr>
              <w:t xml:space="preserve">Number </w:t>
            </w:r>
            <w:r>
              <w:rPr>
                <w:rFonts w:ascii="Arial" w:cs="Arial" w:eastAsia="Arial" w:hAnsi="Arial"/>
                <w:sz w:val="17"/>
                <w:szCs w:val="17"/>
                <w:b w:val="1"/>
                <w:bCs w:val="1"/>
                <w:color w:val="auto"/>
                <w:vertAlign w:val="subscript"/>
              </w:rPr>
              <w:t>​ ​</w:t>
            </w: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80" w:type="dxa"/>
            <w:vAlign w:val="bottom"/>
            <w:gridSpan w:val="10"/>
          </w:tcPr>
          <w:p>
            <w:pPr>
              <w:ind w:left="40"/>
              <w:spacing w:after="0"/>
              <w:rPr>
                <w:sz w:val="20"/>
                <w:szCs w:val="20"/>
                <w:color w:val="auto"/>
              </w:rPr>
            </w:pPr>
            <w:r>
              <w:rPr>
                <w:rFonts w:ascii="Arial" w:cs="Arial" w:eastAsia="Arial" w:hAnsi="Arial"/>
                <w:sz w:val="12"/>
                <w:szCs w:val="12"/>
                <w:b w:val="1"/>
                <w:bCs w:val="1"/>
                <w:color w:val="auto"/>
              </w:rPr>
              <w:t>Description of Exhibit</w:t>
            </w:r>
          </w:p>
        </w:tc>
        <w:tc>
          <w:tcPr>
            <w:tcW w:w="1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0" w:type="dxa"/>
            <w:vAlign w:val="bottom"/>
            <w:tcBorders>
              <w:top w:val="single" w:sz="8" w:color="auto"/>
            </w:tcBorders>
          </w:tcPr>
          <w:p>
            <w:pPr>
              <w:spacing w:after="0" w:line="199"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1.1*</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line="166" w:lineRule="exact"/>
              <w:rPr>
                <w:sz w:val="20"/>
                <w:szCs w:val="20"/>
                <w:color w:val="auto"/>
              </w:rPr>
            </w:pPr>
            <w:r>
              <w:rPr>
                <w:rFonts w:ascii="Arial" w:cs="Arial" w:eastAsia="Arial" w:hAnsi="Arial"/>
                <w:sz w:val="15"/>
                <w:szCs w:val="15"/>
                <w:color w:val="auto"/>
              </w:rPr>
              <w:t>​ ​</w:t>
            </w:r>
          </w:p>
        </w:tc>
        <w:tc>
          <w:tcPr>
            <w:tcW w:w="6080" w:type="dxa"/>
            <w:vAlign w:val="bottom"/>
            <w:tcBorders>
              <w:top w:val="single" w:sz="8" w:color="auto"/>
            </w:tcBorders>
            <w:gridSpan w:val="13"/>
          </w:tcPr>
          <w:p>
            <w:pPr>
              <w:spacing w:after="0"/>
              <w:rPr>
                <w:sz w:val="20"/>
                <w:szCs w:val="20"/>
                <w:color w:val="auto"/>
              </w:rPr>
            </w:pPr>
            <w:r>
              <w:rPr>
                <w:rFonts w:ascii="Arial" w:cs="Arial" w:eastAsia="Arial" w:hAnsi="Arial"/>
                <w:sz w:val="15"/>
                <w:szCs w:val="15"/>
                <w:color w:val="auto"/>
              </w:rPr>
              <w:t>Form of Underwriting Agreement.</w:t>
            </w:r>
          </w:p>
        </w:tc>
        <w:tc>
          <w:tcPr>
            <w:tcW w:w="140" w:type="dxa"/>
            <w:vAlign w:val="bottom"/>
          </w:tcPr>
          <w:p>
            <w:pPr>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40" w:type="dxa"/>
            <w:vAlign w:val="bottom"/>
            <w:gridSpan w:val="2"/>
          </w:tcPr>
          <w:p>
            <w:pPr>
              <w:spacing w:after="0"/>
              <w:rPr>
                <w:sz w:val="20"/>
                <w:szCs w:val="20"/>
                <w:color w:val="auto"/>
              </w:rPr>
            </w:pPr>
            <w:r>
              <w:rPr>
                <w:rFonts w:ascii="Arial" w:cs="Arial" w:eastAsia="Arial" w:hAnsi="Arial"/>
                <w:sz w:val="15"/>
                <w:szCs w:val="15"/>
                <w:color w:val="auto"/>
              </w:rPr>
              <w:t>​ 4.1</w:t>
            </w:r>
          </w:p>
        </w:tc>
        <w:tc>
          <w:tcPr>
            <w:tcW w:w="6280" w:type="dxa"/>
            <w:vAlign w:val="bottom"/>
            <w:gridSpan w:val="15"/>
          </w:tcPr>
          <w:p>
            <w:pPr>
              <w:ind w:left="20"/>
              <w:spacing w:after="0"/>
              <w:rPr>
                <w:rFonts w:ascii="Arial" w:cs="Arial" w:eastAsia="Arial" w:hAnsi="Arial"/>
                <w:sz w:val="15"/>
                <w:szCs w:val="15"/>
                <w:color w:val="auto"/>
              </w:rPr>
            </w:pPr>
            <w:r>
              <w:rPr>
                <w:rFonts w:ascii="Arial" w:cs="Arial" w:eastAsia="Arial" w:hAnsi="Arial"/>
                <w:sz w:val="15"/>
                <w:szCs w:val="15"/>
                <w:color w:val="auto"/>
              </w:rPr>
              <w:t xml:space="preserve">​ ​ </w:t>
            </w:r>
            <w:hyperlink r:id="rId49">
              <w:r>
                <w:rPr>
                  <w:rFonts w:ascii="Arial" w:cs="Arial" w:eastAsia="Arial" w:hAnsi="Arial"/>
                  <w:sz w:val="15"/>
                  <w:szCs w:val="15"/>
                  <w:color w:val="0000EE"/>
                </w:rPr>
                <w:t>Restated Certificate of Incorporation of Micron, filed as Exhibit 99.2 to Micron’s Current</w:t>
              </w:r>
            </w:hyperlink>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tcBorders>
              <w:top w:val="single" w:sz="8" w:color="0000EE"/>
              <w:bottom w:val="single" w:sz="8" w:color="0000EE"/>
            </w:tcBorders>
            <w:gridSpan w:val="4"/>
          </w:tcPr>
          <w:p>
            <w:pPr>
              <w:spacing w:after="0" w:line="156" w:lineRule="exact"/>
              <w:rPr>
                <w:rFonts w:ascii="Arial" w:cs="Arial" w:eastAsia="Arial" w:hAnsi="Arial"/>
                <w:sz w:val="15"/>
                <w:szCs w:val="15"/>
                <w:color w:val="0000EE"/>
                <w:w w:val="96"/>
              </w:rPr>
            </w:pPr>
            <w:hyperlink r:id="rId49">
              <w:r>
                <w:rPr>
                  <w:rFonts w:ascii="Arial" w:cs="Arial" w:eastAsia="Arial" w:hAnsi="Arial"/>
                  <w:sz w:val="15"/>
                  <w:szCs w:val="15"/>
                  <w:color w:val="0000EE"/>
                  <w:w w:val="96"/>
                </w:rPr>
                <w:t>Report on Form 8-K filed on January 26, 2015.</w:t>
              </w:r>
            </w:hyperlink>
          </w:p>
        </w:tc>
        <w:tc>
          <w:tcPr>
            <w:tcW w:w="2580" w:type="dxa"/>
            <w:vAlign w:val="bottom"/>
            <w:tcBorders>
              <w:top w:val="single" w:sz="8" w:color="0000EE"/>
            </w:tcBorders>
            <w:gridSpan w:val="5"/>
          </w:tcPr>
          <w:p>
            <w:pPr>
              <w:spacing w:after="0"/>
              <w:rPr>
                <w:sz w:val="13"/>
                <w:szCs w:val="13"/>
                <w:color w:val="auto"/>
              </w:rPr>
            </w:pPr>
          </w:p>
        </w:tc>
        <w:tc>
          <w:tcPr>
            <w:tcW w:w="480" w:type="dxa"/>
            <w:vAlign w:val="bottom"/>
            <w:gridSpan w:val="4"/>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40" w:type="dxa"/>
            <w:vAlign w:val="bottom"/>
            <w:gridSpan w:val="2"/>
          </w:tcPr>
          <w:p>
            <w:pPr>
              <w:spacing w:after="0"/>
              <w:rPr>
                <w:sz w:val="20"/>
                <w:szCs w:val="20"/>
                <w:color w:val="auto"/>
              </w:rPr>
            </w:pPr>
            <w:r>
              <w:rPr>
                <w:rFonts w:ascii="Arial" w:cs="Arial" w:eastAsia="Arial" w:hAnsi="Arial"/>
                <w:sz w:val="15"/>
                <w:szCs w:val="15"/>
                <w:color w:val="auto"/>
              </w:rPr>
              <w:t>​ 4.2</w:t>
            </w:r>
          </w:p>
        </w:tc>
        <w:tc>
          <w:tcPr>
            <w:tcW w:w="6280" w:type="dxa"/>
            <w:vAlign w:val="bottom"/>
            <w:gridSpan w:val="15"/>
          </w:tcPr>
          <w:p>
            <w:pPr>
              <w:ind w:left="20"/>
              <w:spacing w:after="0"/>
              <w:rPr>
                <w:rFonts w:ascii="Arial" w:cs="Arial" w:eastAsia="Arial" w:hAnsi="Arial"/>
                <w:sz w:val="15"/>
                <w:szCs w:val="15"/>
                <w:color w:val="auto"/>
              </w:rPr>
            </w:pPr>
            <w:r>
              <w:rPr>
                <w:rFonts w:ascii="Arial" w:cs="Arial" w:eastAsia="Arial" w:hAnsi="Arial"/>
                <w:sz w:val="15"/>
                <w:szCs w:val="15"/>
                <w:color w:val="auto"/>
              </w:rPr>
              <w:t xml:space="preserve">​ ​ </w:t>
            </w:r>
            <w:hyperlink r:id="rId50">
              <w:r>
                <w:rPr>
                  <w:rFonts w:ascii="Arial" w:cs="Arial" w:eastAsia="Arial" w:hAnsi="Arial"/>
                  <w:sz w:val="15"/>
                  <w:szCs w:val="15"/>
                  <w:color w:val="0000EE"/>
                </w:rPr>
                <w:t>Bylaws of Micron, Amended and Restated, filed as Exhibit 3.1 to Micron’s Current Report on</w:t>
              </w:r>
            </w:hyperlink>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tcBorders>
              <w:top w:val="single" w:sz="8" w:color="0000EE"/>
              <w:bottom w:val="single" w:sz="8" w:color="0000EE"/>
            </w:tcBorders>
            <w:gridSpan w:val="3"/>
          </w:tcPr>
          <w:p>
            <w:pPr>
              <w:spacing w:after="0" w:line="156" w:lineRule="exact"/>
              <w:rPr>
                <w:rFonts w:ascii="Arial" w:cs="Arial" w:eastAsia="Arial" w:hAnsi="Arial"/>
                <w:sz w:val="15"/>
                <w:szCs w:val="15"/>
                <w:color w:val="0000EE"/>
                <w:w w:val="96"/>
              </w:rPr>
            </w:pPr>
            <w:hyperlink r:id="rId50">
              <w:r>
                <w:rPr>
                  <w:rFonts w:ascii="Arial" w:cs="Arial" w:eastAsia="Arial" w:hAnsi="Arial"/>
                  <w:sz w:val="15"/>
                  <w:szCs w:val="15"/>
                  <w:color w:val="0000EE"/>
                  <w:w w:val="96"/>
                </w:rPr>
                <w:t>Form 8-K filed on February 16, 2021.</w:t>
              </w:r>
            </w:hyperlink>
          </w:p>
        </w:tc>
        <w:tc>
          <w:tcPr>
            <w:tcW w:w="3540" w:type="dxa"/>
            <w:vAlign w:val="bottom"/>
            <w:tcBorders>
              <w:top w:val="single" w:sz="8" w:color="0000EE"/>
            </w:tcBorders>
            <w:gridSpan w:val="8"/>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40" w:type="dxa"/>
            <w:vAlign w:val="bottom"/>
            <w:gridSpan w:val="2"/>
          </w:tcPr>
          <w:p>
            <w:pPr>
              <w:spacing w:after="0"/>
              <w:rPr>
                <w:sz w:val="20"/>
                <w:szCs w:val="20"/>
                <w:color w:val="auto"/>
              </w:rPr>
            </w:pPr>
            <w:r>
              <w:rPr>
                <w:rFonts w:ascii="Arial" w:cs="Arial" w:eastAsia="Arial" w:hAnsi="Arial"/>
                <w:sz w:val="15"/>
                <w:szCs w:val="15"/>
                <w:color w:val="auto"/>
              </w:rPr>
              <w:t>​ 4.3</w:t>
            </w:r>
          </w:p>
        </w:tc>
        <w:tc>
          <w:tcPr>
            <w:tcW w:w="6280" w:type="dxa"/>
            <w:vAlign w:val="bottom"/>
            <w:gridSpan w:val="15"/>
          </w:tcPr>
          <w:p>
            <w:pPr>
              <w:ind w:left="20"/>
              <w:spacing w:after="0"/>
              <w:rPr>
                <w:rFonts w:ascii="Arial" w:cs="Arial" w:eastAsia="Arial" w:hAnsi="Arial"/>
                <w:sz w:val="15"/>
                <w:szCs w:val="15"/>
                <w:color w:val="auto"/>
              </w:rPr>
            </w:pPr>
            <w:r>
              <w:rPr>
                <w:rFonts w:ascii="Arial" w:cs="Arial" w:eastAsia="Arial" w:hAnsi="Arial"/>
                <w:sz w:val="15"/>
                <w:szCs w:val="15"/>
                <w:color w:val="auto"/>
              </w:rPr>
              <w:t xml:space="preserve">​ ​ </w:t>
            </w:r>
            <w:hyperlink r:id="rId51">
              <w:r>
                <w:rPr>
                  <w:rFonts w:ascii="Arial" w:cs="Arial" w:eastAsia="Arial" w:hAnsi="Arial"/>
                  <w:sz w:val="15"/>
                  <w:szCs w:val="15"/>
                  <w:color w:val="0000EE"/>
                </w:rPr>
                <w:t>Indenture, dated February 6, 2019, by and between Micron Technology, Inc. and U.S. Bank</w:t>
              </w:r>
            </w:hyperlink>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80" w:type="dxa"/>
            <w:vAlign w:val="bottom"/>
            <w:gridSpan w:val="13"/>
          </w:tcPr>
          <w:p>
            <w:pPr>
              <w:spacing w:after="0" w:line="156" w:lineRule="exact"/>
              <w:rPr>
                <w:rFonts w:ascii="Arial" w:cs="Arial" w:eastAsia="Arial" w:hAnsi="Arial"/>
                <w:sz w:val="15"/>
                <w:szCs w:val="15"/>
                <w:color w:val="0000EE"/>
                <w:w w:val="98"/>
              </w:rPr>
            </w:pPr>
            <w:hyperlink r:id="rId51">
              <w:r>
                <w:rPr>
                  <w:rFonts w:ascii="Arial" w:cs="Arial" w:eastAsia="Arial" w:hAnsi="Arial"/>
                  <w:sz w:val="15"/>
                  <w:szCs w:val="15"/>
                  <w:color w:val="0000EE"/>
                  <w:w w:val="98"/>
                </w:rPr>
                <w:t>National Association, as Trustee, filed as Exhibit 4.1 to Micron’s Current Report on Form 8-K</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960" w:type="dxa"/>
            <w:vAlign w:val="bottom"/>
            <w:tcBorders>
              <w:top w:val="single" w:sz="8" w:color="0000EE"/>
            </w:tcBorders>
            <w:gridSpan w:val="12"/>
          </w:tcPr>
          <w:p>
            <w:pPr>
              <w:spacing w:after="0" w:line="156" w:lineRule="exact"/>
              <w:rPr>
                <w:rFonts w:ascii="Arial" w:cs="Arial" w:eastAsia="Arial" w:hAnsi="Arial"/>
                <w:sz w:val="15"/>
                <w:szCs w:val="15"/>
                <w:color w:val="0000EE"/>
              </w:rPr>
            </w:pPr>
            <w:hyperlink r:id="rId51">
              <w:r>
                <w:rPr>
                  <w:rFonts w:ascii="Arial" w:cs="Arial" w:eastAsia="Arial" w:hAnsi="Arial"/>
                  <w:sz w:val="15"/>
                  <w:szCs w:val="15"/>
                  <w:color w:val="0000EE"/>
                </w:rPr>
                <w:t>filed on February 6, 2019.</w:t>
              </w:r>
            </w:hyperlink>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40" w:type="dxa"/>
            <w:vAlign w:val="bottom"/>
            <w:gridSpan w:val="2"/>
          </w:tcPr>
          <w:p>
            <w:pPr>
              <w:spacing w:after="0" w:line="235"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4.4*</w:t>
            </w:r>
          </w:p>
        </w:tc>
        <w:tc>
          <w:tcPr>
            <w:tcW w:w="6280" w:type="dxa"/>
            <w:vAlign w:val="bottom"/>
            <w:gridSpan w:val="15"/>
          </w:tcPr>
          <w:p>
            <w:pPr>
              <w:ind w:left="20"/>
              <w:spacing w:after="0" w:line="235"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 xml:space="preserve"> Form of Note.</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440" w:type="dxa"/>
            <w:vAlign w:val="bottom"/>
            <w:gridSpan w:val="2"/>
          </w:tcPr>
          <w:p>
            <w:pPr>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4.5*</w:t>
            </w:r>
          </w:p>
        </w:tc>
        <w:tc>
          <w:tcPr>
            <w:tcW w:w="6280" w:type="dxa"/>
            <w:vAlign w:val="bottom"/>
            <w:gridSpan w:val="15"/>
          </w:tcPr>
          <w:p>
            <w:pPr>
              <w:ind w:left="20"/>
              <w:spacing w:after="0" w:line="221"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 xml:space="preserve"> Form of Warrant.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440" w:type="dxa"/>
            <w:vAlign w:val="bottom"/>
            <w:gridSpan w:val="2"/>
          </w:tcPr>
          <w:p>
            <w:pPr>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4.6*</w:t>
            </w:r>
          </w:p>
        </w:tc>
        <w:tc>
          <w:tcPr>
            <w:tcW w:w="6280" w:type="dxa"/>
            <w:vAlign w:val="bottom"/>
            <w:gridSpan w:val="15"/>
          </w:tcPr>
          <w:p>
            <w:pPr>
              <w:ind w:left="20"/>
              <w:spacing w:after="0" w:line="221"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 xml:space="preserve"> Form of Warrant Agreement.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440" w:type="dxa"/>
            <w:vAlign w:val="bottom"/>
            <w:gridSpan w:val="2"/>
          </w:tcPr>
          <w:p>
            <w:pPr>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4.7*</w:t>
            </w:r>
          </w:p>
        </w:tc>
        <w:tc>
          <w:tcPr>
            <w:tcW w:w="6280" w:type="dxa"/>
            <w:vAlign w:val="bottom"/>
            <w:gridSpan w:val="15"/>
          </w:tcPr>
          <w:p>
            <w:pPr>
              <w:ind w:left="20"/>
              <w:spacing w:after="0" w:line="221"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 xml:space="preserve"> Form of Purchase Contract Agreement.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440" w:type="dxa"/>
            <w:vAlign w:val="bottom"/>
            <w:gridSpan w:val="2"/>
          </w:tcPr>
          <w:p>
            <w:pPr>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4.8*</w:t>
            </w:r>
          </w:p>
        </w:tc>
        <w:tc>
          <w:tcPr>
            <w:tcW w:w="6280" w:type="dxa"/>
            <w:vAlign w:val="bottom"/>
            <w:gridSpan w:val="15"/>
          </w:tcPr>
          <w:p>
            <w:pPr>
              <w:ind w:left="20"/>
              <w:spacing w:after="0" w:line="221"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 xml:space="preserve"> Form of Unit Agreement.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440" w:type="dxa"/>
            <w:vAlign w:val="bottom"/>
            <w:gridSpan w:val="2"/>
          </w:tcPr>
          <w:p>
            <w:pPr>
              <w:spacing w:after="0" w:line="199"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5.1</w:t>
            </w:r>
          </w:p>
        </w:tc>
        <w:tc>
          <w:tcPr>
            <w:tcW w:w="6280" w:type="dxa"/>
            <w:vAlign w:val="bottom"/>
            <w:gridSpan w:val="15"/>
          </w:tcPr>
          <w:p>
            <w:pPr>
              <w:ind w:left="20"/>
              <w:spacing w:after="0" w:line="199" w:lineRule="exact"/>
              <w:rPr>
                <w:sz w:val="20"/>
                <w:szCs w:val="20"/>
                <w:color w:val="auto"/>
              </w:rPr>
            </w:pPr>
            <w:r>
              <w:rPr>
                <w:rFonts w:ascii="Arial" w:cs="Arial" w:eastAsia="Arial" w:hAnsi="Arial"/>
                <w:sz w:val="23"/>
                <w:szCs w:val="23"/>
                <w:color w:val="000000"/>
                <w:vertAlign w:val="superscript"/>
              </w:rPr>
              <w:t>​ ​</w:t>
            </w:r>
            <w:r>
              <w:rPr>
                <w:rFonts w:ascii="Arial" w:cs="Arial" w:eastAsia="Arial" w:hAnsi="Arial"/>
                <w:sz w:val="13"/>
                <w:szCs w:val="13"/>
                <w:color w:val="0000EE"/>
              </w:rPr>
              <w:t xml:space="preserve"> Opinion of Wilson Sonsini Goodrich &amp; Rosati, Professional Corporation.</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6"/>
        </w:trPr>
        <w:tc>
          <w:tcPr>
            <w:tcW w:w="440" w:type="dxa"/>
            <w:vAlign w:val="bottom"/>
            <w:gridSpan w:val="2"/>
          </w:tcPr>
          <w:p>
            <w:pPr>
              <w:spacing w:after="0" w:line="146" w:lineRule="exact"/>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 ​</w:t>
            </w:r>
          </w:p>
        </w:tc>
        <w:tc>
          <w:tcPr>
            <w:tcW w:w="104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860" w:type="dxa"/>
            <w:vAlign w:val="bottom"/>
            <w:tcBorders>
              <w:top w:val="single" w:sz="8" w:color="0000EE"/>
            </w:tcBorders>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line="14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5"/>
        </w:trPr>
        <w:tc>
          <w:tcPr>
            <w:tcW w:w="440" w:type="dxa"/>
            <w:vAlign w:val="bottom"/>
            <w:gridSpan w:val="2"/>
          </w:tcPr>
          <w:p>
            <w:pPr>
              <w:spacing w:after="0" w:line="56" w:lineRule="exact"/>
              <w:rPr>
                <w:sz w:val="20"/>
                <w:szCs w:val="20"/>
                <w:color w:val="auto"/>
              </w:rPr>
            </w:pPr>
            <w:r>
              <w:rPr>
                <w:rFonts w:ascii="Arial" w:cs="Arial" w:eastAsia="Arial" w:hAnsi="Arial"/>
                <w:sz w:val="6"/>
                <w:szCs w:val="6"/>
                <w:color w:val="auto"/>
              </w:rPr>
              <w:t>23.1</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20" w:type="dxa"/>
            <w:vAlign w:val="bottom"/>
            <w:tcBorders>
              <w:bottom w:val="single" w:sz="8" w:color="0000EE"/>
            </w:tcBorders>
            <w:gridSpan w:val="14"/>
          </w:tcPr>
          <w:p>
            <w:pPr>
              <w:spacing w:after="0" w:line="56" w:lineRule="exact"/>
              <w:rPr>
                <w:sz w:val="20"/>
                <w:szCs w:val="20"/>
                <w:color w:val="auto"/>
              </w:rPr>
            </w:pPr>
            <w:r>
              <w:rPr>
                <w:rFonts w:ascii="Arial" w:cs="Arial" w:eastAsia="Arial" w:hAnsi="Arial"/>
                <w:sz w:val="6"/>
                <w:szCs w:val="6"/>
                <w:color w:val="0000EE"/>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46"/>
        </w:trPr>
        <w:tc>
          <w:tcPr>
            <w:tcW w:w="440" w:type="dxa"/>
            <w:vAlign w:val="bottom"/>
            <w:gridSpan w:val="2"/>
          </w:tcPr>
          <w:p>
            <w:pPr>
              <w:spacing w:after="0" w:line="146" w:lineRule="exact"/>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 ​</w:t>
            </w:r>
          </w:p>
        </w:tc>
        <w:tc>
          <w:tcPr>
            <w:tcW w:w="6080" w:type="dxa"/>
            <w:vAlign w:val="bottom"/>
            <w:gridSpan w:val="13"/>
            <w:vMerge w:val="restart"/>
          </w:tcPr>
          <w:p>
            <w:pPr>
              <w:spacing w:after="0"/>
              <w:rPr>
                <w:sz w:val="20"/>
                <w:szCs w:val="20"/>
                <w:color w:val="auto"/>
              </w:rPr>
            </w:pPr>
            <w:r>
              <w:rPr>
                <w:rFonts w:ascii="Arial" w:cs="Arial" w:eastAsia="Arial" w:hAnsi="Arial"/>
                <w:sz w:val="15"/>
                <w:szCs w:val="15"/>
                <w:color w:val="0000EE"/>
              </w:rPr>
              <w:t>Consent of Independent Registered Public Accounting Firm.</w:t>
            </w:r>
          </w:p>
        </w:tc>
        <w:tc>
          <w:tcPr>
            <w:tcW w:w="140" w:type="dxa"/>
            <w:vAlign w:val="bottom"/>
          </w:tcPr>
          <w:p>
            <w:pPr>
              <w:spacing w:after="0" w:line="14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5"/>
        </w:trPr>
        <w:tc>
          <w:tcPr>
            <w:tcW w:w="440" w:type="dxa"/>
            <w:vAlign w:val="bottom"/>
            <w:gridSpan w:val="2"/>
          </w:tcPr>
          <w:p>
            <w:pPr>
              <w:spacing w:after="0" w:line="56" w:lineRule="exact"/>
              <w:rPr>
                <w:sz w:val="20"/>
                <w:szCs w:val="20"/>
                <w:color w:val="auto"/>
              </w:rPr>
            </w:pPr>
            <w:r>
              <w:rPr>
                <w:rFonts w:ascii="Arial" w:cs="Arial" w:eastAsia="Arial" w:hAnsi="Arial"/>
                <w:sz w:val="6"/>
                <w:szCs w:val="6"/>
                <w:color w:val="auto"/>
              </w:rPr>
              <w:t>23.2</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80" w:type="dxa"/>
            <w:vAlign w:val="bottom"/>
            <w:gridSpan w:val="13"/>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40" w:type="dxa"/>
            <w:vAlign w:val="bottom"/>
            <w:gridSpan w:val="2"/>
            <w:vMerge w:val="restart"/>
          </w:tcPr>
          <w:p>
            <w:pPr>
              <w:spacing w:after="0" w:line="166" w:lineRule="exact"/>
              <w:rPr>
                <w:sz w:val="20"/>
                <w:szCs w:val="20"/>
                <w:color w:val="auto"/>
              </w:rPr>
            </w:pPr>
            <w:r>
              <w:rPr>
                <w:rFonts w:ascii="Arial" w:cs="Arial" w:eastAsia="Arial" w:hAnsi="Arial"/>
                <w:sz w:val="15"/>
                <w:szCs w:val="15"/>
                <w:color w:val="auto"/>
              </w:rPr>
              <w:t>​</w:t>
            </w:r>
          </w:p>
        </w:tc>
        <w:tc>
          <w:tcPr>
            <w:tcW w:w="200" w:type="dxa"/>
            <w:vAlign w:val="bottom"/>
            <w:gridSpan w:val="2"/>
            <w:vMerge w:val="restart"/>
          </w:tcPr>
          <w:p>
            <w:pPr>
              <w:ind w:left="20"/>
              <w:spacing w:after="0" w:line="166" w:lineRule="exact"/>
              <w:rPr>
                <w:sz w:val="20"/>
                <w:szCs w:val="20"/>
                <w:color w:val="auto"/>
              </w:rPr>
            </w:pPr>
            <w:r>
              <w:rPr>
                <w:rFonts w:ascii="Arial" w:cs="Arial" w:eastAsia="Arial" w:hAnsi="Arial"/>
                <w:sz w:val="15"/>
                <w:szCs w:val="15"/>
                <w:color w:val="auto"/>
              </w:rPr>
              <w:t>​ ​</w:t>
            </w: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46"/>
        </w:trPr>
        <w:tc>
          <w:tcPr>
            <w:tcW w:w="44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960" w:type="dxa"/>
            <w:vAlign w:val="bottom"/>
            <w:gridSpan w:val="7"/>
            <w:vMerge w:val="restart"/>
          </w:tcPr>
          <w:p>
            <w:pPr>
              <w:spacing w:after="0"/>
              <w:rPr>
                <w:sz w:val="20"/>
                <w:szCs w:val="20"/>
                <w:color w:val="auto"/>
              </w:rPr>
            </w:pPr>
            <w:r>
              <w:rPr>
                <w:rFonts w:ascii="Arial" w:cs="Arial" w:eastAsia="Arial" w:hAnsi="Arial"/>
                <w:sz w:val="15"/>
                <w:szCs w:val="15"/>
                <w:color w:val="0000EE"/>
                <w:w w:val="97"/>
              </w:rPr>
              <w:t>Powers of Attorney (incorporated by reference to the signature page hereto).</w:t>
            </w:r>
          </w:p>
        </w:tc>
        <w:tc>
          <w:tcPr>
            <w:tcW w:w="1120" w:type="dxa"/>
            <w:vAlign w:val="bottom"/>
            <w:gridSpan w:val="6"/>
            <w:vMerge w:val="restart"/>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440" w:type="dxa"/>
            <w:vAlign w:val="bottom"/>
            <w:gridSpan w:val="2"/>
          </w:tcPr>
          <w:p>
            <w:pPr>
              <w:spacing w:after="0" w:line="56" w:lineRule="exact"/>
              <w:rPr>
                <w:sz w:val="20"/>
                <w:szCs w:val="20"/>
                <w:color w:val="auto"/>
              </w:rPr>
            </w:pPr>
            <w:r>
              <w:rPr>
                <w:rFonts w:ascii="Arial" w:cs="Arial" w:eastAsia="Arial" w:hAnsi="Arial"/>
                <w:sz w:val="6"/>
                <w:szCs w:val="6"/>
                <w:color w:val="auto"/>
              </w:rPr>
              <w:t>24.1</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960" w:type="dxa"/>
            <w:vAlign w:val="bottom"/>
            <w:tcBorders>
              <w:bottom w:val="single" w:sz="8" w:color="0000EE"/>
            </w:tcBorders>
            <w:gridSpan w:val="7"/>
            <w:vMerge w:val="continue"/>
          </w:tcPr>
          <w:p>
            <w:pPr>
              <w:spacing w:after="0"/>
              <w:rPr>
                <w:sz w:val="4"/>
                <w:szCs w:val="4"/>
                <w:color w:val="auto"/>
              </w:rPr>
            </w:pPr>
          </w:p>
        </w:tc>
        <w:tc>
          <w:tcPr>
            <w:tcW w:w="1120" w:type="dxa"/>
            <w:vAlign w:val="bottom"/>
            <w:gridSpan w:val="6"/>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40" w:type="dxa"/>
            <w:vAlign w:val="bottom"/>
            <w:gridSpan w:val="2"/>
          </w:tcPr>
          <w:p>
            <w:pPr>
              <w:spacing w:after="0" w:line="156" w:lineRule="exact"/>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 ​</w:t>
            </w:r>
          </w:p>
        </w:tc>
        <w:tc>
          <w:tcPr>
            <w:tcW w:w="5880" w:type="dxa"/>
            <w:vAlign w:val="bottom"/>
            <w:gridSpan w:val="10"/>
            <w:vMerge w:val="restart"/>
          </w:tcPr>
          <w:p>
            <w:pPr>
              <w:spacing w:after="0"/>
              <w:rPr>
                <w:sz w:val="20"/>
                <w:szCs w:val="20"/>
                <w:color w:val="auto"/>
              </w:rPr>
            </w:pPr>
            <w:r>
              <w:rPr>
                <w:rFonts w:ascii="Arial" w:cs="Arial" w:eastAsia="Arial" w:hAnsi="Arial"/>
                <w:sz w:val="15"/>
                <w:szCs w:val="15"/>
                <w:color w:val="0000EE"/>
                <w:w w:val="97"/>
              </w:rPr>
              <w:t>Statement of Eligibility on Form T-1 under the Trust Indenture Act of 1939, as amended, of</w:t>
            </w:r>
          </w:p>
        </w:tc>
        <w:tc>
          <w:tcPr>
            <w:tcW w:w="200" w:type="dxa"/>
            <w:vAlign w:val="bottom"/>
            <w:gridSpan w:val="3"/>
            <w:vMerge w:val="restart"/>
          </w:tcPr>
          <w:p>
            <w:pPr>
              <w:spacing w:after="0"/>
              <w:rPr>
                <w:sz w:val="13"/>
                <w:szCs w:val="13"/>
                <w:color w:val="auto"/>
              </w:rPr>
            </w:pPr>
          </w:p>
        </w:tc>
        <w:tc>
          <w:tcPr>
            <w:tcW w:w="14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440" w:type="dxa"/>
            <w:vAlign w:val="bottom"/>
            <w:gridSpan w:val="2"/>
          </w:tcPr>
          <w:p>
            <w:pPr>
              <w:spacing w:after="0" w:line="34" w:lineRule="exact"/>
              <w:rPr>
                <w:sz w:val="20"/>
                <w:szCs w:val="20"/>
                <w:color w:val="auto"/>
              </w:rPr>
            </w:pPr>
            <w:r>
              <w:rPr>
                <w:rFonts w:ascii="Arial" w:cs="Arial" w:eastAsia="Arial" w:hAnsi="Arial"/>
                <w:sz w:val="3"/>
                <w:szCs w:val="3"/>
                <w:color w:val="auto"/>
              </w:rPr>
              <w:t>25.1</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80" w:type="dxa"/>
            <w:vAlign w:val="bottom"/>
            <w:tcBorders>
              <w:bottom w:val="single" w:sz="8" w:color="0000EE"/>
            </w:tcBorders>
            <w:gridSpan w:val="10"/>
            <w:vMerge w:val="continue"/>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80" w:type="dxa"/>
            <w:vAlign w:val="bottom"/>
            <w:gridSpan w:val="13"/>
          </w:tcPr>
          <w:p>
            <w:pPr>
              <w:spacing w:after="0" w:line="156" w:lineRule="exact"/>
              <w:rPr>
                <w:sz w:val="20"/>
                <w:szCs w:val="20"/>
                <w:color w:val="auto"/>
              </w:rPr>
            </w:pPr>
            <w:r>
              <w:rPr>
                <w:rFonts w:ascii="Arial" w:cs="Arial" w:eastAsia="Arial" w:hAnsi="Arial"/>
                <w:sz w:val="15"/>
                <w:szCs w:val="15"/>
                <w:color w:val="0000EE"/>
              </w:rPr>
              <w:t>U.S. Bank National Association under the indenture filed as Exhibit 4.3 above.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0" w:type="dxa"/>
            <w:vAlign w:val="bottom"/>
            <w:gridSpan w:val="2"/>
          </w:tcPr>
          <w:p>
            <w:pPr>
              <w:spacing w:after="0" w:line="156" w:lineRule="exact"/>
              <w:rPr>
                <w:sz w:val="20"/>
                <w:szCs w:val="20"/>
                <w:color w:val="auto"/>
              </w:rPr>
            </w:pPr>
            <w:r>
              <w:rPr>
                <w:rFonts w:ascii="Arial" w:cs="Arial" w:eastAsia="Arial" w:hAnsi="Arial"/>
                <w:sz w:val="15"/>
                <w:szCs w:val="15"/>
                <w:color w:val="auto"/>
              </w:rPr>
              <w:t>​</w:t>
            </w:r>
          </w:p>
        </w:tc>
        <w:tc>
          <w:tcPr>
            <w:tcW w:w="2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 ​</w:t>
            </w:r>
          </w:p>
        </w:tc>
        <w:tc>
          <w:tcPr>
            <w:tcW w:w="1040" w:type="dxa"/>
            <w:vAlign w:val="bottom"/>
            <w:tcBorders>
              <w:top w:val="single" w:sz="8" w:color="0000EE"/>
            </w:tcBorders>
            <w:vMerge w:val="restart"/>
          </w:tcPr>
          <w:p>
            <w:pPr>
              <w:spacing w:after="0"/>
              <w:rPr>
                <w:sz w:val="20"/>
                <w:szCs w:val="20"/>
                <w:color w:val="auto"/>
              </w:rPr>
            </w:pPr>
            <w:r>
              <w:rPr>
                <w:rFonts w:ascii="Arial" w:cs="Arial" w:eastAsia="Arial" w:hAnsi="Arial"/>
                <w:sz w:val="15"/>
                <w:szCs w:val="15"/>
                <w:color w:val="0000EE"/>
                <w:w w:val="94"/>
              </w:rPr>
              <w:t>Filing Fee Table</w:t>
            </w:r>
          </w:p>
        </w:tc>
        <w:tc>
          <w:tcPr>
            <w:tcW w:w="4000" w:type="dxa"/>
            <w:vAlign w:val="bottom"/>
            <w:tcBorders>
              <w:top w:val="single" w:sz="8" w:color="0000EE"/>
            </w:tcBorders>
            <w:gridSpan w:val="7"/>
            <w:vMerge w:val="restart"/>
          </w:tcPr>
          <w:p>
            <w:pPr>
              <w:spacing w:after="0"/>
              <w:rPr>
                <w:sz w:val="13"/>
                <w:szCs w:val="13"/>
                <w:color w:val="auto"/>
              </w:rPr>
            </w:pPr>
          </w:p>
        </w:tc>
        <w:tc>
          <w:tcPr>
            <w:tcW w:w="1040" w:type="dxa"/>
            <w:vAlign w:val="bottom"/>
            <w:gridSpan w:val="5"/>
            <w:vMerge w:val="restart"/>
          </w:tcPr>
          <w:p>
            <w:pPr>
              <w:spacing w:after="0"/>
              <w:rPr>
                <w:sz w:val="13"/>
                <w:szCs w:val="13"/>
                <w:color w:val="auto"/>
              </w:rPr>
            </w:pPr>
          </w:p>
        </w:tc>
        <w:tc>
          <w:tcPr>
            <w:tcW w:w="14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440" w:type="dxa"/>
            <w:vAlign w:val="bottom"/>
            <w:gridSpan w:val="2"/>
          </w:tcPr>
          <w:p>
            <w:pPr>
              <w:spacing w:after="0" w:line="56" w:lineRule="exact"/>
              <w:rPr>
                <w:sz w:val="20"/>
                <w:szCs w:val="20"/>
                <w:color w:val="auto"/>
              </w:rPr>
            </w:pPr>
            <w:r>
              <w:rPr>
                <w:rFonts w:ascii="Arial" w:cs="Arial" w:eastAsia="Arial" w:hAnsi="Arial"/>
                <w:sz w:val="6"/>
                <w:szCs w:val="6"/>
                <w:color w:val="auto"/>
              </w:rPr>
              <w:t>107</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bottom w:val="single" w:sz="8" w:color="0000EE"/>
            </w:tcBorders>
            <w:vMerge w:val="continue"/>
          </w:tcPr>
          <w:p>
            <w:pPr>
              <w:spacing w:after="0"/>
              <w:rPr>
                <w:sz w:val="4"/>
                <w:szCs w:val="4"/>
                <w:color w:val="auto"/>
              </w:rPr>
            </w:pPr>
          </w:p>
        </w:tc>
        <w:tc>
          <w:tcPr>
            <w:tcW w:w="4000" w:type="dxa"/>
            <w:vAlign w:val="bottom"/>
            <w:gridSpan w:val="7"/>
            <w:vMerge w:val="continue"/>
          </w:tcPr>
          <w:p>
            <w:pPr>
              <w:spacing w:after="0"/>
              <w:rPr>
                <w:sz w:val="4"/>
                <w:szCs w:val="4"/>
                <w:color w:val="auto"/>
              </w:rPr>
            </w:pPr>
          </w:p>
        </w:tc>
        <w:tc>
          <w:tcPr>
            <w:tcW w:w="10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147320</wp:posOffset>
            </wp:positionV>
            <wp:extent cx="100965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345" w:lineRule="exact"/>
        <w:rPr>
          <w:sz w:val="20"/>
          <w:szCs w:val="20"/>
          <w:color w:val="auto"/>
        </w:rPr>
      </w:pPr>
    </w:p>
    <w:p>
      <w:pPr>
        <w:ind w:left="1440" w:right="1639" w:hanging="292"/>
        <w:spacing w:after="0" w:line="266" w:lineRule="auto"/>
        <w:tabs>
          <w:tab w:leader="none" w:pos="1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be filed by amendment or incorporated by reference in connection with the offering of the securities.</w:t>
      </w:r>
    </w:p>
    <w:p>
      <w:pPr>
        <w:spacing w:after="0" w:line="125"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auto"/>
        </w:rPr>
        <w:t>Item 17.  Undertakings</w:t>
      </w:r>
    </w:p>
    <w:p>
      <w:pPr>
        <w:spacing w:after="0" w:line="133" w:lineRule="exact"/>
        <w:rPr>
          <w:sz w:val="20"/>
          <w:szCs w:val="20"/>
          <w:color w:val="auto"/>
        </w:rPr>
      </w:pPr>
    </w:p>
    <w:p>
      <w:pPr>
        <w:ind w:left="1440" w:hanging="292"/>
        <w:spacing w:after="0"/>
        <w:tabs>
          <w:tab w:leader="none" w:pos="14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undersigned registrant hereby undertakes:</w:t>
      </w:r>
    </w:p>
    <w:p>
      <w:pPr>
        <w:spacing w:after="0" w:line="136" w:lineRule="exact"/>
        <w:rPr>
          <w:rFonts w:ascii="Arial" w:cs="Arial" w:eastAsia="Arial" w:hAnsi="Arial"/>
          <w:sz w:val="15"/>
          <w:szCs w:val="15"/>
          <w:color w:val="auto"/>
        </w:rPr>
      </w:pPr>
    </w:p>
    <w:p>
      <w:pPr>
        <w:ind w:left="1740" w:right="1219" w:hanging="298"/>
        <w:spacing w:after="0" w:line="266" w:lineRule="auto"/>
        <w:tabs>
          <w:tab w:leader="none" w:pos="1740" w:val="left"/>
        </w:tabs>
        <w:numPr>
          <w:ilvl w:val="1"/>
          <w:numId w:val="8"/>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103" w:lineRule="exact"/>
        <w:rPr>
          <w:rFonts w:ascii="Arial" w:cs="Arial" w:eastAsia="Arial" w:hAnsi="Arial"/>
          <w:sz w:val="15"/>
          <w:szCs w:val="15"/>
          <w:color w:val="auto"/>
        </w:rPr>
      </w:pPr>
    </w:p>
    <w:p>
      <w:pPr>
        <w:ind w:left="2040" w:hanging="303"/>
        <w:spacing w:after="0"/>
        <w:tabs>
          <w:tab w:leader="none" w:pos="2040" w:val="left"/>
        </w:tabs>
        <w:numPr>
          <w:ilvl w:val="2"/>
          <w:numId w:val="8"/>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 of 1933;</w:t>
      </w:r>
    </w:p>
    <w:p>
      <w:pPr>
        <w:spacing w:after="0" w:line="147" w:lineRule="exact"/>
        <w:rPr>
          <w:rFonts w:ascii="Arial" w:cs="Arial" w:eastAsia="Arial" w:hAnsi="Arial"/>
          <w:sz w:val="15"/>
          <w:szCs w:val="15"/>
          <w:color w:val="auto"/>
        </w:rPr>
      </w:pPr>
    </w:p>
    <w:p>
      <w:pPr>
        <w:ind w:left="2040" w:right="1239" w:hanging="303"/>
        <w:spacing w:after="0" w:line="265" w:lineRule="auto"/>
        <w:tabs>
          <w:tab w:leader="none" w:pos="2040" w:val="left"/>
        </w:tabs>
        <w:numPr>
          <w:ilvl w:val="2"/>
          <w:numId w:val="8"/>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w:t>
      </w:r>
    </w:p>
    <w:p>
      <w:pPr>
        <w:jc w:val="both"/>
        <w:ind w:left="2040" w:right="1219"/>
        <w:spacing w:after="0" w:line="249" w:lineRule="auto"/>
        <w:rPr>
          <w:rFonts w:ascii="Arial" w:cs="Arial" w:eastAsia="Arial" w:hAnsi="Arial"/>
          <w:sz w:val="14"/>
          <w:szCs w:val="14"/>
          <w:color w:val="auto"/>
        </w:rPr>
      </w:pPr>
      <w:r>
        <w:rPr>
          <w:rFonts w:ascii="Arial" w:cs="Arial" w:eastAsia="Arial" w:hAnsi="Arial"/>
          <w:sz w:val="15"/>
          <w:szCs w:val="15"/>
          <w:color w:val="auto"/>
        </w:rPr>
        <w:t>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 w:name="page16"/>
    <w:bookmarkEnd w:id="15"/>
    <w:p>
      <w:pPr>
        <w:ind w:left="12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40" w:right="1259" w:hanging="303"/>
        <w:spacing w:after="0" w:line="248" w:lineRule="auto"/>
        <w:tabs>
          <w:tab w:leader="none" w:pos="2040" w:val="left"/>
        </w:tabs>
        <w:numPr>
          <w:ilvl w:val="1"/>
          <w:numId w:val="9"/>
        </w:numPr>
        <w:rPr>
          <w:rFonts w:ascii="Arial" w:cs="Arial" w:eastAsia="Arial" w:hAnsi="Arial"/>
          <w:sz w:val="15"/>
          <w:szCs w:val="15"/>
          <w:color w:val="auto"/>
        </w:rPr>
      </w:pPr>
      <w:r>
        <w:rPr>
          <w:rFonts w:ascii="Arial" w:cs="Arial" w:eastAsia="Arial" w:hAnsi="Arial"/>
          <w:sz w:val="15"/>
          <w:szCs w:val="15"/>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paragraphs (a)(1)(i), (a)(1)(ii), and (a)(1) (iii)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7" w:lineRule="exact"/>
        <w:rPr>
          <w:rFonts w:ascii="Arial" w:cs="Arial" w:eastAsia="Arial" w:hAnsi="Arial"/>
          <w:sz w:val="15"/>
          <w:szCs w:val="15"/>
          <w:color w:val="auto"/>
        </w:rPr>
      </w:pPr>
    </w:p>
    <w:p>
      <w:pPr>
        <w:ind w:left="1740" w:right="1179" w:hanging="298"/>
        <w:spacing w:after="0" w:line="252" w:lineRule="auto"/>
        <w:tabs>
          <w:tab w:leader="none" w:pos="17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3" w:lineRule="exact"/>
        <w:rPr>
          <w:rFonts w:ascii="Arial" w:cs="Arial" w:eastAsia="Arial" w:hAnsi="Arial"/>
          <w:sz w:val="15"/>
          <w:szCs w:val="15"/>
          <w:color w:val="auto"/>
        </w:rPr>
      </w:pPr>
    </w:p>
    <w:p>
      <w:pPr>
        <w:ind w:left="1740" w:right="1479" w:hanging="298"/>
        <w:spacing w:after="0" w:line="266" w:lineRule="auto"/>
        <w:tabs>
          <w:tab w:leader="none" w:pos="17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92" w:lineRule="exact"/>
        <w:rPr>
          <w:rFonts w:ascii="Arial" w:cs="Arial" w:eastAsia="Arial" w:hAnsi="Arial"/>
          <w:sz w:val="15"/>
          <w:szCs w:val="15"/>
          <w:color w:val="auto"/>
        </w:rPr>
      </w:pPr>
    </w:p>
    <w:p>
      <w:pPr>
        <w:ind w:left="1740" w:hanging="298"/>
        <w:spacing w:after="0"/>
        <w:tabs>
          <w:tab w:leader="none" w:pos="17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That, for the purpose of determining liability under the Securities Act of 1933 to any purchaser:</w:t>
      </w:r>
    </w:p>
    <w:p>
      <w:pPr>
        <w:spacing w:after="0" w:line="137" w:lineRule="exact"/>
        <w:rPr>
          <w:rFonts w:ascii="Arial" w:cs="Arial" w:eastAsia="Arial" w:hAnsi="Arial"/>
          <w:sz w:val="14"/>
          <w:szCs w:val="14"/>
          <w:color w:val="auto"/>
        </w:rPr>
      </w:pPr>
    </w:p>
    <w:p>
      <w:pPr>
        <w:ind w:left="2040" w:right="1259" w:hanging="303"/>
        <w:spacing w:after="0" w:line="255" w:lineRule="auto"/>
        <w:tabs>
          <w:tab w:leader="none" w:pos="204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0" w:lineRule="exact"/>
        <w:rPr>
          <w:rFonts w:ascii="Arial" w:cs="Arial" w:eastAsia="Arial" w:hAnsi="Arial"/>
          <w:sz w:val="15"/>
          <w:szCs w:val="15"/>
          <w:color w:val="auto"/>
        </w:rPr>
      </w:pPr>
    </w:p>
    <w:p>
      <w:pPr>
        <w:ind w:left="2040" w:right="1179" w:hanging="303"/>
        <w:spacing w:after="0" w:line="246" w:lineRule="auto"/>
        <w:tabs>
          <w:tab w:leader="none" w:pos="2040" w:val="left"/>
        </w:tabs>
        <w:numPr>
          <w:ilvl w:val="1"/>
          <w:numId w:val="10"/>
        </w:numPr>
        <w:rPr>
          <w:rFonts w:ascii="Arial" w:cs="Arial" w:eastAsia="Arial" w:hAnsi="Arial"/>
          <w:sz w:val="15"/>
          <w:szCs w:val="15"/>
          <w:color w:val="auto"/>
        </w:rPr>
      </w:pPr>
      <w:r>
        <w:rPr>
          <w:rFonts w:ascii="Arial" w:cs="Arial" w:eastAsia="Arial" w:hAnsi="Arial"/>
          <w:sz w:val="15"/>
          <w:szCs w:val="15"/>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8" w:lineRule="exact"/>
        <w:rPr>
          <w:rFonts w:ascii="Arial" w:cs="Arial" w:eastAsia="Arial" w:hAnsi="Arial"/>
          <w:sz w:val="15"/>
          <w:szCs w:val="15"/>
          <w:color w:val="auto"/>
        </w:rPr>
      </w:pPr>
    </w:p>
    <w:p>
      <w:pPr>
        <w:ind w:left="1740" w:right="1179" w:hanging="298"/>
        <w:spacing w:after="0" w:line="249" w:lineRule="auto"/>
        <w:tabs>
          <w:tab w:leader="none" w:pos="17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5" w:lineRule="exact"/>
        <w:rPr>
          <w:rFonts w:ascii="Arial" w:cs="Arial" w:eastAsia="Arial" w:hAnsi="Arial"/>
          <w:sz w:val="15"/>
          <w:szCs w:val="15"/>
          <w:color w:val="auto"/>
        </w:rPr>
      </w:pPr>
    </w:p>
    <w:p>
      <w:pPr>
        <w:ind w:left="2040" w:right="1459" w:hanging="303"/>
        <w:spacing w:after="0" w:line="266" w:lineRule="auto"/>
        <w:tabs>
          <w:tab w:leader="none" w:pos="2040" w:val="left"/>
        </w:tabs>
        <w:numPr>
          <w:ilvl w:val="1"/>
          <w:numId w:val="10"/>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92" w:lineRule="exact"/>
        <w:rPr>
          <w:rFonts w:ascii="Arial" w:cs="Arial" w:eastAsia="Arial" w:hAnsi="Arial"/>
          <w:sz w:val="15"/>
          <w:szCs w:val="15"/>
          <w:color w:val="auto"/>
        </w:rPr>
      </w:pPr>
    </w:p>
    <w:p>
      <w:pPr>
        <w:ind w:left="2040" w:right="1719" w:hanging="303"/>
        <w:spacing w:after="0" w:line="266" w:lineRule="auto"/>
        <w:tabs>
          <w:tab w:leader="none" w:pos="2040" w:val="left"/>
        </w:tabs>
        <w:numPr>
          <w:ilvl w:val="1"/>
          <w:numId w:val="10"/>
        </w:numPr>
        <w:rPr>
          <w:rFonts w:ascii="Arial" w:cs="Arial" w:eastAsia="Arial" w:hAnsi="Arial"/>
          <w:sz w:val="15"/>
          <w:szCs w:val="15"/>
          <w:color w:val="auto"/>
        </w:rPr>
      </w:pPr>
      <w:r>
        <w:rPr>
          <w:rFonts w:ascii="Arial" w:cs="Arial" w:eastAsia="Arial" w:hAnsi="Arial"/>
          <w:sz w:val="15"/>
          <w:szCs w:val="15"/>
          <w:color w:val="auto"/>
        </w:rPr>
        <w:t>Any free writing prospectus relating to the offering prepared by or on behalf of the undersigned registrant or used or referred to by the undersigned registrant;</w:t>
      </w:r>
    </w:p>
    <w:p>
      <w:pPr>
        <w:spacing w:after="0" w:line="92" w:lineRule="exact"/>
        <w:rPr>
          <w:rFonts w:ascii="Arial" w:cs="Arial" w:eastAsia="Arial" w:hAnsi="Arial"/>
          <w:sz w:val="15"/>
          <w:szCs w:val="15"/>
          <w:color w:val="auto"/>
        </w:rPr>
      </w:pPr>
    </w:p>
    <w:p>
      <w:pPr>
        <w:ind w:left="2040" w:hanging="303"/>
        <w:spacing w:after="0"/>
        <w:tabs>
          <w:tab w:leader="none" w:pos="2040" w:val="left"/>
        </w:tabs>
        <w:numPr>
          <w:ilvl w:val="1"/>
          <w:numId w:val="10"/>
        </w:numPr>
        <w:rPr>
          <w:rFonts w:ascii="Arial" w:cs="Arial" w:eastAsia="Arial" w:hAnsi="Arial"/>
          <w:sz w:val="15"/>
          <w:szCs w:val="15"/>
          <w:color w:val="auto"/>
        </w:rPr>
      </w:pPr>
      <w:r>
        <w:rPr>
          <w:rFonts w:ascii="Arial" w:cs="Arial" w:eastAsia="Arial" w:hAnsi="Arial"/>
          <w:sz w:val="15"/>
          <w:szCs w:val="15"/>
          <w:color w:val="auto"/>
        </w:rPr>
        <w:t>The portion of any other free writing prospectus relating to the offering containing</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 w:name="page17"/>
    <w:bookmarkEnd w:id="16"/>
    <w:p>
      <w:pPr>
        <w:ind w:left="12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40" w:right="1359"/>
        <w:spacing w:after="0" w:line="266" w:lineRule="auto"/>
        <w:rPr>
          <w:sz w:val="20"/>
          <w:szCs w:val="20"/>
          <w:color w:val="auto"/>
        </w:rPr>
      </w:pPr>
      <w:r>
        <w:rPr>
          <w:rFonts w:ascii="Arial" w:cs="Arial" w:eastAsia="Arial" w:hAnsi="Arial"/>
          <w:sz w:val="15"/>
          <w:szCs w:val="15"/>
          <w:color w:val="auto"/>
        </w:rPr>
        <w:t>material information about the undersigned registrant or its securities provided by or on behalf of the undersigned registrant; and</w:t>
      </w:r>
    </w:p>
    <w:p>
      <w:pPr>
        <w:spacing w:after="0" w:line="92" w:lineRule="exact"/>
        <w:rPr>
          <w:sz w:val="20"/>
          <w:szCs w:val="20"/>
          <w:color w:val="auto"/>
        </w:rPr>
      </w:pPr>
    </w:p>
    <w:p>
      <w:pPr>
        <w:ind w:left="2040" w:right="1759" w:hanging="303"/>
        <w:spacing w:after="0" w:line="266" w:lineRule="auto"/>
        <w:tabs>
          <w:tab w:leader="none" w:pos="20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Any other communication that is an offer in the offering made by the undersigned registrant to the purchaser.</w:t>
      </w:r>
    </w:p>
    <w:p>
      <w:pPr>
        <w:spacing w:after="0" w:line="92" w:lineRule="exact"/>
        <w:rPr>
          <w:rFonts w:ascii="Arial" w:cs="Arial" w:eastAsia="Arial" w:hAnsi="Arial"/>
          <w:sz w:val="15"/>
          <w:szCs w:val="15"/>
          <w:color w:val="auto"/>
        </w:rPr>
      </w:pPr>
    </w:p>
    <w:p>
      <w:pPr>
        <w:ind w:left="1440" w:right="1179" w:hanging="292"/>
        <w:spacing w:after="0" w:line="249" w:lineRule="auto"/>
        <w:tabs>
          <w:tab w:leader="none" w:pos="14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4" w:lineRule="exact"/>
        <w:rPr>
          <w:rFonts w:ascii="Arial" w:cs="Arial" w:eastAsia="Arial" w:hAnsi="Arial"/>
          <w:sz w:val="15"/>
          <w:szCs w:val="15"/>
          <w:color w:val="auto"/>
        </w:rPr>
      </w:pPr>
    </w:p>
    <w:p>
      <w:pPr>
        <w:ind w:left="1440" w:right="1179" w:hanging="292"/>
        <w:spacing w:after="0" w:line="247" w:lineRule="auto"/>
        <w:tabs>
          <w:tab w:leader="none" w:pos="14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 w:name="page18"/>
    <w:bookmarkEnd w:id="17"/>
    <w:p>
      <w:pPr>
        <w:ind w:left="120"/>
        <w:spacing w:after="0"/>
        <w:rPr>
          <w:sz w:val="20"/>
          <w:szCs w:val="20"/>
          <w:color w:val="auto"/>
        </w:rPr>
      </w:pPr>
      <w:r>
        <w:rPr>
          <w:rFonts w:ascii="Arial" w:cs="Arial" w:eastAsia="Arial" w:hAnsi="Arial"/>
          <w:sz w:val="9"/>
          <w:szCs w:val="9"/>
          <w:color w:val="003366"/>
        </w:rPr>
        <w:t>TABLE OF CONTENTS</w:t>
      </w:r>
    </w:p>
    <w:p>
      <w:pPr>
        <w:sectPr>
          <w:pgSz w:w="11900" w:h="16838" w:orient="portrait"/>
          <w:cols w:equalWidth="0" w:num="1">
            <w:col w:w="9019"/>
          </w:cols>
          <w:pgMar w:left="1440" w:top="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SIGNATURES</w:t>
      </w:r>
    </w:p>
    <w:p>
      <w:pPr>
        <w:spacing w:after="0" w:line="141" w:lineRule="exact"/>
        <w:rPr>
          <w:sz w:val="20"/>
          <w:szCs w:val="20"/>
          <w:color w:val="auto"/>
        </w:rPr>
      </w:pPr>
    </w:p>
    <w:p>
      <w:pPr>
        <w:jc w:val="both"/>
        <w:ind w:left="1140"/>
        <w:spacing w:after="0" w:line="247" w:lineRule="auto"/>
        <w:rPr>
          <w:sz w:val="20"/>
          <w:szCs w:val="20"/>
          <w:color w:val="auto"/>
        </w:rPr>
      </w:pPr>
      <w:r>
        <w:rPr>
          <w:rFonts w:ascii="Arial" w:cs="Arial" w:eastAsia="Arial" w:hAnsi="Arial"/>
          <w:sz w:val="15"/>
          <w:szCs w:val="15"/>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the 2</w:t>
      </w:r>
      <w:r>
        <w:rPr>
          <w:rFonts w:ascii="Arial" w:cs="Arial" w:eastAsia="Arial" w:hAnsi="Arial"/>
          <w:sz w:val="22"/>
          <w:szCs w:val="22"/>
          <w:color w:val="auto"/>
          <w:vertAlign w:val="superscript"/>
        </w:rPr>
        <w:t>nd</w:t>
      </w:r>
      <w:r>
        <w:rPr>
          <w:rFonts w:ascii="Arial" w:cs="Arial" w:eastAsia="Arial" w:hAnsi="Arial"/>
          <w:sz w:val="15"/>
          <w:szCs w:val="15"/>
          <w:color w:val="auto"/>
        </w:rPr>
        <w:t xml:space="preserve"> day of November, 2023.</w:t>
      </w:r>
    </w:p>
    <w:p>
      <w:pPr>
        <w:spacing w:after="0" w:line="45" w:lineRule="exact"/>
        <w:rPr>
          <w:sz w:val="20"/>
          <w:szCs w:val="20"/>
          <w:color w:val="auto"/>
        </w:rPr>
      </w:pPr>
    </w:p>
    <w:tbl>
      <w:tblPr>
        <w:tblLayout w:type="fixed"/>
        <w:tblInd w:w="1140" w:type="dxa"/>
        <w:tblCellMar>
          <w:top w:w="0" w:type="dxa"/>
          <w:left w:w="0" w:type="dxa"/>
          <w:bottom w:w="0" w:type="dxa"/>
          <w:right w:w="0" w:type="dxa"/>
        </w:tblCellMar>
      </w:tblPr>
      <w:tr>
        <w:trPr>
          <w:trHeight w:val="200"/>
        </w:trPr>
        <w:tc>
          <w:tcPr>
            <w:tcW w:w="1540" w:type="dxa"/>
            <w:vAlign w:val="bottom"/>
          </w:tcPr>
          <w:p>
            <w:pPr>
              <w:spacing w:after="0"/>
              <w:rPr>
                <w:sz w:val="20"/>
                <w:szCs w:val="20"/>
                <w:color w:val="auto"/>
              </w:rPr>
            </w:pPr>
            <w:r>
              <w:rPr>
                <w:rFonts w:ascii="Arial" w:cs="Arial" w:eastAsia="Arial" w:hAnsi="Arial"/>
                <w:sz w:val="16"/>
                <w:szCs w:val="16"/>
                <w:b w:val="1"/>
                <w:bCs w:val="1"/>
                <w:color w:val="auto"/>
              </w:rPr>
              <w:t>​</w:t>
            </w:r>
          </w:p>
        </w:tc>
        <w:tc>
          <w:tcPr>
            <w:tcW w:w="4140" w:type="dxa"/>
            <w:vAlign w:val="bottom"/>
            <w:gridSpan w:val="3"/>
          </w:tcPr>
          <w:p>
            <w:pPr>
              <w:ind w:left="1480"/>
              <w:spacing w:after="0"/>
              <w:rPr>
                <w:sz w:val="20"/>
                <w:szCs w:val="20"/>
                <w:color w:val="auto"/>
              </w:rPr>
            </w:pPr>
            <w:r>
              <w:rPr>
                <w:rFonts w:ascii="Arial" w:cs="Arial" w:eastAsia="Arial" w:hAnsi="Arial"/>
                <w:sz w:val="16"/>
                <w:szCs w:val="16"/>
                <w:b w:val="1"/>
                <w:bCs w:val="1"/>
                <w:color w:val="auto"/>
              </w:rPr>
              <w:t>​ ​ MICRON TECHNOLOGY, INC.</w:t>
            </w:r>
            <w:r>
              <w:rPr>
                <w:rFonts w:ascii="Arial" w:cs="Arial" w:eastAsia="Arial" w:hAnsi="Arial"/>
                <w:sz w:val="14"/>
                <w:szCs w:val="14"/>
                <w:b w:val="1"/>
                <w:bCs w:val="1"/>
                <w:color w:val="auto"/>
              </w:rPr>
              <w:t>​</w:t>
            </w:r>
          </w:p>
        </w:tc>
      </w:tr>
      <w:tr>
        <w:trPr>
          <w:trHeight w:val="187"/>
        </w:trPr>
        <w:tc>
          <w:tcPr>
            <w:tcW w:w="1540" w:type="dxa"/>
            <w:vAlign w:val="bottom"/>
          </w:tcPr>
          <w:p>
            <w:pPr>
              <w:spacing w:after="0"/>
              <w:rPr>
                <w:sz w:val="20"/>
                <w:szCs w:val="20"/>
                <w:color w:val="auto"/>
              </w:rPr>
            </w:pPr>
            <w:r>
              <w:rPr>
                <w:rFonts w:ascii="Arial" w:cs="Arial" w:eastAsia="Arial" w:hAnsi="Arial"/>
                <w:sz w:val="15"/>
                <w:szCs w:val="15"/>
                <w:color w:val="auto"/>
              </w:rPr>
              <w:t>​</w:t>
            </w:r>
          </w:p>
        </w:tc>
        <w:tc>
          <w:tcPr>
            <w:tcW w:w="1860" w:type="dxa"/>
            <w:vAlign w:val="bottom"/>
          </w:tcPr>
          <w:p>
            <w:pPr>
              <w:ind w:left="1480"/>
              <w:spacing w:after="0"/>
              <w:rPr>
                <w:sz w:val="20"/>
                <w:szCs w:val="20"/>
                <w:color w:val="auto"/>
              </w:rPr>
            </w:pPr>
            <w:r>
              <w:rPr>
                <w:rFonts w:ascii="Arial" w:cs="Arial" w:eastAsia="Arial" w:hAnsi="Arial"/>
                <w:sz w:val="15"/>
                <w:szCs w:val="15"/>
                <w:color w:val="auto"/>
              </w:rPr>
              <w:t>​ ​</w:t>
            </w:r>
          </w:p>
        </w:tc>
        <w:tc>
          <w:tcPr>
            <w:tcW w:w="680" w:type="dxa"/>
            <w:vAlign w:val="bottom"/>
          </w:tcPr>
          <w:p>
            <w:pPr>
              <w:spacing w:after="0"/>
              <w:rPr>
                <w:sz w:val="20"/>
                <w:szCs w:val="20"/>
                <w:color w:val="auto"/>
              </w:rPr>
            </w:pPr>
            <w:r>
              <w:rPr>
                <w:rFonts w:ascii="Arial" w:cs="Arial" w:eastAsia="Arial" w:hAnsi="Arial"/>
                <w:sz w:val="15"/>
                <w:szCs w:val="15"/>
                <w:color w:val="auto"/>
              </w:rPr>
              <w:t>​ ​</w:t>
            </w:r>
          </w:p>
        </w:tc>
        <w:tc>
          <w:tcPr>
            <w:tcW w:w="1600" w:type="dxa"/>
            <w:vAlign w:val="bottom"/>
          </w:tcPr>
          <w:p>
            <w:pPr>
              <w:spacing w:after="0"/>
              <w:rPr>
                <w:sz w:val="16"/>
                <w:szCs w:val="16"/>
                <w:color w:val="auto"/>
              </w:rPr>
            </w:pPr>
          </w:p>
        </w:tc>
      </w:tr>
      <w:tr>
        <w:trPr>
          <w:trHeight w:val="199"/>
        </w:trPr>
        <w:tc>
          <w:tcPr>
            <w:tcW w:w="1540" w:type="dxa"/>
            <w:vAlign w:val="bottom"/>
          </w:tcPr>
          <w:p>
            <w:pPr>
              <w:spacing w:after="0"/>
              <w:rPr>
                <w:sz w:val="17"/>
                <w:szCs w:val="17"/>
                <w:color w:val="auto"/>
              </w:rPr>
            </w:pPr>
          </w:p>
        </w:tc>
        <w:tc>
          <w:tcPr>
            <w:tcW w:w="1860" w:type="dxa"/>
            <w:vAlign w:val="bottom"/>
          </w:tcPr>
          <w:p>
            <w:pPr>
              <w:ind w:left="1640"/>
              <w:spacing w:after="0"/>
              <w:rPr>
                <w:sz w:val="20"/>
                <w:szCs w:val="20"/>
                <w:color w:val="auto"/>
              </w:rPr>
            </w:pPr>
            <w:r>
              <w:rPr>
                <w:rFonts w:ascii="Arial" w:cs="Arial" w:eastAsia="Arial" w:hAnsi="Arial"/>
                <w:sz w:val="15"/>
                <w:szCs w:val="15"/>
                <w:color w:val="auto"/>
                <w:w w:val="92"/>
              </w:rPr>
              <w:t>By:</w:t>
            </w:r>
          </w:p>
        </w:tc>
        <w:tc>
          <w:tcPr>
            <w:tcW w:w="680" w:type="dxa"/>
            <w:vAlign w:val="bottom"/>
          </w:tcPr>
          <w:p>
            <w:pPr>
              <w:spacing w:after="0"/>
              <w:rPr>
                <w:sz w:val="17"/>
                <w:szCs w:val="17"/>
                <w:color w:val="auto"/>
              </w:rPr>
            </w:pPr>
          </w:p>
        </w:tc>
        <w:tc>
          <w:tcPr>
            <w:tcW w:w="1600" w:type="dxa"/>
            <w:vAlign w:val="bottom"/>
          </w:tcPr>
          <w:p>
            <w:pPr>
              <w:jc w:val="center"/>
              <w:ind w:left="466"/>
              <w:spacing w:after="0"/>
              <w:rPr>
                <w:sz w:val="20"/>
                <w:szCs w:val="20"/>
                <w:color w:val="auto"/>
              </w:rPr>
            </w:pPr>
            <w:r>
              <w:rPr>
                <w:rFonts w:ascii="Arial" w:cs="Arial" w:eastAsia="Arial" w:hAnsi="Arial"/>
                <w:sz w:val="15"/>
                <w:szCs w:val="15"/>
                <w:i w:val="1"/>
                <w:iCs w:val="1"/>
                <w:color w:val="auto"/>
                <w:w w:val="98"/>
              </w:rPr>
              <w:t>/s/ Mark Murphy</w:t>
            </w:r>
          </w:p>
        </w:tc>
      </w:tr>
      <w:tr>
        <w:trPr>
          <w:trHeight w:val="275"/>
        </w:trPr>
        <w:tc>
          <w:tcPr>
            <w:tcW w:w="1540" w:type="dxa"/>
            <w:vAlign w:val="bottom"/>
          </w:tcPr>
          <w:p>
            <w:pPr>
              <w:spacing w:after="0"/>
              <w:rPr>
                <w:sz w:val="20"/>
                <w:szCs w:val="20"/>
                <w:color w:val="auto"/>
              </w:rPr>
            </w:pPr>
            <w:r>
              <w:rPr>
                <w:rFonts w:ascii="Arial" w:cs="Arial" w:eastAsia="Arial" w:hAnsi="Arial"/>
                <w:sz w:val="15"/>
                <w:szCs w:val="15"/>
                <w:color w:val="auto"/>
              </w:rPr>
              <w:t>​</w:t>
            </w:r>
          </w:p>
        </w:tc>
        <w:tc>
          <w:tcPr>
            <w:tcW w:w="1860" w:type="dxa"/>
            <w:vAlign w:val="bottom"/>
          </w:tcPr>
          <w:p>
            <w:pPr>
              <w:ind w:left="1480"/>
              <w:spacing w:after="0"/>
              <w:rPr>
                <w:sz w:val="20"/>
                <w:szCs w:val="20"/>
                <w:color w:val="auto"/>
              </w:rPr>
            </w:pPr>
            <w:r>
              <w:rPr>
                <w:rFonts w:ascii="Arial" w:cs="Arial" w:eastAsia="Arial" w:hAnsi="Arial"/>
                <w:sz w:val="15"/>
                <w:szCs w:val="15"/>
                <w:color w:val="auto"/>
              </w:rPr>
              <w:t>​ ​ ​</w:t>
            </w:r>
          </w:p>
        </w:tc>
        <w:tc>
          <w:tcPr>
            <w:tcW w:w="680" w:type="dxa"/>
            <w:vAlign w:val="bottom"/>
          </w:tcPr>
          <w:p>
            <w:pPr>
              <w:spacing w:after="0"/>
              <w:rPr>
                <w:sz w:val="20"/>
                <w:szCs w:val="20"/>
                <w:color w:val="auto"/>
              </w:rPr>
            </w:pPr>
            <w:r>
              <w:rPr>
                <w:rFonts w:ascii="Arial" w:cs="Arial" w:eastAsia="Arial" w:hAnsi="Arial"/>
                <w:sz w:val="15"/>
                <w:szCs w:val="15"/>
                <w:color w:val="auto"/>
              </w:rPr>
              <w:t>​ ​</w:t>
            </w:r>
          </w:p>
        </w:tc>
        <w:tc>
          <w:tcPr>
            <w:tcW w:w="1600" w:type="dxa"/>
            <w:vAlign w:val="bottom"/>
          </w:tcPr>
          <w:p>
            <w:pPr>
              <w:jc w:val="center"/>
              <w:ind w:left="426"/>
              <w:spacing w:after="0"/>
              <w:rPr>
                <w:sz w:val="20"/>
                <w:szCs w:val="20"/>
                <w:color w:val="auto"/>
              </w:rPr>
            </w:pPr>
            <w:r>
              <w:rPr>
                <w:rFonts w:ascii="Arial" w:cs="Arial" w:eastAsia="Arial" w:hAnsi="Arial"/>
                <w:sz w:val="15"/>
                <w:szCs w:val="15"/>
                <w:color w:val="auto"/>
                <w:w w:val="98"/>
              </w:rPr>
              <w:t>Mark Murphy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-146050</wp:posOffset>
            </wp:positionV>
            <wp:extent cx="19907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990725" cy="6985"/>
                    </a:xfrm>
                    <a:prstGeom prst="rect">
                      <a:avLst/>
                    </a:prstGeom>
                    <a:noFill/>
                  </pic:spPr>
                </pic:pic>
              </a:graphicData>
            </a:graphic>
          </wp:anchor>
        </w:drawing>
      </w:r>
    </w:p>
    <w:p>
      <w:pPr>
        <w:ind w:left="5320"/>
        <w:spacing w:after="0"/>
        <w:rPr>
          <w:sz w:val="20"/>
          <w:szCs w:val="20"/>
          <w:color w:val="auto"/>
        </w:rPr>
      </w:pPr>
      <w:r>
        <w:rPr>
          <w:rFonts w:ascii="Arial" w:cs="Arial" w:eastAsia="Arial" w:hAnsi="Arial"/>
          <w:sz w:val="15"/>
          <w:szCs w:val="15"/>
          <w:color w:val="auto"/>
        </w:rPr>
        <w:t>Executive Vice President and</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5149850</wp:posOffset>
            </wp:positionV>
            <wp:extent cx="55841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ectPr>
          <w:pgSz w:w="11900" w:h="16838" w:orient="portrait"/>
          <w:cols w:equalWidth="0" w:num="2">
            <w:col w:w="7680" w:space="180"/>
            <w:col w:w="1159"/>
          </w:cols>
          <w:pgMar w:left="1440" w:top="98" w:right="1440" w:bottom="1440" w:gutter="0" w:footer="0" w:header="0"/>
          <w:type w:val="continuous"/>
        </w:sectPr>
      </w:pPr>
    </w:p>
    <w:bookmarkStart w:id="18" w:name="page19"/>
    <w:bookmarkEnd w:id="18"/>
    <w:p>
      <w:pPr>
        <w:ind w:left="12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1" w:lineRule="exact"/>
        <w:rPr>
          <w:sz w:val="20"/>
          <w:szCs w:val="20"/>
          <w:color w:val="auto"/>
        </w:rPr>
      </w:pPr>
    </w:p>
    <w:p>
      <w:pPr>
        <w:ind w:left="1140" w:right="1179"/>
        <w:spacing w:after="0" w:line="247"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Sanjay Mehrotra and Mark Murphy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of 1933, as amended,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in accordance with the laws of the State of Delaware and applicable federal securities laws.</w:t>
      </w:r>
    </w:p>
    <w:p>
      <w:pPr>
        <w:spacing w:after="0" w:line="99" w:lineRule="exact"/>
        <w:rPr>
          <w:sz w:val="20"/>
          <w:szCs w:val="20"/>
          <w:color w:val="auto"/>
        </w:rPr>
      </w:pPr>
    </w:p>
    <w:p>
      <w:pPr>
        <w:ind w:left="1140" w:right="1199"/>
        <w:spacing w:after="0" w:line="266" w:lineRule="auto"/>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9019"/>
          </w:cols>
          <w:pgMar w:left="1440" w:top="98" w:right="1440" w:bottom="1440" w:gutter="0" w:footer="0" w:header="0"/>
        </w:sectPr>
      </w:pPr>
    </w:p>
    <w:p>
      <w:pPr>
        <w:spacing w:after="0" w:line="59" w:lineRule="exact"/>
        <w:rPr>
          <w:sz w:val="20"/>
          <w:szCs w:val="20"/>
          <w:color w:val="auto"/>
        </w:rPr>
      </w:pPr>
    </w:p>
    <w:p>
      <w:pPr>
        <w:ind w:left="2160" w:hanging="1012"/>
        <w:spacing w:after="0"/>
        <w:tabs>
          <w:tab w:leader="none" w:pos="2160" w:val="left"/>
        </w:tabs>
        <w:numPr>
          <w:ilvl w:val="0"/>
          <w:numId w:val="13"/>
        </w:numPr>
        <w:rPr>
          <w:rFonts w:ascii="Arial" w:cs="Arial" w:eastAsia="Arial" w:hAnsi="Arial"/>
          <w:sz w:val="24"/>
          <w:szCs w:val="24"/>
          <w:b w:val="1"/>
          <w:bCs w:val="1"/>
          <w:color w:val="auto"/>
          <w:vertAlign w:val="subscript"/>
        </w:rPr>
      </w:pPr>
      <w:r>
        <w:rPr>
          <w:rFonts w:ascii="Arial" w:cs="Arial" w:eastAsia="Arial" w:hAnsi="Arial"/>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6985</wp:posOffset>
            </wp:positionV>
            <wp:extent cx="164020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640205" cy="6985"/>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p>
    <w:p>
      <w:pPr>
        <w:spacing w:after="0" w:line="10" w:lineRule="exact"/>
        <w:rPr>
          <w:sz w:val="20"/>
          <w:szCs w:val="20"/>
          <w:color w:val="auto"/>
        </w:rPr>
      </w:pPr>
    </w:p>
    <w:p>
      <w:pPr>
        <w:jc w:val="center"/>
        <w:ind w:left="1700"/>
        <w:spacing w:after="0"/>
        <w:rPr>
          <w:sz w:val="20"/>
          <w:szCs w:val="20"/>
          <w:color w:val="auto"/>
        </w:rPr>
      </w:pPr>
      <w:r>
        <w:rPr>
          <w:rFonts w:ascii="Arial" w:cs="Arial" w:eastAsia="Arial" w:hAnsi="Arial"/>
          <w:sz w:val="15"/>
          <w:szCs w:val="15"/>
          <w:i w:val="1"/>
          <w:iCs w:val="1"/>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41275</wp:posOffset>
            </wp:positionV>
            <wp:extent cx="163322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633220" cy="6985"/>
                    </a:xfrm>
                    <a:prstGeom prst="rect">
                      <a:avLst/>
                    </a:prstGeom>
                    <a:noFill/>
                  </pic:spPr>
                </pic:pic>
              </a:graphicData>
            </a:graphic>
          </wp:anchor>
        </w:drawing>
      </w:r>
    </w:p>
    <w:p>
      <w:pPr>
        <w:spacing w:after="0" w:line="67" w:lineRule="exact"/>
        <w:rPr>
          <w:sz w:val="20"/>
          <w:szCs w:val="20"/>
          <w:color w:val="auto"/>
        </w:rPr>
      </w:pPr>
    </w:p>
    <w:p>
      <w:pPr>
        <w:jc w:val="center"/>
        <w:ind w:left="1700"/>
        <w:spacing w:after="0"/>
        <w:rPr>
          <w:sz w:val="20"/>
          <w:szCs w:val="20"/>
          <w:color w:val="auto"/>
        </w:rPr>
      </w:pPr>
      <w:r>
        <w:rPr>
          <w:rFonts w:ascii="Arial" w:cs="Arial" w:eastAsia="Arial" w:hAnsi="Arial"/>
          <w:sz w:val="15"/>
          <w:szCs w:val="15"/>
          <w:color w:val="auto"/>
        </w:rPr>
        <w:t>Sanjay Mehrotra</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p>
    <w:p>
      <w:pPr>
        <w:spacing w:after="0" w:line="10" w:lineRule="exact"/>
        <w:rPr>
          <w:sz w:val="20"/>
          <w:szCs w:val="20"/>
          <w:color w:val="auto"/>
        </w:rPr>
      </w:pPr>
    </w:p>
    <w:p>
      <w:pPr>
        <w:jc w:val="center"/>
        <w:ind w:left="1700"/>
        <w:spacing w:after="0"/>
        <w:rPr>
          <w:sz w:val="20"/>
          <w:szCs w:val="20"/>
          <w:color w:val="auto"/>
        </w:rPr>
      </w:pPr>
      <w:r>
        <w:rPr>
          <w:rFonts w:ascii="Arial" w:cs="Arial" w:eastAsia="Arial" w:hAnsi="Arial"/>
          <w:sz w:val="15"/>
          <w:szCs w:val="15"/>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41275</wp:posOffset>
            </wp:positionV>
            <wp:extent cx="163322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633220" cy="6985"/>
                    </a:xfrm>
                    <a:prstGeom prst="rect">
                      <a:avLst/>
                    </a:prstGeom>
                    <a:noFill/>
                  </pic:spPr>
                </pic:pic>
              </a:graphicData>
            </a:graphic>
          </wp:anchor>
        </w:drawing>
      </w:r>
    </w:p>
    <w:p>
      <w:pPr>
        <w:spacing w:after="0" w:line="67" w:lineRule="exact"/>
        <w:rPr>
          <w:sz w:val="20"/>
          <w:szCs w:val="20"/>
          <w:color w:val="auto"/>
        </w:rPr>
      </w:pPr>
    </w:p>
    <w:p>
      <w:pPr>
        <w:jc w:val="center"/>
        <w:ind w:left="1700"/>
        <w:spacing w:after="0"/>
        <w:rPr>
          <w:sz w:val="20"/>
          <w:szCs w:val="20"/>
          <w:color w:val="auto"/>
        </w:rPr>
      </w:pPr>
      <w:r>
        <w:rPr>
          <w:rFonts w:ascii="Arial" w:cs="Arial" w:eastAsia="Arial" w:hAnsi="Arial"/>
          <w:sz w:val="15"/>
          <w:szCs w:val="15"/>
          <w:color w:val="auto"/>
        </w:rPr>
        <w:t>Mark Murphy</w:t>
      </w:r>
    </w:p>
    <w:p>
      <w:pPr>
        <w:spacing w:after="0" w:line="10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p>
    <w:p>
      <w:pPr>
        <w:jc w:val="center"/>
        <w:ind w:left="1700"/>
        <w:spacing w:after="0"/>
        <w:rPr>
          <w:sz w:val="20"/>
          <w:szCs w:val="20"/>
          <w:color w:val="auto"/>
        </w:rPr>
      </w:pPr>
      <w:r>
        <w:rPr>
          <w:rFonts w:ascii="Arial" w:cs="Arial" w:eastAsia="Arial" w:hAnsi="Arial"/>
          <w:sz w:val="15"/>
          <w:szCs w:val="15"/>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41275</wp:posOffset>
            </wp:positionV>
            <wp:extent cx="163322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1633220" cy="6985"/>
                    </a:xfrm>
                    <a:prstGeom prst="rect">
                      <a:avLst/>
                    </a:prstGeom>
                    <a:noFill/>
                  </pic:spPr>
                </pic:pic>
              </a:graphicData>
            </a:graphic>
          </wp:anchor>
        </w:drawing>
      </w:r>
    </w:p>
    <w:p>
      <w:pPr>
        <w:spacing w:after="0" w:line="67" w:lineRule="exact"/>
        <w:rPr>
          <w:sz w:val="20"/>
          <w:szCs w:val="20"/>
          <w:color w:val="auto"/>
        </w:rPr>
      </w:pPr>
    </w:p>
    <w:p>
      <w:pPr>
        <w:jc w:val="center"/>
        <w:ind w:left="1700"/>
        <w:spacing w:after="0"/>
        <w:rPr>
          <w:sz w:val="20"/>
          <w:szCs w:val="20"/>
          <w:color w:val="auto"/>
        </w:rPr>
      </w:pPr>
      <w:r>
        <w:rPr>
          <w:rFonts w:ascii="Arial" w:cs="Arial" w:eastAsia="Arial" w:hAnsi="Arial"/>
          <w:sz w:val="15"/>
          <w:szCs w:val="15"/>
          <w:color w:val="auto"/>
        </w:rPr>
        <w:t>Scott Allen</w:t>
      </w:r>
    </w:p>
    <w:p>
      <w:pPr>
        <w:spacing w:after="0" w:line="296" w:lineRule="exact"/>
        <w:rPr>
          <w:sz w:val="20"/>
          <w:szCs w:val="20"/>
          <w:color w:val="auto"/>
        </w:rPr>
      </w:pPr>
    </w:p>
    <w:p>
      <w:pPr>
        <w:ind w:left="1700" w:hanging="552"/>
        <w:spacing w:after="0"/>
        <w:tabs>
          <w:tab w:leader="none" w:pos="1700"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/s/ Linnie Haynesworth</w:t>
      </w:r>
    </w:p>
    <w:p>
      <w:pPr>
        <w:spacing w:after="0" w:line="98" w:lineRule="exact"/>
        <w:rPr>
          <w:rFonts w:ascii="Arial" w:cs="Arial" w:eastAsia="Arial" w:hAnsi="Arial"/>
          <w:sz w:val="14"/>
          <w:szCs w:val="14"/>
          <w:color w:val="auto"/>
        </w:rPr>
      </w:pPr>
    </w:p>
    <w:p>
      <w:pPr>
        <w:ind w:left="1800"/>
        <w:spacing w:after="0"/>
        <w:rPr>
          <w:rFonts w:ascii="Arial" w:cs="Arial" w:eastAsia="Arial" w:hAnsi="Arial"/>
          <w:sz w:val="14"/>
          <w:szCs w:val="14"/>
          <w:color w:val="auto"/>
        </w:rPr>
      </w:pPr>
      <w:r>
        <w:rPr>
          <w:rFonts w:ascii="Arial" w:cs="Arial" w:eastAsia="Arial" w:hAnsi="Arial"/>
          <w:sz w:val="15"/>
          <w:szCs w:val="15"/>
          <w:color w:val="auto"/>
        </w:rPr>
        <w:t>Linnie Haynesworth</w:t>
      </w:r>
    </w:p>
    <w:p>
      <w:pPr>
        <w:spacing w:after="0" w:line="196" w:lineRule="exact"/>
        <w:rPr>
          <w:rFonts w:ascii="Arial" w:cs="Arial" w:eastAsia="Arial" w:hAnsi="Arial"/>
          <w:sz w:val="14"/>
          <w:szCs w:val="14"/>
          <w:color w:val="auto"/>
        </w:rPr>
      </w:pPr>
    </w:p>
    <w:p>
      <w:pPr>
        <w:ind w:left="1780" w:hanging="632"/>
        <w:spacing w:after="0"/>
        <w:tabs>
          <w:tab w:leader="none" w:pos="1780"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/s/ Richard M. Beyer</w:t>
      </w:r>
    </w:p>
    <w:p>
      <w:pPr>
        <w:spacing w:after="0" w:line="87" w:lineRule="exact"/>
        <w:rPr>
          <w:rFonts w:ascii="Arial" w:cs="Arial" w:eastAsia="Arial" w:hAnsi="Arial"/>
          <w:sz w:val="15"/>
          <w:szCs w:val="15"/>
          <w:color w:val="auto"/>
        </w:rPr>
      </w:pPr>
    </w:p>
    <w:p>
      <w:pPr>
        <w:ind w:left="1880"/>
        <w:spacing w:after="0"/>
        <w:rPr>
          <w:rFonts w:ascii="Arial" w:cs="Arial" w:eastAsia="Arial" w:hAnsi="Arial"/>
          <w:sz w:val="15"/>
          <w:szCs w:val="15"/>
          <w:color w:val="auto"/>
        </w:rPr>
      </w:pPr>
      <w:r>
        <w:rPr>
          <w:rFonts w:ascii="Arial" w:cs="Arial" w:eastAsia="Arial" w:hAnsi="Arial"/>
          <w:sz w:val="15"/>
          <w:szCs w:val="15"/>
          <w:color w:val="auto"/>
        </w:rPr>
        <w:t>Richard M. Beyer</w:t>
      </w:r>
    </w:p>
    <w:p>
      <w:pPr>
        <w:spacing w:after="0" w:line="196" w:lineRule="exact"/>
        <w:rPr>
          <w:rFonts w:ascii="Arial" w:cs="Arial" w:eastAsia="Arial" w:hAnsi="Arial"/>
          <w:sz w:val="15"/>
          <w:szCs w:val="15"/>
          <w:color w:val="auto"/>
        </w:rPr>
      </w:pPr>
    </w:p>
    <w:p>
      <w:pPr>
        <w:ind w:left="1880" w:hanging="732"/>
        <w:spacing w:after="0"/>
        <w:tabs>
          <w:tab w:leader="none" w:pos="1880"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/s/ Lynn A. Dugle</w:t>
      </w:r>
    </w:p>
    <w:p>
      <w:pPr>
        <w:spacing w:after="0" w:line="87" w:lineRule="exact"/>
        <w:rPr>
          <w:rFonts w:ascii="Arial" w:cs="Arial" w:eastAsia="Arial" w:hAnsi="Arial"/>
          <w:sz w:val="15"/>
          <w:szCs w:val="15"/>
          <w:color w:val="auto"/>
        </w:rPr>
      </w:pPr>
    </w:p>
    <w:p>
      <w:pPr>
        <w:ind w:left="1980"/>
        <w:spacing w:after="0"/>
        <w:rPr>
          <w:rFonts w:ascii="Arial" w:cs="Arial" w:eastAsia="Arial" w:hAnsi="Arial"/>
          <w:sz w:val="15"/>
          <w:szCs w:val="15"/>
          <w:color w:val="auto"/>
        </w:rPr>
      </w:pPr>
      <w:r>
        <w:rPr>
          <w:rFonts w:ascii="Arial" w:cs="Arial" w:eastAsia="Arial" w:hAnsi="Arial"/>
          <w:sz w:val="15"/>
          <w:szCs w:val="15"/>
          <w:color w:val="auto"/>
        </w:rPr>
        <w:t>Lynn A. Dugle</w:t>
      </w:r>
    </w:p>
    <w:p>
      <w:pPr>
        <w:spacing w:after="0" w:line="196" w:lineRule="exact"/>
        <w:rPr>
          <w:rFonts w:ascii="Arial" w:cs="Arial" w:eastAsia="Arial" w:hAnsi="Arial"/>
          <w:sz w:val="15"/>
          <w:szCs w:val="15"/>
          <w:color w:val="auto"/>
        </w:rPr>
      </w:pPr>
    </w:p>
    <w:p>
      <w:pPr>
        <w:ind w:left="1820" w:hanging="672"/>
        <w:spacing w:after="0"/>
        <w:tabs>
          <w:tab w:leader="none" w:pos="1820"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/s/ Steven J. Gomo</w:t>
      </w:r>
    </w:p>
    <w:p>
      <w:pPr>
        <w:spacing w:after="0" w:line="87" w:lineRule="exact"/>
        <w:rPr>
          <w:rFonts w:ascii="Arial" w:cs="Arial" w:eastAsia="Arial" w:hAnsi="Arial"/>
          <w:sz w:val="15"/>
          <w:szCs w:val="15"/>
          <w:color w:val="auto"/>
        </w:rPr>
      </w:pPr>
    </w:p>
    <w:p>
      <w:pPr>
        <w:ind w:left="1920"/>
        <w:spacing w:after="0"/>
        <w:rPr>
          <w:rFonts w:ascii="Arial" w:cs="Arial" w:eastAsia="Arial" w:hAnsi="Arial"/>
          <w:sz w:val="15"/>
          <w:szCs w:val="15"/>
          <w:color w:val="auto"/>
        </w:rPr>
      </w:pPr>
      <w:r>
        <w:rPr>
          <w:rFonts w:ascii="Arial" w:cs="Arial" w:eastAsia="Arial" w:hAnsi="Arial"/>
          <w:sz w:val="15"/>
          <w:szCs w:val="15"/>
          <w:color w:val="auto"/>
        </w:rPr>
        <w:t>Steven J. Gomo</w:t>
      </w:r>
    </w:p>
    <w:p>
      <w:pPr>
        <w:spacing w:after="0" w:line="196" w:lineRule="exact"/>
        <w:rPr>
          <w:rFonts w:ascii="Arial" w:cs="Arial" w:eastAsia="Arial" w:hAnsi="Arial"/>
          <w:sz w:val="15"/>
          <w:szCs w:val="15"/>
          <w:color w:val="auto"/>
        </w:rPr>
      </w:pPr>
    </w:p>
    <w:p>
      <w:pPr>
        <w:ind w:left="1720" w:hanging="572"/>
        <w:spacing w:after="0"/>
        <w:tabs>
          <w:tab w:leader="none" w:pos="1720"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/s/ Mary Pat McCarthy</w:t>
      </w:r>
    </w:p>
    <w:p>
      <w:pPr>
        <w:spacing w:after="0" w:line="98" w:lineRule="exact"/>
        <w:rPr>
          <w:rFonts w:ascii="Arial" w:cs="Arial" w:eastAsia="Arial" w:hAnsi="Arial"/>
          <w:sz w:val="14"/>
          <w:szCs w:val="14"/>
          <w:color w:val="auto"/>
        </w:rPr>
      </w:pPr>
    </w:p>
    <w:p>
      <w:pPr>
        <w:ind w:left="1820"/>
        <w:spacing w:after="0"/>
        <w:rPr>
          <w:rFonts w:ascii="Arial" w:cs="Arial" w:eastAsia="Arial" w:hAnsi="Arial"/>
          <w:sz w:val="14"/>
          <w:szCs w:val="14"/>
          <w:color w:val="auto"/>
        </w:rPr>
      </w:pPr>
      <w:r>
        <w:rPr>
          <w:rFonts w:ascii="Arial" w:cs="Arial" w:eastAsia="Arial" w:hAnsi="Arial"/>
          <w:sz w:val="15"/>
          <w:szCs w:val="15"/>
          <w:color w:val="auto"/>
        </w:rPr>
        <w:t>Mary Pat McCarthy</w:t>
      </w:r>
    </w:p>
    <w:p>
      <w:pPr>
        <w:spacing w:after="0" w:line="196" w:lineRule="exact"/>
        <w:rPr>
          <w:rFonts w:ascii="Arial" w:cs="Arial" w:eastAsia="Arial" w:hAnsi="Arial"/>
          <w:sz w:val="14"/>
          <w:szCs w:val="14"/>
          <w:color w:val="auto"/>
        </w:rPr>
      </w:pPr>
    </w:p>
    <w:p>
      <w:pPr>
        <w:ind w:left="1840" w:hanging="692"/>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/s/ Robert E. Switz</w:t>
      </w:r>
    </w:p>
    <w:p>
      <w:pPr>
        <w:spacing w:after="0" w:line="87" w:lineRule="exact"/>
        <w:rPr>
          <w:rFonts w:ascii="Arial" w:cs="Arial" w:eastAsia="Arial" w:hAnsi="Arial"/>
          <w:sz w:val="15"/>
          <w:szCs w:val="15"/>
          <w:color w:val="auto"/>
        </w:rPr>
      </w:pPr>
    </w:p>
    <w:p>
      <w:pPr>
        <w:ind w:left="1940"/>
        <w:spacing w:after="0"/>
        <w:rPr>
          <w:rFonts w:ascii="Arial" w:cs="Arial" w:eastAsia="Arial" w:hAnsi="Arial"/>
          <w:sz w:val="15"/>
          <w:szCs w:val="15"/>
          <w:color w:val="auto"/>
        </w:rPr>
      </w:pPr>
      <w:r>
        <w:rPr>
          <w:rFonts w:ascii="Arial" w:cs="Arial" w:eastAsia="Arial" w:hAnsi="Arial"/>
          <w:sz w:val="15"/>
          <w:szCs w:val="15"/>
          <w:color w:val="auto"/>
        </w:rPr>
        <w:t>Robert E. Switz</w:t>
      </w:r>
    </w:p>
    <w:p>
      <w:pPr>
        <w:spacing w:after="0" w:line="196" w:lineRule="exact"/>
        <w:rPr>
          <w:rFonts w:ascii="Arial" w:cs="Arial" w:eastAsia="Arial" w:hAnsi="Arial"/>
          <w:sz w:val="15"/>
          <w:szCs w:val="15"/>
          <w:color w:val="auto"/>
        </w:rPr>
      </w:pPr>
    </w:p>
    <w:p>
      <w:pPr>
        <w:ind w:left="1820" w:hanging="672"/>
        <w:spacing w:after="0"/>
        <w:tabs>
          <w:tab w:leader="none" w:pos="1820"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/s/ MaryAnn Wright</w:t>
      </w:r>
    </w:p>
    <w:p>
      <w:pPr>
        <w:spacing w:after="0" w:line="87" w:lineRule="exact"/>
        <w:rPr>
          <w:rFonts w:ascii="Arial" w:cs="Arial" w:eastAsia="Arial" w:hAnsi="Arial"/>
          <w:sz w:val="15"/>
          <w:szCs w:val="15"/>
          <w:color w:val="auto"/>
        </w:rPr>
      </w:pPr>
    </w:p>
    <w:p>
      <w:pPr>
        <w:ind w:left="1920"/>
        <w:spacing w:after="0"/>
        <w:rPr>
          <w:rFonts w:ascii="Arial" w:cs="Arial" w:eastAsia="Arial" w:hAnsi="Arial"/>
          <w:sz w:val="15"/>
          <w:szCs w:val="15"/>
          <w:color w:val="auto"/>
        </w:rPr>
      </w:pPr>
      <w:r>
        <w:rPr>
          <w:rFonts w:ascii="Arial" w:cs="Arial" w:eastAsia="Arial" w:hAnsi="Arial"/>
          <w:sz w:val="15"/>
          <w:szCs w:val="15"/>
          <w:color w:val="auto"/>
        </w:rPr>
        <w:t>MaryAnn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-2520315</wp:posOffset>
            </wp:positionV>
            <wp:extent cx="163322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6332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-2120900</wp:posOffset>
            </wp:positionV>
            <wp:extent cx="163322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6332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-1721485</wp:posOffset>
            </wp:positionV>
            <wp:extent cx="163322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16332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-1322070</wp:posOffset>
            </wp:positionV>
            <wp:extent cx="163322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16332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-922020</wp:posOffset>
            </wp:positionV>
            <wp:extent cx="163322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16332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-522605</wp:posOffset>
            </wp:positionV>
            <wp:extent cx="163322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16332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-123190</wp:posOffset>
            </wp:positionV>
            <wp:extent cx="163322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16332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24130</wp:posOffset>
            </wp:positionV>
            <wp:extent cx="163322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633220" cy="6985"/>
                    </a:xfrm>
                    <a:prstGeom prst="rect">
                      <a:avLst/>
                    </a:prstGeom>
                    <a:noFill/>
                  </pic:spPr>
                </pic:pic>
              </a:graphicData>
            </a:graphic>
          </wp:anchor>
        </w:drawing>
      </w:r>
    </w:p>
    <w:p>
      <w:pPr>
        <w:spacing w:after="0" w:line="217" w:lineRule="exact"/>
        <w:rPr>
          <w:sz w:val="20"/>
          <w:szCs w:val="20"/>
          <w:color w:val="auto"/>
        </w:rPr>
      </w:pPr>
    </w:p>
    <w:p>
      <w:pPr>
        <w:ind w:left="20" w:hanging="16"/>
        <w:spacing w:after="0" w:line="302" w:lineRule="auto"/>
        <w:rPr>
          <w:sz w:val="20"/>
          <w:szCs w:val="20"/>
          <w:color w:val="auto"/>
        </w:rPr>
      </w:pPr>
      <w:r>
        <w:rPr>
          <w:rFonts w:ascii="Arial" w:cs="Arial" w:eastAsia="Arial" w:hAnsi="Arial"/>
          <w:sz w:val="14"/>
          <w:szCs w:val="14"/>
          <w:color w:val="auto"/>
        </w:rPr>
        <w:t>President and Chief Executive Officer (Principal Executive Officer), Director</w:t>
      </w:r>
    </w:p>
    <w:p>
      <w:pPr>
        <w:spacing w:after="0" w:line="224" w:lineRule="exact"/>
        <w:rPr>
          <w:sz w:val="20"/>
          <w:szCs w:val="20"/>
          <w:color w:val="auto"/>
        </w:rPr>
      </w:pPr>
    </w:p>
    <w:p>
      <w:pPr>
        <w:jc w:val="center"/>
        <w:ind w:left="60"/>
        <w:spacing w:after="0" w:line="255" w:lineRule="auto"/>
        <w:rPr>
          <w:sz w:val="20"/>
          <w:szCs w:val="20"/>
          <w:color w:val="auto"/>
        </w:rPr>
      </w:pPr>
      <w:r>
        <w:rPr>
          <w:rFonts w:ascii="Arial" w:cs="Arial" w:eastAsia="Arial" w:hAnsi="Arial"/>
          <w:sz w:val="15"/>
          <w:szCs w:val="15"/>
          <w:color w:val="auto"/>
        </w:rPr>
        <w:t>Executive Vice President and Chief Financial Officer (Principal Financial Officer)</w:t>
      </w:r>
    </w:p>
    <w:p>
      <w:pPr>
        <w:spacing w:after="0" w:line="179" w:lineRule="exact"/>
        <w:rPr>
          <w:sz w:val="20"/>
          <w:szCs w:val="20"/>
          <w:color w:val="auto"/>
        </w:rPr>
      </w:pPr>
    </w:p>
    <w:p>
      <w:pPr>
        <w:jc w:val="center"/>
        <w:ind w:left="-19" w:right="60"/>
        <w:spacing w:after="0" w:line="255" w:lineRule="auto"/>
        <w:rPr>
          <w:sz w:val="20"/>
          <w:szCs w:val="20"/>
          <w:color w:val="auto"/>
        </w:rPr>
      </w:pPr>
      <w:r>
        <w:rPr>
          <w:rFonts w:ascii="Arial" w:cs="Arial" w:eastAsia="Arial" w:hAnsi="Arial"/>
          <w:sz w:val="15"/>
          <w:szCs w:val="15"/>
          <w:color w:val="auto"/>
        </w:rPr>
        <w:t>Corporate Vice President and Chief Accounting Officer (Principal Accounting Officer)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Chairman of the Board Director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571500</wp:posOffset>
            </wp:positionV>
            <wp:extent cx="558419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20" w:type="dxa"/>
            <w:vAlign w:val="bottom"/>
          </w:tcPr>
          <w:p>
            <w:pPr>
              <w:spacing w:after="0"/>
              <w:rPr>
                <w:sz w:val="20"/>
                <w:szCs w:val="20"/>
                <w:color w:val="auto"/>
              </w:rPr>
            </w:pPr>
            <w:r>
              <w:rPr>
                <w:rFonts w:ascii="Arial" w:cs="Arial" w:eastAsia="Arial" w:hAnsi="Arial"/>
                <w:sz w:val="12"/>
                <w:szCs w:val="12"/>
                <w:b w:val="1"/>
                <w:bCs w:val="1"/>
                <w:color w:val="auto"/>
              </w:rPr>
              <w:t>​ ​</w:t>
            </w:r>
          </w:p>
        </w:tc>
        <w:tc>
          <w:tcPr>
            <w:tcW w:w="20" w:type="dxa"/>
            <w:vAlign w:val="bottom"/>
          </w:tcPr>
          <w:p>
            <w:pPr>
              <w:spacing w:after="0"/>
              <w:rPr>
                <w:sz w:val="15"/>
                <w:szCs w:val="15"/>
                <w:color w:val="auto"/>
              </w:rPr>
            </w:pPr>
          </w:p>
        </w:tc>
        <w:tc>
          <w:tcPr>
            <w:tcW w:w="84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Date</w:t>
            </w:r>
          </w:p>
        </w:tc>
        <w:tc>
          <w:tcPr>
            <w:tcW w:w="36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8"/>
        </w:trPr>
        <w:tc>
          <w:tcPr>
            <w:tcW w:w="120" w:type="dxa"/>
            <w:vAlign w:val="bottom"/>
          </w:tcPr>
          <w:p>
            <w:pPr>
              <w:spacing w:after="0" w:line="168" w:lineRule="exact"/>
              <w:rPr>
                <w:sz w:val="20"/>
                <w:szCs w:val="20"/>
                <w:color w:val="auto"/>
              </w:rPr>
            </w:pPr>
            <w:r>
              <w:rPr>
                <w:rFonts w:ascii="Arial" w:cs="Arial" w:eastAsia="Arial" w:hAnsi="Arial"/>
                <w:sz w:val="15"/>
                <w:szCs w:val="15"/>
                <w:color w:val="auto"/>
              </w:rPr>
              <w:t>​ ​</w:t>
            </w:r>
          </w:p>
        </w:tc>
        <w:tc>
          <w:tcPr>
            <w:tcW w:w="860" w:type="dxa"/>
            <w:vAlign w:val="bottom"/>
            <w:gridSpan w:val="2"/>
            <w:vMerge w:val="restart"/>
          </w:tcPr>
          <w:p>
            <w:pPr>
              <w:spacing w:after="0"/>
              <w:rPr>
                <w:sz w:val="20"/>
                <w:szCs w:val="20"/>
                <w:color w:val="auto"/>
              </w:rPr>
            </w:pPr>
            <w:r>
              <w:rPr>
                <w:rFonts w:ascii="Arial" w:cs="Arial" w:eastAsia="Arial" w:hAnsi="Arial"/>
                <w:sz w:val="15"/>
                <w:szCs w:val="15"/>
                <w:color w:val="auto"/>
                <w:w w:val="97"/>
              </w:rPr>
              <w:t>November 2,</w:t>
            </w: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2023</w:t>
            </w:r>
          </w:p>
        </w:tc>
        <w:tc>
          <w:tcPr>
            <w:tcW w:w="4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120" w:type="dxa"/>
            <w:vAlign w:val="bottom"/>
          </w:tcPr>
          <w:p>
            <w:pPr>
              <w:spacing w:after="0"/>
              <w:rPr>
                <w:sz w:val="20"/>
                <w:szCs w:val="20"/>
                <w:color w:val="auto"/>
              </w:rPr>
            </w:pPr>
            <w:r>
              <w:rPr>
                <w:rFonts w:ascii="Arial" w:cs="Arial" w:eastAsia="Arial" w:hAnsi="Arial"/>
                <w:sz w:val="15"/>
                <w:szCs w:val="15"/>
                <w:color w:val="auto"/>
              </w:rPr>
              <w:t>​ ​</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5"/>
                <w:szCs w:val="15"/>
                <w:color w:val="auto"/>
                <w:w w:val="97"/>
              </w:rPr>
              <w:t>November 2,</w:t>
            </w:r>
          </w:p>
        </w:tc>
        <w:tc>
          <w:tcPr>
            <w:tcW w:w="360" w:type="dxa"/>
            <w:vAlign w:val="bottom"/>
          </w:tcPr>
          <w:p>
            <w:pPr>
              <w:jc w:val="right"/>
              <w:spacing w:after="0"/>
              <w:rPr>
                <w:sz w:val="20"/>
                <w:szCs w:val="20"/>
                <w:color w:val="auto"/>
              </w:rPr>
            </w:pPr>
            <w:r>
              <w:rPr>
                <w:rFonts w:ascii="Arial" w:cs="Arial" w:eastAsia="Arial" w:hAnsi="Arial"/>
                <w:sz w:val="15"/>
                <w:szCs w:val="15"/>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0"/>
        </w:trPr>
        <w:tc>
          <w:tcPr>
            <w:tcW w:w="120" w:type="dxa"/>
            <w:vAlign w:val="bottom"/>
          </w:tcPr>
          <w:p>
            <w:pPr>
              <w:spacing w:after="0"/>
              <w:rPr>
                <w:sz w:val="20"/>
                <w:szCs w:val="20"/>
                <w:color w:val="auto"/>
              </w:rPr>
            </w:pPr>
            <w:r>
              <w:rPr>
                <w:rFonts w:ascii="Arial" w:cs="Arial" w:eastAsia="Arial" w:hAnsi="Arial"/>
                <w:sz w:val="15"/>
                <w:szCs w:val="15"/>
                <w:color w:val="auto"/>
              </w:rPr>
              <w:t>​ ​</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5"/>
                <w:szCs w:val="15"/>
                <w:color w:val="auto"/>
                <w:w w:val="97"/>
              </w:rPr>
              <w:t>November 2,</w:t>
            </w:r>
          </w:p>
        </w:tc>
        <w:tc>
          <w:tcPr>
            <w:tcW w:w="360" w:type="dxa"/>
            <w:vAlign w:val="bottom"/>
          </w:tcPr>
          <w:p>
            <w:pPr>
              <w:jc w:val="right"/>
              <w:spacing w:after="0"/>
              <w:rPr>
                <w:sz w:val="20"/>
                <w:szCs w:val="20"/>
                <w:color w:val="auto"/>
              </w:rPr>
            </w:pPr>
            <w:r>
              <w:rPr>
                <w:rFonts w:ascii="Arial" w:cs="Arial" w:eastAsia="Arial" w:hAnsi="Arial"/>
                <w:sz w:val="15"/>
                <w:szCs w:val="15"/>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0"/>
        </w:trPr>
        <w:tc>
          <w:tcPr>
            <w:tcW w:w="980" w:type="dxa"/>
            <w:vAlign w:val="bottom"/>
            <w:gridSpan w:val="3"/>
          </w:tcPr>
          <w:p>
            <w:pPr>
              <w:spacing w:after="0"/>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November 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2023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629"/>
        </w:trPr>
        <w:tc>
          <w:tcPr>
            <w:tcW w:w="980" w:type="dxa"/>
            <w:vAlign w:val="bottom"/>
            <w:gridSpan w:val="3"/>
          </w:tcPr>
          <w:p>
            <w:pPr>
              <w:spacing w:after="0"/>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November 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2023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629"/>
        </w:trPr>
        <w:tc>
          <w:tcPr>
            <w:tcW w:w="980" w:type="dxa"/>
            <w:vAlign w:val="bottom"/>
            <w:gridSpan w:val="3"/>
          </w:tcPr>
          <w:p>
            <w:pPr>
              <w:spacing w:after="0"/>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November 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2023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629"/>
        </w:trPr>
        <w:tc>
          <w:tcPr>
            <w:tcW w:w="980" w:type="dxa"/>
            <w:vAlign w:val="bottom"/>
            <w:gridSpan w:val="3"/>
          </w:tcPr>
          <w:p>
            <w:pPr>
              <w:spacing w:after="0"/>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November 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2023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629"/>
        </w:trPr>
        <w:tc>
          <w:tcPr>
            <w:tcW w:w="980" w:type="dxa"/>
            <w:vAlign w:val="bottom"/>
            <w:gridSpan w:val="3"/>
          </w:tcPr>
          <w:p>
            <w:pPr>
              <w:spacing w:after="0"/>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November 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2023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629"/>
        </w:trPr>
        <w:tc>
          <w:tcPr>
            <w:tcW w:w="980" w:type="dxa"/>
            <w:vAlign w:val="bottom"/>
            <w:gridSpan w:val="3"/>
          </w:tcPr>
          <w:p>
            <w:pPr>
              <w:spacing w:after="0"/>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November 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2023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629"/>
        </w:trPr>
        <w:tc>
          <w:tcPr>
            <w:tcW w:w="980" w:type="dxa"/>
            <w:vAlign w:val="bottom"/>
            <w:gridSpan w:val="3"/>
          </w:tcPr>
          <w:p>
            <w:pPr>
              <w:spacing w:after="0"/>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November 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2023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bl>
    <w:p>
      <w:pPr>
        <w:sectPr>
          <w:pgSz w:w="11900" w:h="16838" w:orient="portrait"/>
          <w:cols w:equalWidth="0" w:num="4">
            <w:col w:w="3180" w:space="600"/>
            <w:col w:w="120" w:space="60"/>
            <w:col w:w="2440" w:space="120"/>
            <w:col w:w="2499"/>
          </w:cols>
          <w:pgMar w:left="1440" w:top="98" w:right="1440" w:bottom="1440" w:gutter="0" w:footer="0" w:header="0"/>
          <w:type w:val="continuous"/>
        </w:sectPr>
      </w:pPr>
    </w:p>
    <w:bookmarkStart w:id="19" w:name="page20"/>
    <w:bookmarkEnd w:id="19"/>
    <w:p>
      <w:pPr>
        <w:ind w:left="10460"/>
        <w:spacing w:after="0"/>
        <w:rPr>
          <w:sz w:val="20"/>
          <w:szCs w:val="20"/>
          <w:color w:val="auto"/>
        </w:rPr>
      </w:pPr>
      <w:r>
        <w:rPr>
          <w:rFonts w:ascii="Arial" w:cs="Arial" w:eastAsia="Arial" w:hAnsi="Arial"/>
          <w:sz w:val="15"/>
          <w:szCs w:val="15"/>
          <w:b w:val="1"/>
          <w:bCs w:val="1"/>
          <w:color w:val="auto"/>
        </w:rPr>
        <w:t>Exhibit 5.1</w:t>
      </w:r>
    </w:p>
    <w:p>
      <w:pPr>
        <w:spacing w:after="0" w:line="237" w:lineRule="exact"/>
        <w:rPr>
          <w:sz w:val="20"/>
          <w:szCs w:val="20"/>
          <w:color w:val="auto"/>
        </w:rPr>
      </w:pPr>
    </w:p>
    <w:p>
      <w:pPr>
        <w:ind w:left="8460"/>
        <w:spacing w:after="0"/>
        <w:rPr>
          <w:sz w:val="20"/>
          <w:szCs w:val="20"/>
          <w:color w:val="auto"/>
        </w:rPr>
      </w:pPr>
      <w:r>
        <w:rPr>
          <w:rFonts w:ascii="Arial" w:cs="Arial" w:eastAsia="Arial" w:hAnsi="Arial"/>
          <w:sz w:val="15"/>
          <w:szCs w:val="15"/>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051560" cy="4413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1051560" cy="441325"/>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5"/>
          <w:szCs w:val="15"/>
          <w:color w:val="auto"/>
        </w:rPr>
        <w:t>Professional Corporation</w:t>
      </w:r>
    </w:p>
    <w:p>
      <w:pPr>
        <w:spacing w:after="0" w:line="170" w:lineRule="exact"/>
        <w:rPr>
          <w:sz w:val="20"/>
          <w:szCs w:val="20"/>
          <w:color w:val="auto"/>
        </w:rPr>
      </w:pPr>
    </w:p>
    <w:p>
      <w:pPr>
        <w:ind w:left="8460"/>
        <w:spacing w:after="0"/>
        <w:rPr>
          <w:sz w:val="20"/>
          <w:szCs w:val="20"/>
          <w:color w:val="auto"/>
        </w:rPr>
      </w:pPr>
      <w:r>
        <w:rPr>
          <w:rFonts w:ascii="Arial" w:cs="Arial" w:eastAsia="Arial" w:hAnsi="Arial"/>
          <w:sz w:val="15"/>
          <w:szCs w:val="15"/>
          <w:color w:val="auto"/>
        </w:rPr>
        <w:t>650 Page Mill Road</w:t>
      </w:r>
    </w:p>
    <w:p>
      <w:pPr>
        <w:spacing w:after="0" w:line="15" w:lineRule="exact"/>
        <w:rPr>
          <w:sz w:val="20"/>
          <w:szCs w:val="20"/>
          <w:color w:val="auto"/>
        </w:rPr>
      </w:pPr>
    </w:p>
    <w:p>
      <w:pPr>
        <w:ind w:left="8460"/>
        <w:spacing w:after="0"/>
        <w:rPr>
          <w:sz w:val="20"/>
          <w:szCs w:val="20"/>
          <w:color w:val="auto"/>
        </w:rPr>
      </w:pPr>
      <w:r>
        <w:rPr>
          <w:rFonts w:ascii="Arial" w:cs="Arial" w:eastAsia="Arial" w:hAnsi="Arial"/>
          <w:sz w:val="15"/>
          <w:szCs w:val="15"/>
          <w:color w:val="auto"/>
        </w:rPr>
        <w:t>Palo Alto, California 94304-1050</w:t>
      </w:r>
    </w:p>
    <w:p>
      <w:pPr>
        <w:spacing w:after="0" w:line="170" w:lineRule="exact"/>
        <w:rPr>
          <w:sz w:val="20"/>
          <w:szCs w:val="20"/>
          <w:color w:val="auto"/>
        </w:rPr>
      </w:pPr>
    </w:p>
    <w:p>
      <w:pPr>
        <w:ind w:left="8460"/>
        <w:spacing w:after="0"/>
        <w:rPr>
          <w:sz w:val="20"/>
          <w:szCs w:val="20"/>
          <w:color w:val="auto"/>
        </w:rPr>
      </w:pPr>
      <w:r>
        <w:rPr>
          <w:rFonts w:ascii="Arial" w:cs="Arial" w:eastAsia="Arial" w:hAnsi="Arial"/>
          <w:sz w:val="10"/>
          <w:szCs w:val="10"/>
          <w:color w:val="auto"/>
        </w:rPr>
        <w:t>o</w:t>
      </w:r>
      <w:r>
        <w:rPr>
          <w:rFonts w:ascii="Arial" w:cs="Arial" w:eastAsia="Arial" w:hAnsi="Arial"/>
          <w:sz w:val="14"/>
          <w:szCs w:val="14"/>
          <w:color w:val="auto"/>
        </w:rPr>
        <w:t>: 650.493.9300</w:t>
      </w:r>
    </w:p>
    <w:p>
      <w:pPr>
        <w:spacing w:after="0" w:line="26" w:lineRule="exact"/>
        <w:rPr>
          <w:sz w:val="20"/>
          <w:szCs w:val="20"/>
          <w:color w:val="auto"/>
        </w:rPr>
      </w:pPr>
    </w:p>
    <w:p>
      <w:pPr>
        <w:ind w:left="8460"/>
        <w:spacing w:after="0"/>
        <w:rPr>
          <w:sz w:val="20"/>
          <w:szCs w:val="20"/>
          <w:color w:val="auto"/>
        </w:rPr>
      </w:pPr>
      <w:r>
        <w:rPr>
          <w:rFonts w:ascii="Arial" w:cs="Arial" w:eastAsia="Arial" w:hAnsi="Arial"/>
          <w:sz w:val="10"/>
          <w:szCs w:val="10"/>
          <w:color w:val="auto"/>
        </w:rPr>
        <w:t>f</w:t>
      </w:r>
      <w:r>
        <w:rPr>
          <w:rFonts w:ascii="Arial" w:cs="Arial" w:eastAsia="Arial" w:hAnsi="Arial"/>
          <w:sz w:val="14"/>
          <w:szCs w:val="14"/>
          <w:color w:val="auto"/>
        </w:rPr>
        <w:t>: 866.974.7329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November 2, 2023</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8000 South Federal Way</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Boise, Idaho 83716-9632</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77" w:lineRule="exact"/>
        <w:rPr>
          <w:sz w:val="20"/>
          <w:szCs w:val="20"/>
          <w:color w:val="auto"/>
        </w:rPr>
      </w:pPr>
    </w:p>
    <w:p>
      <w:pPr>
        <w:jc w:val="both"/>
        <w:ind w:firstLine="530"/>
        <w:spacing w:after="0" w:line="289" w:lineRule="auto"/>
        <w:rPr>
          <w:sz w:val="20"/>
          <w:szCs w:val="20"/>
          <w:color w:val="auto"/>
        </w:rPr>
      </w:pPr>
      <w:r>
        <w:rPr>
          <w:rFonts w:ascii="Arial" w:cs="Arial" w:eastAsia="Arial" w:hAnsi="Arial"/>
          <w:sz w:val="13"/>
          <w:szCs w:val="13"/>
          <w:color w:val="auto"/>
        </w:rPr>
        <w:t>We have acted as counsel to Micron Technology, Inc., a Delaware corporation (the “</w:t>
      </w:r>
      <w:r>
        <w:rPr>
          <w:rFonts w:ascii="Arial" w:cs="Arial" w:eastAsia="Arial" w:hAnsi="Arial"/>
          <w:sz w:val="13"/>
          <w:szCs w:val="13"/>
          <w:b w:val="1"/>
          <w:bCs w:val="1"/>
          <w:color w:val="auto"/>
        </w:rPr>
        <w:t>Company</w:t>
      </w:r>
      <w:r>
        <w:rPr>
          <w:rFonts w:ascii="Arial" w:cs="Arial" w:eastAsia="Arial" w:hAnsi="Arial"/>
          <w:sz w:val="13"/>
          <w:szCs w:val="13"/>
          <w:color w:val="auto"/>
        </w:rPr>
        <w:t>”), in connection with the preparation of a Registration Statement on Form S-3 (the “</w:t>
      </w:r>
      <w:r>
        <w:rPr>
          <w:rFonts w:ascii="Arial" w:cs="Arial" w:eastAsia="Arial" w:hAnsi="Arial"/>
          <w:sz w:val="13"/>
          <w:szCs w:val="13"/>
          <w:b w:val="1"/>
          <w:bCs w:val="1"/>
          <w:color w:val="auto"/>
        </w:rPr>
        <w:t>Registration Statement</w:t>
      </w:r>
      <w:r>
        <w:rPr>
          <w:rFonts w:ascii="Arial" w:cs="Arial" w:eastAsia="Arial" w:hAnsi="Arial"/>
          <w:sz w:val="13"/>
          <w:szCs w:val="13"/>
          <w:color w:val="auto"/>
        </w:rPr>
        <w:t>”), to be filed on the date hereof by the Company with the United States Securities and Exchange Commission (the “</w:t>
      </w:r>
      <w:r>
        <w:rPr>
          <w:rFonts w:ascii="Arial" w:cs="Arial" w:eastAsia="Arial" w:hAnsi="Arial"/>
          <w:sz w:val="13"/>
          <w:szCs w:val="13"/>
          <w:b w:val="1"/>
          <w:bCs w:val="1"/>
          <w:color w:val="auto"/>
        </w:rPr>
        <w:t>Commission</w:t>
      </w:r>
      <w:r>
        <w:rPr>
          <w:rFonts w:ascii="Arial" w:cs="Arial" w:eastAsia="Arial" w:hAnsi="Arial"/>
          <w:sz w:val="13"/>
          <w:szCs w:val="13"/>
          <w:color w:val="auto"/>
        </w:rPr>
        <w:t>”), for the purpose of registering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(i) shares of common stock, par value $0.10 per share (the “</w:t>
      </w:r>
      <w:r>
        <w:rPr>
          <w:rFonts w:ascii="Arial" w:cs="Arial" w:eastAsia="Arial" w:hAnsi="Arial"/>
          <w:sz w:val="13"/>
          <w:szCs w:val="13"/>
          <w:b w:val="1"/>
          <w:bCs w:val="1"/>
          <w:color w:val="auto"/>
        </w:rPr>
        <w:t>Common Stock</w:t>
      </w:r>
      <w:r>
        <w:rPr>
          <w:rFonts w:ascii="Arial" w:cs="Arial" w:eastAsia="Arial" w:hAnsi="Arial"/>
          <w:sz w:val="13"/>
          <w:szCs w:val="13"/>
          <w:color w:val="auto"/>
        </w:rPr>
        <w:t>”), of the Company and any common stock purchase rights ( “</w:t>
      </w:r>
      <w:r>
        <w:rPr>
          <w:rFonts w:ascii="Arial" w:cs="Arial" w:eastAsia="Arial" w:hAnsi="Arial"/>
          <w:sz w:val="13"/>
          <w:szCs w:val="13"/>
          <w:b w:val="1"/>
          <w:bCs w:val="1"/>
          <w:color w:val="auto"/>
        </w:rPr>
        <w:t>Rights</w:t>
      </w:r>
      <w:r>
        <w:rPr>
          <w:rFonts w:ascii="Arial" w:cs="Arial" w:eastAsia="Arial" w:hAnsi="Arial"/>
          <w:sz w:val="13"/>
          <w:szCs w:val="13"/>
          <w:color w:val="auto"/>
        </w:rPr>
        <w:t>”) associated with the Common Stock that may be issued pursuant to the applicable rights agreement (the “</w:t>
      </w:r>
      <w:r>
        <w:rPr>
          <w:rFonts w:ascii="Arial" w:cs="Arial" w:eastAsia="Arial" w:hAnsi="Arial"/>
          <w:sz w:val="13"/>
          <w:szCs w:val="13"/>
          <w:b w:val="1"/>
          <w:bCs w:val="1"/>
          <w:color w:val="auto"/>
        </w:rPr>
        <w:t>Rights Agreement</w:t>
      </w:r>
      <w:r>
        <w:rPr>
          <w:rFonts w:ascii="Arial" w:cs="Arial" w:eastAsia="Arial" w:hAnsi="Arial"/>
          <w:sz w:val="13"/>
          <w:szCs w:val="13"/>
          <w:color w:val="auto"/>
        </w:rPr>
        <w:t>”) between the Company and the rights agent to be named therein (the “</w:t>
      </w:r>
      <w:r>
        <w:rPr>
          <w:rFonts w:ascii="Arial" w:cs="Arial" w:eastAsia="Arial" w:hAnsi="Arial"/>
          <w:sz w:val="13"/>
          <w:szCs w:val="13"/>
          <w:b w:val="1"/>
          <w:bCs w:val="1"/>
          <w:color w:val="auto"/>
        </w:rPr>
        <w:t>Rights Agent</w:t>
      </w:r>
      <w:r>
        <w:rPr>
          <w:rFonts w:ascii="Arial" w:cs="Arial" w:eastAsia="Arial" w:hAnsi="Arial"/>
          <w:sz w:val="13"/>
          <w:szCs w:val="13"/>
          <w:color w:val="auto"/>
        </w:rPr>
        <w:t>”); (ii) the Company’s debt securities (the “</w:t>
      </w:r>
      <w:r>
        <w:rPr>
          <w:rFonts w:ascii="Arial" w:cs="Arial" w:eastAsia="Arial" w:hAnsi="Arial"/>
          <w:sz w:val="13"/>
          <w:szCs w:val="13"/>
          <w:b w:val="1"/>
          <w:bCs w:val="1"/>
          <w:color w:val="auto"/>
        </w:rPr>
        <w:t>Debt Securities</w:t>
      </w:r>
      <w:r>
        <w:rPr>
          <w:rFonts w:ascii="Arial" w:cs="Arial" w:eastAsia="Arial" w:hAnsi="Arial"/>
          <w:sz w:val="13"/>
          <w:szCs w:val="13"/>
          <w:color w:val="auto"/>
        </w:rPr>
        <w:t>”), which may be issued pursuant to that certain Indenture (the “</w:t>
      </w:r>
      <w:r>
        <w:rPr>
          <w:rFonts w:ascii="Arial" w:cs="Arial" w:eastAsia="Arial" w:hAnsi="Arial"/>
          <w:sz w:val="13"/>
          <w:szCs w:val="13"/>
          <w:b w:val="1"/>
          <w:bCs w:val="1"/>
          <w:color w:val="auto"/>
        </w:rPr>
        <w:t>Indenture</w:t>
      </w:r>
      <w:r>
        <w:rPr>
          <w:rFonts w:ascii="Arial" w:cs="Arial" w:eastAsia="Arial" w:hAnsi="Arial"/>
          <w:sz w:val="13"/>
          <w:szCs w:val="13"/>
          <w:color w:val="auto"/>
        </w:rPr>
        <w:t>”), dated February 6, 2019, between the Company and U.S. Bank Trust Company, National Association (as successor in interest to U.S. Bank National Association) (the “</w:t>
      </w:r>
      <w:r>
        <w:rPr>
          <w:rFonts w:ascii="Arial" w:cs="Arial" w:eastAsia="Arial" w:hAnsi="Arial"/>
          <w:sz w:val="13"/>
          <w:szCs w:val="13"/>
          <w:b w:val="1"/>
          <w:bCs w:val="1"/>
          <w:color w:val="auto"/>
        </w:rPr>
        <w:t>Trustee</w:t>
      </w:r>
      <w:r>
        <w:rPr>
          <w:rFonts w:ascii="Arial" w:cs="Arial" w:eastAsia="Arial" w:hAnsi="Arial"/>
          <w:sz w:val="13"/>
          <w:szCs w:val="13"/>
          <w:color w:val="auto"/>
        </w:rPr>
        <w:t>”), which has been filed as an exhibit to the Registration Statement and may be supplemented in connection with the issuance of each series of Debt Securities by a supplemental indenture or other appropriate action of the Company, as applicable, creating such series of Debt Securities; (iii) purchase contracts (the “</w:t>
      </w:r>
      <w:r>
        <w:rPr>
          <w:rFonts w:ascii="Arial" w:cs="Arial" w:eastAsia="Arial" w:hAnsi="Arial"/>
          <w:sz w:val="13"/>
          <w:szCs w:val="13"/>
          <w:b w:val="1"/>
          <w:bCs w:val="1"/>
          <w:color w:val="auto"/>
        </w:rPr>
        <w:t>Purchase Contracts</w:t>
      </w:r>
      <w:r>
        <w:rPr>
          <w:rFonts w:ascii="Arial" w:cs="Arial" w:eastAsia="Arial" w:hAnsi="Arial"/>
          <w:sz w:val="13"/>
          <w:szCs w:val="13"/>
          <w:color w:val="auto"/>
        </w:rPr>
        <w:t>”), which may be issued under one or more purchase contract agreements (each such Purchase Contract, a “</w:t>
      </w:r>
      <w:r>
        <w:rPr>
          <w:rFonts w:ascii="Arial" w:cs="Arial" w:eastAsia="Arial" w:hAnsi="Arial"/>
          <w:sz w:val="13"/>
          <w:szCs w:val="13"/>
          <w:b w:val="1"/>
          <w:bCs w:val="1"/>
          <w:color w:val="auto"/>
        </w:rPr>
        <w:t>Purchase Contract Agreement</w:t>
      </w:r>
      <w:r>
        <w:rPr>
          <w:rFonts w:ascii="Arial" w:cs="Arial" w:eastAsia="Arial" w:hAnsi="Arial"/>
          <w:sz w:val="13"/>
          <w:szCs w:val="13"/>
          <w:color w:val="auto"/>
        </w:rPr>
        <w:t>”) to be entered into between the Company and the purchase contract agent to be named therein (the “</w:t>
      </w:r>
      <w:r>
        <w:rPr>
          <w:rFonts w:ascii="Arial" w:cs="Arial" w:eastAsia="Arial" w:hAnsi="Arial"/>
          <w:sz w:val="13"/>
          <w:szCs w:val="13"/>
          <w:b w:val="1"/>
          <w:bCs w:val="1"/>
          <w:color w:val="auto"/>
        </w:rPr>
        <w:t>Purchase</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 Agent</w:t>
      </w:r>
      <w:r>
        <w:rPr>
          <w:rFonts w:ascii="Arial" w:cs="Arial" w:eastAsia="Arial" w:hAnsi="Arial"/>
          <w:sz w:val="13"/>
          <w:szCs w:val="13"/>
          <w:color w:val="auto"/>
        </w:rPr>
        <w:t>”); (iv) units of the Company (the “</w:t>
      </w:r>
      <w:r>
        <w:rPr>
          <w:rFonts w:ascii="Arial" w:cs="Arial" w:eastAsia="Arial" w:hAnsi="Arial"/>
          <w:sz w:val="13"/>
          <w:szCs w:val="13"/>
          <w:b w:val="1"/>
          <w:bCs w:val="1"/>
          <w:color w:val="auto"/>
        </w:rPr>
        <w:t>Units</w:t>
      </w:r>
      <w:r>
        <w:rPr>
          <w:rFonts w:ascii="Arial" w:cs="Arial" w:eastAsia="Arial" w:hAnsi="Arial"/>
          <w:sz w:val="13"/>
          <w:szCs w:val="13"/>
          <w:color w:val="auto"/>
        </w:rPr>
        <w:t>”) to be issued under one or more unit agreements (each such unit agreement, a “</w:t>
      </w:r>
      <w:r>
        <w:rPr>
          <w:rFonts w:ascii="Arial" w:cs="Arial" w:eastAsia="Arial" w:hAnsi="Arial"/>
          <w:sz w:val="13"/>
          <w:szCs w:val="13"/>
          <w:b w:val="1"/>
          <w:bCs w:val="1"/>
          <w:color w:val="auto"/>
        </w:rPr>
        <w:t>Unit Agreement</w:t>
      </w:r>
      <w:r>
        <w:rPr>
          <w:rFonts w:ascii="Arial" w:cs="Arial" w:eastAsia="Arial" w:hAnsi="Arial"/>
          <w:sz w:val="13"/>
          <w:szCs w:val="13"/>
          <w:color w:val="auto"/>
        </w:rPr>
        <w:t>”) to be entered into among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the unit agent to be named therein (the “</w:t>
      </w:r>
      <w:r>
        <w:rPr>
          <w:rFonts w:ascii="Arial" w:cs="Arial" w:eastAsia="Arial" w:hAnsi="Arial"/>
          <w:sz w:val="13"/>
          <w:szCs w:val="13"/>
          <w:b w:val="1"/>
          <w:bCs w:val="1"/>
          <w:color w:val="auto"/>
        </w:rPr>
        <w:t>Unit Agent</w:t>
      </w:r>
      <w:r>
        <w:rPr>
          <w:rFonts w:ascii="Arial" w:cs="Arial" w:eastAsia="Arial" w:hAnsi="Arial"/>
          <w:sz w:val="13"/>
          <w:szCs w:val="13"/>
          <w:color w:val="auto"/>
        </w:rPr>
        <w:t>”), and the holders from time to time of the Units; and (v) warrants of the Company (the “</w:t>
      </w:r>
      <w:r>
        <w:rPr>
          <w:rFonts w:ascii="Arial" w:cs="Arial" w:eastAsia="Arial" w:hAnsi="Arial"/>
          <w:sz w:val="13"/>
          <w:szCs w:val="13"/>
          <w:b w:val="1"/>
          <w:bCs w:val="1"/>
          <w:color w:val="auto"/>
        </w:rPr>
        <w:t>Warrants</w:t>
      </w:r>
      <w:r>
        <w:rPr>
          <w:rFonts w:ascii="Arial" w:cs="Arial" w:eastAsia="Arial" w:hAnsi="Arial"/>
          <w:sz w:val="13"/>
          <w:szCs w:val="13"/>
          <w:color w:val="auto"/>
        </w:rPr>
        <w:t>” and, collectively with the Common Stock (and the associated Rights), Debt Securities, Purchase Contracts and Units, the “</w:t>
      </w:r>
      <w:r>
        <w:rPr>
          <w:rFonts w:ascii="Arial" w:cs="Arial" w:eastAsia="Arial" w:hAnsi="Arial"/>
          <w:sz w:val="13"/>
          <w:szCs w:val="13"/>
          <w:b w:val="1"/>
          <w:bCs w:val="1"/>
          <w:color w:val="auto"/>
        </w:rPr>
        <w:t>Securities</w:t>
      </w:r>
      <w:r>
        <w:rPr>
          <w:rFonts w:ascii="Arial" w:cs="Arial" w:eastAsia="Arial" w:hAnsi="Arial"/>
          <w:sz w:val="13"/>
          <w:szCs w:val="13"/>
          <w:color w:val="auto"/>
        </w:rPr>
        <w:t>”), which may be issued pursuant to a warrant agreement (the “</w:t>
      </w:r>
      <w:r>
        <w:rPr>
          <w:rFonts w:ascii="Arial" w:cs="Arial" w:eastAsia="Arial" w:hAnsi="Arial"/>
          <w:sz w:val="13"/>
          <w:szCs w:val="13"/>
          <w:b w:val="1"/>
          <w:bCs w:val="1"/>
          <w:color w:val="auto"/>
        </w:rPr>
        <w:t>Warrant</w:t>
      </w:r>
      <w:r>
        <w:rPr>
          <w:rFonts w:ascii="Arial" w:cs="Arial" w:eastAsia="Arial" w:hAnsi="Arial"/>
          <w:sz w:val="13"/>
          <w:szCs w:val="13"/>
          <w:color w:val="auto"/>
        </w:rPr>
        <w:t xml:space="preserve"> </w:t>
      </w:r>
      <w:r>
        <w:rPr>
          <w:rFonts w:ascii="Arial" w:cs="Arial" w:eastAsia="Arial" w:hAnsi="Arial"/>
          <w:sz w:val="13"/>
          <w:szCs w:val="13"/>
          <w:b w:val="1"/>
          <w:bCs w:val="1"/>
          <w:color w:val="auto"/>
        </w:rPr>
        <w:t>Agreement</w:t>
      </w:r>
      <w:r>
        <w:rPr>
          <w:rFonts w:ascii="Arial" w:cs="Arial" w:eastAsia="Arial" w:hAnsi="Arial"/>
          <w:sz w:val="13"/>
          <w:szCs w:val="13"/>
          <w:color w:val="auto"/>
        </w:rPr>
        <w:t>”) between the Company and the warrant agent to be named therein (the “</w:t>
      </w:r>
      <w:r>
        <w:rPr>
          <w:rFonts w:ascii="Arial" w:cs="Arial" w:eastAsia="Arial" w:hAnsi="Arial"/>
          <w:sz w:val="13"/>
          <w:szCs w:val="13"/>
          <w:b w:val="1"/>
          <w:bCs w:val="1"/>
          <w:color w:val="auto"/>
        </w:rPr>
        <w:t>Warrant Agent</w:t>
      </w:r>
      <w:r>
        <w:rPr>
          <w:rFonts w:ascii="Arial" w:cs="Arial" w:eastAsia="Arial" w:hAnsi="Arial"/>
          <w:sz w:val="13"/>
          <w:szCs w:val="13"/>
          <w:color w:val="auto"/>
        </w:rPr>
        <w:t>”).</w:t>
      </w:r>
    </w:p>
    <w:p>
      <w:pPr>
        <w:spacing w:after="0" w:line="137"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5"/>
          <w:szCs w:val="15"/>
          <w:color w:val="auto"/>
        </w:rPr>
        <w:t>We, as your counsel, have examined originals or copies, certified or otherwise identified to our satisfaction, of such documents, corporate records, certificates of public officials and other instruments as we have deemed necessary or advisable for the purpose of rendering this opinion, including, without limitation, the Registration Statement and the Indenture (including the form of Debt Securities included therein).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60" w:type="dxa"/>
            <w:vAlign w:val="bottom"/>
          </w:tcPr>
          <w:p>
            <w:pPr>
              <w:jc w:val="right"/>
              <w:ind w:right="6"/>
              <w:spacing w:after="0"/>
              <w:rPr>
                <w:sz w:val="20"/>
                <w:szCs w:val="20"/>
                <w:color w:val="auto"/>
              </w:rPr>
            </w:pPr>
            <w:r>
              <w:rPr>
                <w:rFonts w:ascii="Arial" w:cs="Arial" w:eastAsia="Arial" w:hAnsi="Arial"/>
                <w:sz w:val="15"/>
                <w:szCs w:val="15"/>
                <w:color w:val="auto"/>
              </w:rPr>
              <w:t>AUSTIN   BEIJING   BOSTON   BOULDER   BRUSSELS</w:t>
            </w:r>
          </w:p>
        </w:tc>
        <w:tc>
          <w:tcPr>
            <w:tcW w:w="1820" w:type="dxa"/>
            <w:vAlign w:val="bottom"/>
          </w:tcPr>
          <w:p>
            <w:pPr>
              <w:ind w:left="100"/>
              <w:spacing w:after="0"/>
              <w:rPr>
                <w:sz w:val="20"/>
                <w:szCs w:val="20"/>
                <w:color w:val="auto"/>
              </w:rPr>
            </w:pPr>
            <w:r>
              <w:rPr>
                <w:rFonts w:ascii="Arial" w:cs="Arial" w:eastAsia="Arial" w:hAnsi="Arial"/>
                <w:sz w:val="15"/>
                <w:szCs w:val="15"/>
                <w:color w:val="auto"/>
                <w:w w:val="99"/>
              </w:rPr>
              <w:t>HONG KONG   LONDON</w:t>
            </w:r>
          </w:p>
        </w:tc>
        <w:tc>
          <w:tcPr>
            <w:tcW w:w="1300" w:type="dxa"/>
            <w:vAlign w:val="bottom"/>
          </w:tcPr>
          <w:p>
            <w:pPr>
              <w:jc w:val="center"/>
              <w:spacing w:after="0"/>
              <w:rPr>
                <w:sz w:val="20"/>
                <w:szCs w:val="20"/>
                <w:color w:val="auto"/>
              </w:rPr>
            </w:pPr>
            <w:r>
              <w:rPr>
                <w:rFonts w:ascii="Arial" w:cs="Arial" w:eastAsia="Arial" w:hAnsi="Arial"/>
                <w:sz w:val="15"/>
                <w:szCs w:val="15"/>
                <w:color w:val="auto"/>
                <w:w w:val="93"/>
              </w:rPr>
              <w:t>LOS ANGELES</w:t>
            </w:r>
          </w:p>
        </w:tc>
        <w:tc>
          <w:tcPr>
            <w:tcW w:w="3000" w:type="dxa"/>
            <w:vAlign w:val="bottom"/>
          </w:tcPr>
          <w:p>
            <w:pPr>
              <w:ind w:left="20"/>
              <w:spacing w:after="0"/>
              <w:rPr>
                <w:sz w:val="20"/>
                <w:szCs w:val="20"/>
                <w:color w:val="auto"/>
              </w:rPr>
            </w:pPr>
            <w:r>
              <w:rPr>
                <w:rFonts w:ascii="Arial" w:cs="Arial" w:eastAsia="Arial" w:hAnsi="Arial"/>
                <w:sz w:val="15"/>
                <w:szCs w:val="15"/>
                <w:color w:val="auto"/>
              </w:rPr>
              <w:t>NEW YORK   PALO ALTO</w:t>
            </w:r>
          </w:p>
        </w:tc>
      </w:tr>
      <w:tr>
        <w:trPr>
          <w:trHeight w:val="187"/>
        </w:trPr>
        <w:tc>
          <w:tcPr>
            <w:tcW w:w="5160" w:type="dxa"/>
            <w:vAlign w:val="bottom"/>
          </w:tcPr>
          <w:p>
            <w:pPr>
              <w:jc w:val="right"/>
              <w:ind w:right="6"/>
              <w:spacing w:after="0"/>
              <w:rPr>
                <w:sz w:val="20"/>
                <w:szCs w:val="20"/>
                <w:color w:val="auto"/>
              </w:rPr>
            </w:pPr>
            <w:r>
              <w:rPr>
                <w:rFonts w:ascii="Arial" w:cs="Arial" w:eastAsia="Arial" w:hAnsi="Arial"/>
                <w:sz w:val="15"/>
                <w:szCs w:val="15"/>
                <w:color w:val="auto"/>
              </w:rPr>
              <w:t>SALT LAKE CITY   SAN DIEGO   SAN FRANCISCO</w:t>
            </w:r>
          </w:p>
        </w:tc>
        <w:tc>
          <w:tcPr>
            <w:tcW w:w="1820" w:type="dxa"/>
            <w:vAlign w:val="bottom"/>
          </w:tcPr>
          <w:p>
            <w:pPr>
              <w:ind w:left="100"/>
              <w:spacing w:after="0"/>
              <w:rPr>
                <w:sz w:val="20"/>
                <w:szCs w:val="20"/>
                <w:color w:val="auto"/>
              </w:rPr>
            </w:pPr>
            <w:r>
              <w:rPr>
                <w:rFonts w:ascii="Arial" w:cs="Arial" w:eastAsia="Arial" w:hAnsi="Arial"/>
                <w:sz w:val="15"/>
                <w:szCs w:val="15"/>
                <w:color w:val="auto"/>
              </w:rPr>
              <w:t>SEATTLE   SHANGHAI</w:t>
            </w:r>
          </w:p>
        </w:tc>
        <w:tc>
          <w:tcPr>
            <w:tcW w:w="1300" w:type="dxa"/>
            <w:vAlign w:val="bottom"/>
          </w:tcPr>
          <w:p>
            <w:pPr>
              <w:jc w:val="center"/>
              <w:spacing w:after="0"/>
              <w:rPr>
                <w:sz w:val="20"/>
                <w:szCs w:val="20"/>
                <w:color w:val="auto"/>
              </w:rPr>
            </w:pPr>
            <w:r>
              <w:rPr>
                <w:rFonts w:ascii="Arial" w:cs="Arial" w:eastAsia="Arial" w:hAnsi="Arial"/>
                <w:sz w:val="15"/>
                <w:szCs w:val="15"/>
                <w:color w:val="auto"/>
                <w:w w:val="92"/>
              </w:rPr>
              <w:t>WASHINGTON, DC</w:t>
            </w:r>
          </w:p>
        </w:tc>
        <w:tc>
          <w:tcPr>
            <w:tcW w:w="3000" w:type="dxa"/>
            <w:vAlign w:val="bottom"/>
          </w:tcPr>
          <w:p>
            <w:pPr>
              <w:ind w:left="180"/>
              <w:spacing w:after="0"/>
              <w:rPr>
                <w:sz w:val="20"/>
                <w:szCs w:val="20"/>
                <w:color w:val="auto"/>
              </w:rPr>
            </w:pPr>
            <w:r>
              <w:rPr>
                <w:rFonts w:ascii="Arial" w:cs="Arial" w:eastAsia="Arial" w:hAnsi="Arial"/>
                <w:sz w:val="15"/>
                <w:szCs w:val="15"/>
                <w:color w:val="auto"/>
              </w:rPr>
              <w:t>WILMINGTON, DE</w:t>
            </w:r>
          </w:p>
        </w:tc>
      </w:tr>
      <w:tr>
        <w:trPr>
          <w:trHeight w:val="552"/>
        </w:trPr>
        <w:tc>
          <w:tcPr>
            <w:tcW w:w="5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15" w:right="319" w:bottom="1440" w:gutter="0" w:footer="0" w:header="0"/>
        </w:sectPr>
      </w:pPr>
    </w:p>
    <w:bookmarkStart w:id="20" w:name="page21"/>
    <w:bookmarkEnd w:id="2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495300</wp:posOffset>
            </wp:positionV>
            <wp:extent cx="525780" cy="2171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25780" cy="217170"/>
                    </a:xfrm>
                    <a:prstGeom prst="rect">
                      <a:avLst/>
                    </a:prstGeom>
                    <a:noFill/>
                  </pic:spPr>
                </pic:pic>
              </a:graphicData>
            </a:graphic>
          </wp:anchor>
        </w:drawing>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November 2, 2023</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pacing w:after="0" w:line="170" w:lineRule="exact"/>
        <w:rPr>
          <w:sz w:val="20"/>
          <w:szCs w:val="20"/>
          <w:color w:val="auto"/>
        </w:rPr>
      </w:pPr>
    </w:p>
    <w:p>
      <w:pPr>
        <w:jc w:val="both"/>
        <w:ind w:firstLine="530"/>
        <w:spacing w:after="0" w:line="286" w:lineRule="auto"/>
        <w:rPr>
          <w:sz w:val="20"/>
          <w:szCs w:val="20"/>
          <w:color w:val="auto"/>
        </w:rPr>
      </w:pPr>
      <w:r>
        <w:rPr>
          <w:rFonts w:ascii="Arial" w:cs="Arial" w:eastAsia="Arial" w:hAnsi="Arial"/>
          <w:sz w:val="13"/>
          <w:szCs w:val="13"/>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and (iv) the legal capacity of all natural persons. As to any facts material to the opinions expressed herein that were not independently established or verified, we have relied upon oral or written statements and representations of officers and other representatives of the Company. In making our examination of documents executed or to be executed, we have assumed that the counterparties thereto, excluding the Company, have been duly organized and are, and will continue to be, validly existing and in good standing, and have or will have the requisite legal status and legal capacity under the laws of their respective jurisdictions of incorporation or organization and had or will have the power, corporate or other, to enter into and perform all obligations thereunder and have also assumed the due authorization by all requisite action, corporate or other, and execution and delivery by such parties of such documents and, except as expressly set forth in the paragraphs below, the validity and binding effect thereof on such parties. In connection with the opinions expressed below, we have assumed that, at or prior to the time of the delivery of any Securities, that (i) the Board of Directors of the Company (or a duly authorized committee thereof) (the “</w:t>
      </w:r>
      <w:r>
        <w:rPr>
          <w:rFonts w:ascii="Arial" w:cs="Arial" w:eastAsia="Arial" w:hAnsi="Arial"/>
          <w:sz w:val="13"/>
          <w:szCs w:val="13"/>
          <w:b w:val="1"/>
          <w:bCs w:val="1"/>
          <w:color w:val="auto"/>
        </w:rPr>
        <w:t>Board</w:t>
      </w:r>
      <w:r>
        <w:rPr>
          <w:rFonts w:ascii="Arial" w:cs="Arial" w:eastAsia="Arial" w:hAnsi="Arial"/>
          <w:sz w:val="13"/>
          <w:szCs w:val="13"/>
          <w:color w:val="auto"/>
        </w:rPr>
        <w:t>”) shall have duly established the terms of the Securities and duly authorized the issuance and sale of such Securities and such authorization shall not have been modified or rescinded; (ii) the Registration Statement, and any amendments thereto (including post-effective amendments), will have become effective under the Securities Act; (iii) a prospectus supplement will have been filed with the Commission describing the Securities offered thereby; (iv) the Securities will be issued and sold in compliance with applicable U.S. federal and state securities laws and in the manner stated in the Registration Statement and the applicable prospectus supplement; (v) a definitive purchase, underwriting or similar agreement with respect to any Securities offered will have been duly authorized and validly executed and delivered by the Company and the other parties thereto; (vi) any Securities issuable upon conversion, exchange, redemption or exercise of any Securities being offered will be duly authorized, created and, if appropriate, reserved for issuance upon such conversion, exchange, redemption or exercise; (vii) that the applicable Rights Agreement has been duly authorized, executed and delivered by the Rights Agent and that the members of the Board have acted in a manner consistent with their fiduciary duties as required under applicable law in adopting such Rights Agreement; and (viii) there shall not have occurred any change in law affecting the validity or enforceability of such Securities. We have also assumed that none of the terms of any Securities to be established subsequent to the date hereof, the issuance and delivery of such Securities or the compliance by the Company with the terms of such Securities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32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Based upon the foregoing, we advise you that, in our opinion:</w:t>
      </w:r>
    </w:p>
    <w:p>
      <w:pPr>
        <w:spacing w:after="0" w:line="181" w:lineRule="exact"/>
        <w:rPr>
          <w:sz w:val="20"/>
          <w:szCs w:val="20"/>
          <w:color w:val="auto"/>
        </w:rPr>
      </w:pPr>
    </w:p>
    <w:p>
      <w:pPr>
        <w:jc w:val="both"/>
        <w:ind w:left="800" w:hanging="262"/>
        <w:spacing w:after="0" w:line="249" w:lineRule="auto"/>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When the necessary corporate action on the part of the Company has been taken to authorize the issuance and sale of shares of Common Stock or the issuance and sale of Securities convertible or exchangeable into or exercisable for shares of Common Stock (each, a “</w:t>
      </w:r>
      <w:r>
        <w:rPr>
          <w:rFonts w:ascii="Arial" w:cs="Arial" w:eastAsia="Arial" w:hAnsi="Arial"/>
          <w:sz w:val="15"/>
          <w:szCs w:val="15"/>
          <w:b w:val="1"/>
          <w:bCs w:val="1"/>
          <w:color w:val="auto"/>
        </w:rPr>
        <w:t>Common Offered Security</w:t>
      </w:r>
      <w:r>
        <w:rPr>
          <w:rFonts w:ascii="Arial" w:cs="Arial" w:eastAsia="Arial" w:hAnsi="Arial"/>
          <w:sz w:val="15"/>
          <w:szCs w:val="15"/>
          <w:color w:val="auto"/>
        </w:rPr>
        <w:t>”), in either case, proposed to be sold by the Company, and when such shares of Common Stock are issued and delivered in accordance with the applicable underwriting or other agreement against payment therefor (in an amount not less than the par value of the Common Stock) or upon conversion, exchange or exercise of any such Common Offered Security, in accordance with the terms of such Common Offered Security or the instrument governing such Common Offered Security providing for such conversion, exchange or exercise as approved by the Board, for the consideration approved by the Board (which consideration is not less than the par value of the Common Stock), in each case, such shares of Common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5708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21" w:name="page22"/>
    <w:bookmarkEnd w:id="2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495300</wp:posOffset>
            </wp:positionV>
            <wp:extent cx="525780" cy="2171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25780" cy="217170"/>
                    </a:xfrm>
                    <a:prstGeom prst="rect">
                      <a:avLst/>
                    </a:prstGeom>
                    <a:noFill/>
                  </pic:spPr>
                </pic:pic>
              </a:graphicData>
            </a:graphic>
          </wp:anchor>
        </w:drawing>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November 2, 2023</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Page 3</w:t>
      </w:r>
    </w:p>
    <w:p>
      <w:pPr>
        <w:spacing w:after="0" w:line="170" w:lineRule="exact"/>
        <w:rPr>
          <w:sz w:val="20"/>
          <w:szCs w:val="20"/>
          <w:color w:val="auto"/>
        </w:rPr>
      </w:pPr>
    </w:p>
    <w:p>
      <w:pPr>
        <w:jc w:val="both"/>
        <w:ind w:left="800" w:hanging="262"/>
        <w:spacing w:after="0" w:line="273" w:lineRule="auto"/>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With respect to Debt Securities to be issued under the Indenture, when (a) the Board has taken all necessary corporate action to approve the issuance and terms of such Debt Securities, the terms of the offering thereof and related matters; and (b)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be validly issued and will constitute valid and binding obligations of the Company, enforceable against the Company in accordance with their terms, and entitled to the benefits of the Indenture.</w:t>
      </w:r>
    </w:p>
    <w:p>
      <w:pPr>
        <w:spacing w:after="0" w:line="144" w:lineRule="exact"/>
        <w:rPr>
          <w:rFonts w:ascii="Arial" w:cs="Arial" w:eastAsia="Arial" w:hAnsi="Arial"/>
          <w:sz w:val="14"/>
          <w:szCs w:val="14"/>
          <w:color w:val="auto"/>
        </w:rPr>
      </w:pPr>
    </w:p>
    <w:p>
      <w:pPr>
        <w:jc w:val="both"/>
        <w:ind w:left="800" w:hanging="262"/>
        <w:spacing w:after="0" w:line="249" w:lineRule="auto"/>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With respect to any Purchase Contracts to be issued pursuant to the Registration Statement, when (a) the Purchase Contract Agreement to be entered into in connection with the issuance of any such Purchase Contracts has been duly authorized, executed and delivered by the Purchase Contract Agent and the Company; (b) the specific terms of the Purchase Contracts have been duly authorized and established in accordance with the Purchase Contract Agreement; and (c) such Purchase Contracts have been duly authorized, executed, issued and delivered in accordance with the Purchase Contract Agreement and the applicable underwriting or other agreement against payment therefor or upon the due exercise, conversion or exchange of any Debt Securities or Warrants, as the case may be, such Purchase Contracts will constitute valid and binding obligations of the Company, enforceable in accordance with their terms.</w:t>
      </w:r>
    </w:p>
    <w:p>
      <w:pPr>
        <w:spacing w:after="0" w:line="162" w:lineRule="exact"/>
        <w:rPr>
          <w:rFonts w:ascii="Arial" w:cs="Arial" w:eastAsia="Arial" w:hAnsi="Arial"/>
          <w:sz w:val="15"/>
          <w:szCs w:val="15"/>
          <w:color w:val="auto"/>
        </w:rPr>
      </w:pPr>
    </w:p>
    <w:p>
      <w:pPr>
        <w:jc w:val="both"/>
        <w:ind w:left="800" w:hanging="262"/>
        <w:spacing w:after="0" w:line="273" w:lineRule="auto"/>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With respect to any Units to be issued pursuant to the Registration Statement, when (a) the Unit Agreement to be entered into in connection with the issuance of any Units has been duly authorized, executed and delivered by the Unit Agent and the Company; (b) the specific terms of the Units have been duly authorized and established in accordance with the Unit Agreement; and (c) such Units have been duly authorized, executed, issued and delivered in accordance with the Unit Agreement and the applicable underwriting or other agreement against payment therefor or upon the due exercise, conversion or exchange of any Debt Securities or Warrants, as the case may be, such Units will constitute valid and binding obligations of the Company, enforceable in accordance with their terms.</w:t>
      </w:r>
    </w:p>
    <w:p>
      <w:pPr>
        <w:spacing w:after="0" w:line="144" w:lineRule="exact"/>
        <w:rPr>
          <w:rFonts w:ascii="Arial" w:cs="Arial" w:eastAsia="Arial" w:hAnsi="Arial"/>
          <w:sz w:val="14"/>
          <w:szCs w:val="14"/>
          <w:color w:val="auto"/>
        </w:rPr>
      </w:pPr>
    </w:p>
    <w:p>
      <w:pPr>
        <w:jc w:val="both"/>
        <w:ind w:left="800" w:hanging="262"/>
        <w:spacing w:after="0" w:line="273" w:lineRule="auto"/>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With respect to any Warrants to be issued pursuant to the Registration Statement, when (a) the Warrant Agreement to be entered into in connection with the issuance of any Warrants has been duly authorized, executed and delivered by the Warrant Agent and the Company; (b) the specific terms of the Warrants have been duly authorized and established in accordance with the Warrant Agreement; and (c) such Warrants have been duly authorized, executed, issued and delivered in accordance with the Warrant Agreement and the applicable underwriting or other agreement against payment therefor or upon the due exercise, conversion or exchange of any Debt Securities or Warrants, as the case may be, such Warrants will constitute valid and binding obligations of the Company, enforceable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5708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22" w:name="page23"/>
    <w:bookmarkEnd w:id="2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495300</wp:posOffset>
            </wp:positionV>
            <wp:extent cx="525780" cy="2171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25780" cy="217170"/>
                    </a:xfrm>
                    <a:prstGeom prst="rect">
                      <a:avLst/>
                    </a:prstGeom>
                    <a:noFill/>
                  </pic:spPr>
                </pic:pic>
              </a:graphicData>
            </a:graphic>
          </wp:anchor>
        </w:drawing>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November 2, 2023</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Page 4</w:t>
      </w:r>
    </w:p>
    <w:p>
      <w:pPr>
        <w:spacing w:after="0" w:line="170" w:lineRule="exact"/>
        <w:rPr>
          <w:sz w:val="20"/>
          <w:szCs w:val="20"/>
          <w:color w:val="auto"/>
        </w:rPr>
      </w:pPr>
    </w:p>
    <w:p>
      <w:pPr>
        <w:jc w:val="both"/>
        <w:ind w:firstLine="530"/>
        <w:spacing w:after="0" w:line="268" w:lineRule="auto"/>
        <w:rPr>
          <w:sz w:val="20"/>
          <w:szCs w:val="20"/>
          <w:color w:val="auto"/>
        </w:rPr>
      </w:pPr>
      <w:r>
        <w:rPr>
          <w:rFonts w:ascii="Arial" w:cs="Arial" w:eastAsia="Arial" w:hAnsi="Arial"/>
          <w:sz w:val="14"/>
          <w:szCs w:val="14"/>
          <w:color w:val="auto"/>
        </w:rPr>
        <w:t>The opinion in paragraph 1 above is limited to the laws of the State of Delaware that, in our experience, are normally applicable to the shares of Common Stock covered by the Registration Statement and, to the extent that judicial or regulatory orders or decrees or consents, approvals, licenses, authorizations, validations, filings, recordings or registrations with governmental authorities are relevant, to those required under such laws. The opinions in paragraphs 2, 3, 4, and 5 above are limited to the laws of the State of New York that, in our experience, are normally applicable to debt securities, purchase contracts, units and warrant transactions of the type covered by the Registration Statement and, to the extent that judicial or regulatory orders or decrees or consents, approvals, licenses, authorizations, validations, filings, recordings or registrations with governmental authorities are relevant, to those required under such laws. We have assumed that the choice of New York law to govern the Debt Securities and the Indenture and any supplemental indenture thereto is a valid and legal provision. We have also assumed that New York law will be chosen to govern any Purchase Contract Agreement, any Unit Agreement and any Warrant Agreement. We do not express any opinion with respect to any other law of any other jurisdiction or as to the effect of any such law on the opinions stated herein.</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opinion that any document is legal, valid and binding is qualified as to:</w:t>
      </w:r>
    </w:p>
    <w:p>
      <w:pPr>
        <w:spacing w:after="0" w:line="181" w:lineRule="exact"/>
        <w:rPr>
          <w:sz w:val="20"/>
          <w:szCs w:val="20"/>
          <w:color w:val="auto"/>
        </w:rPr>
      </w:pPr>
    </w:p>
    <w:p>
      <w:pPr>
        <w:ind w:left="800" w:hanging="262"/>
        <w:spacing w:after="0" w:line="266" w:lineRule="auto"/>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limitations imposed by bankruptcy, insolvency, reorganization, arrangement, fraudulent conveyance, moratorium or other laws relating to or affecting the rights of creditors generally;</w:t>
      </w:r>
    </w:p>
    <w:p>
      <w:pPr>
        <w:spacing w:after="0" w:line="147" w:lineRule="exact"/>
        <w:rPr>
          <w:rFonts w:ascii="Arial" w:cs="Arial" w:eastAsia="Arial" w:hAnsi="Arial"/>
          <w:sz w:val="15"/>
          <w:szCs w:val="15"/>
          <w:color w:val="auto"/>
        </w:rPr>
      </w:pPr>
    </w:p>
    <w:p>
      <w:pPr>
        <w:ind w:left="800" w:hanging="262"/>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rights to indemnification and contribution, which may be limited by applicable law or equitable principles; and</w:t>
      </w:r>
    </w:p>
    <w:p>
      <w:pPr>
        <w:spacing w:after="0" w:line="180" w:lineRule="exact"/>
        <w:rPr>
          <w:rFonts w:ascii="Arial" w:cs="Arial" w:eastAsia="Arial" w:hAnsi="Arial"/>
          <w:sz w:val="15"/>
          <w:szCs w:val="15"/>
          <w:color w:val="auto"/>
        </w:rPr>
      </w:pPr>
    </w:p>
    <w:p>
      <w:pPr>
        <w:ind w:left="800" w:hanging="262"/>
        <w:spacing w:after="0" w:line="302"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25"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5"/>
          <w:szCs w:val="15"/>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5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Very truly yours,</w:t>
      </w:r>
    </w:p>
    <w:p>
      <w:pPr>
        <w:spacing w:after="0" w:line="18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/s/ WILSON SONSINI GOODRICH &amp; ROSATI, P.C.</w:t>
      </w:r>
    </w:p>
    <w:p>
      <w:pPr>
        <w:spacing w:after="0" w:line="18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WILSON SONSINI GOODRICH &amp; ROSATI</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5708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181" w:lineRule="exact"/>
        <w:rPr>
          <w:sz w:val="20"/>
          <w:szCs w:val="20"/>
          <w:color w:val="auto"/>
        </w:rPr>
      </w:pPr>
    </w:p>
    <w:p>
      <w:pPr>
        <w:ind w:right="280"/>
        <w:spacing w:after="0" w:line="282" w:lineRule="auto"/>
        <w:rPr>
          <w:sz w:val="20"/>
          <w:szCs w:val="20"/>
          <w:color w:val="auto"/>
        </w:rPr>
      </w:pPr>
      <w:r>
        <w:rPr>
          <w:rFonts w:ascii="Arial" w:cs="Arial" w:eastAsia="Arial" w:hAnsi="Arial"/>
          <w:sz w:val="14"/>
          <w:szCs w:val="14"/>
          <w:color w:val="auto"/>
        </w:rPr>
        <w:t>We hereby consent to the incorporation by reference in this Registration Statement on Form S-3 of Micron Technology, Inc. of our report dated October 6, 2023 relating to the financial statements, financial statement schedule and the effectiveness of internal control over financial reporting, which appears in Micron Technology, Inc.'s Annual Report on Form 10-K for the year ended August 31, 2023. We also consent to the reference to us under the heading “Experts” in such Registration Statement.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San Jose, California</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5708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24" w:name="page25"/>
    <w:bookmarkEnd w:id="24"/>
    <w:p>
      <w:pPr>
        <w:jc w:val="right"/>
        <w:spacing w:after="0"/>
        <w:rPr>
          <w:sz w:val="20"/>
          <w:szCs w:val="20"/>
          <w:color w:val="auto"/>
        </w:rPr>
      </w:pPr>
      <w:r>
        <w:rPr>
          <w:rFonts w:ascii="Arial" w:cs="Arial" w:eastAsia="Arial" w:hAnsi="Arial"/>
          <w:sz w:val="15"/>
          <w:szCs w:val="15"/>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5708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57085" cy="139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5708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142240</wp:posOffset>
            </wp:positionV>
            <wp:extent cx="178752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1787525" cy="698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T-1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STATEMENT OF ELIGIBILITY UNDER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TRUST INDENTURE ACT OF 1939 OF 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CORPORATION DESIGNATED TO ACT AS TRUSTEE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Check if an Application to Determine Eligibility of</w:t>
      </w:r>
    </w:p>
    <w:p>
      <w:pPr>
        <w:jc w:val="center"/>
        <w:spacing w:after="0" w:line="173" w:lineRule="exact"/>
        <w:rPr>
          <w:sz w:val="20"/>
          <w:szCs w:val="20"/>
          <w:color w:val="auto"/>
        </w:rPr>
      </w:pPr>
      <w:r>
        <w:rPr>
          <w:rFonts w:ascii="Arial" w:cs="Arial" w:eastAsia="Arial" w:hAnsi="Arial"/>
          <w:sz w:val="15"/>
          <w:szCs w:val="15"/>
          <w:color w:val="auto"/>
        </w:rPr>
        <w:t xml:space="preserve">a Trustee Pursuant to Section 305(b)(2)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145415</wp:posOffset>
            </wp:positionV>
            <wp:extent cx="321754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3217545"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U.S. BANK TRUST COMPANY, NATIONAL ASSOCIATION</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7180" w:type="dxa"/>
            <w:vAlign w:val="bottom"/>
            <w:gridSpan w:val="2"/>
          </w:tcPr>
          <w:p>
            <w:pPr>
              <w:jc w:val="center"/>
              <w:ind w:right="4026"/>
              <w:spacing w:after="0"/>
              <w:rPr>
                <w:sz w:val="20"/>
                <w:szCs w:val="20"/>
                <w:color w:val="auto"/>
              </w:rPr>
            </w:pPr>
            <w:r>
              <w:rPr>
                <w:rFonts w:ascii="Arial" w:cs="Arial" w:eastAsia="Arial" w:hAnsi="Arial"/>
                <w:sz w:val="15"/>
                <w:szCs w:val="15"/>
                <w:color w:val="auto"/>
                <w:w w:val="88"/>
              </w:rPr>
              <w:t>(Exact name of Trustee as specified in its charter)</w:t>
            </w:r>
          </w:p>
        </w:tc>
      </w:tr>
      <w:tr>
        <w:trPr>
          <w:trHeight w:val="331"/>
        </w:trPr>
        <w:tc>
          <w:tcPr>
            <w:tcW w:w="4100" w:type="dxa"/>
            <w:vAlign w:val="bottom"/>
          </w:tcPr>
          <w:p>
            <w:pPr>
              <w:spacing w:after="0"/>
              <w:rPr>
                <w:sz w:val="24"/>
                <w:szCs w:val="24"/>
                <w:color w:val="auto"/>
              </w:rPr>
            </w:pPr>
          </w:p>
        </w:tc>
        <w:tc>
          <w:tcPr>
            <w:tcW w:w="7180" w:type="dxa"/>
            <w:vAlign w:val="bottom"/>
            <w:gridSpan w:val="2"/>
          </w:tcPr>
          <w:p>
            <w:pPr>
              <w:jc w:val="center"/>
              <w:ind w:right="4026"/>
              <w:spacing w:after="0"/>
              <w:rPr>
                <w:sz w:val="20"/>
                <w:szCs w:val="20"/>
                <w:color w:val="auto"/>
              </w:rPr>
            </w:pPr>
            <w:r>
              <w:rPr>
                <w:rFonts w:ascii="Arial" w:cs="Arial" w:eastAsia="Arial" w:hAnsi="Arial"/>
                <w:sz w:val="15"/>
                <w:szCs w:val="15"/>
                <w:b w:val="1"/>
                <w:bCs w:val="1"/>
                <w:color w:val="auto"/>
                <w:w w:val="89"/>
              </w:rPr>
              <w:t>91-1821036</w:t>
            </w:r>
          </w:p>
        </w:tc>
      </w:tr>
      <w:tr>
        <w:trPr>
          <w:trHeight w:val="187"/>
        </w:trPr>
        <w:tc>
          <w:tcPr>
            <w:tcW w:w="4100" w:type="dxa"/>
            <w:vAlign w:val="bottom"/>
          </w:tcPr>
          <w:p>
            <w:pPr>
              <w:spacing w:after="0"/>
              <w:rPr>
                <w:sz w:val="16"/>
                <w:szCs w:val="16"/>
                <w:color w:val="auto"/>
              </w:rPr>
            </w:pPr>
          </w:p>
        </w:tc>
        <w:tc>
          <w:tcPr>
            <w:tcW w:w="7180" w:type="dxa"/>
            <w:vAlign w:val="bottom"/>
            <w:gridSpan w:val="2"/>
          </w:tcPr>
          <w:p>
            <w:pPr>
              <w:jc w:val="center"/>
              <w:ind w:right="4026"/>
              <w:spacing w:after="0"/>
              <w:rPr>
                <w:sz w:val="20"/>
                <w:szCs w:val="20"/>
                <w:color w:val="auto"/>
              </w:rPr>
            </w:pPr>
            <w:r>
              <w:rPr>
                <w:rFonts w:ascii="Arial" w:cs="Arial" w:eastAsia="Arial" w:hAnsi="Arial"/>
                <w:sz w:val="15"/>
                <w:szCs w:val="15"/>
                <w:color w:val="auto"/>
                <w:w w:val="92"/>
              </w:rPr>
              <w:t>I.R.S. Employer Identification No.</w:t>
            </w:r>
          </w:p>
        </w:tc>
      </w:tr>
      <w:tr>
        <w:trPr>
          <w:trHeight w:val="177"/>
        </w:trPr>
        <w:tc>
          <w:tcPr>
            <w:tcW w:w="4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r>
      <w:tr>
        <w:trPr>
          <w:trHeight w:val="157"/>
        </w:trPr>
        <w:tc>
          <w:tcPr>
            <w:tcW w:w="4100" w:type="dxa"/>
            <w:vAlign w:val="bottom"/>
            <w:tcBorders>
              <w:left w:val="single" w:sz="8" w:color="auto"/>
            </w:tcBorders>
          </w:tcPr>
          <w:p>
            <w:pPr>
              <w:jc w:val="center"/>
              <w:ind w:left="1486"/>
              <w:spacing w:after="0" w:line="157" w:lineRule="exact"/>
              <w:rPr>
                <w:sz w:val="20"/>
                <w:szCs w:val="20"/>
                <w:color w:val="auto"/>
              </w:rPr>
            </w:pPr>
            <w:r>
              <w:rPr>
                <w:rFonts w:ascii="Arial" w:cs="Arial" w:eastAsia="Arial" w:hAnsi="Arial"/>
                <w:sz w:val="15"/>
                <w:szCs w:val="15"/>
                <w:color w:val="auto"/>
                <w:w w:val="96"/>
              </w:rPr>
              <w:t>800 Nicollet Mall</w:t>
            </w:r>
          </w:p>
        </w:tc>
        <w:tc>
          <w:tcPr>
            <w:tcW w:w="1560" w:type="dxa"/>
            <w:vAlign w:val="bottom"/>
            <w:tcBorders>
              <w:right w:val="single" w:sz="8" w:color="auto"/>
            </w:tcBorders>
          </w:tcPr>
          <w:p>
            <w:pPr>
              <w:spacing w:after="0"/>
              <w:rPr>
                <w:sz w:val="13"/>
                <w:szCs w:val="13"/>
                <w:color w:val="auto"/>
              </w:rPr>
            </w:pPr>
          </w:p>
        </w:tc>
        <w:tc>
          <w:tcPr>
            <w:tcW w:w="5620" w:type="dxa"/>
            <w:vAlign w:val="bottom"/>
            <w:tcBorders>
              <w:right w:val="single" w:sz="8" w:color="auto"/>
            </w:tcBorders>
          </w:tcPr>
          <w:p>
            <w:pPr>
              <w:spacing w:after="0"/>
              <w:rPr>
                <w:sz w:val="13"/>
                <w:szCs w:val="13"/>
                <w:color w:val="auto"/>
              </w:rPr>
            </w:pPr>
          </w:p>
        </w:tc>
      </w:tr>
      <w:tr>
        <w:trPr>
          <w:trHeight w:val="187"/>
        </w:trPr>
        <w:tc>
          <w:tcPr>
            <w:tcW w:w="4100" w:type="dxa"/>
            <w:vAlign w:val="bottom"/>
            <w:tcBorders>
              <w:left w:val="single" w:sz="8" w:color="auto"/>
              <w:bottom w:val="single" w:sz="8" w:color="auto"/>
            </w:tcBorders>
          </w:tcPr>
          <w:p>
            <w:pPr>
              <w:jc w:val="center"/>
              <w:ind w:left="1486"/>
              <w:spacing w:after="0"/>
              <w:rPr>
                <w:sz w:val="20"/>
                <w:szCs w:val="20"/>
                <w:color w:val="auto"/>
              </w:rPr>
            </w:pPr>
            <w:r>
              <w:rPr>
                <w:rFonts w:ascii="Arial" w:cs="Arial" w:eastAsia="Arial" w:hAnsi="Arial"/>
                <w:sz w:val="15"/>
                <w:szCs w:val="15"/>
                <w:color w:val="auto"/>
                <w:w w:val="90"/>
              </w:rPr>
              <w:t>Minneapolis, Minnesota</w:t>
            </w:r>
          </w:p>
        </w:tc>
        <w:tc>
          <w:tcPr>
            <w:tcW w:w="1560" w:type="dxa"/>
            <w:vAlign w:val="bottom"/>
            <w:tcBorders>
              <w:bottom w:val="single" w:sz="8" w:color="auto"/>
              <w:right w:val="single" w:sz="8" w:color="auto"/>
            </w:tcBorders>
          </w:tcPr>
          <w:p>
            <w:pPr>
              <w:spacing w:after="0"/>
              <w:rPr>
                <w:sz w:val="16"/>
                <w:szCs w:val="16"/>
                <w:color w:val="auto"/>
              </w:rPr>
            </w:pPr>
          </w:p>
        </w:tc>
        <w:tc>
          <w:tcPr>
            <w:tcW w:w="5620" w:type="dxa"/>
            <w:vAlign w:val="bottom"/>
            <w:tcBorders>
              <w:bottom w:val="single" w:sz="8" w:color="auto"/>
              <w:right w:val="single" w:sz="8" w:color="auto"/>
            </w:tcBorders>
          </w:tcPr>
          <w:p>
            <w:pPr>
              <w:jc w:val="right"/>
              <w:ind w:right="2566"/>
              <w:spacing w:after="0"/>
              <w:rPr>
                <w:sz w:val="20"/>
                <w:szCs w:val="20"/>
                <w:color w:val="auto"/>
              </w:rPr>
            </w:pPr>
            <w:r>
              <w:rPr>
                <w:rFonts w:ascii="Arial" w:cs="Arial" w:eastAsia="Arial" w:hAnsi="Arial"/>
                <w:sz w:val="15"/>
                <w:szCs w:val="15"/>
                <w:color w:val="auto"/>
              </w:rPr>
              <w:t>55402</w:t>
            </w:r>
          </w:p>
        </w:tc>
      </w:tr>
      <w:tr>
        <w:trPr>
          <w:trHeight w:val="168"/>
        </w:trPr>
        <w:tc>
          <w:tcPr>
            <w:tcW w:w="4100" w:type="dxa"/>
            <w:vAlign w:val="bottom"/>
            <w:tcBorders>
              <w:left w:val="single" w:sz="8" w:color="auto"/>
              <w:bottom w:val="single" w:sz="8" w:color="auto"/>
            </w:tcBorders>
          </w:tcPr>
          <w:p>
            <w:pPr>
              <w:jc w:val="center"/>
              <w:ind w:left="1486"/>
              <w:spacing w:after="0" w:line="168" w:lineRule="exact"/>
              <w:rPr>
                <w:sz w:val="20"/>
                <w:szCs w:val="20"/>
                <w:color w:val="auto"/>
              </w:rPr>
            </w:pPr>
            <w:r>
              <w:rPr>
                <w:rFonts w:ascii="Arial" w:cs="Arial" w:eastAsia="Arial" w:hAnsi="Arial"/>
                <w:sz w:val="15"/>
                <w:szCs w:val="15"/>
                <w:color w:val="auto"/>
                <w:w w:val="91"/>
              </w:rPr>
              <w:t>(Address of principal executive offices)</w:t>
            </w:r>
          </w:p>
        </w:tc>
        <w:tc>
          <w:tcPr>
            <w:tcW w:w="1560" w:type="dxa"/>
            <w:vAlign w:val="bottom"/>
            <w:tcBorders>
              <w:bottom w:val="single" w:sz="8" w:color="auto"/>
              <w:right w:val="single" w:sz="8" w:color="auto"/>
            </w:tcBorders>
          </w:tcPr>
          <w:p>
            <w:pPr>
              <w:spacing w:after="0"/>
              <w:rPr>
                <w:sz w:val="14"/>
                <w:szCs w:val="14"/>
                <w:color w:val="auto"/>
              </w:rPr>
            </w:pPr>
          </w:p>
        </w:tc>
        <w:tc>
          <w:tcPr>
            <w:tcW w:w="5620" w:type="dxa"/>
            <w:vAlign w:val="bottom"/>
            <w:tcBorders>
              <w:bottom w:val="single" w:sz="8" w:color="auto"/>
              <w:right w:val="single" w:sz="8" w:color="auto"/>
            </w:tcBorders>
          </w:tcPr>
          <w:p>
            <w:pPr>
              <w:jc w:val="center"/>
              <w:spacing w:after="0" w:line="168" w:lineRule="exact"/>
              <w:rPr>
                <w:sz w:val="20"/>
                <w:szCs w:val="20"/>
                <w:color w:val="auto"/>
              </w:rPr>
            </w:pPr>
            <w:r>
              <w:rPr>
                <w:rFonts w:ascii="Arial" w:cs="Arial" w:eastAsia="Arial" w:hAnsi="Arial"/>
                <w:sz w:val="15"/>
                <w:szCs w:val="15"/>
                <w:color w:val="auto"/>
                <w:w w:val="90"/>
              </w:rPr>
              <w:t>(Zip Code)</w:t>
            </w: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Cheryl Nelson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U.S. Bank Trust Company, National Association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555 SW Oak Street; PD-OR-P7TD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Portland, OR 97204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(503) 464-3758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(Name, address and telephone number of agent for service)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(Issuer with respect to the Securities)</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4600" w:type="dxa"/>
            <w:vAlign w:val="bottom"/>
            <w:tcBorders>
              <w:top w:val="single" w:sz="8" w:color="auto"/>
              <w:left w:val="single" w:sz="8" w:color="auto"/>
              <w:bottom w:val="single" w:sz="8" w:color="auto"/>
            </w:tcBorders>
          </w:tcPr>
          <w:p>
            <w:pPr>
              <w:jc w:val="center"/>
              <w:ind w:left="986"/>
              <w:spacing w:after="0"/>
              <w:rPr>
                <w:sz w:val="20"/>
                <w:szCs w:val="20"/>
                <w:color w:val="auto"/>
              </w:rPr>
            </w:pPr>
            <w:r>
              <w:rPr>
                <w:rFonts w:ascii="Arial" w:cs="Arial" w:eastAsia="Arial" w:hAnsi="Arial"/>
                <w:sz w:val="15"/>
                <w:szCs w:val="15"/>
                <w:color w:val="auto"/>
                <w:w w:val="91"/>
              </w:rPr>
              <w:t>Delaware</w:t>
            </w:r>
          </w:p>
        </w:tc>
        <w:tc>
          <w:tcPr>
            <w:tcW w:w="1060" w:type="dxa"/>
            <w:vAlign w:val="bottom"/>
            <w:tcBorders>
              <w:top w:val="single" w:sz="8" w:color="auto"/>
              <w:bottom w:val="single" w:sz="8" w:color="auto"/>
              <w:right w:val="single" w:sz="8" w:color="auto"/>
            </w:tcBorders>
          </w:tcPr>
          <w:p>
            <w:pPr>
              <w:spacing w:after="0"/>
              <w:rPr>
                <w:sz w:val="16"/>
                <w:szCs w:val="16"/>
                <w:color w:val="auto"/>
              </w:rPr>
            </w:pP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75-1618004</w:t>
            </w:r>
          </w:p>
        </w:tc>
      </w:tr>
      <w:tr>
        <w:trPr>
          <w:trHeight w:val="168"/>
        </w:trPr>
        <w:tc>
          <w:tcPr>
            <w:tcW w:w="4600" w:type="dxa"/>
            <w:vAlign w:val="bottom"/>
            <w:tcBorders>
              <w:left w:val="single" w:sz="8" w:color="auto"/>
              <w:bottom w:val="single" w:sz="8" w:color="auto"/>
            </w:tcBorders>
          </w:tcPr>
          <w:p>
            <w:pPr>
              <w:jc w:val="center"/>
              <w:ind w:left="986"/>
              <w:spacing w:after="0" w:line="168" w:lineRule="exact"/>
              <w:rPr>
                <w:sz w:val="20"/>
                <w:szCs w:val="20"/>
                <w:color w:val="auto"/>
              </w:rPr>
            </w:pPr>
            <w:r>
              <w:rPr>
                <w:rFonts w:ascii="Arial" w:cs="Arial" w:eastAsia="Arial" w:hAnsi="Arial"/>
                <w:sz w:val="15"/>
                <w:szCs w:val="15"/>
                <w:color w:val="auto"/>
                <w:w w:val="90"/>
              </w:rPr>
              <w:t>(State or other jurisdiction of incorporation or organization)</w:t>
            </w:r>
          </w:p>
        </w:tc>
        <w:tc>
          <w:tcPr>
            <w:tcW w:w="1060" w:type="dxa"/>
            <w:vAlign w:val="bottom"/>
            <w:tcBorders>
              <w:bottom w:val="single" w:sz="8" w:color="auto"/>
              <w:right w:val="single" w:sz="8" w:color="auto"/>
            </w:tcBorders>
          </w:tcPr>
          <w:p>
            <w:pPr>
              <w:spacing w:after="0"/>
              <w:rPr>
                <w:sz w:val="14"/>
                <w:szCs w:val="14"/>
                <w:color w:val="auto"/>
              </w:rPr>
            </w:pPr>
          </w:p>
        </w:tc>
        <w:tc>
          <w:tcPr>
            <w:tcW w:w="5620" w:type="dxa"/>
            <w:vAlign w:val="bottom"/>
            <w:tcBorders>
              <w:bottom w:val="single" w:sz="8" w:color="auto"/>
              <w:right w:val="single" w:sz="8" w:color="auto"/>
            </w:tcBorders>
          </w:tcPr>
          <w:p>
            <w:pPr>
              <w:jc w:val="center"/>
              <w:spacing w:after="0" w:line="168" w:lineRule="exact"/>
              <w:rPr>
                <w:sz w:val="20"/>
                <w:szCs w:val="20"/>
                <w:color w:val="auto"/>
              </w:rPr>
            </w:pPr>
            <w:r>
              <w:rPr>
                <w:rFonts w:ascii="Arial" w:cs="Arial" w:eastAsia="Arial" w:hAnsi="Arial"/>
                <w:sz w:val="15"/>
                <w:szCs w:val="15"/>
                <w:color w:val="auto"/>
                <w:w w:val="91"/>
              </w:rPr>
              <w:t>(I.R.S. Employer Identification No.)</w:t>
            </w:r>
          </w:p>
        </w:tc>
      </w:tr>
      <w:tr>
        <w:trPr>
          <w:trHeight w:val="168"/>
        </w:trPr>
        <w:tc>
          <w:tcPr>
            <w:tcW w:w="4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r>
      <w:tr>
        <w:trPr>
          <w:trHeight w:val="157"/>
        </w:trPr>
        <w:tc>
          <w:tcPr>
            <w:tcW w:w="4600" w:type="dxa"/>
            <w:vAlign w:val="bottom"/>
            <w:tcBorders>
              <w:left w:val="single" w:sz="8" w:color="auto"/>
            </w:tcBorders>
          </w:tcPr>
          <w:p>
            <w:pPr>
              <w:jc w:val="center"/>
              <w:ind w:left="986"/>
              <w:spacing w:after="0" w:line="157" w:lineRule="exact"/>
              <w:rPr>
                <w:sz w:val="20"/>
                <w:szCs w:val="20"/>
                <w:color w:val="auto"/>
              </w:rPr>
            </w:pPr>
            <w:r>
              <w:rPr>
                <w:rFonts w:ascii="Arial" w:cs="Arial" w:eastAsia="Arial" w:hAnsi="Arial"/>
                <w:sz w:val="15"/>
                <w:szCs w:val="15"/>
                <w:color w:val="auto"/>
                <w:w w:val="87"/>
              </w:rPr>
              <w:t>8000 South Federal Way</w:t>
            </w:r>
          </w:p>
        </w:tc>
        <w:tc>
          <w:tcPr>
            <w:tcW w:w="1060" w:type="dxa"/>
            <w:vAlign w:val="bottom"/>
            <w:tcBorders>
              <w:right w:val="single" w:sz="8" w:color="auto"/>
            </w:tcBorders>
          </w:tcPr>
          <w:p>
            <w:pPr>
              <w:spacing w:after="0"/>
              <w:rPr>
                <w:sz w:val="13"/>
                <w:szCs w:val="13"/>
                <w:color w:val="auto"/>
              </w:rPr>
            </w:pPr>
          </w:p>
        </w:tc>
        <w:tc>
          <w:tcPr>
            <w:tcW w:w="5620" w:type="dxa"/>
            <w:vAlign w:val="bottom"/>
            <w:tcBorders>
              <w:right w:val="single" w:sz="8" w:color="auto"/>
            </w:tcBorders>
          </w:tcPr>
          <w:p>
            <w:pPr>
              <w:spacing w:after="0"/>
              <w:rPr>
                <w:sz w:val="13"/>
                <w:szCs w:val="13"/>
                <w:color w:val="auto"/>
              </w:rPr>
            </w:pPr>
          </w:p>
        </w:tc>
      </w:tr>
      <w:tr>
        <w:trPr>
          <w:trHeight w:val="187"/>
        </w:trPr>
        <w:tc>
          <w:tcPr>
            <w:tcW w:w="4600" w:type="dxa"/>
            <w:vAlign w:val="bottom"/>
            <w:tcBorders>
              <w:left w:val="single" w:sz="8" w:color="auto"/>
              <w:bottom w:val="single" w:sz="8" w:color="auto"/>
            </w:tcBorders>
          </w:tcPr>
          <w:p>
            <w:pPr>
              <w:jc w:val="center"/>
              <w:ind w:left="986"/>
              <w:spacing w:after="0"/>
              <w:rPr>
                <w:sz w:val="20"/>
                <w:szCs w:val="20"/>
                <w:color w:val="auto"/>
              </w:rPr>
            </w:pPr>
            <w:r>
              <w:rPr>
                <w:rFonts w:ascii="Arial" w:cs="Arial" w:eastAsia="Arial" w:hAnsi="Arial"/>
                <w:sz w:val="15"/>
                <w:szCs w:val="15"/>
                <w:color w:val="auto"/>
                <w:w w:val="88"/>
              </w:rPr>
              <w:t>Boise, Idaho</w:t>
            </w:r>
          </w:p>
        </w:tc>
        <w:tc>
          <w:tcPr>
            <w:tcW w:w="1060" w:type="dxa"/>
            <w:vAlign w:val="bottom"/>
            <w:tcBorders>
              <w:bottom w:val="single" w:sz="8" w:color="auto"/>
              <w:right w:val="single" w:sz="8" w:color="auto"/>
            </w:tcBorders>
          </w:tcPr>
          <w:p>
            <w:pPr>
              <w:spacing w:after="0"/>
              <w:rPr>
                <w:sz w:val="16"/>
                <w:szCs w:val="16"/>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83716-9632</w:t>
            </w:r>
          </w:p>
        </w:tc>
      </w:tr>
      <w:tr>
        <w:trPr>
          <w:trHeight w:val="168"/>
        </w:trPr>
        <w:tc>
          <w:tcPr>
            <w:tcW w:w="4600" w:type="dxa"/>
            <w:vAlign w:val="bottom"/>
            <w:tcBorders>
              <w:left w:val="single" w:sz="8" w:color="auto"/>
              <w:bottom w:val="single" w:sz="8" w:color="auto"/>
            </w:tcBorders>
          </w:tcPr>
          <w:p>
            <w:pPr>
              <w:jc w:val="center"/>
              <w:ind w:left="966"/>
              <w:spacing w:after="0" w:line="168" w:lineRule="exact"/>
              <w:rPr>
                <w:sz w:val="20"/>
                <w:szCs w:val="20"/>
                <w:color w:val="auto"/>
              </w:rPr>
            </w:pPr>
            <w:r>
              <w:rPr>
                <w:rFonts w:ascii="Arial" w:cs="Arial" w:eastAsia="Arial" w:hAnsi="Arial"/>
                <w:sz w:val="15"/>
                <w:szCs w:val="15"/>
                <w:color w:val="auto"/>
                <w:w w:val="91"/>
              </w:rPr>
              <w:t>(Address of Principal Executive Offices)</w:t>
            </w:r>
          </w:p>
        </w:tc>
        <w:tc>
          <w:tcPr>
            <w:tcW w:w="1060" w:type="dxa"/>
            <w:vAlign w:val="bottom"/>
            <w:tcBorders>
              <w:bottom w:val="single" w:sz="8" w:color="auto"/>
              <w:right w:val="single" w:sz="8" w:color="auto"/>
            </w:tcBorders>
          </w:tcPr>
          <w:p>
            <w:pPr>
              <w:spacing w:after="0"/>
              <w:rPr>
                <w:sz w:val="14"/>
                <w:szCs w:val="14"/>
                <w:color w:val="auto"/>
              </w:rPr>
            </w:pPr>
          </w:p>
        </w:tc>
        <w:tc>
          <w:tcPr>
            <w:tcW w:w="5620" w:type="dxa"/>
            <w:vAlign w:val="bottom"/>
            <w:tcBorders>
              <w:bottom w:val="single" w:sz="8" w:color="auto"/>
              <w:right w:val="single" w:sz="8" w:color="auto"/>
            </w:tcBorders>
          </w:tcPr>
          <w:p>
            <w:pPr>
              <w:jc w:val="center"/>
              <w:spacing w:after="0" w:line="168" w:lineRule="exact"/>
              <w:rPr>
                <w:sz w:val="20"/>
                <w:szCs w:val="20"/>
                <w:color w:val="auto"/>
              </w:rPr>
            </w:pPr>
            <w:r>
              <w:rPr>
                <w:rFonts w:ascii="Arial" w:cs="Arial" w:eastAsia="Arial" w:hAnsi="Arial"/>
                <w:sz w:val="15"/>
                <w:szCs w:val="15"/>
                <w:color w:val="auto"/>
                <w:w w:val="90"/>
              </w:rPr>
              <w:t>(Zip Code)</w:t>
            </w:r>
          </w:p>
        </w:tc>
      </w:tr>
      <w:tr>
        <w:trPr>
          <w:trHeight w:val="396"/>
        </w:trPr>
        <w:tc>
          <w:tcPr>
            <w:tcW w:w="4600" w:type="dxa"/>
            <w:vAlign w:val="bottom"/>
          </w:tcPr>
          <w:p>
            <w:pPr>
              <w:spacing w:after="0"/>
              <w:rPr>
                <w:sz w:val="24"/>
                <w:szCs w:val="24"/>
                <w:color w:val="auto"/>
              </w:rPr>
            </w:pPr>
          </w:p>
        </w:tc>
        <w:tc>
          <w:tcPr>
            <w:tcW w:w="6680" w:type="dxa"/>
            <w:vAlign w:val="bottom"/>
            <w:gridSpan w:val="2"/>
          </w:tcPr>
          <w:p>
            <w:pPr>
              <w:jc w:val="center"/>
              <w:ind w:right="4506"/>
              <w:spacing w:after="0"/>
              <w:rPr>
                <w:sz w:val="20"/>
                <w:szCs w:val="20"/>
                <w:color w:val="auto"/>
              </w:rPr>
            </w:pPr>
            <w:r>
              <w:rPr>
                <w:rFonts w:ascii="Arial" w:cs="Arial" w:eastAsia="Arial" w:hAnsi="Arial"/>
                <w:sz w:val="21"/>
                <w:szCs w:val="21"/>
                <w:b w:val="1"/>
                <w:bCs w:val="1"/>
                <w:color w:val="auto"/>
                <w:w w:val="87"/>
              </w:rPr>
              <w:t>Debt Securities</w:t>
            </w:r>
          </w:p>
        </w:tc>
      </w:tr>
      <w:tr>
        <w:trPr>
          <w:trHeight w:val="191"/>
        </w:trPr>
        <w:tc>
          <w:tcPr>
            <w:tcW w:w="4600" w:type="dxa"/>
            <w:vAlign w:val="bottom"/>
          </w:tcPr>
          <w:p>
            <w:pPr>
              <w:spacing w:after="0"/>
              <w:rPr>
                <w:sz w:val="16"/>
                <w:szCs w:val="16"/>
                <w:color w:val="auto"/>
              </w:rPr>
            </w:pPr>
          </w:p>
        </w:tc>
        <w:tc>
          <w:tcPr>
            <w:tcW w:w="6680" w:type="dxa"/>
            <w:vAlign w:val="bottom"/>
            <w:gridSpan w:val="2"/>
          </w:tcPr>
          <w:p>
            <w:pPr>
              <w:jc w:val="center"/>
              <w:ind w:right="4506"/>
              <w:spacing w:after="0"/>
              <w:rPr>
                <w:sz w:val="20"/>
                <w:szCs w:val="20"/>
                <w:color w:val="auto"/>
              </w:rPr>
            </w:pPr>
            <w:r>
              <w:rPr>
                <w:rFonts w:ascii="Arial" w:cs="Arial" w:eastAsia="Arial" w:hAnsi="Arial"/>
                <w:sz w:val="15"/>
                <w:szCs w:val="15"/>
                <w:b w:val="1"/>
                <w:bCs w:val="1"/>
                <w:color w:val="auto"/>
                <w:w w:val="89"/>
              </w:rPr>
              <w:t>(Title of the Indenture Securities)</w:t>
            </w:r>
          </w:p>
        </w:tc>
      </w:tr>
      <w:tr>
        <w:trPr>
          <w:trHeight w:val="221"/>
        </w:trPr>
        <w:tc>
          <w:tcPr>
            <w:tcW w:w="4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r>
      <w:tr>
        <w:trPr>
          <w:trHeight w:val="371"/>
        </w:trPr>
        <w:tc>
          <w:tcPr>
            <w:tcW w:w="4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24" w:right="319" w:bottom="1440" w:gutter="0" w:footer="0" w:header="0"/>
        </w:sectPr>
      </w:pPr>
    </w:p>
    <w:bookmarkStart w:id="25" w:name="page26"/>
    <w:bookmarkEnd w:id="25"/>
    <w:p>
      <w:pPr>
        <w:ind w:left="5300"/>
        <w:spacing w:after="0"/>
        <w:rPr>
          <w:sz w:val="20"/>
          <w:szCs w:val="20"/>
          <w:color w:val="auto"/>
        </w:rPr>
      </w:pPr>
      <w:r>
        <w:rPr>
          <w:rFonts w:ascii="Arial" w:cs="Arial" w:eastAsia="Arial" w:hAnsi="Arial"/>
          <w:sz w:val="15"/>
          <w:szCs w:val="15"/>
          <w:b w:val="1"/>
          <w:bCs w:val="1"/>
          <w:u w:val="single" w:color="auto"/>
          <w:color w:val="auto"/>
        </w:rPr>
        <w:t>FORM T-1</w:t>
      </w:r>
    </w:p>
    <w:p>
      <w:pPr>
        <w:spacing w:after="0" w:line="181"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GENERAL INFORMATION</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Furnish the following information as to the Trustee.</w:t>
      </w:r>
    </w:p>
    <w:p>
      <w:pPr>
        <w:spacing w:after="0" w:line="185" w:lineRule="exact"/>
        <w:rPr>
          <w:sz w:val="20"/>
          <w:szCs w:val="20"/>
          <w:color w:val="auto"/>
        </w:rPr>
      </w:pPr>
    </w:p>
    <w:p>
      <w:pPr>
        <w:ind w:left="1600" w:right="5040" w:hanging="797"/>
        <w:spacing w:after="0" w:line="253" w:lineRule="auto"/>
        <w:tabs>
          <w:tab w:leader="none" w:pos="107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Name and address of each examining or supervising authority to which it is subject. </w:t>
      </w:r>
      <w:r>
        <w:rPr>
          <w:rFonts w:ascii="Arial" w:cs="Arial" w:eastAsia="Arial" w:hAnsi="Arial"/>
          <w:sz w:val="15"/>
          <w:szCs w:val="15"/>
          <w:color w:val="auto"/>
        </w:rPr>
        <w:t>Comptroller of the Currency</w:t>
      </w:r>
    </w:p>
    <w:p>
      <w:pPr>
        <w:ind w:left="1600"/>
        <w:spacing w:after="0"/>
        <w:rPr>
          <w:rFonts w:ascii="Arial" w:cs="Arial" w:eastAsia="Arial" w:hAnsi="Arial"/>
          <w:sz w:val="15"/>
          <w:szCs w:val="15"/>
          <w:color w:val="auto"/>
        </w:rPr>
      </w:pPr>
      <w:r>
        <w:rPr>
          <w:rFonts w:ascii="Arial" w:cs="Arial" w:eastAsia="Arial" w:hAnsi="Arial"/>
          <w:sz w:val="15"/>
          <w:szCs w:val="15"/>
          <w:color w:val="auto"/>
        </w:rPr>
        <w:t>Washington, D.C.</w:t>
      </w:r>
    </w:p>
    <w:p>
      <w:pPr>
        <w:spacing w:after="0" w:line="170" w:lineRule="exact"/>
        <w:rPr>
          <w:rFonts w:ascii="Arial" w:cs="Arial" w:eastAsia="Arial" w:hAnsi="Arial"/>
          <w:sz w:val="15"/>
          <w:szCs w:val="15"/>
          <w:color w:val="auto"/>
        </w:rPr>
      </w:pPr>
    </w:p>
    <w:p>
      <w:pPr>
        <w:ind w:left="1060" w:hanging="257"/>
        <w:spacing w:after="0"/>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Whether it is authorized to exercise corporate trust powers.</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Yes</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 xml:space="preserve">AFFILIATIONS WITH THE OBLIGOR. </w:t>
      </w:r>
      <w:r>
        <w:rPr>
          <w:rFonts w:ascii="Arial" w:cs="Arial" w:eastAsia="Arial" w:hAnsi="Arial"/>
          <w:sz w:val="14"/>
          <w:szCs w:val="14"/>
          <w:i w:val="1"/>
          <w:iCs w:val="1"/>
          <w:color w:val="auto"/>
        </w:rPr>
        <w:t>If the obligor is an affiliate of the Trustee, describe each such affiliation.</w:t>
      </w:r>
    </w:p>
    <w:p>
      <w:pPr>
        <w:spacing w:after="0" w:line="1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060"/>
          </w:cols>
          <w:pgMar w:left="300" w:top="765" w:right="539" w:bottom="1440" w:gutter="0" w:footer="0" w:header="0"/>
        </w:sectPr>
      </w:pPr>
    </w:p>
    <w:p>
      <w:pPr>
        <w:spacing w:after="0" w:line="166" w:lineRule="exact"/>
        <w:rPr>
          <w:sz w:val="20"/>
          <w:szCs w:val="20"/>
          <w:color w:val="auto"/>
        </w:rPr>
      </w:pPr>
    </w:p>
    <w:p>
      <w:pPr>
        <w:spacing w:after="0" w:line="570" w:lineRule="auto"/>
        <w:rPr>
          <w:sz w:val="20"/>
          <w:szCs w:val="20"/>
          <w:color w:val="auto"/>
        </w:rPr>
      </w:pPr>
      <w:r>
        <w:rPr>
          <w:rFonts w:ascii="Arial" w:cs="Arial" w:eastAsia="Arial" w:hAnsi="Arial"/>
          <w:sz w:val="13"/>
          <w:szCs w:val="13"/>
          <w:b w:val="1"/>
          <w:bCs w:val="1"/>
          <w:color w:val="auto"/>
        </w:rPr>
        <w:t>Items 3-15 Item 16.</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Items 3-15 are not applicable because to the best of the Trustee's knowledge, the obligor is not in default under any Indenture for which the Trustee acts as Trustee.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LIST OF EXHIBITS: </w:t>
      </w:r>
      <w:r>
        <w:rPr>
          <w:rFonts w:ascii="Arial" w:cs="Arial" w:eastAsia="Arial" w:hAnsi="Arial"/>
          <w:sz w:val="15"/>
          <w:szCs w:val="15"/>
          <w:i w:val="1"/>
          <w:iCs w:val="1"/>
          <w:color w:val="auto"/>
        </w:rPr>
        <w:t>List below all exhibits filed as a part of this statement of eligibility and qualification.</w:t>
      </w:r>
    </w:p>
    <w:p>
      <w:pPr>
        <w:spacing w:after="0" w:line="185" w:lineRule="exact"/>
        <w:rPr>
          <w:sz w:val="20"/>
          <w:szCs w:val="20"/>
          <w:color w:val="auto"/>
        </w:rPr>
      </w:pPr>
    </w:p>
    <w:p>
      <w:pPr>
        <w:sectPr>
          <w:pgSz w:w="11900" w:h="16838" w:orient="portrait"/>
          <w:cols w:equalWidth="0" w:num="2">
            <w:col w:w="660" w:space="140"/>
            <w:col w:w="10260"/>
          </w:cols>
          <w:pgMar w:left="300" w:top="765" w:right="539" w:bottom="1440" w:gutter="0" w:footer="0" w:header="0"/>
          <w:type w:val="continuous"/>
        </w:sectPr>
      </w:pPr>
    </w:p>
    <w:p>
      <w:pPr>
        <w:ind w:left="1320" w:hanging="351"/>
        <w:spacing w:after="0"/>
        <w:tabs>
          <w:tab w:leader="none" w:pos="1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copy of the Articles of Association of the Trustee, attached as Exhibit 1.</w:t>
      </w:r>
    </w:p>
    <w:p>
      <w:pPr>
        <w:spacing w:after="0" w:line="180" w:lineRule="exact"/>
        <w:rPr>
          <w:rFonts w:ascii="Arial" w:cs="Arial" w:eastAsia="Arial" w:hAnsi="Arial"/>
          <w:sz w:val="15"/>
          <w:szCs w:val="15"/>
          <w:color w:val="auto"/>
        </w:rPr>
      </w:pPr>
    </w:p>
    <w:p>
      <w:pPr>
        <w:ind w:left="1320" w:hanging="351"/>
        <w:spacing w:after="0"/>
        <w:tabs>
          <w:tab w:leader="none" w:pos="1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copy of the certificate of authority of the Trustee to commence business, attached as Exhibit 2.</w:t>
      </w:r>
    </w:p>
    <w:p>
      <w:pPr>
        <w:spacing w:after="0" w:line="180" w:lineRule="exact"/>
        <w:rPr>
          <w:rFonts w:ascii="Arial" w:cs="Arial" w:eastAsia="Arial" w:hAnsi="Arial"/>
          <w:sz w:val="15"/>
          <w:szCs w:val="15"/>
          <w:color w:val="auto"/>
        </w:rPr>
      </w:pPr>
    </w:p>
    <w:p>
      <w:pPr>
        <w:ind w:left="1320" w:hanging="351"/>
        <w:spacing w:after="0"/>
        <w:tabs>
          <w:tab w:leader="none" w:pos="1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copy of the authorization of the Trustee to exercise corporate trust powers, included as Exhibit 2.</w:t>
      </w:r>
    </w:p>
    <w:p>
      <w:pPr>
        <w:spacing w:after="0" w:line="180" w:lineRule="exact"/>
        <w:rPr>
          <w:rFonts w:ascii="Arial" w:cs="Arial" w:eastAsia="Arial" w:hAnsi="Arial"/>
          <w:sz w:val="15"/>
          <w:szCs w:val="15"/>
          <w:color w:val="auto"/>
        </w:rPr>
      </w:pPr>
    </w:p>
    <w:p>
      <w:pPr>
        <w:ind w:left="1320" w:hanging="351"/>
        <w:spacing w:after="0"/>
        <w:tabs>
          <w:tab w:leader="none" w:pos="1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copy of the existing bylaws of the Trustee, attached as Exhibit 4.</w:t>
      </w:r>
    </w:p>
    <w:p>
      <w:pPr>
        <w:spacing w:after="0" w:line="180" w:lineRule="exact"/>
        <w:rPr>
          <w:rFonts w:ascii="Arial" w:cs="Arial" w:eastAsia="Arial" w:hAnsi="Arial"/>
          <w:sz w:val="15"/>
          <w:szCs w:val="15"/>
          <w:color w:val="auto"/>
        </w:rPr>
      </w:pPr>
    </w:p>
    <w:p>
      <w:pPr>
        <w:ind w:left="1320" w:hanging="351"/>
        <w:spacing w:after="0"/>
        <w:tabs>
          <w:tab w:leader="none" w:pos="1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copy of each Indenture referred to in Item 4. Not applicable.</w:t>
      </w:r>
    </w:p>
    <w:p>
      <w:pPr>
        <w:spacing w:after="0" w:line="180" w:lineRule="exact"/>
        <w:rPr>
          <w:rFonts w:ascii="Arial" w:cs="Arial" w:eastAsia="Arial" w:hAnsi="Arial"/>
          <w:sz w:val="15"/>
          <w:szCs w:val="15"/>
          <w:color w:val="auto"/>
        </w:rPr>
      </w:pPr>
    </w:p>
    <w:p>
      <w:pPr>
        <w:ind w:left="1320" w:hanging="351"/>
        <w:spacing w:after="0"/>
        <w:tabs>
          <w:tab w:leader="none" w:pos="1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consent of the Trustee required by Section 321(b) of the Trust Indenture Act of 1939, attached as Exhibit 6.</w:t>
      </w:r>
    </w:p>
    <w:p>
      <w:pPr>
        <w:spacing w:after="0" w:line="180" w:lineRule="exact"/>
        <w:rPr>
          <w:rFonts w:ascii="Arial" w:cs="Arial" w:eastAsia="Arial" w:hAnsi="Arial"/>
          <w:sz w:val="15"/>
          <w:szCs w:val="15"/>
          <w:color w:val="auto"/>
        </w:rPr>
      </w:pPr>
    </w:p>
    <w:p>
      <w:pPr>
        <w:ind w:left="1320" w:hanging="351"/>
        <w:spacing w:after="0"/>
        <w:tabs>
          <w:tab w:leader="none" w:pos="1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Report of Condition of the Trustee as of June 30, 2023,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5708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060"/>
          </w:cols>
          <w:pgMar w:left="300" w:top="765" w:right="539"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5"/>
          <w:szCs w:val="15"/>
          <w:b w:val="1"/>
          <w:bCs w:val="1"/>
          <w:color w:val="auto"/>
        </w:rPr>
        <w:t>SIGNATURE</w:t>
      </w:r>
    </w:p>
    <w:p>
      <w:pPr>
        <w:spacing w:after="0" w:line="185"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5"/>
          <w:szCs w:val="15"/>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Portland, State of Oregon on the 2nd of November, 2023.</w:t>
      </w:r>
    </w:p>
    <w:p>
      <w:pPr>
        <w:spacing w:after="0" w:line="15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b w:val="1"/>
          <w:bCs w:val="1"/>
          <w:color w:val="auto"/>
        </w:rPr>
        <w:t>/s/ Cheryl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12065</wp:posOffset>
            </wp:positionV>
            <wp:extent cx="321754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3217545" cy="698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5"/>
          <w:szCs w:val="15"/>
          <w:color w:val="auto"/>
        </w:rPr>
        <w:t>Cheryl Nelson</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5708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5"/>
          <w:szCs w:val="15"/>
          <w:b w:val="1"/>
          <w:bCs w:val="1"/>
          <w:u w:val="single" w:color="auto"/>
          <w:color w:val="auto"/>
        </w:rPr>
        <w:t>Exhibit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ARTICLES OF ASSOCIATION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 S. BANK TRUST COMPANY, NATIONAL ASSOCIATION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For the purpose of organizing an association (the “Association”) to perform any lawful activities of national banks, the undersigned enter into the following Articles of Association: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FIRST. </w:t>
      </w:r>
      <w:r>
        <w:rPr>
          <w:rFonts w:ascii="Arial" w:cs="Arial" w:eastAsia="Arial" w:hAnsi="Arial"/>
          <w:sz w:val="15"/>
          <w:szCs w:val="15"/>
          <w:color w:val="auto"/>
        </w:rPr>
        <w:t>The title of this Association shall be U. S. Bank Trust Company, National Association.</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color w:val="auto"/>
        </w:rPr>
        <w:t xml:space="preserve">SECOND. </w:t>
      </w:r>
      <w:r>
        <w:rPr>
          <w:rFonts w:ascii="Arial" w:cs="Arial" w:eastAsia="Arial" w:hAnsi="Arial"/>
          <w:sz w:val="15"/>
          <w:szCs w:val="15"/>
          <w:color w:val="auto"/>
        </w:rPr>
        <w:t>The main office of the Association shall be in the city of Portland, county of Multnomah, state of Oregon. The business of the Association will be limited to fiduciary powers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support of activities incidental to the exercise of those powers. The Association may not expand or alter its business beyond that stated in this article without the prior approval of the Comptroller of the Currency.</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3"/>
          <w:szCs w:val="13"/>
          <w:b w:val="1"/>
          <w:bCs w:val="1"/>
          <w:color w:val="auto"/>
        </w:rPr>
        <w:t xml:space="preserve">THIRD. </w:t>
      </w:r>
      <w:r>
        <w:rPr>
          <w:rFonts w:ascii="Arial" w:cs="Arial" w:eastAsia="Arial" w:hAnsi="Arial"/>
          <w:sz w:val="13"/>
          <w:szCs w:val="13"/>
          <w:color w:val="auto"/>
        </w:rPr>
        <w:t>The board of directors of the Association shall consist of not less than five nor more than twenty-five persons, the exact number to be fixed and determined from time to time by</w:t>
      </w:r>
      <w:r>
        <w:rPr>
          <w:rFonts w:ascii="Arial" w:cs="Arial" w:eastAsia="Arial" w:hAnsi="Arial"/>
          <w:sz w:val="13"/>
          <w:szCs w:val="13"/>
          <w:b w:val="1"/>
          <w:bCs w:val="1"/>
          <w:color w:val="auto"/>
        </w:rPr>
        <w:t xml:space="preserve"> </w:t>
      </w:r>
      <w:r>
        <w:rPr>
          <w:rFonts w:ascii="Arial" w:cs="Arial" w:eastAsia="Arial" w:hAnsi="Arial"/>
          <w:sz w:val="13"/>
          <w:szCs w:val="13"/>
          <w:color w:val="auto"/>
        </w:rPr>
        <w:t>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w:t>
      </w:r>
    </w:p>
    <w:p>
      <w:pPr>
        <w:spacing w:after="0" w:line="1" w:lineRule="exact"/>
        <w:rPr>
          <w:sz w:val="20"/>
          <w:szCs w:val="20"/>
          <w:color w:val="auto"/>
        </w:rPr>
      </w:pPr>
    </w:p>
    <w:p>
      <w:pPr>
        <w:ind w:firstLine="8"/>
        <w:spacing w:after="0" w:line="251" w:lineRule="auto"/>
        <w:tabs>
          <w:tab w:leader="none" w:pos="223"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date the person became a director, or (iii) the date of that person's most recent election to the board of directors, whichever is more recent. Any combination of common or preferred stock of the Association or holding company may be used.</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color w:val="auto"/>
        </w:rPr>
        <w:t xml:space="preserve">FOURTH. </w:t>
      </w:r>
      <w:r>
        <w:rPr>
          <w:rFonts w:ascii="Arial" w:cs="Arial" w:eastAsia="Arial" w:hAnsi="Arial"/>
          <w:sz w:val="14"/>
          <w:szCs w:val="14"/>
          <w:color w:val="auto"/>
        </w:rPr>
        <w:t>There shall be an annual meeting of the shareholders to elect directors and transact whatever other business may be brought before the meeting. It shall be held at the main office</w:t>
      </w:r>
      <w:r>
        <w:rPr>
          <w:rFonts w:ascii="Arial" w:cs="Arial" w:eastAsia="Arial" w:hAnsi="Arial"/>
          <w:sz w:val="14"/>
          <w:szCs w:val="14"/>
          <w:b w:val="1"/>
          <w:bCs w:val="1"/>
          <w:color w:val="auto"/>
        </w:rPr>
        <w:t xml:space="preserve"> </w:t>
      </w:r>
      <w:r>
        <w:rPr>
          <w:rFonts w:ascii="Arial" w:cs="Arial" w:eastAsia="Arial" w:hAnsi="Arial"/>
          <w:sz w:val="14"/>
          <w:szCs w:val="14"/>
          <w:color w:val="auto"/>
        </w:rPr>
        <w:t>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5708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5"/>
          <w:szCs w:val="15"/>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4"/>
          <w:szCs w:val="14"/>
          <w:b w:val="1"/>
          <w:bCs w:val="1"/>
          <w:color w:val="auto"/>
        </w:rPr>
        <w:t xml:space="preserve">FIFTH. </w:t>
      </w:r>
      <w:r>
        <w:rPr>
          <w:rFonts w:ascii="Arial" w:cs="Arial" w:eastAsia="Arial" w:hAnsi="Arial"/>
          <w:sz w:val="14"/>
          <w:szCs w:val="14"/>
          <w:color w:val="auto"/>
        </w:rPr>
        <w:t>The authorized amount of capital stock of the Association shall be 1,000,000 shares of common stock of the par value of ten dollars ($10) each; but said capital stock may be</w:t>
      </w:r>
      <w:r>
        <w:rPr>
          <w:rFonts w:ascii="Arial" w:cs="Arial" w:eastAsia="Arial" w:hAnsi="Arial"/>
          <w:sz w:val="14"/>
          <w:szCs w:val="14"/>
          <w:b w:val="1"/>
          <w:bCs w:val="1"/>
          <w:color w:val="auto"/>
        </w:rPr>
        <w:t xml:space="preserve"> </w:t>
      </w:r>
      <w:r>
        <w:rPr>
          <w:rFonts w:ascii="Arial" w:cs="Arial" w:eastAsia="Arial" w:hAnsi="Arial"/>
          <w:sz w:val="14"/>
          <w:szCs w:val="14"/>
          <w:color w:val="auto"/>
        </w:rPr>
        <w:t>increased or decreased from time to time, according to the provisions of the laws of the United States. The Association shall have only one class of capital stock.</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5708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auto"/>
        </w:rPr>
        <w:t>Unless otherwise specified in the Articles of Association or required by law, all shares of voting stock shall be voted together as a class, on any matters requiring shareholder approval.</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b w:val="1"/>
          <w:bCs w:val="1"/>
          <w:color w:val="auto"/>
        </w:rPr>
        <w:t xml:space="preserve">SIXTH. </w:t>
      </w:r>
      <w:r>
        <w:rPr>
          <w:rFonts w:ascii="Arial" w:cs="Arial" w:eastAsia="Arial" w:hAnsi="Arial"/>
          <w:sz w:val="15"/>
          <w:szCs w:val="15"/>
          <w:color w:val="auto"/>
        </w:rPr>
        <w:t>The board of directors shall appoint one of its members president of this Association and one of its members chairperson of the board and shall have the power to appoint one or more</w:t>
      </w:r>
      <w:r>
        <w:rPr>
          <w:rFonts w:ascii="Arial" w:cs="Arial" w:eastAsia="Arial" w:hAnsi="Arial"/>
          <w:sz w:val="15"/>
          <w:szCs w:val="15"/>
          <w:b w:val="1"/>
          <w:bCs w:val="1"/>
          <w:color w:val="auto"/>
        </w:rPr>
        <w:t xml:space="preserve"> </w:t>
      </w:r>
      <w:r>
        <w:rPr>
          <w:rFonts w:ascii="Arial" w:cs="Arial" w:eastAsia="Arial" w:hAnsi="Arial"/>
          <w:sz w:val="15"/>
          <w:szCs w:val="15"/>
          <w:color w:val="auto"/>
        </w:rPr>
        <w:t>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shall have the power to:</w:t>
      </w:r>
    </w:p>
    <w:p>
      <w:pPr>
        <w:spacing w:after="0" w:line="181"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Define the duties of the officers, employees, and agents of the Association.</w:t>
      </w:r>
    </w:p>
    <w:p>
      <w:pPr>
        <w:spacing w:after="0" w:line="180" w:lineRule="exact"/>
        <w:rPr>
          <w:rFonts w:ascii="Arial" w:cs="Arial" w:eastAsia="Arial" w:hAnsi="Arial"/>
          <w:sz w:val="15"/>
          <w:szCs w:val="15"/>
          <w:color w:val="auto"/>
        </w:rPr>
      </w:pPr>
    </w:p>
    <w:p>
      <w:pPr>
        <w:ind w:left="540" w:hanging="532"/>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Delegate the performance of its duties, but not the responsibility for its duties, to the officers, employees, and agents of the Association.</w:t>
      </w:r>
    </w:p>
    <w:p>
      <w:pPr>
        <w:spacing w:after="0" w:line="180" w:lineRule="exact"/>
        <w:rPr>
          <w:rFonts w:ascii="Arial" w:cs="Arial" w:eastAsia="Arial" w:hAnsi="Arial"/>
          <w:sz w:val="15"/>
          <w:szCs w:val="15"/>
          <w:color w:val="auto"/>
        </w:rPr>
      </w:pPr>
    </w:p>
    <w:p>
      <w:pPr>
        <w:ind w:left="540" w:hanging="532"/>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Fix the compensation and enter employment contracts with its officers and employees upon reasonable terms and conditions consistent with applicable law.</w:t>
      </w:r>
    </w:p>
    <w:p>
      <w:pPr>
        <w:spacing w:after="0" w:line="180" w:lineRule="exact"/>
        <w:rPr>
          <w:rFonts w:ascii="Arial" w:cs="Arial" w:eastAsia="Arial" w:hAnsi="Arial"/>
          <w:sz w:val="15"/>
          <w:szCs w:val="15"/>
          <w:color w:val="auto"/>
        </w:rPr>
      </w:pPr>
    </w:p>
    <w:p>
      <w:pPr>
        <w:ind w:left="540" w:hanging="532"/>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Dismiss officers and employees.</w:t>
      </w:r>
    </w:p>
    <w:p>
      <w:pPr>
        <w:spacing w:after="0" w:line="180" w:lineRule="exact"/>
        <w:rPr>
          <w:rFonts w:ascii="Arial" w:cs="Arial" w:eastAsia="Arial" w:hAnsi="Arial"/>
          <w:sz w:val="15"/>
          <w:szCs w:val="15"/>
          <w:color w:val="auto"/>
        </w:rPr>
      </w:pPr>
    </w:p>
    <w:p>
      <w:pPr>
        <w:ind w:left="540" w:hanging="532"/>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Require bonds from officers and employees and to fix the penalty thereof.</w:t>
      </w:r>
    </w:p>
    <w:p>
      <w:pPr>
        <w:spacing w:after="0" w:line="180" w:lineRule="exact"/>
        <w:rPr>
          <w:rFonts w:ascii="Arial" w:cs="Arial" w:eastAsia="Arial" w:hAnsi="Arial"/>
          <w:sz w:val="15"/>
          <w:szCs w:val="15"/>
          <w:color w:val="auto"/>
        </w:rPr>
      </w:pPr>
    </w:p>
    <w:p>
      <w:pPr>
        <w:ind w:left="540" w:hanging="532"/>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Ratify written policies authorized by the Association's management or committees of the board.</w:t>
      </w:r>
    </w:p>
    <w:p>
      <w:pPr>
        <w:spacing w:after="0" w:line="180" w:lineRule="exact"/>
        <w:rPr>
          <w:rFonts w:ascii="Arial" w:cs="Arial" w:eastAsia="Arial" w:hAnsi="Arial"/>
          <w:sz w:val="15"/>
          <w:szCs w:val="15"/>
          <w:color w:val="auto"/>
        </w:rPr>
      </w:pPr>
    </w:p>
    <w:p>
      <w:pPr>
        <w:jc w:val="both"/>
        <w:ind w:left="540" w:hanging="532"/>
        <w:spacing w:after="0" w:line="255" w:lineRule="auto"/>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333" w:lineRule="exact"/>
        <w:rPr>
          <w:rFonts w:ascii="Arial" w:cs="Arial" w:eastAsia="Arial" w:hAnsi="Arial"/>
          <w:sz w:val="15"/>
          <w:szCs w:val="15"/>
          <w:color w:val="auto"/>
        </w:rPr>
      </w:pPr>
    </w:p>
    <w:p>
      <w:pPr>
        <w:ind w:left="5600" w:hanging="79"/>
        <w:spacing w:after="0"/>
        <w:tabs>
          <w:tab w:leader="none" w:pos="56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5708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30" w:name="page31"/>
    <w:bookmarkEnd w:id="30"/>
    <w:p>
      <w:pPr>
        <w:ind w:left="540" w:hanging="532"/>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Manage and administer the business and affairs of the Association.</w:t>
      </w:r>
    </w:p>
    <w:p>
      <w:pPr>
        <w:spacing w:after="0" w:line="180" w:lineRule="exact"/>
        <w:rPr>
          <w:rFonts w:ascii="Arial" w:cs="Arial" w:eastAsia="Arial" w:hAnsi="Arial"/>
          <w:sz w:val="15"/>
          <w:szCs w:val="15"/>
          <w:color w:val="auto"/>
        </w:rPr>
      </w:pPr>
    </w:p>
    <w:p>
      <w:pPr>
        <w:ind w:left="540" w:hanging="532"/>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Adopt initial Bylaws, not inconsistent with law or the Articles of Association, for managing the business and regulating the affairs of the Association.</w:t>
      </w:r>
    </w:p>
    <w:p>
      <w:pPr>
        <w:spacing w:after="0" w:line="180" w:lineRule="exact"/>
        <w:rPr>
          <w:rFonts w:ascii="Arial" w:cs="Arial" w:eastAsia="Arial" w:hAnsi="Arial"/>
          <w:sz w:val="15"/>
          <w:szCs w:val="15"/>
          <w:color w:val="auto"/>
        </w:rPr>
      </w:pPr>
    </w:p>
    <w:p>
      <w:pPr>
        <w:ind w:left="540" w:hanging="532"/>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Amend or repeal Bylaws, except to the extent that the Articles of Association reserve this power in whole or in part to the shareholders.</w:t>
      </w:r>
    </w:p>
    <w:p>
      <w:pPr>
        <w:spacing w:after="0" w:line="180" w:lineRule="exact"/>
        <w:rPr>
          <w:rFonts w:ascii="Arial" w:cs="Arial" w:eastAsia="Arial" w:hAnsi="Arial"/>
          <w:sz w:val="15"/>
          <w:szCs w:val="15"/>
          <w:color w:val="auto"/>
        </w:rPr>
      </w:pPr>
    </w:p>
    <w:p>
      <w:pPr>
        <w:ind w:left="540" w:hanging="532"/>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Make contracts.</w:t>
      </w:r>
    </w:p>
    <w:p>
      <w:pPr>
        <w:spacing w:after="0" w:line="180" w:lineRule="exact"/>
        <w:rPr>
          <w:rFonts w:ascii="Arial" w:cs="Arial" w:eastAsia="Arial" w:hAnsi="Arial"/>
          <w:sz w:val="15"/>
          <w:szCs w:val="15"/>
          <w:color w:val="auto"/>
        </w:rPr>
      </w:pPr>
    </w:p>
    <w:p>
      <w:pPr>
        <w:ind w:left="540" w:hanging="532"/>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Generally perform all acts that are legal for a board of directors to perform.</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color w:val="auto"/>
        </w:rPr>
        <w:t xml:space="preserve">SEVENTH. </w:t>
      </w:r>
      <w:r>
        <w:rPr>
          <w:rFonts w:ascii="Arial" w:cs="Arial" w:eastAsia="Arial" w:hAnsi="Arial"/>
          <w:sz w:val="15"/>
          <w:szCs w:val="15"/>
          <w:color w:val="auto"/>
        </w:rPr>
        <w:t>The board of directors shall have the power to change the location of the main office to any authorized branch within the limits of the city of Portland, Oregon, without the</w:t>
      </w:r>
      <w:r>
        <w:rPr>
          <w:rFonts w:ascii="Arial" w:cs="Arial" w:eastAsia="Arial" w:hAnsi="Arial"/>
          <w:sz w:val="15"/>
          <w:szCs w:val="15"/>
          <w:b w:val="1"/>
          <w:bCs w:val="1"/>
          <w:color w:val="auto"/>
        </w:rPr>
        <w:t xml:space="preserve"> </w:t>
      </w:r>
      <w:r>
        <w:rPr>
          <w:rFonts w:ascii="Arial" w:cs="Arial" w:eastAsia="Arial" w:hAnsi="Arial"/>
          <w:sz w:val="15"/>
          <w:szCs w:val="15"/>
          <w:color w:val="auto"/>
        </w:rPr>
        <w:t>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EIGHTH. </w:t>
      </w:r>
      <w:r>
        <w:rPr>
          <w:rFonts w:ascii="Arial" w:cs="Arial" w:eastAsia="Arial" w:hAnsi="Arial"/>
          <w:sz w:val="15"/>
          <w:szCs w:val="15"/>
          <w:color w:val="auto"/>
        </w:rPr>
        <w:t>The corporate existence of this Association shall continue until termination according to the laws of the United States.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color w:val="auto"/>
        </w:rPr>
        <w:t xml:space="preserve">NINTH. </w:t>
      </w:r>
      <w:r>
        <w:rPr>
          <w:rFonts w:ascii="Arial" w:cs="Arial" w:eastAsia="Arial" w:hAnsi="Arial"/>
          <w:sz w:val="15"/>
          <w:szCs w:val="15"/>
          <w:color w:val="auto"/>
        </w:rPr>
        <w:t>The board of directors of the Association, or any shareholder owning, in the aggregate, not less than 25 percent of the stock of the Association, may call a special meeting of</w:t>
      </w:r>
      <w:r>
        <w:rPr>
          <w:rFonts w:ascii="Arial" w:cs="Arial" w:eastAsia="Arial" w:hAnsi="Arial"/>
          <w:sz w:val="15"/>
          <w:szCs w:val="15"/>
          <w:b w:val="1"/>
          <w:bCs w:val="1"/>
          <w:color w:val="auto"/>
        </w:rPr>
        <w:t xml:space="preserve"> </w:t>
      </w:r>
      <w:r>
        <w:rPr>
          <w:rFonts w:ascii="Arial" w:cs="Arial" w:eastAsia="Arial" w:hAnsi="Arial"/>
          <w:sz w:val="15"/>
          <w:szCs w:val="15"/>
          <w:color w:val="auto"/>
        </w:rPr>
        <w:t>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b w:val="1"/>
          <w:bCs w:val="1"/>
          <w:color w:val="auto"/>
        </w:rPr>
        <w:t xml:space="preserve">TENTH. </w:t>
      </w:r>
      <w:r>
        <w:rPr>
          <w:rFonts w:ascii="Arial" w:cs="Arial" w:eastAsia="Arial" w:hAnsi="Arial"/>
          <w:sz w:val="15"/>
          <w:szCs w:val="15"/>
          <w:color w:val="auto"/>
        </w:rPr>
        <w:t>These Articles of Association may be amended at any regular or special meeting of the shareholders by the affirmative vote of the holders of a majority of the stock of the</w:t>
      </w:r>
      <w:r>
        <w:rPr>
          <w:rFonts w:ascii="Arial" w:cs="Arial" w:eastAsia="Arial" w:hAnsi="Arial"/>
          <w:sz w:val="15"/>
          <w:szCs w:val="15"/>
          <w:b w:val="1"/>
          <w:bCs w:val="1"/>
          <w:color w:val="auto"/>
        </w:rPr>
        <w:t xml:space="preserve"> </w:t>
      </w:r>
      <w:r>
        <w:rPr>
          <w:rFonts w:ascii="Arial" w:cs="Arial" w:eastAsia="Arial" w:hAnsi="Arial"/>
          <w:sz w:val="15"/>
          <w:szCs w:val="15"/>
          <w:color w:val="auto"/>
        </w:rPr>
        <w:t>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5708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color w:val="auto"/>
        </w:rPr>
        <w:t xml:space="preserve">In witness whereof, we have hereunto set our hands this </w:t>
      </w:r>
      <w:r>
        <w:rPr>
          <w:rFonts w:ascii="Arial" w:cs="Arial" w:eastAsia="Arial" w:hAnsi="Arial"/>
          <w:sz w:val="13"/>
          <w:szCs w:val="13"/>
          <w:u w:val="single" w:color="auto"/>
          <w:color w:val="auto"/>
        </w:rPr>
        <w:t>11</w:t>
      </w:r>
      <w:r>
        <w:rPr>
          <w:rFonts w:ascii="Arial" w:cs="Arial" w:eastAsia="Arial" w:hAnsi="Arial"/>
          <w:sz w:val="21"/>
          <w:szCs w:val="21"/>
          <w:u w:val="single" w:color="auto"/>
          <w:color w:val="auto"/>
          <w:vertAlign w:val="superscript"/>
        </w:rPr>
        <w:t>th</w:t>
      </w:r>
      <w:r>
        <w:rPr>
          <w:rFonts w:ascii="Arial" w:cs="Arial" w:eastAsia="Arial" w:hAnsi="Arial"/>
          <w:sz w:val="13"/>
          <w:szCs w:val="13"/>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2908935</wp:posOffset>
            </wp:positionV>
            <wp:extent cx="715708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97790</wp:posOffset>
            </wp:positionV>
            <wp:extent cx="1864995" cy="2306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1864995" cy="2306320"/>
                    </a:xfrm>
                    <a:prstGeom prst="rect">
                      <a:avLst/>
                    </a:prstGeom>
                    <a:noFill/>
                  </pic:spPr>
                </pic:pic>
              </a:graphicData>
            </a:graphic>
          </wp:anchor>
        </w:drawing>
      </w:r>
    </w:p>
    <w:p>
      <w:pPr>
        <w:sectPr>
          <w:pgSz w:w="11900" w:h="16838" w:orient="portrait"/>
          <w:cols w:equalWidth="0" w:num="1">
            <w:col w:w="9619"/>
          </w:cols>
          <w:pgMar w:left="840" w:top="771"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3"/>
          <w:szCs w:val="13"/>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138430</wp:posOffset>
            </wp:positionV>
            <wp:extent cx="7157085" cy="5348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57085" cy="534860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5"/>
          <w:szCs w:val="15"/>
          <w:b w:val="1"/>
          <w:bCs w:val="1"/>
          <w:u w:val="single" w:color="auto"/>
          <w:color w:val="auto"/>
        </w:rPr>
        <w:t>Exhibit 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 BANK TRUST COMPANY, NATIONAL ASSOCIATION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AMENDED AND RESTATED BYLAWS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Meetings of Shareholders</w:t>
      </w:r>
    </w:p>
    <w:p>
      <w:pPr>
        <w:spacing w:after="0" w:line="170" w:lineRule="exact"/>
        <w:rPr>
          <w:sz w:val="20"/>
          <w:szCs w:val="20"/>
          <w:color w:val="auto"/>
        </w:rPr>
      </w:pPr>
    </w:p>
    <w:p>
      <w:pPr>
        <w:jc w:val="both"/>
        <w:ind w:firstLine="530"/>
        <w:spacing w:after="0" w:line="249"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Annual Meeting</w:t>
      </w:r>
      <w:r>
        <w:rPr>
          <w:rFonts w:ascii="Arial" w:cs="Arial" w:eastAsia="Arial" w:hAnsi="Arial"/>
          <w:sz w:val="15"/>
          <w:szCs w:val="15"/>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63" w:lineRule="exact"/>
        <w:rPr>
          <w:sz w:val="20"/>
          <w:szCs w:val="20"/>
          <w:color w:val="auto"/>
        </w:rPr>
      </w:pPr>
    </w:p>
    <w:p>
      <w:pPr>
        <w:jc w:val="both"/>
        <w:ind w:firstLine="530"/>
        <w:spacing w:after="0" w:line="266"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Special Meetings</w:t>
      </w:r>
      <w:r>
        <w:rPr>
          <w:rFonts w:ascii="Arial" w:cs="Arial" w:eastAsia="Arial" w:hAnsi="Arial"/>
          <w:sz w:val="15"/>
          <w:szCs w:val="15"/>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Every such special meeting, unless otherwise provided by law, shall be called upon not less than ten (10) days nor more than sixty (60) days prior notice stating the purpose of the meeting.</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1.3. </w:t>
      </w:r>
      <w:r>
        <w:rPr>
          <w:rFonts w:ascii="Arial" w:cs="Arial" w:eastAsia="Arial" w:hAnsi="Arial"/>
          <w:sz w:val="15"/>
          <w:szCs w:val="15"/>
          <w:u w:val="single" w:color="auto"/>
          <w:color w:val="auto"/>
        </w:rPr>
        <w:t>Nominations for Directors</w:t>
      </w:r>
      <w:r>
        <w:rPr>
          <w:rFonts w:ascii="Arial" w:cs="Arial" w:eastAsia="Arial" w:hAnsi="Arial"/>
          <w:sz w:val="15"/>
          <w:szCs w:val="15"/>
          <w:color w:val="auto"/>
        </w:rPr>
        <w:t>. Nominations for election to the Board may be made by the Board or by any shareholder.</w:t>
      </w:r>
    </w:p>
    <w:p>
      <w:pPr>
        <w:spacing w:after="0" w:line="181" w:lineRule="exact"/>
        <w:rPr>
          <w:sz w:val="20"/>
          <w:szCs w:val="20"/>
          <w:color w:val="auto"/>
        </w:rPr>
      </w:pPr>
    </w:p>
    <w:p>
      <w:pPr>
        <w:jc w:val="both"/>
        <w:ind w:firstLine="530"/>
        <w:spacing w:after="0" w:line="266" w:lineRule="auto"/>
        <w:rPr>
          <w:sz w:val="20"/>
          <w:szCs w:val="20"/>
          <w:color w:val="auto"/>
        </w:rPr>
      </w:pPr>
      <w:r>
        <w:rPr>
          <w:rFonts w:ascii="Arial" w:cs="Arial" w:eastAsia="Arial" w:hAnsi="Arial"/>
          <w:sz w:val="15"/>
          <w:szCs w:val="15"/>
          <w:color w:val="auto"/>
        </w:rPr>
        <w:t xml:space="preserve">Section 1.4. </w:t>
      </w:r>
      <w:r>
        <w:rPr>
          <w:rFonts w:ascii="Arial" w:cs="Arial" w:eastAsia="Arial" w:hAnsi="Arial"/>
          <w:sz w:val="15"/>
          <w:szCs w:val="15"/>
          <w:u w:val="single" w:color="auto"/>
          <w:color w:val="auto"/>
        </w:rPr>
        <w:t>Proxies</w:t>
      </w:r>
      <w:r>
        <w:rPr>
          <w:rFonts w:ascii="Arial" w:cs="Arial" w:eastAsia="Arial" w:hAnsi="Arial"/>
          <w:sz w:val="15"/>
          <w:szCs w:val="15"/>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48" w:lineRule="exact"/>
        <w:rPr>
          <w:sz w:val="20"/>
          <w:szCs w:val="20"/>
          <w:color w:val="auto"/>
        </w:rPr>
      </w:pPr>
    </w:p>
    <w:p>
      <w:pPr>
        <w:jc w:val="both"/>
        <w:ind w:firstLine="530"/>
        <w:spacing w:after="0" w:line="266"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Record Date</w:t>
      </w:r>
      <w:r>
        <w:rPr>
          <w:rFonts w:ascii="Arial" w:cs="Arial" w:eastAsia="Arial" w:hAnsi="Arial"/>
          <w:sz w:val="15"/>
          <w:szCs w:val="15"/>
          <w:color w:val="auto"/>
        </w:rPr>
        <w:t>. The record date for determining shareholders entitled to notice and to vote at any meeting will be thirty days before the date of such meeting, unless otherwise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5708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34" w:name="page35"/>
    <w:bookmarkEnd w:id="34"/>
    <w:p>
      <w:pPr>
        <w:jc w:val="both"/>
        <w:ind w:firstLine="530"/>
        <w:spacing w:after="0" w:line="282" w:lineRule="auto"/>
        <w:rPr>
          <w:sz w:val="20"/>
          <w:szCs w:val="20"/>
          <w:color w:val="auto"/>
        </w:rPr>
      </w:pPr>
      <w:r>
        <w:rPr>
          <w:rFonts w:ascii="Arial" w:cs="Arial" w:eastAsia="Arial" w:hAnsi="Arial"/>
          <w:sz w:val="14"/>
          <w:szCs w:val="14"/>
          <w:color w:val="auto"/>
        </w:rPr>
        <w:t xml:space="preserve">Section 1.6. </w:t>
      </w:r>
      <w:r>
        <w:rPr>
          <w:rFonts w:ascii="Arial" w:cs="Arial" w:eastAsia="Arial" w:hAnsi="Arial"/>
          <w:sz w:val="14"/>
          <w:szCs w:val="14"/>
          <w:u w:val="single" w:color="auto"/>
          <w:color w:val="auto"/>
        </w:rPr>
        <w:t>Quorum and Voting</w:t>
      </w:r>
      <w:r>
        <w:rPr>
          <w:rFonts w:ascii="Arial" w:cs="Arial" w:eastAsia="Arial" w:hAnsi="Arial"/>
          <w:sz w:val="14"/>
          <w:szCs w:val="14"/>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39" w:lineRule="exact"/>
        <w:rPr>
          <w:sz w:val="20"/>
          <w:szCs w:val="20"/>
          <w:color w:val="auto"/>
        </w:rPr>
      </w:pPr>
    </w:p>
    <w:p>
      <w:pPr>
        <w:jc w:val="both"/>
        <w:ind w:firstLine="530"/>
        <w:spacing w:after="0" w:line="302" w:lineRule="auto"/>
        <w:rPr>
          <w:sz w:val="20"/>
          <w:szCs w:val="20"/>
          <w:color w:val="auto"/>
        </w:rPr>
      </w:pPr>
      <w:r>
        <w:rPr>
          <w:rFonts w:ascii="Arial" w:cs="Arial" w:eastAsia="Arial" w:hAnsi="Arial"/>
          <w:sz w:val="14"/>
          <w:szCs w:val="14"/>
          <w:color w:val="auto"/>
        </w:rPr>
        <w:t xml:space="preserve">Section 1.7. </w:t>
      </w:r>
      <w:r>
        <w:rPr>
          <w:rFonts w:ascii="Arial" w:cs="Arial" w:eastAsia="Arial" w:hAnsi="Arial"/>
          <w:sz w:val="14"/>
          <w:szCs w:val="14"/>
          <w:u w:val="single" w:color="auto"/>
          <w:color w:val="auto"/>
        </w:rPr>
        <w:t>Inspectors</w:t>
      </w:r>
      <w:r>
        <w:rPr>
          <w:rFonts w:ascii="Arial" w:cs="Arial" w:eastAsia="Arial" w:hAnsi="Arial"/>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1.8. </w:t>
      </w:r>
      <w:r>
        <w:rPr>
          <w:rFonts w:ascii="Arial" w:cs="Arial" w:eastAsia="Arial" w:hAnsi="Arial"/>
          <w:sz w:val="15"/>
          <w:szCs w:val="15"/>
          <w:u w:val="single" w:color="auto"/>
          <w:color w:val="auto"/>
        </w:rPr>
        <w:t>Waiver and Consent</w:t>
      </w:r>
      <w:r>
        <w:rPr>
          <w:rFonts w:ascii="Arial" w:cs="Arial" w:eastAsia="Arial" w:hAnsi="Arial"/>
          <w:sz w:val="15"/>
          <w:szCs w:val="15"/>
          <w:color w:val="auto"/>
        </w:rPr>
        <w:t>. The shareholders may act without notice or a meeting by a unanimous written consent by all shareholders.</w:t>
      </w:r>
    </w:p>
    <w:p>
      <w:pPr>
        <w:spacing w:after="0" w:line="181" w:lineRule="exact"/>
        <w:rPr>
          <w:sz w:val="20"/>
          <w:szCs w:val="20"/>
          <w:color w:val="auto"/>
        </w:rPr>
      </w:pPr>
    </w:p>
    <w:p>
      <w:pPr>
        <w:jc w:val="both"/>
        <w:ind w:firstLine="530"/>
        <w:spacing w:after="0" w:line="266" w:lineRule="auto"/>
        <w:rPr>
          <w:sz w:val="20"/>
          <w:szCs w:val="20"/>
          <w:color w:val="auto"/>
        </w:rPr>
      </w:pPr>
      <w:r>
        <w:rPr>
          <w:rFonts w:ascii="Arial" w:cs="Arial" w:eastAsia="Arial" w:hAnsi="Arial"/>
          <w:sz w:val="15"/>
          <w:szCs w:val="15"/>
          <w:color w:val="auto"/>
        </w:rPr>
        <w:t xml:space="preserve">Section 1.9. </w:t>
      </w:r>
      <w:r>
        <w:rPr>
          <w:rFonts w:ascii="Arial" w:cs="Arial" w:eastAsia="Arial" w:hAnsi="Arial"/>
          <w:sz w:val="15"/>
          <w:szCs w:val="15"/>
          <w:u w:val="single" w:color="auto"/>
          <w:color w:val="auto"/>
        </w:rPr>
        <w:t>Remote Meetings</w:t>
      </w:r>
      <w:r>
        <w:rPr>
          <w:rFonts w:ascii="Arial" w:cs="Arial" w:eastAsia="Arial" w:hAnsi="Arial"/>
          <w:sz w:val="15"/>
          <w:szCs w:val="15"/>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Directors</w:t>
      </w:r>
    </w:p>
    <w:p>
      <w:pPr>
        <w:spacing w:after="0" w:line="170" w:lineRule="exact"/>
        <w:rPr>
          <w:sz w:val="20"/>
          <w:szCs w:val="20"/>
          <w:color w:val="auto"/>
        </w:rPr>
      </w:pPr>
    </w:p>
    <w:p>
      <w:pPr>
        <w:jc w:val="both"/>
        <w:ind w:right="20" w:firstLine="530"/>
        <w:spacing w:after="0" w:line="266"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Board of Directors</w:t>
      </w:r>
      <w:r>
        <w:rPr>
          <w:rFonts w:ascii="Arial" w:cs="Arial" w:eastAsia="Arial" w:hAnsi="Arial"/>
          <w:sz w:val="15"/>
          <w:szCs w:val="15"/>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 xml:space="preserve">Section 2.2. </w:t>
      </w:r>
      <w:r>
        <w:rPr>
          <w:rFonts w:ascii="Arial" w:cs="Arial" w:eastAsia="Arial" w:hAnsi="Arial"/>
          <w:sz w:val="13"/>
          <w:szCs w:val="13"/>
          <w:u w:val="single" w:color="auto"/>
          <w:color w:val="auto"/>
        </w:rPr>
        <w:t>Term of Office</w:t>
      </w:r>
      <w:r>
        <w:rPr>
          <w:rFonts w:ascii="Arial" w:cs="Arial" w:eastAsia="Arial" w:hAnsi="Arial"/>
          <w:sz w:val="13"/>
          <w:szCs w:val="13"/>
          <w:color w:val="auto"/>
        </w:rPr>
        <w:t>. The directors of this Association shall hold office for one year and until their successors are duly elected and qualified, or until their earlier resignation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removal.</w:t>
      </w:r>
    </w:p>
    <w:p>
      <w:pPr>
        <w:spacing w:after="0" w:line="170" w:lineRule="exact"/>
        <w:rPr>
          <w:sz w:val="20"/>
          <w:szCs w:val="20"/>
          <w:color w:val="auto"/>
        </w:rPr>
      </w:pPr>
    </w:p>
    <w:p>
      <w:pPr>
        <w:jc w:val="both"/>
        <w:ind w:firstLine="530"/>
        <w:spacing w:after="0" w:line="266" w:lineRule="auto"/>
        <w:rPr>
          <w:sz w:val="20"/>
          <w:szCs w:val="20"/>
          <w:color w:val="auto"/>
        </w:rPr>
      </w:pPr>
      <w:r>
        <w:rPr>
          <w:rFonts w:ascii="Arial" w:cs="Arial" w:eastAsia="Arial" w:hAnsi="Arial"/>
          <w:sz w:val="15"/>
          <w:szCs w:val="15"/>
          <w:color w:val="auto"/>
        </w:rPr>
        <w:t xml:space="preserve">Section 2.3. </w:t>
      </w:r>
      <w:r>
        <w:rPr>
          <w:rFonts w:ascii="Arial" w:cs="Arial" w:eastAsia="Arial" w:hAnsi="Arial"/>
          <w:sz w:val="15"/>
          <w:szCs w:val="15"/>
          <w:u w:val="single" w:color="auto"/>
          <w:color w:val="auto"/>
        </w:rPr>
        <w:t>Powers</w:t>
      </w:r>
      <w:r>
        <w:rPr>
          <w:rFonts w:ascii="Arial" w:cs="Arial" w:eastAsia="Arial" w:hAnsi="Arial"/>
          <w:sz w:val="15"/>
          <w:szCs w:val="15"/>
          <w:color w:val="auto"/>
        </w:rPr>
        <w:t>. In addition to the foregoing, the Board shall have and may exercise all of the powers granted to or conferred upon it by the Articles of Association, the Bylaws and by law.</w:t>
      </w:r>
    </w:p>
    <w:p>
      <w:pPr>
        <w:spacing w:after="0" w:line="148" w:lineRule="exact"/>
        <w:rPr>
          <w:sz w:val="20"/>
          <w:szCs w:val="20"/>
          <w:color w:val="auto"/>
        </w:rPr>
      </w:pPr>
    </w:p>
    <w:p>
      <w:pPr>
        <w:jc w:val="both"/>
        <w:ind w:firstLine="530"/>
        <w:spacing w:after="0" w:line="293" w:lineRule="auto"/>
        <w:rPr>
          <w:sz w:val="20"/>
          <w:szCs w:val="20"/>
          <w:color w:val="auto"/>
        </w:rPr>
      </w:pPr>
      <w:r>
        <w:rPr>
          <w:rFonts w:ascii="Arial" w:cs="Arial" w:eastAsia="Arial" w:hAnsi="Arial"/>
          <w:sz w:val="13"/>
          <w:szCs w:val="13"/>
          <w:color w:val="auto"/>
        </w:rPr>
        <w:t xml:space="preserve">Section 2.4. </w:t>
      </w:r>
      <w:r>
        <w:rPr>
          <w:rFonts w:ascii="Arial" w:cs="Arial" w:eastAsia="Arial" w:hAnsi="Arial"/>
          <w:sz w:val="13"/>
          <w:szCs w:val="13"/>
          <w:u w:val="single" w:color="auto"/>
          <w:color w:val="auto"/>
        </w:rPr>
        <w:t>Number</w:t>
      </w:r>
      <w:r>
        <w:rPr>
          <w:rFonts w:ascii="Arial" w:cs="Arial" w:eastAsia="Arial" w:hAnsi="Arial"/>
          <w:sz w:val="13"/>
          <w:szCs w:val="13"/>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5708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35" w:name="page36"/>
    <w:bookmarkEnd w:id="35"/>
    <w:p>
      <w:pPr>
        <w:jc w:val="both"/>
        <w:ind w:firstLine="530"/>
        <w:spacing w:after="0" w:line="313" w:lineRule="auto"/>
        <w:rPr>
          <w:sz w:val="20"/>
          <w:szCs w:val="20"/>
          <w:color w:val="auto"/>
        </w:rPr>
      </w:pPr>
      <w:r>
        <w:rPr>
          <w:rFonts w:ascii="Arial" w:cs="Arial" w:eastAsia="Arial" w:hAnsi="Arial"/>
          <w:sz w:val="13"/>
          <w:szCs w:val="13"/>
          <w:color w:val="auto"/>
        </w:rPr>
        <w:t xml:space="preserve">Section 2.5. </w:t>
      </w:r>
      <w:r>
        <w:rPr>
          <w:rFonts w:ascii="Arial" w:cs="Arial" w:eastAsia="Arial" w:hAnsi="Arial"/>
          <w:sz w:val="13"/>
          <w:szCs w:val="13"/>
          <w:u w:val="single" w:color="auto"/>
          <w:color w:val="auto"/>
        </w:rPr>
        <w:t>Organization Meeting</w:t>
      </w:r>
      <w:r>
        <w:rPr>
          <w:rFonts w:ascii="Arial" w:cs="Arial" w:eastAsia="Arial" w:hAnsi="Arial"/>
          <w:sz w:val="13"/>
          <w:szCs w:val="13"/>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2.6. </w:t>
      </w:r>
      <w:r>
        <w:rPr>
          <w:rFonts w:ascii="Arial" w:cs="Arial" w:eastAsia="Arial" w:hAnsi="Arial"/>
          <w:sz w:val="15"/>
          <w:szCs w:val="15"/>
          <w:u w:val="single" w:color="auto"/>
          <w:color w:val="auto"/>
        </w:rPr>
        <w:t>Regular Meetings</w:t>
      </w:r>
      <w:r>
        <w:rPr>
          <w:rFonts w:ascii="Arial" w:cs="Arial" w:eastAsia="Arial" w:hAnsi="Arial"/>
          <w:sz w:val="15"/>
          <w:szCs w:val="15"/>
          <w:color w:val="auto"/>
        </w:rPr>
        <w:t>. The regular meetings of the Board shall be held, without notice, as the Chairman or President may designate and deem suitable.</w:t>
      </w:r>
    </w:p>
    <w:p>
      <w:pPr>
        <w:spacing w:after="0" w:line="181" w:lineRule="exact"/>
        <w:rPr>
          <w:sz w:val="20"/>
          <w:szCs w:val="20"/>
          <w:color w:val="auto"/>
        </w:rPr>
      </w:pPr>
    </w:p>
    <w:p>
      <w:pPr>
        <w:jc w:val="both"/>
        <w:ind w:firstLine="530"/>
        <w:spacing w:after="0" w:line="250"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u w:val="single" w:color="auto"/>
          <w:color w:val="auto"/>
        </w:rPr>
        <w:t>Special Meetings</w:t>
      </w:r>
      <w:r>
        <w:rPr>
          <w:rFonts w:ascii="Arial" w:cs="Arial" w:eastAsia="Arial" w:hAnsi="Arial"/>
          <w:sz w:val="15"/>
          <w:szCs w:val="15"/>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61"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5"/>
          <w:szCs w:val="15"/>
          <w:color w:val="auto"/>
        </w:rPr>
        <w:t xml:space="preserve">Section 2.8. </w:t>
      </w:r>
      <w:r>
        <w:rPr>
          <w:rFonts w:ascii="Arial" w:cs="Arial" w:eastAsia="Arial" w:hAnsi="Arial"/>
          <w:sz w:val="15"/>
          <w:szCs w:val="15"/>
          <w:u w:val="single" w:color="auto"/>
          <w:color w:val="auto"/>
        </w:rPr>
        <w:t>Quorum and Necessary Vote</w:t>
      </w:r>
      <w:r>
        <w:rPr>
          <w:rFonts w:ascii="Arial" w:cs="Arial" w:eastAsia="Arial" w:hAnsi="Arial"/>
          <w:sz w:val="15"/>
          <w:szCs w:val="15"/>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5708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36" w:name="page37"/>
    <w:bookmarkEnd w:id="36"/>
    <w:p>
      <w:pPr>
        <w:jc w:val="both"/>
        <w:ind w:firstLine="530"/>
        <w:spacing w:after="0" w:line="266" w:lineRule="auto"/>
        <w:rPr>
          <w:sz w:val="20"/>
          <w:szCs w:val="20"/>
          <w:color w:val="auto"/>
        </w:rPr>
      </w:pPr>
      <w:r>
        <w:rPr>
          <w:rFonts w:ascii="Arial" w:cs="Arial" w:eastAsia="Arial" w:hAnsi="Arial"/>
          <w:sz w:val="15"/>
          <w:szCs w:val="15"/>
          <w:color w:val="auto"/>
        </w:rPr>
        <w:t xml:space="preserve">Section 2.9. </w:t>
      </w:r>
      <w:r>
        <w:rPr>
          <w:rFonts w:ascii="Arial" w:cs="Arial" w:eastAsia="Arial" w:hAnsi="Arial"/>
          <w:sz w:val="15"/>
          <w:szCs w:val="15"/>
          <w:u w:val="single" w:color="auto"/>
          <w:color w:val="auto"/>
        </w:rPr>
        <w:t>Written Consent</w:t>
      </w:r>
      <w:r>
        <w:rPr>
          <w:rFonts w:ascii="Arial" w:cs="Arial" w:eastAsia="Arial" w:hAnsi="Arial"/>
          <w:sz w:val="15"/>
          <w:szCs w:val="15"/>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48"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5"/>
          <w:szCs w:val="15"/>
          <w:color w:val="auto"/>
        </w:rPr>
        <w:t xml:space="preserve">Section 2.10. </w:t>
      </w:r>
      <w:r>
        <w:rPr>
          <w:rFonts w:ascii="Arial" w:cs="Arial" w:eastAsia="Arial" w:hAnsi="Arial"/>
          <w:sz w:val="15"/>
          <w:szCs w:val="15"/>
          <w:u w:val="single" w:color="auto"/>
          <w:color w:val="auto"/>
        </w:rPr>
        <w:t>Remote Meetings</w:t>
      </w:r>
      <w:r>
        <w:rPr>
          <w:rFonts w:ascii="Arial" w:cs="Arial" w:eastAsia="Arial" w:hAnsi="Arial"/>
          <w:sz w:val="15"/>
          <w:szCs w:val="15"/>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57" w:lineRule="exact"/>
        <w:rPr>
          <w:sz w:val="20"/>
          <w:szCs w:val="20"/>
          <w:color w:val="auto"/>
        </w:rPr>
      </w:pPr>
    </w:p>
    <w:p>
      <w:pPr>
        <w:jc w:val="both"/>
        <w:ind w:firstLine="530"/>
        <w:spacing w:after="0" w:line="266"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5"/>
          <w:szCs w:val="15"/>
          <w:u w:val="single" w:color="auto"/>
          <w:color w:val="auto"/>
        </w:rPr>
        <w:t>Vacancies</w:t>
      </w:r>
      <w:r>
        <w:rPr>
          <w:rFonts w:ascii="Arial" w:cs="Arial" w:eastAsia="Arial" w:hAnsi="Arial"/>
          <w:sz w:val="15"/>
          <w:szCs w:val="15"/>
          <w:color w:val="auto"/>
        </w:rPr>
        <w:t>. When any vacancy occurs among the directors, the remaining members of the Board may appoint a director to fill such vacancy at any regular meeting of the Board, or at a special meeting called for that purpose.</w:t>
      </w:r>
    </w:p>
    <w:p>
      <w:pPr>
        <w:spacing w:after="0" w:line="148" w:lineRule="exact"/>
        <w:rPr>
          <w:sz w:val="20"/>
          <w:szCs w:val="20"/>
          <w:color w:val="auto"/>
        </w:rPr>
      </w:pPr>
    </w:p>
    <w:p>
      <w:pPr>
        <w:ind w:left="5240"/>
        <w:spacing w:after="0"/>
        <w:rPr>
          <w:sz w:val="20"/>
          <w:szCs w:val="20"/>
          <w:color w:val="auto"/>
        </w:rPr>
      </w:pPr>
      <w:r>
        <w:rPr>
          <w:rFonts w:ascii="Arial" w:cs="Arial" w:eastAsia="Arial" w:hAnsi="Arial"/>
          <w:sz w:val="15"/>
          <w:szCs w:val="15"/>
          <w:u w:val="single" w:color="auto"/>
          <w:color w:val="auto"/>
        </w:rPr>
        <w:t>ARTICLE III</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5"/>
          <w:szCs w:val="15"/>
          <w:u w:val="single" w:color="auto"/>
          <w:color w:val="auto"/>
        </w:rPr>
        <w:t>Committees</w:t>
      </w:r>
    </w:p>
    <w:p>
      <w:pPr>
        <w:spacing w:after="0" w:line="170" w:lineRule="exact"/>
        <w:rPr>
          <w:sz w:val="20"/>
          <w:szCs w:val="20"/>
          <w:color w:val="auto"/>
        </w:rPr>
      </w:pPr>
    </w:p>
    <w:p>
      <w:pPr>
        <w:jc w:val="both"/>
        <w:ind w:firstLine="530"/>
        <w:spacing w:after="0" w:line="313"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Advisory Board of Directors</w:t>
      </w:r>
      <w:r>
        <w:rPr>
          <w:rFonts w:ascii="Arial" w:cs="Arial" w:eastAsia="Arial" w:hAnsi="Arial"/>
          <w:sz w:val="13"/>
          <w:szCs w:val="13"/>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22" w:lineRule="exact"/>
        <w:rPr>
          <w:sz w:val="20"/>
          <w:szCs w:val="20"/>
          <w:color w:val="auto"/>
        </w:rPr>
      </w:pPr>
    </w:p>
    <w:p>
      <w:pPr>
        <w:jc w:val="both"/>
        <w:ind w:firstLine="530"/>
        <w:spacing w:after="0" w:line="252" w:lineRule="auto"/>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Trust Audit Committee</w:t>
      </w:r>
      <w:r>
        <w:rPr>
          <w:rFonts w:ascii="Arial" w:cs="Arial" w:eastAsia="Arial" w:hAnsi="Arial"/>
          <w:sz w:val="15"/>
          <w:szCs w:val="15"/>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5708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37" w:name="page38"/>
    <w:bookmarkEnd w:id="37"/>
    <w:p>
      <w:pPr>
        <w:spacing w:after="0"/>
        <w:rPr>
          <w:sz w:val="20"/>
          <w:szCs w:val="20"/>
          <w:color w:val="auto"/>
        </w:rPr>
      </w:pPr>
      <w:r>
        <w:rPr>
          <w:rFonts w:ascii="Arial" w:cs="Arial" w:eastAsia="Arial" w:hAnsi="Arial"/>
          <w:sz w:val="15"/>
          <w:szCs w:val="15"/>
          <w:color w:val="auto"/>
        </w:rPr>
        <w:t>The Audit Committee of the financial holding company that is the ultimate parent of this Association, fulfilling the function of the trust audit committee:</w:t>
      </w:r>
    </w:p>
    <w:p>
      <w:pPr>
        <w:spacing w:after="0" w:line="181" w:lineRule="exact"/>
        <w:rPr>
          <w:sz w:val="20"/>
          <w:szCs w:val="20"/>
          <w:color w:val="auto"/>
        </w:rPr>
      </w:pPr>
    </w:p>
    <w:p>
      <w:pPr>
        <w:ind w:left="780" w:hanging="242"/>
        <w:spacing w:after="0"/>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Must not include any officers of the Association or an affiliate who participate significantly in the administration of the Association’s fiduciary activities; and</w:t>
      </w:r>
    </w:p>
    <w:p>
      <w:pPr>
        <w:spacing w:after="0" w:line="180" w:lineRule="exact"/>
        <w:rPr>
          <w:rFonts w:ascii="Arial" w:cs="Arial" w:eastAsia="Arial" w:hAnsi="Arial"/>
          <w:sz w:val="15"/>
          <w:szCs w:val="15"/>
          <w:color w:val="auto"/>
        </w:rPr>
      </w:pPr>
    </w:p>
    <w:p>
      <w:pPr>
        <w:ind w:left="540" w:hanging="2"/>
        <w:spacing w:after="0" w:line="266" w:lineRule="auto"/>
        <w:tabs>
          <w:tab w:leader="none" w:pos="785" w:val="left"/>
        </w:tabs>
        <w:numPr>
          <w:ilvl w:val="0"/>
          <w:numId w:val="23"/>
        </w:numPr>
        <w:rPr>
          <w:rFonts w:ascii="Arial" w:cs="Arial" w:eastAsia="Arial" w:hAnsi="Arial"/>
          <w:sz w:val="15"/>
          <w:szCs w:val="15"/>
          <w:color w:val="auto"/>
        </w:rPr>
      </w:pPr>
      <w:r>
        <w:rPr>
          <w:rFonts w:ascii="Arial" w:cs="Arial" w:eastAsia="Arial" w:hAnsi="Arial"/>
          <w:sz w:val="15"/>
          <w:szCs w:val="15"/>
          <w:color w:val="auto"/>
        </w:rPr>
        <w:t>Must consist of a majority of members who are not also members of any committee to which the Board has delegated power to manage and control the fiduciary activities of the Association.</w:t>
      </w:r>
    </w:p>
    <w:p>
      <w:pPr>
        <w:spacing w:after="0" w:line="148" w:lineRule="exact"/>
        <w:rPr>
          <w:sz w:val="20"/>
          <w:szCs w:val="20"/>
          <w:color w:val="auto"/>
        </w:rPr>
      </w:pPr>
    </w:p>
    <w:p>
      <w:pPr>
        <w:jc w:val="both"/>
        <w:ind w:firstLine="530"/>
        <w:spacing w:after="0" w:line="266"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Executive Committee</w:t>
      </w:r>
      <w:r>
        <w:rPr>
          <w:rFonts w:ascii="Arial" w:cs="Arial" w:eastAsia="Arial" w:hAnsi="Arial"/>
          <w:sz w:val="15"/>
          <w:szCs w:val="15"/>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48" w:lineRule="exact"/>
        <w:rPr>
          <w:sz w:val="20"/>
          <w:szCs w:val="20"/>
          <w:color w:val="auto"/>
        </w:rPr>
      </w:pPr>
    </w:p>
    <w:p>
      <w:pPr>
        <w:jc w:val="both"/>
        <w:ind w:firstLine="530"/>
        <w:spacing w:after="0" w:line="276"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Trust Management Committee</w:t>
      </w:r>
      <w:r>
        <w:rPr>
          <w:rFonts w:ascii="Arial" w:cs="Arial" w:eastAsia="Arial" w:hAnsi="Arial"/>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3" w:lineRule="exact"/>
        <w:rPr>
          <w:sz w:val="20"/>
          <w:szCs w:val="20"/>
          <w:color w:val="auto"/>
        </w:rPr>
      </w:pPr>
    </w:p>
    <w:p>
      <w:pPr>
        <w:jc w:val="both"/>
        <w:ind w:firstLine="530"/>
        <w:spacing w:after="0" w:line="250" w:lineRule="auto"/>
        <w:rPr>
          <w:sz w:val="20"/>
          <w:szCs w:val="20"/>
          <w:color w:val="auto"/>
        </w:rPr>
      </w:pPr>
      <w:r>
        <w:rPr>
          <w:rFonts w:ascii="Arial" w:cs="Arial" w:eastAsia="Arial" w:hAnsi="Arial"/>
          <w:sz w:val="15"/>
          <w:szCs w:val="15"/>
          <w:color w:val="auto"/>
        </w:rPr>
        <w:t xml:space="preserve">Section 3.5. </w:t>
      </w:r>
      <w:r>
        <w:rPr>
          <w:rFonts w:ascii="Arial" w:cs="Arial" w:eastAsia="Arial" w:hAnsi="Arial"/>
          <w:sz w:val="15"/>
          <w:szCs w:val="15"/>
          <w:u w:val="single" w:color="auto"/>
          <w:color w:val="auto"/>
        </w:rPr>
        <w:t>Other Committees</w:t>
      </w:r>
      <w:r>
        <w:rPr>
          <w:rFonts w:ascii="Arial" w:cs="Arial" w:eastAsia="Arial" w:hAnsi="Arial"/>
          <w:sz w:val="15"/>
          <w:szCs w:val="15"/>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61" w:lineRule="exact"/>
        <w:rPr>
          <w:sz w:val="20"/>
          <w:szCs w:val="20"/>
          <w:color w:val="auto"/>
        </w:rPr>
      </w:pPr>
    </w:p>
    <w:p>
      <w:pPr>
        <w:jc w:val="both"/>
        <w:ind w:firstLine="530"/>
        <w:spacing w:after="0" w:line="313" w:lineRule="auto"/>
        <w:rPr>
          <w:sz w:val="20"/>
          <w:szCs w:val="20"/>
          <w:color w:val="auto"/>
        </w:rPr>
      </w:pPr>
      <w:r>
        <w:rPr>
          <w:rFonts w:ascii="Arial" w:cs="Arial" w:eastAsia="Arial" w:hAnsi="Arial"/>
          <w:sz w:val="13"/>
          <w:szCs w:val="13"/>
          <w:color w:val="auto"/>
        </w:rPr>
        <w:t xml:space="preserve">Section 3.6. </w:t>
      </w:r>
      <w:r>
        <w:rPr>
          <w:rFonts w:ascii="Arial" w:cs="Arial" w:eastAsia="Arial" w:hAnsi="Arial"/>
          <w:sz w:val="13"/>
          <w:szCs w:val="13"/>
          <w:u w:val="single" w:color="auto"/>
          <w:color w:val="auto"/>
        </w:rPr>
        <w:t>Meetings, Minutes and Rules</w:t>
      </w:r>
      <w:r>
        <w:rPr>
          <w:rFonts w:ascii="Arial" w:cs="Arial" w:eastAsia="Arial" w:hAnsi="Arial"/>
          <w:sz w:val="13"/>
          <w:szCs w:val="13"/>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5708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5"/>
          <w:szCs w:val="15"/>
          <w:u w:val="single" w:color="auto"/>
          <w:color w:val="auto"/>
        </w:rPr>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Officers</w:t>
      </w:r>
    </w:p>
    <w:p>
      <w:pPr>
        <w:spacing w:after="0" w:line="170"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Chairman of the Board</w:t>
      </w:r>
      <w:r>
        <w:rPr>
          <w:rFonts w:ascii="Arial" w:cs="Arial" w:eastAsia="Arial" w:hAnsi="Arial"/>
          <w:sz w:val="15"/>
          <w:szCs w:val="15"/>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57" w:lineRule="exact"/>
        <w:rPr>
          <w:sz w:val="20"/>
          <w:szCs w:val="20"/>
          <w:color w:val="auto"/>
        </w:rPr>
      </w:pPr>
    </w:p>
    <w:p>
      <w:pPr>
        <w:jc w:val="both"/>
        <w:ind w:firstLine="530"/>
        <w:spacing w:after="0" w:line="313" w:lineRule="auto"/>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President</w:t>
      </w:r>
      <w:r>
        <w:rPr>
          <w:rFonts w:ascii="Arial" w:cs="Arial" w:eastAsia="Arial" w:hAnsi="Arial"/>
          <w:sz w:val="13"/>
          <w:szCs w:val="13"/>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22" w:lineRule="exact"/>
        <w:rPr>
          <w:sz w:val="20"/>
          <w:szCs w:val="20"/>
          <w:color w:val="auto"/>
        </w:rPr>
      </w:pPr>
    </w:p>
    <w:p>
      <w:pPr>
        <w:jc w:val="both"/>
        <w:ind w:firstLine="530"/>
        <w:spacing w:after="0" w:line="302" w:lineRule="auto"/>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Vice President</w:t>
      </w:r>
      <w:r>
        <w:rPr>
          <w:rFonts w:ascii="Arial" w:cs="Arial" w:eastAsia="Arial" w:hAnsi="Arial"/>
          <w:sz w:val="14"/>
          <w:szCs w:val="14"/>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25" w:lineRule="exact"/>
        <w:rPr>
          <w:sz w:val="20"/>
          <w:szCs w:val="20"/>
          <w:color w:val="auto"/>
        </w:rPr>
      </w:pPr>
    </w:p>
    <w:p>
      <w:pPr>
        <w:jc w:val="both"/>
        <w:ind w:firstLine="530"/>
        <w:spacing w:after="0" w:line="249" w:lineRule="auto"/>
        <w:rPr>
          <w:sz w:val="20"/>
          <w:szCs w:val="20"/>
          <w:color w:val="auto"/>
        </w:rPr>
      </w:pPr>
      <w:r>
        <w:rPr>
          <w:rFonts w:ascii="Arial" w:cs="Arial" w:eastAsia="Arial" w:hAnsi="Arial"/>
          <w:sz w:val="15"/>
          <w:szCs w:val="15"/>
          <w:color w:val="auto"/>
        </w:rPr>
        <w:t xml:space="preserve">Section 4.4. </w:t>
      </w:r>
      <w:r>
        <w:rPr>
          <w:rFonts w:ascii="Arial" w:cs="Arial" w:eastAsia="Arial" w:hAnsi="Arial"/>
          <w:sz w:val="15"/>
          <w:szCs w:val="15"/>
          <w:u w:val="single" w:color="auto"/>
          <w:color w:val="auto"/>
        </w:rPr>
        <w:t>Secretary</w:t>
      </w:r>
      <w:r>
        <w:rPr>
          <w:rFonts w:ascii="Arial" w:cs="Arial" w:eastAsia="Arial" w:hAnsi="Arial"/>
          <w:sz w:val="15"/>
          <w:szCs w:val="15"/>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63" w:lineRule="exact"/>
        <w:rPr>
          <w:sz w:val="20"/>
          <w:szCs w:val="20"/>
          <w:color w:val="auto"/>
        </w:rPr>
      </w:pPr>
    </w:p>
    <w:p>
      <w:pPr>
        <w:jc w:val="both"/>
        <w:ind w:firstLine="530"/>
        <w:spacing w:after="0" w:line="252" w:lineRule="auto"/>
        <w:rPr>
          <w:sz w:val="20"/>
          <w:szCs w:val="20"/>
          <w:color w:val="auto"/>
        </w:rPr>
      </w:pPr>
      <w:r>
        <w:rPr>
          <w:rFonts w:ascii="Arial" w:cs="Arial" w:eastAsia="Arial" w:hAnsi="Arial"/>
          <w:sz w:val="15"/>
          <w:szCs w:val="15"/>
          <w:color w:val="auto"/>
        </w:rPr>
        <w:t xml:space="preserve">Section 4.5. </w:t>
      </w:r>
      <w:r>
        <w:rPr>
          <w:rFonts w:ascii="Arial" w:cs="Arial" w:eastAsia="Arial" w:hAnsi="Arial"/>
          <w:sz w:val="15"/>
          <w:szCs w:val="15"/>
          <w:u w:val="single" w:color="auto"/>
          <w:color w:val="auto"/>
        </w:rPr>
        <w:t>Other Officers</w:t>
      </w:r>
      <w:r>
        <w:rPr>
          <w:rFonts w:ascii="Arial" w:cs="Arial" w:eastAsia="Arial" w:hAnsi="Arial"/>
          <w:sz w:val="15"/>
          <w:szCs w:val="15"/>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5708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39" w:name="page40"/>
    <w:bookmarkEnd w:id="39"/>
    <w:p>
      <w:pPr>
        <w:jc w:val="both"/>
        <w:ind w:firstLine="530"/>
        <w:spacing w:after="0" w:line="302" w:lineRule="auto"/>
        <w:rPr>
          <w:sz w:val="20"/>
          <w:szCs w:val="20"/>
          <w:color w:val="auto"/>
        </w:rPr>
      </w:pPr>
      <w:r>
        <w:rPr>
          <w:rFonts w:ascii="Arial" w:cs="Arial" w:eastAsia="Arial" w:hAnsi="Arial"/>
          <w:sz w:val="14"/>
          <w:szCs w:val="14"/>
          <w:color w:val="auto"/>
        </w:rPr>
        <w:t xml:space="preserve">Section 4.6. </w:t>
      </w:r>
      <w:r>
        <w:rPr>
          <w:rFonts w:ascii="Arial" w:cs="Arial" w:eastAsia="Arial" w:hAnsi="Arial"/>
          <w:sz w:val="14"/>
          <w:szCs w:val="14"/>
          <w:u w:val="single" w:color="auto"/>
          <w:color w:val="auto"/>
        </w:rPr>
        <w:t>Tenure of Office</w:t>
      </w:r>
      <w:r>
        <w:rPr>
          <w:rFonts w:ascii="Arial" w:cs="Arial" w:eastAsia="Arial" w:hAnsi="Arial"/>
          <w:sz w:val="14"/>
          <w:szCs w:val="14"/>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Stock</w:t>
      </w:r>
    </w:p>
    <w:p>
      <w:pPr>
        <w:spacing w:after="0" w:line="170" w:lineRule="exact"/>
        <w:rPr>
          <w:sz w:val="20"/>
          <w:szCs w:val="20"/>
          <w:color w:val="auto"/>
        </w:rPr>
      </w:pPr>
    </w:p>
    <w:p>
      <w:pPr>
        <w:jc w:val="both"/>
        <w:ind w:firstLine="530"/>
        <w:spacing w:after="0" w:line="271" w:lineRule="auto"/>
        <w:rPr>
          <w:sz w:val="20"/>
          <w:szCs w:val="20"/>
          <w:color w:val="auto"/>
        </w:rPr>
      </w:pPr>
      <w:r>
        <w:rPr>
          <w:rFonts w:ascii="Arial" w:cs="Arial" w:eastAsia="Arial" w:hAnsi="Arial"/>
          <w:sz w:val="14"/>
          <w:szCs w:val="14"/>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146" w:lineRule="exact"/>
        <w:rPr>
          <w:sz w:val="20"/>
          <w:szCs w:val="20"/>
          <w:color w:val="auto"/>
        </w:rPr>
      </w:pPr>
    </w:p>
    <w:p>
      <w:pPr>
        <w:ind w:left="5240"/>
        <w:spacing w:after="0"/>
        <w:rPr>
          <w:sz w:val="20"/>
          <w:szCs w:val="20"/>
          <w:color w:val="auto"/>
        </w:rPr>
      </w:pPr>
      <w:r>
        <w:rPr>
          <w:rFonts w:ascii="Arial" w:cs="Arial" w:eastAsia="Arial" w:hAnsi="Arial"/>
          <w:sz w:val="15"/>
          <w:szCs w:val="15"/>
          <w:u w:val="single" w:color="auto"/>
          <w:color w:val="auto"/>
        </w:rPr>
        <w:t>ARTICLE VI</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5"/>
          <w:szCs w:val="15"/>
          <w:u w:val="single" w:color="auto"/>
          <w:color w:val="auto"/>
        </w:rPr>
        <w:t>Corporate Seal</w:t>
      </w:r>
    </w:p>
    <w:p>
      <w:pPr>
        <w:spacing w:after="0" w:line="170" w:lineRule="exact"/>
        <w:rPr>
          <w:sz w:val="20"/>
          <w:szCs w:val="20"/>
          <w:color w:val="auto"/>
        </w:rPr>
      </w:pPr>
    </w:p>
    <w:p>
      <w:pPr>
        <w:jc w:val="both"/>
        <w:ind w:firstLine="530"/>
        <w:spacing w:after="0" w:line="343" w:lineRule="auto"/>
        <w:rPr>
          <w:sz w:val="20"/>
          <w:szCs w:val="20"/>
          <w:color w:val="auto"/>
        </w:rPr>
      </w:pPr>
      <w:r>
        <w:rPr>
          <w:rFonts w:ascii="Arial" w:cs="Arial" w:eastAsia="Arial" w:hAnsi="Arial"/>
          <w:sz w:val="13"/>
          <w:szCs w:val="13"/>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5708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5"/>
          <w:szCs w:val="15"/>
          <w:u w:val="single" w:color="auto"/>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Miscellaneous Provisions</w:t>
      </w:r>
    </w:p>
    <w:p>
      <w:pPr>
        <w:spacing w:after="0" w:line="170" w:lineRule="exact"/>
        <w:rPr>
          <w:sz w:val="20"/>
          <w:szCs w:val="20"/>
          <w:color w:val="auto"/>
        </w:rPr>
      </w:pPr>
    </w:p>
    <w:p>
      <w:pPr>
        <w:jc w:val="both"/>
        <w:ind w:firstLine="530"/>
        <w:spacing w:after="0" w:line="249" w:lineRule="auto"/>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Execution of Instruments</w:t>
      </w:r>
      <w:r>
        <w:rPr>
          <w:rFonts w:ascii="Arial" w:cs="Arial" w:eastAsia="Arial" w:hAnsi="Arial"/>
          <w:sz w:val="15"/>
          <w:szCs w:val="15"/>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63"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5"/>
          <w:szCs w:val="15"/>
          <w:color w:val="auto"/>
        </w:rPr>
        <w:t xml:space="preserve">Section 7.2. </w:t>
      </w:r>
      <w:r>
        <w:rPr>
          <w:rFonts w:ascii="Arial" w:cs="Arial" w:eastAsia="Arial" w:hAnsi="Arial"/>
          <w:sz w:val="15"/>
          <w:szCs w:val="15"/>
          <w:u w:val="single" w:color="auto"/>
          <w:color w:val="auto"/>
        </w:rPr>
        <w:t>Records</w:t>
      </w:r>
      <w:r>
        <w:rPr>
          <w:rFonts w:ascii="Arial" w:cs="Arial" w:eastAsia="Arial" w:hAnsi="Arial"/>
          <w:sz w:val="15"/>
          <w:szCs w:val="15"/>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57" w:lineRule="exact"/>
        <w:rPr>
          <w:sz w:val="20"/>
          <w:szCs w:val="20"/>
          <w:color w:val="auto"/>
        </w:rPr>
      </w:pPr>
    </w:p>
    <w:p>
      <w:pPr>
        <w:jc w:val="both"/>
        <w:ind w:firstLine="530"/>
        <w:spacing w:after="0" w:line="266" w:lineRule="auto"/>
        <w:rPr>
          <w:sz w:val="20"/>
          <w:szCs w:val="20"/>
          <w:color w:val="auto"/>
        </w:rPr>
      </w:pPr>
      <w:r>
        <w:rPr>
          <w:rFonts w:ascii="Arial" w:cs="Arial" w:eastAsia="Arial" w:hAnsi="Arial"/>
          <w:sz w:val="15"/>
          <w:szCs w:val="15"/>
          <w:color w:val="auto"/>
        </w:rPr>
        <w:t xml:space="preserve">Section 7.3. </w:t>
      </w:r>
      <w:r>
        <w:rPr>
          <w:rFonts w:ascii="Arial" w:cs="Arial" w:eastAsia="Arial" w:hAnsi="Arial"/>
          <w:sz w:val="15"/>
          <w:szCs w:val="15"/>
          <w:u w:val="single" w:color="auto"/>
          <w:color w:val="auto"/>
        </w:rPr>
        <w:t>Trust Files</w:t>
      </w:r>
      <w:r>
        <w:rPr>
          <w:rFonts w:ascii="Arial" w:cs="Arial" w:eastAsia="Arial" w:hAnsi="Arial"/>
          <w:sz w:val="15"/>
          <w:szCs w:val="15"/>
          <w:color w:val="auto"/>
        </w:rPr>
        <w:t>. There shall be maintained in the Association files all fiduciary records necessary to assure that its fiduciary responsibilities have been properly undertaken and discharged.</w:t>
      </w:r>
    </w:p>
    <w:p>
      <w:pPr>
        <w:spacing w:after="0" w:line="148"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Trust Investments</w:t>
      </w:r>
      <w:r>
        <w:rPr>
          <w:rFonts w:ascii="Arial" w:cs="Arial" w:eastAsia="Arial" w:hAnsi="Arial"/>
          <w:sz w:val="15"/>
          <w:szCs w:val="15"/>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57"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5"/>
          <w:szCs w:val="15"/>
          <w:color w:val="auto"/>
        </w:rPr>
        <w:t xml:space="preserve">Section 7.5. </w:t>
      </w:r>
      <w:r>
        <w:rPr>
          <w:rFonts w:ascii="Arial" w:cs="Arial" w:eastAsia="Arial" w:hAnsi="Arial"/>
          <w:sz w:val="15"/>
          <w:szCs w:val="15"/>
          <w:u w:val="single" w:color="auto"/>
          <w:color w:val="auto"/>
        </w:rPr>
        <w:t>Notice</w:t>
      </w:r>
      <w:r>
        <w:rPr>
          <w:rFonts w:ascii="Arial" w:cs="Arial" w:eastAsia="Arial" w:hAnsi="Arial"/>
          <w:sz w:val="15"/>
          <w:szCs w:val="15"/>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Except where specified otherwise in these Bylaws, prior notice shall be proper if given not more than 30 days nor less than 10 days prior to the event for which notice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5708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41" w:name="page42"/>
    <w:bookmarkEnd w:id="41"/>
    <w:p>
      <w:pPr>
        <w:ind w:left="5200"/>
        <w:spacing w:after="0"/>
        <w:rPr>
          <w:sz w:val="20"/>
          <w:szCs w:val="20"/>
          <w:color w:val="auto"/>
        </w:rPr>
      </w:pPr>
      <w:r>
        <w:rPr>
          <w:rFonts w:ascii="Arial" w:cs="Arial" w:eastAsia="Arial" w:hAnsi="Arial"/>
          <w:sz w:val="15"/>
          <w:szCs w:val="15"/>
          <w:u w:val="single" w:color="auto"/>
          <w:color w:val="auto"/>
        </w:rPr>
        <w:t>ARTICLE VIII</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5"/>
          <w:szCs w:val="15"/>
          <w:u w:val="single" w:color="auto"/>
          <w:color w:val="auto"/>
        </w:rPr>
        <w:t>Indemnification</w:t>
      </w:r>
    </w:p>
    <w:p>
      <w:pPr>
        <w:spacing w:after="0" w:line="170" w:lineRule="exact"/>
        <w:rPr>
          <w:sz w:val="20"/>
          <w:szCs w:val="20"/>
          <w:color w:val="auto"/>
        </w:rPr>
      </w:pPr>
    </w:p>
    <w:p>
      <w:pPr>
        <w:jc w:val="both"/>
        <w:ind w:firstLine="530"/>
        <w:spacing w:after="0" w:line="273" w:lineRule="auto"/>
        <w:rPr>
          <w:sz w:val="20"/>
          <w:szCs w:val="20"/>
          <w:color w:val="auto"/>
        </w:rPr>
      </w:pPr>
      <w:r>
        <w:rPr>
          <w:rFonts w:ascii="Arial" w:cs="Arial" w:eastAsia="Arial" w:hAnsi="Arial"/>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4" w:lineRule="exact"/>
        <w:rPr>
          <w:sz w:val="20"/>
          <w:szCs w:val="20"/>
          <w:color w:val="auto"/>
        </w:rPr>
      </w:pPr>
    </w:p>
    <w:p>
      <w:pPr>
        <w:jc w:val="both"/>
        <w:ind w:firstLine="530"/>
        <w:spacing w:after="0" w:line="303" w:lineRule="auto"/>
        <w:rPr>
          <w:sz w:val="20"/>
          <w:szCs w:val="20"/>
          <w:color w:val="auto"/>
        </w:rPr>
      </w:pPr>
      <w:r>
        <w:rPr>
          <w:rFonts w:ascii="Arial" w:cs="Arial" w:eastAsia="Arial" w:hAnsi="Arial"/>
          <w:sz w:val="13"/>
          <w:szCs w:val="13"/>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IX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Bylaws: Interpretation and Amendment</w:t>
      </w:r>
    </w:p>
    <w:p>
      <w:pPr>
        <w:spacing w:after="0" w:line="170" w:lineRule="exact"/>
        <w:rPr>
          <w:sz w:val="20"/>
          <w:szCs w:val="20"/>
          <w:color w:val="auto"/>
        </w:rPr>
      </w:pPr>
    </w:p>
    <w:p>
      <w:pPr>
        <w:jc w:val="both"/>
        <w:ind w:firstLine="530"/>
        <w:spacing w:after="0" w:line="266" w:lineRule="auto"/>
        <w:rPr>
          <w:sz w:val="20"/>
          <w:szCs w:val="20"/>
          <w:color w:val="auto"/>
        </w:rPr>
      </w:pPr>
      <w:r>
        <w:rPr>
          <w:rFonts w:ascii="Arial" w:cs="Arial" w:eastAsia="Arial" w:hAnsi="Arial"/>
          <w:sz w:val="15"/>
          <w:szCs w:val="15"/>
          <w:color w:val="auto"/>
        </w:rPr>
        <w:t>Section 9.1. These Bylaws shall be interpreted in accordance with and subject to appropriate provisions of law, and may be added to, altered, amended, or repealed, at any regular or special meeting of the Board.</w:t>
      </w:r>
    </w:p>
    <w:p>
      <w:pPr>
        <w:spacing w:after="0" w:line="148" w:lineRule="exact"/>
        <w:rPr>
          <w:sz w:val="20"/>
          <w:szCs w:val="20"/>
          <w:color w:val="auto"/>
        </w:rPr>
      </w:pPr>
    </w:p>
    <w:p>
      <w:pPr>
        <w:jc w:val="both"/>
        <w:ind w:firstLine="530"/>
        <w:spacing w:after="0" w:line="266" w:lineRule="auto"/>
        <w:rPr>
          <w:sz w:val="20"/>
          <w:szCs w:val="20"/>
          <w:color w:val="auto"/>
        </w:rPr>
      </w:pPr>
      <w:r>
        <w:rPr>
          <w:rFonts w:ascii="Arial" w:cs="Arial" w:eastAsia="Arial" w:hAnsi="Arial"/>
          <w:sz w:val="15"/>
          <w:szCs w:val="15"/>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5708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42" w:name="page43"/>
    <w:bookmarkEnd w:id="42"/>
    <w:p>
      <w:pPr>
        <w:jc w:val="center"/>
        <w:spacing w:after="0"/>
        <w:rPr>
          <w:sz w:val="20"/>
          <w:szCs w:val="20"/>
          <w:color w:val="auto"/>
        </w:rPr>
      </w:pPr>
      <w:r>
        <w:rPr>
          <w:rFonts w:ascii="Arial" w:cs="Arial" w:eastAsia="Arial" w:hAnsi="Arial"/>
          <w:sz w:val="15"/>
          <w:szCs w:val="15"/>
          <w:u w:val="single" w:color="auto"/>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Miscellaneous Provisions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Fiscal Year</w:t>
      </w:r>
      <w:r>
        <w:rPr>
          <w:rFonts w:ascii="Arial" w:cs="Arial" w:eastAsia="Arial" w:hAnsi="Arial"/>
          <w:sz w:val="14"/>
          <w:szCs w:val="14"/>
          <w:color w:val="auto"/>
        </w:rPr>
        <w:t>. The fiscal year of the Association shall begin on the first day of January in each year and shall end on the thirty-first day of December following.</w:t>
      </w:r>
    </w:p>
    <w:p>
      <w:pPr>
        <w:spacing w:after="0" w:line="192" w:lineRule="exact"/>
        <w:rPr>
          <w:sz w:val="20"/>
          <w:szCs w:val="20"/>
          <w:color w:val="auto"/>
        </w:rPr>
      </w:pPr>
    </w:p>
    <w:p>
      <w:pPr>
        <w:ind w:firstLine="530"/>
        <w:spacing w:after="0" w:line="266"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5708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9" w:right="319" w:bottom="1440" w:gutter="0" w:footer="0" w:header="0"/>
        </w:sectPr>
      </w:pPr>
    </w:p>
    <w:bookmarkStart w:id="43" w:name="page44"/>
    <w:bookmarkEnd w:id="43"/>
    <w:p>
      <w:pPr>
        <w:jc w:val="center"/>
        <w:spacing w:after="0"/>
        <w:rPr>
          <w:sz w:val="20"/>
          <w:szCs w:val="20"/>
          <w:color w:val="auto"/>
        </w:rPr>
      </w:pPr>
      <w:r>
        <w:rPr>
          <w:rFonts w:ascii="Arial" w:cs="Arial" w:eastAsia="Arial" w:hAnsi="Arial"/>
          <w:sz w:val="15"/>
          <w:szCs w:val="15"/>
          <w:b w:val="1"/>
          <w:bCs w:val="1"/>
          <w:u w:val="single" w:color="auto"/>
          <w:color w:val="auto"/>
        </w:rPr>
        <w:t>Exhibit 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w:t>
      </w:r>
    </w:p>
    <w:p>
      <w:pPr>
        <w:spacing w:after="0" w:line="185" w:lineRule="exact"/>
        <w:rPr>
          <w:sz w:val="20"/>
          <w:szCs w:val="20"/>
          <w:color w:val="auto"/>
        </w:rPr>
      </w:pPr>
    </w:p>
    <w:p>
      <w:pPr>
        <w:jc w:val="both"/>
        <w:ind w:firstLine="530"/>
        <w:spacing w:after="0" w:line="255" w:lineRule="auto"/>
        <w:rPr>
          <w:sz w:val="20"/>
          <w:szCs w:val="20"/>
          <w:color w:val="auto"/>
        </w:rPr>
      </w:pPr>
      <w:r>
        <w:rPr>
          <w:rFonts w:ascii="Arial" w:cs="Arial" w:eastAsia="Arial" w:hAnsi="Arial"/>
          <w:sz w:val="15"/>
          <w:szCs w:val="15"/>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Dated: November 2</w:t>
      </w:r>
      <w:r>
        <w:rPr>
          <w:rFonts w:ascii="Arial" w:cs="Arial" w:eastAsia="Arial" w:hAnsi="Arial"/>
          <w:sz w:val="24"/>
          <w:szCs w:val="24"/>
          <w:color w:val="auto"/>
          <w:vertAlign w:val="superscript"/>
        </w:rPr>
        <w:t>nd</w:t>
      </w:r>
      <w:r>
        <w:rPr>
          <w:rFonts w:ascii="Arial" w:cs="Arial" w:eastAsia="Arial" w:hAnsi="Arial"/>
          <w:sz w:val="15"/>
          <w:szCs w:val="15"/>
          <w:color w:val="auto"/>
        </w:rPr>
        <w:t>, 2023</w:t>
      </w:r>
    </w:p>
    <w:p>
      <w:pPr>
        <w:spacing w:after="0" w:line="105"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b w:val="1"/>
          <w:bCs w:val="1"/>
          <w:color w:val="auto"/>
        </w:rPr>
        <w:t>/s/ Cheryl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12065</wp:posOffset>
            </wp:positionV>
            <wp:extent cx="321754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3217545" cy="698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5"/>
          <w:szCs w:val="15"/>
          <w:color w:val="auto"/>
        </w:rPr>
        <w:t>Cheryl Nelson</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5708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Exhibit 7</w:t>
            </w:r>
          </w:p>
        </w:tc>
        <w:tc>
          <w:tcPr>
            <w:tcW w:w="420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6360" w:type="dxa"/>
            <w:vAlign w:val="bottom"/>
            <w:gridSpan w:val="4"/>
          </w:tcPr>
          <w:p>
            <w:pPr>
              <w:jc w:val="center"/>
              <w:ind w:right="2573"/>
              <w:spacing w:after="0"/>
              <w:rPr>
                <w:sz w:val="20"/>
                <w:szCs w:val="20"/>
                <w:color w:val="auto"/>
              </w:rPr>
            </w:pPr>
            <w:r>
              <w:rPr>
                <w:rFonts w:ascii="Arial" w:cs="Arial" w:eastAsia="Arial" w:hAnsi="Arial"/>
                <w:sz w:val="15"/>
                <w:szCs w:val="15"/>
                <w:b w:val="1"/>
                <w:bCs w:val="1"/>
                <w:color w:val="auto"/>
                <w:w w:val="88"/>
              </w:rPr>
              <w:t>U.S. Bank Trust Company, National Association</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3780" w:type="dxa"/>
            <w:vAlign w:val="bottom"/>
          </w:tcPr>
          <w:p>
            <w:pPr>
              <w:spacing w:after="0"/>
              <w:rPr>
                <w:sz w:val="15"/>
                <w:szCs w:val="15"/>
                <w:color w:val="auto"/>
              </w:rPr>
            </w:pPr>
          </w:p>
        </w:tc>
        <w:tc>
          <w:tcPr>
            <w:tcW w:w="6360" w:type="dxa"/>
            <w:vAlign w:val="bottom"/>
            <w:gridSpan w:val="4"/>
          </w:tcPr>
          <w:p>
            <w:pPr>
              <w:jc w:val="center"/>
              <w:ind w:right="2593"/>
              <w:spacing w:after="0"/>
              <w:rPr>
                <w:sz w:val="20"/>
                <w:szCs w:val="20"/>
                <w:color w:val="auto"/>
              </w:rPr>
            </w:pPr>
            <w:r>
              <w:rPr>
                <w:rFonts w:ascii="Arial" w:cs="Arial" w:eastAsia="Arial" w:hAnsi="Arial"/>
                <w:sz w:val="15"/>
                <w:szCs w:val="15"/>
                <w:b w:val="1"/>
                <w:bCs w:val="1"/>
                <w:color w:val="auto"/>
                <w:w w:val="88"/>
              </w:rPr>
              <w:t>Statement of Financial Condition</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3780" w:type="dxa"/>
            <w:vAlign w:val="bottom"/>
          </w:tcPr>
          <w:p>
            <w:pPr>
              <w:spacing w:after="0"/>
              <w:rPr>
                <w:sz w:val="16"/>
                <w:szCs w:val="16"/>
                <w:color w:val="auto"/>
              </w:rPr>
            </w:pPr>
          </w:p>
        </w:tc>
        <w:tc>
          <w:tcPr>
            <w:tcW w:w="6360" w:type="dxa"/>
            <w:vAlign w:val="bottom"/>
            <w:gridSpan w:val="4"/>
          </w:tcPr>
          <w:p>
            <w:pPr>
              <w:jc w:val="center"/>
              <w:ind w:right="2593"/>
              <w:spacing w:after="0"/>
              <w:rPr>
                <w:sz w:val="20"/>
                <w:szCs w:val="20"/>
                <w:color w:val="auto"/>
              </w:rPr>
            </w:pPr>
            <w:r>
              <w:rPr>
                <w:rFonts w:ascii="Arial" w:cs="Arial" w:eastAsia="Arial" w:hAnsi="Arial"/>
                <w:sz w:val="15"/>
                <w:szCs w:val="15"/>
                <w:b w:val="1"/>
                <w:bCs w:val="1"/>
                <w:color w:val="auto"/>
                <w:w w:val="87"/>
              </w:rPr>
              <w:t>as of 06/30/2023</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53"/>
        </w:trPr>
        <w:tc>
          <w:tcPr>
            <w:tcW w:w="3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80" w:type="dxa"/>
            <w:vAlign w:val="bottom"/>
            <w:gridSpan w:val="3"/>
          </w:tcPr>
          <w:p>
            <w:pPr>
              <w:jc w:val="center"/>
              <w:ind w:right="4153"/>
              <w:spacing w:after="0"/>
              <w:rPr>
                <w:sz w:val="20"/>
                <w:szCs w:val="20"/>
                <w:color w:val="auto"/>
              </w:rPr>
            </w:pPr>
            <w:r>
              <w:rPr>
                <w:rFonts w:ascii="Arial" w:cs="Arial" w:eastAsia="Arial" w:hAnsi="Arial"/>
                <w:sz w:val="15"/>
                <w:szCs w:val="15"/>
                <w:b w:val="1"/>
                <w:bCs w:val="1"/>
                <w:color w:val="auto"/>
                <w:w w:val="89"/>
              </w:rPr>
              <w:t>($000’s)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378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06/30/2023</w:t>
            </w:r>
          </w:p>
        </w:tc>
        <w:tc>
          <w:tcPr>
            <w:tcW w:w="120" w:type="dxa"/>
            <w:vAlign w:val="bottom"/>
            <w:tcBorders>
              <w:bottom w:val="single" w:sz="8" w:color="CCEEFF"/>
            </w:tcBorders>
          </w:tcPr>
          <w:p>
            <w:pPr>
              <w:spacing w:after="0"/>
              <w:rPr>
                <w:sz w:val="24"/>
                <w:szCs w:val="24"/>
                <w:color w:val="auto"/>
              </w:rPr>
            </w:pPr>
          </w:p>
        </w:tc>
      </w:tr>
      <w:tr>
        <w:trPr>
          <w:trHeight w:val="168"/>
        </w:trPr>
        <w:tc>
          <w:tcPr>
            <w:tcW w:w="3780" w:type="dxa"/>
            <w:vAlign w:val="bottom"/>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Assets</w:t>
            </w:r>
          </w:p>
        </w:tc>
        <w:tc>
          <w:tcPr>
            <w:tcW w:w="15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7"/>
        </w:trPr>
        <w:tc>
          <w:tcPr>
            <w:tcW w:w="3780" w:type="dxa"/>
            <w:vAlign w:val="bottom"/>
          </w:tcPr>
          <w:p>
            <w:pPr>
              <w:ind w:left="280"/>
              <w:spacing w:after="0"/>
              <w:rPr>
                <w:sz w:val="20"/>
                <w:szCs w:val="20"/>
                <w:color w:val="auto"/>
              </w:rPr>
            </w:pPr>
            <w:r>
              <w:rPr>
                <w:rFonts w:ascii="Arial" w:cs="Arial" w:eastAsia="Arial" w:hAnsi="Arial"/>
                <w:sz w:val="15"/>
                <w:szCs w:val="15"/>
                <w:color w:val="auto"/>
                <w:w w:val="98"/>
              </w:rPr>
              <w:t>Cash and Balances Due From Depository Institutions</w:t>
            </w:r>
          </w:p>
        </w:tc>
        <w:tc>
          <w:tcPr>
            <w:tcW w:w="6360" w:type="dxa"/>
            <w:vAlign w:val="bottom"/>
            <w:gridSpan w:val="4"/>
          </w:tcPr>
          <w:p>
            <w:pPr>
              <w:jc w:val="right"/>
              <w:ind w:right="93"/>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876,858</w:t>
            </w: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Securities</w:t>
            </w: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4,335</w:t>
            </w:r>
          </w:p>
        </w:tc>
      </w:tr>
      <w:tr>
        <w:trPr>
          <w:trHeight w:val="177"/>
        </w:trPr>
        <w:tc>
          <w:tcPr>
            <w:tcW w:w="3780" w:type="dxa"/>
            <w:vAlign w:val="bottom"/>
          </w:tcPr>
          <w:p>
            <w:pPr>
              <w:ind w:left="280"/>
              <w:spacing w:after="0"/>
              <w:rPr>
                <w:sz w:val="20"/>
                <w:szCs w:val="20"/>
                <w:color w:val="auto"/>
              </w:rPr>
            </w:pPr>
            <w:r>
              <w:rPr>
                <w:rFonts w:ascii="Arial" w:cs="Arial" w:eastAsia="Arial" w:hAnsi="Arial"/>
                <w:sz w:val="15"/>
                <w:szCs w:val="15"/>
                <w:color w:val="auto"/>
              </w:rPr>
              <w:t>Federal Funds</w:t>
            </w: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0</w:t>
            </w: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Loans &amp; Lease Financing Receivables</w:t>
            </w: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w:t>
            </w:r>
          </w:p>
        </w:tc>
      </w:tr>
      <w:tr>
        <w:trPr>
          <w:trHeight w:val="177"/>
        </w:trPr>
        <w:tc>
          <w:tcPr>
            <w:tcW w:w="3780" w:type="dxa"/>
            <w:vAlign w:val="bottom"/>
          </w:tcPr>
          <w:p>
            <w:pPr>
              <w:ind w:left="280"/>
              <w:spacing w:after="0"/>
              <w:rPr>
                <w:sz w:val="20"/>
                <w:szCs w:val="20"/>
                <w:color w:val="auto"/>
              </w:rPr>
            </w:pPr>
            <w:r>
              <w:rPr>
                <w:rFonts w:ascii="Arial" w:cs="Arial" w:eastAsia="Arial" w:hAnsi="Arial"/>
                <w:sz w:val="15"/>
                <w:szCs w:val="15"/>
                <w:color w:val="auto"/>
              </w:rPr>
              <w:t>Fixed Assets</w:t>
            </w: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1,727</w:t>
            </w: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Intangible Assets</w:t>
            </w: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579,801</w:t>
            </w:r>
          </w:p>
        </w:tc>
      </w:tr>
      <w:tr>
        <w:trPr>
          <w:trHeight w:val="177"/>
        </w:trPr>
        <w:tc>
          <w:tcPr>
            <w:tcW w:w="3780" w:type="dxa"/>
            <w:vAlign w:val="bottom"/>
          </w:tcPr>
          <w:p>
            <w:pPr>
              <w:ind w:left="280"/>
              <w:spacing w:after="0"/>
              <w:rPr>
                <w:sz w:val="20"/>
                <w:szCs w:val="20"/>
                <w:color w:val="auto"/>
              </w:rPr>
            </w:pPr>
            <w:r>
              <w:rPr>
                <w:rFonts w:ascii="Arial" w:cs="Arial" w:eastAsia="Arial" w:hAnsi="Arial"/>
                <w:sz w:val="15"/>
                <w:szCs w:val="15"/>
                <w:color w:val="auto"/>
              </w:rPr>
              <w:t>Other Assets</w:t>
            </w: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144,570</w:t>
            </w:r>
          </w:p>
        </w:tc>
      </w:tr>
      <w:tr>
        <w:trPr>
          <w:trHeight w:val="168"/>
        </w:trPr>
        <w:tc>
          <w:tcPr>
            <w:tcW w:w="3780" w:type="dxa"/>
            <w:vAlign w:val="bottom"/>
            <w:tcBorders>
              <w:top w:val="single" w:sz="8" w:color="CCEEFF"/>
            </w:tcBorders>
            <w:shd w:val="clear" w:color="auto" w:fill="CCEEFF"/>
          </w:tcPr>
          <w:p>
            <w:pPr>
              <w:ind w:left="280"/>
              <w:spacing w:after="0" w:line="168" w:lineRule="exact"/>
              <w:rPr>
                <w:sz w:val="20"/>
                <w:szCs w:val="20"/>
                <w:color w:val="auto"/>
              </w:rPr>
            </w:pPr>
            <w:r>
              <w:rPr>
                <w:rFonts w:ascii="Arial" w:cs="Arial" w:eastAsia="Arial" w:hAnsi="Arial"/>
                <w:sz w:val="15"/>
                <w:szCs w:val="15"/>
                <w:b w:val="1"/>
                <w:bCs w:val="1"/>
                <w:color w:val="auto"/>
              </w:rPr>
              <w:t>Total Assets</w:t>
            </w:r>
          </w:p>
        </w:tc>
        <w:tc>
          <w:tcPr>
            <w:tcW w:w="15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10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b w:val="1"/>
                <w:bCs w:val="1"/>
                <w:color w:val="auto"/>
              </w:rPr>
              <w:t>1,607,291</w:t>
            </w:r>
          </w:p>
        </w:tc>
        <w:tc>
          <w:tcPr>
            <w:tcW w:w="120" w:type="dxa"/>
            <w:vAlign w:val="bottom"/>
            <w:tcBorders>
              <w:top w:val="single" w:sz="8" w:color="CCEEFF"/>
            </w:tcBorders>
            <w:shd w:val="clear" w:color="auto" w:fill="CCEEFF"/>
          </w:tcPr>
          <w:p>
            <w:pPr>
              <w:spacing w:after="0"/>
              <w:rPr>
                <w:sz w:val="14"/>
                <w:szCs w:val="14"/>
                <w:color w:val="auto"/>
              </w:rPr>
            </w:pPr>
          </w:p>
        </w:tc>
      </w:tr>
      <w:tr>
        <w:trPr>
          <w:trHeight w:val="177"/>
        </w:trPr>
        <w:tc>
          <w:tcPr>
            <w:tcW w:w="3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3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7"/>
        </w:trPr>
        <w:tc>
          <w:tcPr>
            <w:tcW w:w="3780" w:type="dxa"/>
            <w:vAlign w:val="bottom"/>
          </w:tcPr>
          <w:p>
            <w:pPr>
              <w:ind w:left="280"/>
              <w:spacing w:after="0"/>
              <w:rPr>
                <w:sz w:val="20"/>
                <w:szCs w:val="20"/>
                <w:color w:val="auto"/>
              </w:rPr>
            </w:pPr>
            <w:r>
              <w:rPr>
                <w:rFonts w:ascii="Arial" w:cs="Arial" w:eastAsia="Arial" w:hAnsi="Arial"/>
                <w:sz w:val="15"/>
                <w:szCs w:val="15"/>
                <w:color w:val="auto"/>
              </w:rPr>
              <w:t>Deposits</w:t>
            </w:r>
          </w:p>
        </w:tc>
        <w:tc>
          <w:tcPr>
            <w:tcW w:w="6360" w:type="dxa"/>
            <w:vAlign w:val="bottom"/>
            <w:gridSpan w:val="4"/>
          </w:tcPr>
          <w:p>
            <w:pPr>
              <w:jc w:val="right"/>
              <w:ind w:right="93"/>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0</w:t>
            </w: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Fed Funds</w:t>
            </w: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w:t>
            </w:r>
          </w:p>
        </w:tc>
      </w:tr>
      <w:tr>
        <w:trPr>
          <w:trHeight w:val="177"/>
        </w:trPr>
        <w:tc>
          <w:tcPr>
            <w:tcW w:w="3780" w:type="dxa"/>
            <w:vAlign w:val="bottom"/>
          </w:tcPr>
          <w:p>
            <w:pPr>
              <w:ind w:left="280"/>
              <w:spacing w:after="0"/>
              <w:rPr>
                <w:sz w:val="20"/>
                <w:szCs w:val="20"/>
                <w:color w:val="auto"/>
              </w:rPr>
            </w:pPr>
            <w:r>
              <w:rPr>
                <w:rFonts w:ascii="Arial" w:cs="Arial" w:eastAsia="Arial" w:hAnsi="Arial"/>
                <w:sz w:val="15"/>
                <w:szCs w:val="15"/>
                <w:color w:val="auto"/>
              </w:rPr>
              <w:t>Treasury Demand Notes</w:t>
            </w: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0</w:t>
            </w: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Trading Liabilities</w:t>
            </w: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w:t>
            </w:r>
          </w:p>
        </w:tc>
      </w:tr>
      <w:tr>
        <w:trPr>
          <w:trHeight w:val="177"/>
        </w:trPr>
        <w:tc>
          <w:tcPr>
            <w:tcW w:w="3780" w:type="dxa"/>
            <w:vAlign w:val="bottom"/>
          </w:tcPr>
          <w:p>
            <w:pPr>
              <w:ind w:left="280"/>
              <w:spacing w:after="0"/>
              <w:rPr>
                <w:sz w:val="20"/>
                <w:szCs w:val="20"/>
                <w:color w:val="auto"/>
              </w:rPr>
            </w:pPr>
            <w:r>
              <w:rPr>
                <w:rFonts w:ascii="Arial" w:cs="Arial" w:eastAsia="Arial" w:hAnsi="Arial"/>
                <w:sz w:val="15"/>
                <w:szCs w:val="15"/>
                <w:color w:val="auto"/>
              </w:rPr>
              <w:t>Other Borrowed Money</w:t>
            </w: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0</w:t>
            </w: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Acceptances</w:t>
            </w: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w:t>
            </w:r>
          </w:p>
        </w:tc>
      </w:tr>
      <w:tr>
        <w:trPr>
          <w:trHeight w:val="177"/>
        </w:trPr>
        <w:tc>
          <w:tcPr>
            <w:tcW w:w="3780" w:type="dxa"/>
            <w:vAlign w:val="bottom"/>
          </w:tcPr>
          <w:p>
            <w:pPr>
              <w:ind w:left="280"/>
              <w:spacing w:after="0"/>
              <w:rPr>
                <w:sz w:val="20"/>
                <w:szCs w:val="20"/>
                <w:color w:val="auto"/>
              </w:rPr>
            </w:pPr>
            <w:r>
              <w:rPr>
                <w:rFonts w:ascii="Arial" w:cs="Arial" w:eastAsia="Arial" w:hAnsi="Arial"/>
                <w:sz w:val="15"/>
                <w:szCs w:val="15"/>
                <w:color w:val="auto"/>
              </w:rPr>
              <w:t>Subordinated Notes and Debentures</w:t>
            </w: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0</w:t>
            </w: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Liabilities</w:t>
            </w: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82,010</w:t>
            </w:r>
          </w:p>
        </w:tc>
      </w:tr>
      <w:tr>
        <w:trPr>
          <w:trHeight w:val="168"/>
        </w:trPr>
        <w:tc>
          <w:tcPr>
            <w:tcW w:w="3780" w:type="dxa"/>
            <w:vAlign w:val="bottom"/>
          </w:tcPr>
          <w:p>
            <w:pPr>
              <w:ind w:left="280"/>
              <w:spacing w:after="0" w:line="168" w:lineRule="exact"/>
              <w:rPr>
                <w:sz w:val="20"/>
                <w:szCs w:val="20"/>
                <w:color w:val="auto"/>
              </w:rPr>
            </w:pPr>
            <w:r>
              <w:rPr>
                <w:rFonts w:ascii="Arial" w:cs="Arial" w:eastAsia="Arial" w:hAnsi="Arial"/>
                <w:sz w:val="15"/>
                <w:szCs w:val="15"/>
                <w:b w:val="1"/>
                <w:bCs w:val="1"/>
                <w:color w:val="auto"/>
              </w:rPr>
              <w:t>Total Liabilities</w:t>
            </w: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Borders>
              <w:top w:val="single" w:sz="8" w:color="auto"/>
            </w:tcBorders>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10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b w:val="1"/>
                <w:bCs w:val="1"/>
                <w:color w:val="auto"/>
              </w:rPr>
              <w:t>82,010</w:t>
            </w:r>
          </w:p>
        </w:tc>
        <w:tc>
          <w:tcPr>
            <w:tcW w:w="120" w:type="dxa"/>
            <w:vAlign w:val="bottom"/>
          </w:tcPr>
          <w:p>
            <w:pPr>
              <w:spacing w:after="0"/>
              <w:rPr>
                <w:sz w:val="14"/>
                <w:szCs w:val="14"/>
                <w:color w:val="auto"/>
              </w:rPr>
            </w:pPr>
          </w:p>
        </w:tc>
      </w:tr>
      <w:tr>
        <w:trPr>
          <w:trHeight w:val="177"/>
        </w:trPr>
        <w:tc>
          <w:tcPr>
            <w:tcW w:w="37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7"/>
        </w:trPr>
        <w:tc>
          <w:tcPr>
            <w:tcW w:w="3780" w:type="dxa"/>
            <w:vAlign w:val="bottom"/>
          </w:tcPr>
          <w:p>
            <w:pPr>
              <w:spacing w:after="0"/>
              <w:rPr>
                <w:sz w:val="20"/>
                <w:szCs w:val="20"/>
                <w:color w:val="auto"/>
              </w:rPr>
            </w:pPr>
            <w:r>
              <w:rPr>
                <w:rFonts w:ascii="Arial" w:cs="Arial" w:eastAsia="Arial" w:hAnsi="Arial"/>
                <w:sz w:val="15"/>
                <w:szCs w:val="15"/>
                <w:b w:val="1"/>
                <w:bCs w:val="1"/>
                <w:color w:val="auto"/>
              </w:rPr>
              <w:t>Equity</w:t>
            </w: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Common and Preferred Stock</w:t>
            </w: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200</w:t>
            </w:r>
          </w:p>
        </w:tc>
      </w:tr>
      <w:tr>
        <w:trPr>
          <w:trHeight w:val="177"/>
        </w:trPr>
        <w:tc>
          <w:tcPr>
            <w:tcW w:w="3780" w:type="dxa"/>
            <w:vAlign w:val="bottom"/>
          </w:tcPr>
          <w:p>
            <w:pPr>
              <w:ind w:left="280"/>
              <w:spacing w:after="0"/>
              <w:rPr>
                <w:sz w:val="20"/>
                <w:szCs w:val="20"/>
                <w:color w:val="auto"/>
              </w:rPr>
            </w:pPr>
            <w:r>
              <w:rPr>
                <w:rFonts w:ascii="Arial" w:cs="Arial" w:eastAsia="Arial" w:hAnsi="Arial"/>
                <w:sz w:val="15"/>
                <w:szCs w:val="15"/>
                <w:color w:val="auto"/>
              </w:rPr>
              <w:t>Surplus</w:t>
            </w: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1,171,635</w:t>
            </w:r>
          </w:p>
        </w:tc>
        <w:tc>
          <w:tcPr>
            <w:tcW w:w="120" w:type="dxa"/>
            <w:vAlign w:val="bottom"/>
          </w:tcPr>
          <w:p>
            <w:pPr>
              <w:spacing w:after="0"/>
              <w:rPr>
                <w:sz w:val="15"/>
                <w:szCs w:val="15"/>
                <w:color w:val="auto"/>
              </w:rPr>
            </w:pP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Undivided Profits</w:t>
            </w:r>
          </w:p>
        </w:tc>
        <w:tc>
          <w:tcPr>
            <w:tcW w:w="1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353,446</w:t>
            </w:r>
          </w:p>
        </w:tc>
      </w:tr>
      <w:tr>
        <w:trPr>
          <w:trHeight w:val="177"/>
        </w:trPr>
        <w:tc>
          <w:tcPr>
            <w:tcW w:w="3780" w:type="dxa"/>
            <w:vAlign w:val="bottom"/>
          </w:tcPr>
          <w:p>
            <w:pPr>
              <w:ind w:left="280"/>
              <w:spacing w:after="0"/>
              <w:rPr>
                <w:sz w:val="20"/>
                <w:szCs w:val="20"/>
                <w:color w:val="auto"/>
              </w:rPr>
            </w:pPr>
            <w:r>
              <w:rPr>
                <w:rFonts w:ascii="Arial" w:cs="Arial" w:eastAsia="Arial" w:hAnsi="Arial"/>
                <w:sz w:val="15"/>
                <w:szCs w:val="15"/>
                <w:color w:val="auto"/>
              </w:rPr>
              <w:t>Minority Interest in Subsidiaries</w:t>
            </w: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0</w:t>
            </w:r>
          </w:p>
        </w:tc>
      </w:tr>
      <w:tr>
        <w:trPr>
          <w:trHeight w:val="168"/>
        </w:trPr>
        <w:tc>
          <w:tcPr>
            <w:tcW w:w="3780" w:type="dxa"/>
            <w:vAlign w:val="bottom"/>
            <w:tcBorders>
              <w:top w:val="single" w:sz="8" w:color="CCEEFF"/>
            </w:tcBorders>
            <w:shd w:val="clear" w:color="auto" w:fill="CCEEFF"/>
          </w:tcPr>
          <w:p>
            <w:pPr>
              <w:ind w:left="400"/>
              <w:spacing w:after="0" w:line="168" w:lineRule="exact"/>
              <w:rPr>
                <w:sz w:val="20"/>
                <w:szCs w:val="20"/>
                <w:color w:val="auto"/>
              </w:rPr>
            </w:pPr>
            <w:r>
              <w:rPr>
                <w:rFonts w:ascii="Arial" w:cs="Arial" w:eastAsia="Arial" w:hAnsi="Arial"/>
                <w:sz w:val="15"/>
                <w:szCs w:val="15"/>
                <w:b w:val="1"/>
                <w:bCs w:val="1"/>
                <w:color w:val="auto"/>
              </w:rPr>
              <w:t>Total Equity Capital</w:t>
            </w:r>
          </w:p>
        </w:tc>
        <w:tc>
          <w:tcPr>
            <w:tcW w:w="15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10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b w:val="1"/>
                <w:bCs w:val="1"/>
                <w:color w:val="auto"/>
              </w:rPr>
              <w:t>1,525,281</w:t>
            </w:r>
          </w:p>
        </w:tc>
        <w:tc>
          <w:tcPr>
            <w:tcW w:w="120" w:type="dxa"/>
            <w:vAlign w:val="bottom"/>
            <w:tcBorders>
              <w:top w:val="single" w:sz="8" w:color="CCEEFF"/>
            </w:tcBorders>
            <w:shd w:val="clear" w:color="auto" w:fill="CCEEFF"/>
          </w:tcPr>
          <w:p>
            <w:pPr>
              <w:spacing w:after="0"/>
              <w:rPr>
                <w:sz w:val="14"/>
                <w:szCs w:val="14"/>
                <w:color w:val="auto"/>
              </w:rPr>
            </w:pPr>
          </w:p>
        </w:tc>
      </w:tr>
      <w:tr>
        <w:trPr>
          <w:trHeight w:val="177"/>
        </w:trPr>
        <w:tc>
          <w:tcPr>
            <w:tcW w:w="3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3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 and Equity Capital</w:t>
            </w:r>
          </w:p>
        </w:tc>
        <w:tc>
          <w:tcPr>
            <w:tcW w:w="6360" w:type="dxa"/>
            <w:vAlign w:val="bottom"/>
            <w:gridSpan w:val="4"/>
            <w:shd w:val="clear" w:color="auto" w:fill="CCEEFF"/>
          </w:tcPr>
          <w:p>
            <w:pPr>
              <w:jc w:val="right"/>
              <w:ind w:right="93"/>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1,607,291</w:t>
            </w:r>
          </w:p>
        </w:tc>
        <w:tc>
          <w:tcPr>
            <w:tcW w:w="120" w:type="dxa"/>
            <w:vAlign w:val="bottom"/>
            <w:shd w:val="clear" w:color="auto" w:fill="CCEEFF"/>
          </w:tcPr>
          <w:p>
            <w:pPr>
              <w:spacing w:after="0"/>
              <w:rPr>
                <w:sz w:val="15"/>
                <w:szCs w:val="15"/>
                <w:color w:val="auto"/>
              </w:rPr>
            </w:pPr>
          </w:p>
        </w:tc>
      </w:tr>
      <w:tr>
        <w:trPr>
          <w:trHeight w:val="552"/>
        </w:trPr>
        <w:tc>
          <w:tcPr>
            <w:tcW w:w="37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51" w:right="319" w:bottom="1440" w:gutter="0" w:footer="0" w:header="0"/>
        </w:sectPr>
      </w:pPr>
    </w:p>
    <w:bookmarkStart w:id="45" w:name="page46"/>
    <w:bookmarkEnd w:id="45"/>
    <w:p>
      <w:pPr>
        <w:ind w:left="10420"/>
        <w:spacing w:after="0"/>
        <w:rPr>
          <w:sz w:val="20"/>
          <w:szCs w:val="20"/>
          <w:color w:val="auto"/>
        </w:rPr>
      </w:pPr>
      <w:r>
        <w:rPr>
          <w:rFonts w:ascii="Arial" w:cs="Arial" w:eastAsia="Arial" w:hAnsi="Arial"/>
          <w:sz w:val="15"/>
          <w:szCs w:val="15"/>
          <w:b w:val="1"/>
          <w:bCs w:val="1"/>
          <w:color w:val="auto"/>
        </w:rPr>
        <w:t>Exhibit 107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CALCULATION OF FILING FEE TABLES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S-3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Type)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Micron Technology,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Table 1: Newly Registered and Carry Forward Securities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06"/>
        </w:trPr>
        <w:tc>
          <w:tcPr>
            <w:tcW w:w="940" w:type="dxa"/>
            <w:vAlign w:val="bottom"/>
            <w:tcBorders>
              <w:top w:val="single" w:sz="8" w:color="auto"/>
              <w:left w:val="single" w:sz="8" w:color="auto"/>
              <w:right w:val="single" w:sz="8" w:color="auto"/>
            </w:tcBorders>
          </w:tcPr>
          <w:p>
            <w:pPr>
              <w:spacing w:after="0"/>
              <w:rPr>
                <w:sz w:val="9"/>
                <w:szCs w:val="9"/>
                <w:color w:val="auto"/>
              </w:rPr>
            </w:pPr>
          </w:p>
        </w:tc>
        <w:tc>
          <w:tcPr>
            <w:tcW w:w="680" w:type="dxa"/>
            <w:vAlign w:val="bottom"/>
            <w:tcBorders>
              <w:top w:val="single" w:sz="8" w:color="auto"/>
              <w:right w:val="single" w:sz="8" w:color="auto"/>
            </w:tcBorders>
          </w:tcPr>
          <w:p>
            <w:pPr>
              <w:spacing w:after="0"/>
              <w:rPr>
                <w:sz w:val="9"/>
                <w:szCs w:val="9"/>
                <w:color w:val="auto"/>
              </w:rPr>
            </w:pPr>
          </w:p>
        </w:tc>
        <w:tc>
          <w:tcPr>
            <w:tcW w:w="2280" w:type="dxa"/>
            <w:vAlign w:val="bottom"/>
            <w:tcBorders>
              <w:top w:val="single" w:sz="8" w:color="auto"/>
              <w:right w:val="single" w:sz="8" w:color="auto"/>
            </w:tcBorders>
          </w:tcPr>
          <w:p>
            <w:pPr>
              <w:spacing w:after="0"/>
              <w:rPr>
                <w:sz w:val="9"/>
                <w:szCs w:val="9"/>
                <w:color w:val="auto"/>
              </w:rPr>
            </w:pPr>
          </w:p>
        </w:tc>
        <w:tc>
          <w:tcPr>
            <w:tcW w:w="780" w:type="dxa"/>
            <w:vAlign w:val="bottom"/>
            <w:tcBorders>
              <w:top w:val="single" w:sz="8" w:color="auto"/>
              <w:right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20" w:type="dxa"/>
            <w:vAlign w:val="bottom"/>
            <w:tcBorders>
              <w:top w:val="single" w:sz="8" w:color="auto"/>
              <w:right w:val="single" w:sz="8" w:color="auto"/>
            </w:tcBorders>
          </w:tcPr>
          <w:p>
            <w:pPr>
              <w:spacing w:after="0"/>
              <w:rPr>
                <w:sz w:val="9"/>
                <w:szCs w:val="9"/>
                <w:color w:val="auto"/>
              </w:rPr>
            </w:pPr>
          </w:p>
        </w:tc>
        <w:tc>
          <w:tcPr>
            <w:tcW w:w="780" w:type="dxa"/>
            <w:vAlign w:val="bottom"/>
            <w:tcBorders>
              <w:top w:val="single" w:sz="8" w:color="auto"/>
              <w:right w:val="single" w:sz="8" w:color="auto"/>
            </w:tcBorders>
          </w:tcPr>
          <w:p>
            <w:pPr>
              <w:spacing w:after="0"/>
              <w:rPr>
                <w:sz w:val="9"/>
                <w:szCs w:val="9"/>
                <w:color w:val="auto"/>
              </w:rPr>
            </w:pPr>
          </w:p>
        </w:tc>
        <w:tc>
          <w:tcPr>
            <w:tcW w:w="780" w:type="dxa"/>
            <w:vAlign w:val="bottom"/>
            <w:tcBorders>
              <w:top w:val="single" w:sz="8" w:color="auto"/>
              <w:right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Borders>
              <w:top w:val="single" w:sz="8" w:color="auto"/>
              <w:right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right w:val="single" w:sz="8" w:color="auto"/>
            </w:tcBorders>
          </w:tcPr>
          <w:p>
            <w:pPr>
              <w:spacing w:after="0"/>
              <w:rPr>
                <w:sz w:val="9"/>
                <w:szCs w:val="9"/>
                <w:color w:val="auto"/>
              </w:rPr>
            </w:pPr>
          </w:p>
        </w:tc>
        <w:tc>
          <w:tcPr>
            <w:tcW w:w="780" w:type="dxa"/>
            <w:vAlign w:val="bottom"/>
            <w:tcBorders>
              <w:top w:val="single" w:sz="8" w:color="auto"/>
              <w:right w:val="single" w:sz="8" w:color="auto"/>
            </w:tcBorders>
          </w:tcPr>
          <w:p>
            <w:pPr>
              <w:spacing w:after="0"/>
              <w:rPr>
                <w:sz w:val="9"/>
                <w:szCs w:val="9"/>
                <w:color w:val="auto"/>
              </w:rPr>
            </w:pPr>
          </w:p>
        </w:tc>
        <w:tc>
          <w:tcPr>
            <w:tcW w:w="680" w:type="dxa"/>
            <w:vAlign w:val="bottom"/>
            <w:tcBorders>
              <w:top w:val="single" w:sz="8" w:color="auto"/>
              <w:right w:val="single" w:sz="8" w:color="auto"/>
            </w:tcBorders>
          </w:tcPr>
          <w:p>
            <w:pPr>
              <w:spacing w:after="0"/>
              <w:rPr>
                <w:sz w:val="9"/>
                <w:szCs w:val="9"/>
                <w:color w:val="auto"/>
              </w:rPr>
            </w:pPr>
          </w:p>
        </w:tc>
        <w:tc>
          <w:tcPr>
            <w:tcW w:w="66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right w:val="single" w:sz="8" w:color="auto"/>
            </w:tcBorders>
          </w:tcPr>
          <w:p>
            <w:pPr>
              <w:jc w:val="center"/>
              <w:spacing w:after="0" w:line="106" w:lineRule="exact"/>
              <w:rPr>
                <w:sz w:val="20"/>
                <w:szCs w:val="20"/>
                <w:color w:val="auto"/>
              </w:rPr>
            </w:pPr>
            <w:r>
              <w:rPr>
                <w:rFonts w:ascii="Arial" w:cs="Arial" w:eastAsia="Arial" w:hAnsi="Arial"/>
                <w:sz w:val="10"/>
                <w:szCs w:val="10"/>
                <w:b w:val="1"/>
                <w:bCs w:val="1"/>
                <w:color w:val="auto"/>
                <w:w w:val="94"/>
              </w:rPr>
              <w:t>Filing Fee</w:t>
            </w:r>
          </w:p>
        </w:tc>
        <w:tc>
          <w:tcPr>
            <w:tcW w:w="0" w:type="dxa"/>
            <w:vAlign w:val="bottom"/>
          </w:tcPr>
          <w:p>
            <w:pPr>
              <w:spacing w:after="0"/>
              <w:rPr>
                <w:sz w:val="1"/>
                <w:szCs w:val="1"/>
                <w:color w:val="auto"/>
              </w:rPr>
            </w:pPr>
          </w:p>
        </w:tc>
      </w:tr>
      <w:tr>
        <w:trPr>
          <w:trHeight w:val="110"/>
        </w:trPr>
        <w:tc>
          <w:tcPr>
            <w:tcW w:w="94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jc w:val="center"/>
              <w:ind w:right="9"/>
              <w:spacing w:after="0" w:line="111" w:lineRule="exact"/>
              <w:rPr>
                <w:sz w:val="20"/>
                <w:szCs w:val="20"/>
                <w:color w:val="auto"/>
              </w:rPr>
            </w:pPr>
            <w:r>
              <w:rPr>
                <w:rFonts w:ascii="Arial" w:cs="Arial" w:eastAsia="Arial" w:hAnsi="Arial"/>
                <w:sz w:val="10"/>
                <w:szCs w:val="10"/>
                <w:b w:val="1"/>
                <w:bCs w:val="1"/>
                <w:color w:val="auto"/>
                <w:w w:val="90"/>
              </w:rPr>
              <w:t>Previously</w:t>
            </w:r>
          </w:p>
        </w:tc>
        <w:tc>
          <w:tcPr>
            <w:tcW w:w="0" w:type="dxa"/>
            <w:vAlign w:val="bottom"/>
          </w:tcPr>
          <w:p>
            <w:pPr>
              <w:spacing w:after="0"/>
              <w:rPr>
                <w:sz w:val="1"/>
                <w:szCs w:val="1"/>
                <w:color w:val="auto"/>
              </w:rPr>
            </w:pPr>
          </w:p>
        </w:tc>
      </w:tr>
      <w:tr>
        <w:trPr>
          <w:trHeight w:val="110"/>
        </w:trPr>
        <w:tc>
          <w:tcPr>
            <w:tcW w:w="94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vMerge w:val="restart"/>
          </w:tcPr>
          <w:p>
            <w:pPr>
              <w:jc w:val="center"/>
              <w:ind w:right="29"/>
              <w:spacing w:after="0"/>
              <w:rPr>
                <w:sz w:val="20"/>
                <w:szCs w:val="20"/>
                <w:color w:val="auto"/>
              </w:rPr>
            </w:pPr>
            <w:r>
              <w:rPr>
                <w:rFonts w:ascii="Arial" w:cs="Arial" w:eastAsia="Arial" w:hAnsi="Arial"/>
                <w:sz w:val="10"/>
                <w:szCs w:val="10"/>
                <w:b w:val="1"/>
                <w:bCs w:val="1"/>
                <w:color w:val="auto"/>
                <w:w w:val="80"/>
              </w:rPr>
              <w:t>Fee</w:t>
            </w:r>
          </w:p>
        </w:tc>
        <w:tc>
          <w:tcPr>
            <w:tcW w:w="3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6"/>
              </w:rPr>
              <w:t>Proposed</w:t>
            </w:r>
          </w:p>
        </w:tc>
        <w:tc>
          <w:tcPr>
            <w:tcW w:w="78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vMerge w:val="restart"/>
          </w:tcPr>
          <w:p>
            <w:pPr>
              <w:jc w:val="center"/>
              <w:ind w:right="9"/>
              <w:spacing w:after="0"/>
              <w:rPr>
                <w:sz w:val="20"/>
                <w:szCs w:val="20"/>
                <w:color w:val="auto"/>
              </w:rPr>
            </w:pPr>
            <w:r>
              <w:rPr>
                <w:rFonts w:ascii="Arial" w:cs="Arial" w:eastAsia="Arial" w:hAnsi="Arial"/>
                <w:sz w:val="10"/>
                <w:szCs w:val="10"/>
                <w:b w:val="1"/>
                <w:bCs w:val="1"/>
                <w:color w:val="auto"/>
              </w:rPr>
              <w:t>Carry</w:t>
            </w:r>
          </w:p>
        </w:tc>
        <w:tc>
          <w:tcPr>
            <w:tcW w:w="100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0"/>
                <w:szCs w:val="10"/>
                <w:b w:val="1"/>
                <w:bCs w:val="1"/>
                <w:color w:val="auto"/>
                <w:w w:val="97"/>
              </w:rPr>
              <w:t>Paid In</w:t>
            </w:r>
          </w:p>
        </w:tc>
        <w:tc>
          <w:tcPr>
            <w:tcW w:w="0" w:type="dxa"/>
            <w:vAlign w:val="bottom"/>
          </w:tcPr>
          <w:p>
            <w:pPr>
              <w:spacing w:after="0"/>
              <w:rPr>
                <w:sz w:val="1"/>
                <w:szCs w:val="1"/>
                <w:color w:val="auto"/>
              </w:rPr>
            </w:pPr>
          </w:p>
        </w:tc>
      </w:tr>
      <w:tr>
        <w:trPr>
          <w:trHeight w:val="55"/>
        </w:trPr>
        <w:tc>
          <w:tcPr>
            <w:tcW w:w="940" w:type="dxa"/>
            <w:vAlign w:val="bottom"/>
            <w:tcBorders>
              <w:left w:val="single" w:sz="8" w:color="auto"/>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9"/>
              </w:rPr>
              <w:t>Maximum</w:t>
            </w:r>
          </w:p>
        </w:tc>
        <w:tc>
          <w:tcPr>
            <w:tcW w:w="40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jc w:val="center"/>
              <w:ind w:right="9"/>
              <w:spacing w:after="0" w:line="111" w:lineRule="exact"/>
              <w:rPr>
                <w:sz w:val="20"/>
                <w:szCs w:val="20"/>
                <w:color w:val="auto"/>
              </w:rPr>
            </w:pPr>
            <w:r>
              <w:rPr>
                <w:rFonts w:ascii="Arial" w:cs="Arial" w:eastAsia="Arial" w:hAnsi="Arial"/>
                <w:sz w:val="10"/>
                <w:szCs w:val="10"/>
                <w:b w:val="1"/>
                <w:bCs w:val="1"/>
                <w:color w:val="auto"/>
              </w:rPr>
              <w:t>Carry</w:t>
            </w:r>
          </w:p>
        </w:tc>
        <w:tc>
          <w:tcPr>
            <w:tcW w:w="680" w:type="dxa"/>
            <w:vAlign w:val="bottom"/>
            <w:tcBorders>
              <w:right w:val="single" w:sz="8" w:color="auto"/>
            </w:tcBorders>
            <w:vMerge w:val="restart"/>
          </w:tcPr>
          <w:p>
            <w:pPr>
              <w:jc w:val="center"/>
              <w:ind w:right="9"/>
              <w:spacing w:after="0" w:line="111" w:lineRule="exact"/>
              <w:rPr>
                <w:sz w:val="20"/>
                <w:szCs w:val="20"/>
                <w:color w:val="auto"/>
              </w:rPr>
            </w:pPr>
            <w:r>
              <w:rPr>
                <w:rFonts w:ascii="Arial" w:cs="Arial" w:eastAsia="Arial" w:hAnsi="Arial"/>
                <w:sz w:val="10"/>
                <w:szCs w:val="10"/>
                <w:b w:val="1"/>
                <w:bCs w:val="1"/>
                <w:color w:val="auto"/>
                <w:w w:val="99"/>
              </w:rPr>
              <w:t>Carry</w:t>
            </w:r>
          </w:p>
        </w:tc>
        <w:tc>
          <w:tcPr>
            <w:tcW w:w="66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4"/>
              </w:rPr>
              <w:t>Connection</w:t>
            </w:r>
          </w:p>
        </w:tc>
        <w:tc>
          <w:tcPr>
            <w:tcW w:w="0" w:type="dxa"/>
            <w:vAlign w:val="bottom"/>
          </w:tcPr>
          <w:p>
            <w:pPr>
              <w:spacing w:after="0"/>
              <w:rPr>
                <w:sz w:val="1"/>
                <w:szCs w:val="1"/>
                <w:color w:val="auto"/>
              </w:rPr>
            </w:pPr>
          </w:p>
        </w:tc>
      </w:tr>
      <w:tr>
        <w:trPr>
          <w:trHeight w:val="55"/>
        </w:trPr>
        <w:tc>
          <w:tcPr>
            <w:tcW w:w="940" w:type="dxa"/>
            <w:vAlign w:val="bottom"/>
            <w:tcBorders>
              <w:left w:val="single" w:sz="8" w:color="auto"/>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2280" w:type="dxa"/>
            <w:vAlign w:val="bottom"/>
            <w:tcBorders>
              <w:right w:val="single" w:sz="8" w:color="auto"/>
            </w:tcBorders>
            <w:vMerge w:val="restart"/>
          </w:tcPr>
          <w:p>
            <w:pPr>
              <w:jc w:val="center"/>
              <w:ind w:right="29"/>
              <w:spacing w:after="0" w:line="111" w:lineRule="exact"/>
              <w:rPr>
                <w:sz w:val="20"/>
                <w:szCs w:val="20"/>
                <w:color w:val="auto"/>
              </w:rPr>
            </w:pPr>
            <w:r>
              <w:rPr>
                <w:rFonts w:ascii="Arial" w:cs="Arial" w:eastAsia="Arial" w:hAnsi="Arial"/>
                <w:sz w:val="10"/>
                <w:szCs w:val="10"/>
                <w:b w:val="1"/>
                <w:bCs w:val="1"/>
                <w:color w:val="auto"/>
                <w:w w:val="91"/>
              </w:rPr>
              <w:t>Security</w:t>
            </w:r>
          </w:p>
        </w:tc>
        <w:tc>
          <w:tcPr>
            <w:tcW w:w="780" w:type="dxa"/>
            <w:vAlign w:val="bottom"/>
            <w:tcBorders>
              <w:right w:val="single" w:sz="8" w:color="auto"/>
            </w:tcBorders>
            <w:vMerge w:val="restart"/>
          </w:tcPr>
          <w:p>
            <w:pPr>
              <w:jc w:val="center"/>
              <w:ind w:right="29"/>
              <w:spacing w:after="0" w:line="111" w:lineRule="exact"/>
              <w:rPr>
                <w:sz w:val="20"/>
                <w:szCs w:val="20"/>
                <w:color w:val="auto"/>
              </w:rPr>
            </w:pPr>
            <w:r>
              <w:rPr>
                <w:rFonts w:ascii="Arial" w:cs="Arial" w:eastAsia="Arial" w:hAnsi="Arial"/>
                <w:sz w:val="10"/>
                <w:szCs w:val="10"/>
                <w:b w:val="1"/>
                <w:bCs w:val="1"/>
                <w:color w:val="auto"/>
                <w:w w:val="92"/>
              </w:rPr>
              <w:t>Calculation</w:t>
            </w:r>
          </w:p>
        </w:tc>
        <w:tc>
          <w:tcPr>
            <w:tcW w:w="3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9"/>
              </w:rPr>
              <w:t>Maximum</w:t>
            </w:r>
          </w:p>
        </w:tc>
        <w:tc>
          <w:tcPr>
            <w:tcW w:w="780" w:type="dxa"/>
            <w:vAlign w:val="bottom"/>
            <w:tcBorders>
              <w:right w:val="single" w:sz="8" w:color="auto"/>
            </w:tcBorders>
            <w:vMerge w:val="continue"/>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640" w:type="dxa"/>
            <w:vAlign w:val="bottom"/>
            <w:vMerge w:val="restart"/>
          </w:tcPr>
          <w:p>
            <w:pPr>
              <w:jc w:val="center"/>
              <w:ind w:left="69"/>
              <w:spacing w:after="0" w:line="111" w:lineRule="exact"/>
              <w:rPr>
                <w:sz w:val="20"/>
                <w:szCs w:val="20"/>
                <w:color w:val="auto"/>
              </w:rPr>
            </w:pPr>
            <w:r>
              <w:rPr>
                <w:rFonts w:ascii="Arial" w:cs="Arial" w:eastAsia="Arial" w:hAnsi="Arial"/>
                <w:sz w:val="10"/>
                <w:szCs w:val="10"/>
                <w:b w:val="1"/>
                <w:bCs w:val="1"/>
                <w:color w:val="auto"/>
                <w:w w:val="95"/>
              </w:rPr>
              <w:t>Amount of</w:t>
            </w:r>
          </w:p>
        </w:tc>
        <w:tc>
          <w:tcPr>
            <w:tcW w:w="1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vMerge w:val="restart"/>
          </w:tcPr>
          <w:p>
            <w:pPr>
              <w:jc w:val="center"/>
              <w:ind w:right="9"/>
              <w:spacing w:after="0" w:line="111" w:lineRule="exact"/>
              <w:rPr>
                <w:sz w:val="20"/>
                <w:szCs w:val="20"/>
                <w:color w:val="auto"/>
              </w:rPr>
            </w:pPr>
            <w:r>
              <w:rPr>
                <w:rFonts w:ascii="Arial" w:cs="Arial" w:eastAsia="Arial" w:hAnsi="Arial"/>
                <w:sz w:val="10"/>
                <w:szCs w:val="10"/>
                <w:b w:val="1"/>
                <w:bCs w:val="1"/>
                <w:color w:val="auto"/>
              </w:rPr>
              <w:t>Forward</w:t>
            </w:r>
          </w:p>
        </w:tc>
        <w:tc>
          <w:tcPr>
            <w:tcW w:w="10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940" w:type="dxa"/>
            <w:vAlign w:val="bottom"/>
            <w:tcBorders>
              <w:left w:val="single" w:sz="8" w:color="auto"/>
              <w:right w:val="single" w:sz="8" w:color="auto"/>
            </w:tcBorders>
          </w:tcPr>
          <w:p>
            <w:pPr>
              <w:spacing w:after="0"/>
              <w:rPr>
                <w:sz w:val="4"/>
                <w:szCs w:val="4"/>
                <w:color w:val="auto"/>
              </w:rPr>
            </w:pPr>
          </w:p>
        </w:tc>
        <w:tc>
          <w:tcPr>
            <w:tcW w:w="680" w:type="dxa"/>
            <w:vAlign w:val="bottom"/>
            <w:tcBorders>
              <w:right w:val="single" w:sz="8" w:color="auto"/>
            </w:tcBorders>
            <w:vMerge w:val="restart"/>
          </w:tcPr>
          <w:p>
            <w:pPr>
              <w:jc w:val="center"/>
              <w:ind w:right="9"/>
              <w:spacing w:after="0" w:line="111" w:lineRule="exact"/>
              <w:rPr>
                <w:sz w:val="20"/>
                <w:szCs w:val="20"/>
                <w:color w:val="auto"/>
              </w:rPr>
            </w:pPr>
            <w:r>
              <w:rPr>
                <w:rFonts w:ascii="Arial" w:cs="Arial" w:eastAsia="Arial" w:hAnsi="Arial"/>
                <w:sz w:val="10"/>
                <w:szCs w:val="10"/>
                <w:b w:val="1"/>
                <w:bCs w:val="1"/>
                <w:color w:val="auto"/>
                <w:w w:val="96"/>
              </w:rPr>
              <w:t>Security</w:t>
            </w:r>
          </w:p>
        </w:tc>
        <w:tc>
          <w:tcPr>
            <w:tcW w:w="22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gridSpan w:val="2"/>
            <w:vMerge w:val="restart"/>
          </w:tcPr>
          <w:p>
            <w:pPr>
              <w:jc w:val="center"/>
              <w:ind w:right="9"/>
              <w:spacing w:after="0" w:line="111" w:lineRule="exact"/>
              <w:rPr>
                <w:sz w:val="20"/>
                <w:szCs w:val="20"/>
                <w:color w:val="auto"/>
              </w:rPr>
            </w:pPr>
            <w:r>
              <w:rPr>
                <w:rFonts w:ascii="Arial" w:cs="Arial" w:eastAsia="Arial" w:hAnsi="Arial"/>
                <w:sz w:val="10"/>
                <w:szCs w:val="10"/>
                <w:b w:val="1"/>
                <w:bCs w:val="1"/>
                <w:color w:val="auto"/>
              </w:rPr>
              <w:t>Amount</w:t>
            </w: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2"/>
              </w:rPr>
              <w:t>Aggregate</w:t>
            </w:r>
          </w:p>
        </w:tc>
        <w:tc>
          <w:tcPr>
            <w:tcW w:w="400" w:type="dxa"/>
            <w:vAlign w:val="bottom"/>
            <w:vMerge w:val="restart"/>
          </w:tcPr>
          <w:p>
            <w:pPr>
              <w:ind w:left="180"/>
              <w:spacing w:after="0" w:line="111" w:lineRule="exact"/>
              <w:rPr>
                <w:sz w:val="20"/>
                <w:szCs w:val="20"/>
                <w:color w:val="auto"/>
              </w:rPr>
            </w:pPr>
            <w:r>
              <w:rPr>
                <w:rFonts w:ascii="Arial" w:cs="Arial" w:eastAsia="Arial" w:hAnsi="Arial"/>
                <w:sz w:val="10"/>
                <w:szCs w:val="10"/>
                <w:b w:val="1"/>
                <w:bCs w:val="1"/>
                <w:color w:val="auto"/>
              </w:rPr>
              <w:t>Fee</w:t>
            </w:r>
          </w:p>
        </w:tc>
        <w:tc>
          <w:tcPr>
            <w:tcW w:w="160" w:type="dxa"/>
            <w:vAlign w:val="bottom"/>
            <w:tcBorders>
              <w:right w:val="single" w:sz="8" w:color="auto"/>
            </w:tcBorders>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jc w:val="center"/>
              <w:ind w:right="9"/>
              <w:spacing w:after="0" w:line="111" w:lineRule="exact"/>
              <w:rPr>
                <w:sz w:val="20"/>
                <w:szCs w:val="20"/>
                <w:color w:val="auto"/>
              </w:rPr>
            </w:pPr>
            <w:r>
              <w:rPr>
                <w:rFonts w:ascii="Arial" w:cs="Arial" w:eastAsia="Arial" w:hAnsi="Arial"/>
                <w:sz w:val="10"/>
                <w:szCs w:val="10"/>
                <w:b w:val="1"/>
                <w:bCs w:val="1"/>
                <w:color w:val="auto"/>
              </w:rPr>
              <w:t>Forward</w:t>
            </w:r>
          </w:p>
        </w:tc>
        <w:tc>
          <w:tcPr>
            <w:tcW w:w="680" w:type="dxa"/>
            <w:vAlign w:val="bottom"/>
            <w:tcBorders>
              <w:right w:val="single" w:sz="8" w:color="auto"/>
            </w:tcBorders>
            <w:vMerge w:val="restart"/>
          </w:tcPr>
          <w:p>
            <w:pPr>
              <w:jc w:val="center"/>
              <w:ind w:right="9"/>
              <w:spacing w:after="0" w:line="111" w:lineRule="exact"/>
              <w:rPr>
                <w:sz w:val="20"/>
                <w:szCs w:val="20"/>
                <w:color w:val="auto"/>
              </w:rPr>
            </w:pPr>
            <w:r>
              <w:rPr>
                <w:rFonts w:ascii="Arial" w:cs="Arial" w:eastAsia="Arial" w:hAnsi="Arial"/>
                <w:sz w:val="10"/>
                <w:szCs w:val="10"/>
                <w:b w:val="1"/>
                <w:bCs w:val="1"/>
                <w:color w:val="auto"/>
                <w:w w:val="96"/>
              </w:rPr>
              <w:t>Forward</w:t>
            </w:r>
          </w:p>
        </w:tc>
        <w:tc>
          <w:tcPr>
            <w:tcW w:w="66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9"/>
              </w:rPr>
              <w:t>with</w:t>
            </w:r>
          </w:p>
        </w:tc>
        <w:tc>
          <w:tcPr>
            <w:tcW w:w="0" w:type="dxa"/>
            <w:vAlign w:val="bottom"/>
          </w:tcPr>
          <w:p>
            <w:pPr>
              <w:spacing w:after="0"/>
              <w:rPr>
                <w:sz w:val="1"/>
                <w:szCs w:val="1"/>
                <w:color w:val="auto"/>
              </w:rPr>
            </w:pPr>
          </w:p>
        </w:tc>
      </w:tr>
      <w:tr>
        <w:trPr>
          <w:trHeight w:val="55"/>
        </w:trPr>
        <w:tc>
          <w:tcPr>
            <w:tcW w:w="940" w:type="dxa"/>
            <w:vAlign w:val="bottom"/>
            <w:tcBorders>
              <w:left w:val="single" w:sz="8" w:color="auto"/>
              <w:right w:val="single" w:sz="8" w:color="auto"/>
            </w:tcBorders>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2280" w:type="dxa"/>
            <w:vAlign w:val="bottom"/>
            <w:tcBorders>
              <w:right w:val="single" w:sz="8" w:color="auto"/>
            </w:tcBorders>
            <w:vMerge w:val="restart"/>
          </w:tcPr>
          <w:p>
            <w:pPr>
              <w:jc w:val="center"/>
              <w:ind w:right="29"/>
              <w:spacing w:after="0" w:line="111" w:lineRule="exact"/>
              <w:rPr>
                <w:sz w:val="20"/>
                <w:szCs w:val="20"/>
                <w:color w:val="auto"/>
              </w:rPr>
            </w:pPr>
            <w:r>
              <w:rPr>
                <w:rFonts w:ascii="Arial" w:cs="Arial" w:eastAsia="Arial" w:hAnsi="Arial"/>
                <w:sz w:val="10"/>
                <w:szCs w:val="10"/>
                <w:b w:val="1"/>
                <w:bCs w:val="1"/>
                <w:color w:val="auto"/>
                <w:w w:val="89"/>
              </w:rPr>
              <w:t>Class</w:t>
            </w:r>
          </w:p>
        </w:tc>
        <w:tc>
          <w:tcPr>
            <w:tcW w:w="780" w:type="dxa"/>
            <w:vAlign w:val="bottom"/>
            <w:tcBorders>
              <w:right w:val="single" w:sz="8" w:color="auto"/>
            </w:tcBorders>
            <w:vMerge w:val="restart"/>
          </w:tcPr>
          <w:p>
            <w:pPr>
              <w:jc w:val="center"/>
              <w:ind w:right="29"/>
              <w:spacing w:after="0" w:line="111" w:lineRule="exact"/>
              <w:rPr>
                <w:sz w:val="20"/>
                <w:szCs w:val="20"/>
                <w:color w:val="auto"/>
              </w:rPr>
            </w:pPr>
            <w:r>
              <w:rPr>
                <w:rFonts w:ascii="Arial" w:cs="Arial" w:eastAsia="Arial" w:hAnsi="Arial"/>
                <w:sz w:val="10"/>
                <w:szCs w:val="10"/>
                <w:b w:val="1"/>
                <w:bCs w:val="1"/>
                <w:color w:val="auto"/>
                <w:w w:val="97"/>
              </w:rPr>
              <w:t>or Carry</w:t>
            </w:r>
          </w:p>
        </w:tc>
        <w:tc>
          <w:tcPr>
            <w:tcW w:w="560" w:type="dxa"/>
            <w:vAlign w:val="bottom"/>
            <w:tcBorders>
              <w:right w:val="single" w:sz="8" w:color="auto"/>
            </w:tcBorders>
            <w:gridSpan w:val="2"/>
            <w:vMerge w:val="continue"/>
          </w:tcPr>
          <w:p>
            <w:pPr>
              <w:spacing w:after="0"/>
              <w:rPr>
                <w:sz w:val="4"/>
                <w:szCs w:val="4"/>
                <w:color w:val="auto"/>
              </w:rPr>
            </w:pPr>
          </w:p>
        </w:tc>
        <w:tc>
          <w:tcPr>
            <w:tcW w:w="78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7"/>
              </w:rPr>
              <w:t>Offering</w:t>
            </w:r>
          </w:p>
        </w:tc>
        <w:tc>
          <w:tcPr>
            <w:tcW w:w="780" w:type="dxa"/>
            <w:vAlign w:val="bottom"/>
            <w:tcBorders>
              <w:right w:val="single" w:sz="8" w:color="auto"/>
            </w:tcBorders>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640" w:type="dxa"/>
            <w:vAlign w:val="bottom"/>
            <w:vMerge w:val="restart"/>
          </w:tcPr>
          <w:p>
            <w:pPr>
              <w:jc w:val="center"/>
              <w:ind w:left="49"/>
              <w:spacing w:after="0" w:line="111" w:lineRule="exact"/>
              <w:rPr>
                <w:sz w:val="20"/>
                <w:szCs w:val="20"/>
                <w:color w:val="auto"/>
              </w:rPr>
            </w:pPr>
            <w:r>
              <w:rPr>
                <w:rFonts w:ascii="Arial" w:cs="Arial" w:eastAsia="Arial" w:hAnsi="Arial"/>
                <w:sz w:val="10"/>
                <w:szCs w:val="10"/>
                <w:b w:val="1"/>
                <w:bCs w:val="1"/>
                <w:color w:val="auto"/>
                <w:w w:val="92"/>
              </w:rPr>
              <w:t>Registration</w:t>
            </w:r>
          </w:p>
        </w:tc>
        <w:tc>
          <w:tcPr>
            <w:tcW w:w="1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9"/>
              </w:rPr>
              <w:t>Initial</w:t>
            </w:r>
          </w:p>
        </w:tc>
        <w:tc>
          <w:tcPr>
            <w:tcW w:w="10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940" w:type="dxa"/>
            <w:vAlign w:val="bottom"/>
            <w:tcBorders>
              <w:left w:val="single" w:sz="8" w:color="auto"/>
              <w:right w:val="single" w:sz="8" w:color="auto"/>
            </w:tcBorders>
          </w:tcPr>
          <w:p>
            <w:pPr>
              <w:spacing w:after="0"/>
              <w:rPr>
                <w:sz w:val="4"/>
                <w:szCs w:val="4"/>
                <w:color w:val="auto"/>
              </w:rPr>
            </w:pPr>
          </w:p>
        </w:tc>
        <w:tc>
          <w:tcPr>
            <w:tcW w:w="68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85"/>
              </w:rPr>
              <w:t>Type</w:t>
            </w:r>
          </w:p>
        </w:tc>
        <w:tc>
          <w:tcPr>
            <w:tcW w:w="22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gridSpan w:val="2"/>
            <w:vMerge w:val="restart"/>
          </w:tcPr>
          <w:p>
            <w:pPr>
              <w:jc w:val="center"/>
              <w:spacing w:after="0" w:line="111" w:lineRule="exact"/>
              <w:rPr>
                <w:sz w:val="20"/>
                <w:szCs w:val="20"/>
                <w:color w:val="auto"/>
              </w:rPr>
            </w:pPr>
            <w:r>
              <w:rPr>
                <w:rFonts w:ascii="Arial" w:cs="Arial" w:eastAsia="Arial" w:hAnsi="Arial"/>
                <w:sz w:val="10"/>
                <w:szCs w:val="10"/>
                <w:b w:val="1"/>
                <w:bCs w:val="1"/>
                <w:color w:val="auto"/>
                <w:w w:val="92"/>
              </w:rPr>
              <w:t>Registered</w:t>
            </w: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7"/>
              </w:rPr>
              <w:t>Offering</w:t>
            </w:r>
          </w:p>
        </w:tc>
        <w:tc>
          <w:tcPr>
            <w:tcW w:w="400" w:type="dxa"/>
            <w:vAlign w:val="bottom"/>
            <w:vMerge w:val="restart"/>
          </w:tcPr>
          <w:p>
            <w:pPr>
              <w:ind w:left="180"/>
              <w:spacing w:after="0" w:line="111" w:lineRule="exact"/>
              <w:rPr>
                <w:sz w:val="20"/>
                <w:szCs w:val="20"/>
                <w:color w:val="auto"/>
              </w:rPr>
            </w:pPr>
            <w:r>
              <w:rPr>
                <w:rFonts w:ascii="Arial" w:cs="Arial" w:eastAsia="Arial" w:hAnsi="Arial"/>
                <w:sz w:val="10"/>
                <w:szCs w:val="10"/>
                <w:b w:val="1"/>
                <w:bCs w:val="1"/>
                <w:color w:val="auto"/>
                <w:w w:val="92"/>
              </w:rPr>
              <w:t>Rate</w:t>
            </w:r>
          </w:p>
        </w:tc>
        <w:tc>
          <w:tcPr>
            <w:tcW w:w="160" w:type="dxa"/>
            <w:vAlign w:val="bottom"/>
            <w:tcBorders>
              <w:right w:val="single" w:sz="8" w:color="auto"/>
            </w:tcBorders>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jc w:val="center"/>
              <w:ind w:right="9"/>
              <w:spacing w:after="0" w:line="111" w:lineRule="exact"/>
              <w:rPr>
                <w:sz w:val="20"/>
                <w:szCs w:val="20"/>
                <w:color w:val="auto"/>
              </w:rPr>
            </w:pPr>
            <w:r>
              <w:rPr>
                <w:rFonts w:ascii="Arial" w:cs="Arial" w:eastAsia="Arial" w:hAnsi="Arial"/>
                <w:sz w:val="10"/>
                <w:szCs w:val="10"/>
                <w:b w:val="1"/>
                <w:bCs w:val="1"/>
                <w:color w:val="auto"/>
                <w:w w:val="95"/>
              </w:rPr>
              <w:t>Form</w:t>
            </w:r>
          </w:p>
        </w:tc>
        <w:tc>
          <w:tcPr>
            <w:tcW w:w="680" w:type="dxa"/>
            <w:vAlign w:val="bottom"/>
            <w:tcBorders>
              <w:right w:val="single" w:sz="8" w:color="auto"/>
            </w:tcBorders>
            <w:vMerge w:val="restart"/>
          </w:tcPr>
          <w:p>
            <w:pPr>
              <w:jc w:val="center"/>
              <w:ind w:right="29"/>
              <w:spacing w:after="0" w:line="111" w:lineRule="exact"/>
              <w:rPr>
                <w:sz w:val="20"/>
                <w:szCs w:val="20"/>
                <w:color w:val="auto"/>
              </w:rPr>
            </w:pPr>
            <w:r>
              <w:rPr>
                <w:rFonts w:ascii="Arial" w:cs="Arial" w:eastAsia="Arial" w:hAnsi="Arial"/>
                <w:sz w:val="10"/>
                <w:szCs w:val="10"/>
                <w:b w:val="1"/>
                <w:bCs w:val="1"/>
                <w:color w:val="auto"/>
                <w:w w:val="92"/>
              </w:rPr>
              <w:t>File</w:t>
            </w:r>
          </w:p>
        </w:tc>
        <w:tc>
          <w:tcPr>
            <w:tcW w:w="66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4"/>
              </w:rPr>
              <w:t>Unsold</w:t>
            </w:r>
          </w:p>
        </w:tc>
        <w:tc>
          <w:tcPr>
            <w:tcW w:w="0" w:type="dxa"/>
            <w:vAlign w:val="bottom"/>
          </w:tcPr>
          <w:p>
            <w:pPr>
              <w:spacing w:after="0"/>
              <w:rPr>
                <w:sz w:val="1"/>
                <w:szCs w:val="1"/>
                <w:color w:val="auto"/>
              </w:rPr>
            </w:pPr>
          </w:p>
        </w:tc>
      </w:tr>
      <w:tr>
        <w:trPr>
          <w:trHeight w:val="55"/>
        </w:trPr>
        <w:tc>
          <w:tcPr>
            <w:tcW w:w="940" w:type="dxa"/>
            <w:vAlign w:val="bottom"/>
            <w:tcBorders>
              <w:left w:val="single" w:sz="8" w:color="auto"/>
              <w:right w:val="single" w:sz="8" w:color="auto"/>
            </w:tcBorders>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228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7"/>
              </w:rPr>
              <w:t>Title</w:t>
            </w:r>
          </w:p>
        </w:tc>
        <w:tc>
          <w:tcPr>
            <w:tcW w:w="780" w:type="dxa"/>
            <w:vAlign w:val="bottom"/>
            <w:tcBorders>
              <w:right w:val="single" w:sz="8" w:color="auto"/>
            </w:tcBorders>
            <w:vMerge w:val="restart"/>
          </w:tcPr>
          <w:p>
            <w:pPr>
              <w:jc w:val="center"/>
              <w:ind w:right="29"/>
              <w:spacing w:after="0" w:line="111" w:lineRule="exact"/>
              <w:rPr>
                <w:sz w:val="20"/>
                <w:szCs w:val="20"/>
                <w:color w:val="auto"/>
              </w:rPr>
            </w:pPr>
            <w:r>
              <w:rPr>
                <w:rFonts w:ascii="Arial" w:cs="Arial" w:eastAsia="Arial" w:hAnsi="Arial"/>
                <w:sz w:val="10"/>
                <w:szCs w:val="10"/>
                <w:b w:val="1"/>
                <w:bCs w:val="1"/>
                <w:color w:val="auto"/>
                <w:w w:val="96"/>
              </w:rPr>
              <w:t>Forward</w:t>
            </w:r>
          </w:p>
        </w:tc>
        <w:tc>
          <w:tcPr>
            <w:tcW w:w="560" w:type="dxa"/>
            <w:vAlign w:val="bottom"/>
            <w:tcBorders>
              <w:right w:val="single" w:sz="8" w:color="auto"/>
            </w:tcBorders>
            <w:gridSpan w:val="2"/>
            <w:vMerge w:val="continue"/>
          </w:tcPr>
          <w:p>
            <w:pPr>
              <w:spacing w:after="0"/>
              <w:rPr>
                <w:sz w:val="4"/>
                <w:szCs w:val="4"/>
                <w:color w:val="auto"/>
              </w:rPr>
            </w:pPr>
          </w:p>
        </w:tc>
        <w:tc>
          <w:tcPr>
            <w:tcW w:w="780" w:type="dxa"/>
            <w:vAlign w:val="bottom"/>
            <w:tcBorders>
              <w:right w:val="single" w:sz="8" w:color="auto"/>
            </w:tcBorders>
            <w:vMerge w:val="restart"/>
          </w:tcPr>
          <w:p>
            <w:pPr>
              <w:jc w:val="center"/>
              <w:ind w:right="9"/>
              <w:spacing w:after="0" w:line="111" w:lineRule="exact"/>
              <w:rPr>
                <w:sz w:val="20"/>
                <w:szCs w:val="20"/>
                <w:color w:val="auto"/>
              </w:rPr>
            </w:pPr>
            <w:r>
              <w:rPr>
                <w:rFonts w:ascii="Arial" w:cs="Arial" w:eastAsia="Arial" w:hAnsi="Arial"/>
                <w:sz w:val="10"/>
                <w:szCs w:val="10"/>
                <w:b w:val="1"/>
                <w:bCs w:val="1"/>
                <w:color w:val="auto"/>
                <w:w w:val="92"/>
              </w:rPr>
              <w:t>Price Per</w:t>
            </w:r>
          </w:p>
        </w:tc>
        <w:tc>
          <w:tcPr>
            <w:tcW w:w="780" w:type="dxa"/>
            <w:vAlign w:val="bottom"/>
            <w:tcBorders>
              <w:right w:val="single" w:sz="8" w:color="auto"/>
            </w:tcBorders>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640" w:type="dxa"/>
            <w:vAlign w:val="bottom"/>
            <w:vMerge w:val="restart"/>
          </w:tcPr>
          <w:p>
            <w:pPr>
              <w:jc w:val="center"/>
              <w:ind w:left="89"/>
              <w:spacing w:after="0" w:line="111" w:lineRule="exact"/>
              <w:rPr>
                <w:sz w:val="20"/>
                <w:szCs w:val="20"/>
                <w:color w:val="auto"/>
              </w:rPr>
            </w:pPr>
            <w:r>
              <w:rPr>
                <w:rFonts w:ascii="Arial" w:cs="Arial" w:eastAsia="Arial" w:hAnsi="Arial"/>
                <w:sz w:val="10"/>
                <w:szCs w:val="10"/>
                <w:b w:val="1"/>
                <w:bCs w:val="1"/>
                <w:color w:val="auto"/>
                <w:w w:val="80"/>
              </w:rPr>
              <w:t>Fee</w:t>
            </w:r>
          </w:p>
        </w:tc>
        <w:tc>
          <w:tcPr>
            <w:tcW w:w="1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vMerge w:val="restart"/>
          </w:tcPr>
          <w:p>
            <w:pPr>
              <w:jc w:val="center"/>
              <w:ind w:right="9"/>
              <w:spacing w:after="0" w:line="111" w:lineRule="exact"/>
              <w:rPr>
                <w:sz w:val="20"/>
                <w:szCs w:val="20"/>
                <w:color w:val="auto"/>
              </w:rPr>
            </w:pPr>
            <w:r>
              <w:rPr>
                <w:rFonts w:ascii="Arial" w:cs="Arial" w:eastAsia="Arial" w:hAnsi="Arial"/>
                <w:sz w:val="10"/>
                <w:szCs w:val="10"/>
                <w:b w:val="1"/>
                <w:bCs w:val="1"/>
                <w:color w:val="auto"/>
                <w:w w:val="95"/>
              </w:rPr>
              <w:t>Effective</w:t>
            </w:r>
          </w:p>
        </w:tc>
        <w:tc>
          <w:tcPr>
            <w:tcW w:w="10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940" w:type="dxa"/>
            <w:vAlign w:val="bottom"/>
            <w:tcBorders>
              <w:left w:val="single" w:sz="8" w:color="auto"/>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22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7"/>
              </w:rPr>
              <w:t>Price</w:t>
            </w:r>
          </w:p>
        </w:tc>
        <w:tc>
          <w:tcPr>
            <w:tcW w:w="40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4"/>
              </w:rPr>
              <w:t>Type</w:t>
            </w:r>
          </w:p>
        </w:tc>
        <w:tc>
          <w:tcPr>
            <w:tcW w:w="68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5"/>
              </w:rPr>
              <w:t>Number</w:t>
            </w:r>
          </w:p>
        </w:tc>
        <w:tc>
          <w:tcPr>
            <w:tcW w:w="66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91"/>
              </w:rPr>
              <w:t>Securities</w:t>
            </w:r>
          </w:p>
        </w:tc>
        <w:tc>
          <w:tcPr>
            <w:tcW w:w="0" w:type="dxa"/>
            <w:vAlign w:val="bottom"/>
          </w:tcPr>
          <w:p>
            <w:pPr>
              <w:spacing w:after="0"/>
              <w:rPr>
                <w:sz w:val="1"/>
                <w:szCs w:val="1"/>
                <w:color w:val="auto"/>
              </w:rPr>
            </w:pPr>
          </w:p>
        </w:tc>
      </w:tr>
      <w:tr>
        <w:trPr>
          <w:trHeight w:val="55"/>
        </w:trPr>
        <w:tc>
          <w:tcPr>
            <w:tcW w:w="940" w:type="dxa"/>
            <w:vAlign w:val="bottom"/>
            <w:tcBorders>
              <w:left w:val="single" w:sz="8" w:color="auto"/>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jc w:val="center"/>
              <w:ind w:right="9"/>
              <w:spacing w:after="0"/>
              <w:rPr>
                <w:sz w:val="20"/>
                <w:szCs w:val="20"/>
                <w:color w:val="auto"/>
              </w:rPr>
            </w:pPr>
            <w:r>
              <w:rPr>
                <w:rFonts w:ascii="Arial" w:cs="Arial" w:eastAsia="Arial" w:hAnsi="Arial"/>
                <w:sz w:val="10"/>
                <w:szCs w:val="10"/>
                <w:b w:val="1"/>
                <w:bCs w:val="1"/>
                <w:color w:val="auto"/>
                <w:w w:val="92"/>
              </w:rPr>
              <w:t>Rule</w:t>
            </w:r>
          </w:p>
        </w:tc>
        <w:tc>
          <w:tcPr>
            <w:tcW w:w="34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rPr>
              <w:t>Unit</w:t>
            </w:r>
          </w:p>
        </w:tc>
        <w:tc>
          <w:tcPr>
            <w:tcW w:w="780" w:type="dxa"/>
            <w:vAlign w:val="bottom"/>
            <w:tcBorders>
              <w:right w:val="single" w:sz="8" w:color="auto"/>
            </w:tcBorders>
            <w:vMerge w:val="continue"/>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rPr>
              <w:t>Date</w:t>
            </w:r>
          </w:p>
        </w:tc>
        <w:tc>
          <w:tcPr>
            <w:tcW w:w="10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940" w:type="dxa"/>
            <w:vAlign w:val="bottom"/>
            <w:tcBorders>
              <w:left w:val="single" w:sz="8" w:color="auto"/>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restart"/>
          </w:tcPr>
          <w:p>
            <w:pPr>
              <w:jc w:val="center"/>
              <w:spacing w:after="0" w:line="111" w:lineRule="exact"/>
              <w:rPr>
                <w:sz w:val="20"/>
                <w:szCs w:val="20"/>
                <w:color w:val="auto"/>
              </w:rPr>
            </w:pPr>
            <w:r>
              <w:rPr>
                <w:rFonts w:ascii="Arial" w:cs="Arial" w:eastAsia="Arial" w:hAnsi="Arial"/>
                <w:sz w:val="10"/>
                <w:szCs w:val="10"/>
                <w:b w:val="1"/>
                <w:bCs w:val="1"/>
                <w:color w:val="auto"/>
                <w:w w:val="83"/>
              </w:rPr>
              <w:t>to be</w:t>
            </w:r>
          </w:p>
        </w:tc>
        <w:tc>
          <w:tcPr>
            <w:tcW w:w="0" w:type="dxa"/>
            <w:vAlign w:val="bottom"/>
          </w:tcPr>
          <w:p>
            <w:pPr>
              <w:spacing w:after="0"/>
              <w:rPr>
                <w:sz w:val="1"/>
                <w:szCs w:val="1"/>
                <w:color w:val="auto"/>
              </w:rPr>
            </w:pPr>
          </w:p>
        </w:tc>
      </w:tr>
      <w:tr>
        <w:trPr>
          <w:trHeight w:val="32"/>
        </w:trPr>
        <w:tc>
          <w:tcPr>
            <w:tcW w:w="940" w:type="dxa"/>
            <w:vAlign w:val="bottom"/>
            <w:tcBorders>
              <w:left w:val="single" w:sz="8" w:color="auto"/>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28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94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0"/>
                <w:szCs w:val="10"/>
                <w:b w:val="1"/>
                <w:bCs w:val="1"/>
                <w:color w:val="auto"/>
              </w:rPr>
              <w:t>Carried</w:t>
            </w:r>
          </w:p>
        </w:tc>
        <w:tc>
          <w:tcPr>
            <w:tcW w:w="0" w:type="dxa"/>
            <w:vAlign w:val="bottom"/>
          </w:tcPr>
          <w:p>
            <w:pPr>
              <w:spacing w:after="0"/>
              <w:rPr>
                <w:sz w:val="1"/>
                <w:szCs w:val="1"/>
                <w:color w:val="auto"/>
              </w:rPr>
            </w:pPr>
          </w:p>
        </w:tc>
      </w:tr>
      <w:tr>
        <w:trPr>
          <w:trHeight w:val="126"/>
        </w:trPr>
        <w:tc>
          <w:tcPr>
            <w:tcW w:w="940" w:type="dxa"/>
            <w:vAlign w:val="bottom"/>
            <w:tcBorders>
              <w:left w:val="single" w:sz="8" w:color="auto"/>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Forward</w:t>
            </w:r>
          </w:p>
        </w:tc>
        <w:tc>
          <w:tcPr>
            <w:tcW w:w="0" w:type="dxa"/>
            <w:vAlign w:val="bottom"/>
          </w:tcPr>
          <w:p>
            <w:pPr>
              <w:spacing w:after="0"/>
              <w:rPr>
                <w:sz w:val="1"/>
                <w:szCs w:val="1"/>
                <w:color w:val="auto"/>
              </w:rPr>
            </w:pPr>
          </w:p>
        </w:tc>
      </w:tr>
      <w:tr>
        <w:trPr>
          <w:trHeight w:val="101"/>
        </w:trPr>
        <w:tc>
          <w:tcPr>
            <w:tcW w:w="940" w:type="dxa"/>
            <w:vAlign w:val="bottom"/>
            <w:tcBorders>
              <w:left w:val="single" w:sz="8" w:color="auto"/>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gridSpan w:val="3"/>
          </w:tcPr>
          <w:p>
            <w:pPr>
              <w:jc w:val="center"/>
              <w:ind w:right="469"/>
              <w:spacing w:after="0" w:line="102" w:lineRule="exact"/>
              <w:rPr>
                <w:sz w:val="20"/>
                <w:szCs w:val="20"/>
                <w:color w:val="auto"/>
              </w:rPr>
            </w:pPr>
            <w:r>
              <w:rPr>
                <w:rFonts w:ascii="Arial" w:cs="Arial" w:eastAsia="Arial" w:hAnsi="Arial"/>
                <w:sz w:val="10"/>
                <w:szCs w:val="10"/>
                <w:b w:val="1"/>
                <w:bCs w:val="1"/>
                <w:color w:val="auto"/>
                <w:w w:val="91"/>
              </w:rPr>
              <w:t>Newly Registered Securities</w:t>
            </w: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940" w:type="dxa"/>
            <w:vAlign w:val="bottom"/>
            <w:tcBorders>
              <w:left w:val="single" w:sz="8" w:color="auto"/>
              <w:right w:val="single" w:sz="8" w:color="auto"/>
            </w:tcBorders>
          </w:tcPr>
          <w:p>
            <w:pPr>
              <w:ind w:left="20"/>
              <w:spacing w:after="0" w:line="90" w:lineRule="exact"/>
              <w:rPr>
                <w:sz w:val="20"/>
                <w:szCs w:val="20"/>
                <w:color w:val="auto"/>
              </w:rPr>
            </w:pPr>
            <w:r>
              <w:rPr>
                <w:rFonts w:ascii="Arial" w:cs="Arial" w:eastAsia="Arial" w:hAnsi="Arial"/>
                <w:sz w:val="10"/>
                <w:szCs w:val="10"/>
                <w:color w:val="auto"/>
              </w:rPr>
              <w:t>Fees to Be Paid</w:t>
            </w:r>
          </w:p>
        </w:tc>
        <w:tc>
          <w:tcPr>
            <w:tcW w:w="680" w:type="dxa"/>
            <w:vAlign w:val="bottom"/>
            <w:tcBorders>
              <w:right w:val="single" w:sz="8" w:color="auto"/>
            </w:tcBorders>
          </w:tcPr>
          <w:p>
            <w:pPr>
              <w:spacing w:after="0" w:line="90" w:lineRule="exact"/>
              <w:rPr>
                <w:sz w:val="20"/>
                <w:szCs w:val="20"/>
                <w:color w:val="auto"/>
              </w:rPr>
            </w:pPr>
            <w:r>
              <w:rPr>
                <w:rFonts w:ascii="Arial" w:cs="Arial" w:eastAsia="Arial" w:hAnsi="Arial"/>
                <w:sz w:val="10"/>
                <w:szCs w:val="10"/>
                <w:color w:val="auto"/>
              </w:rPr>
              <w:t>Equity</w:t>
            </w:r>
          </w:p>
        </w:tc>
        <w:tc>
          <w:tcPr>
            <w:tcW w:w="2280" w:type="dxa"/>
            <w:vAlign w:val="bottom"/>
            <w:tcBorders>
              <w:right w:val="single" w:sz="8" w:color="auto"/>
            </w:tcBorders>
          </w:tcPr>
          <w:p>
            <w:pPr>
              <w:spacing w:after="0" w:line="90" w:lineRule="exact"/>
              <w:rPr>
                <w:sz w:val="20"/>
                <w:szCs w:val="20"/>
                <w:color w:val="auto"/>
              </w:rPr>
            </w:pPr>
            <w:r>
              <w:rPr>
                <w:rFonts w:ascii="Arial" w:cs="Arial" w:eastAsia="Arial" w:hAnsi="Arial"/>
                <w:sz w:val="10"/>
                <w:szCs w:val="10"/>
                <w:color w:val="auto"/>
              </w:rPr>
              <w:t>Common Stock, par value $0.10 per share</w:t>
            </w: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5"/>
              </w:rPr>
              <w:t>Rule 456(b)</w:t>
            </w:r>
          </w:p>
        </w:tc>
        <w:tc>
          <w:tcPr>
            <w:tcW w:w="340" w:type="dxa"/>
            <w:vAlign w:val="bottom"/>
          </w:tcPr>
          <w:p>
            <w:pPr>
              <w:jc w:val="center"/>
              <w:ind w:left="129"/>
              <w:spacing w:after="0" w:line="90" w:lineRule="exact"/>
              <w:rPr>
                <w:sz w:val="20"/>
                <w:szCs w:val="20"/>
                <w:color w:val="auto"/>
              </w:rPr>
            </w:pPr>
            <w:r>
              <w:rPr>
                <w:rFonts w:ascii="Arial" w:cs="Arial" w:eastAsia="Arial" w:hAnsi="Arial"/>
                <w:sz w:val="10"/>
                <w:szCs w:val="10"/>
                <w:color w:val="auto"/>
                <w:w w:val="97"/>
              </w:rPr>
              <w:t>(1)</w:t>
            </w:r>
          </w:p>
        </w:tc>
        <w:tc>
          <w:tcPr>
            <w:tcW w:w="2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7"/>
              </w:rPr>
              <w:t>(1)</w:t>
            </w: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7"/>
              </w:rPr>
              <w:t>(1)</w:t>
            </w:r>
          </w:p>
        </w:tc>
        <w:tc>
          <w:tcPr>
            <w:tcW w:w="400" w:type="dxa"/>
            <w:vAlign w:val="bottom"/>
          </w:tcPr>
          <w:p>
            <w:pPr>
              <w:spacing w:after="0"/>
              <w:rPr>
                <w:sz w:val="7"/>
                <w:szCs w:val="7"/>
                <w:color w:val="auto"/>
              </w:rPr>
            </w:pPr>
          </w:p>
        </w:tc>
        <w:tc>
          <w:tcPr>
            <w:tcW w:w="160" w:type="dxa"/>
            <w:vAlign w:val="bottom"/>
            <w:tcBorders>
              <w:right w:val="single" w:sz="8" w:color="auto"/>
            </w:tcBorders>
          </w:tcPr>
          <w:p>
            <w:pPr>
              <w:jc w:val="right"/>
              <w:spacing w:after="0" w:line="90" w:lineRule="exact"/>
              <w:rPr>
                <w:sz w:val="20"/>
                <w:szCs w:val="20"/>
                <w:color w:val="auto"/>
              </w:rPr>
            </w:pPr>
            <w:r>
              <w:rPr>
                <w:rFonts w:ascii="Arial" w:cs="Arial" w:eastAsia="Arial" w:hAnsi="Arial"/>
                <w:sz w:val="10"/>
                <w:szCs w:val="10"/>
                <w:color w:val="auto"/>
                <w:w w:val="97"/>
              </w:rPr>
              <w:t>(2)</w:t>
            </w:r>
          </w:p>
        </w:tc>
        <w:tc>
          <w:tcPr>
            <w:tcW w:w="640" w:type="dxa"/>
            <w:vAlign w:val="bottom"/>
          </w:tcPr>
          <w:p>
            <w:pPr>
              <w:spacing w:after="0"/>
              <w:rPr>
                <w:sz w:val="7"/>
                <w:szCs w:val="7"/>
                <w:color w:val="auto"/>
              </w:rPr>
            </w:pPr>
          </w:p>
        </w:tc>
        <w:tc>
          <w:tcPr>
            <w:tcW w:w="160" w:type="dxa"/>
            <w:vAlign w:val="bottom"/>
            <w:tcBorders>
              <w:right w:val="single" w:sz="8" w:color="auto"/>
            </w:tcBorders>
          </w:tcPr>
          <w:p>
            <w:pPr>
              <w:jc w:val="right"/>
              <w:spacing w:after="0" w:line="90" w:lineRule="exact"/>
              <w:rPr>
                <w:sz w:val="20"/>
                <w:szCs w:val="20"/>
                <w:color w:val="auto"/>
              </w:rPr>
            </w:pPr>
            <w:r>
              <w:rPr>
                <w:rFonts w:ascii="Arial" w:cs="Arial" w:eastAsia="Arial" w:hAnsi="Arial"/>
                <w:sz w:val="10"/>
                <w:szCs w:val="10"/>
                <w:color w:val="auto"/>
                <w:w w:val="97"/>
              </w:rPr>
              <w:t>(2)</w:t>
            </w: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94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jc w:val="center"/>
              <w:ind w:right="9"/>
              <w:spacing w:after="0" w:line="111" w:lineRule="exact"/>
              <w:rPr>
                <w:sz w:val="20"/>
                <w:szCs w:val="20"/>
                <w:color w:val="auto"/>
              </w:rPr>
            </w:pPr>
            <w:r>
              <w:rPr>
                <w:rFonts w:ascii="Arial" w:cs="Arial" w:eastAsia="Arial" w:hAnsi="Arial"/>
                <w:sz w:val="10"/>
                <w:szCs w:val="10"/>
                <w:color w:val="auto"/>
                <w:w w:val="89"/>
              </w:rPr>
              <w:t>and Rule</w:t>
            </w:r>
          </w:p>
        </w:tc>
        <w:tc>
          <w:tcPr>
            <w:tcW w:w="3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457(r)</w:t>
            </w: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940" w:type="dxa"/>
            <w:vAlign w:val="bottom"/>
            <w:tcBorders>
              <w:left w:val="single" w:sz="8" w:color="auto"/>
              <w:right w:val="single" w:sz="8" w:color="auto"/>
            </w:tcBorders>
          </w:tcPr>
          <w:p>
            <w:pPr>
              <w:ind w:left="20"/>
              <w:spacing w:after="0" w:line="90" w:lineRule="exact"/>
              <w:rPr>
                <w:sz w:val="20"/>
                <w:szCs w:val="20"/>
                <w:color w:val="auto"/>
              </w:rPr>
            </w:pPr>
            <w:r>
              <w:rPr>
                <w:rFonts w:ascii="Arial" w:cs="Arial" w:eastAsia="Arial" w:hAnsi="Arial"/>
                <w:sz w:val="10"/>
                <w:szCs w:val="10"/>
                <w:color w:val="auto"/>
              </w:rPr>
              <w:t>Fees to Be Paid</w:t>
            </w:r>
          </w:p>
        </w:tc>
        <w:tc>
          <w:tcPr>
            <w:tcW w:w="680" w:type="dxa"/>
            <w:vAlign w:val="bottom"/>
            <w:tcBorders>
              <w:right w:val="single" w:sz="8" w:color="auto"/>
            </w:tcBorders>
          </w:tcPr>
          <w:p>
            <w:pPr>
              <w:spacing w:after="0" w:line="90" w:lineRule="exact"/>
              <w:rPr>
                <w:sz w:val="20"/>
                <w:szCs w:val="20"/>
                <w:color w:val="auto"/>
              </w:rPr>
            </w:pPr>
            <w:r>
              <w:rPr>
                <w:rFonts w:ascii="Arial" w:cs="Arial" w:eastAsia="Arial" w:hAnsi="Arial"/>
                <w:sz w:val="10"/>
                <w:szCs w:val="10"/>
                <w:color w:val="auto"/>
              </w:rPr>
              <w:t>Debt</w:t>
            </w:r>
          </w:p>
        </w:tc>
        <w:tc>
          <w:tcPr>
            <w:tcW w:w="2280" w:type="dxa"/>
            <w:vAlign w:val="bottom"/>
            <w:tcBorders>
              <w:right w:val="single" w:sz="8" w:color="auto"/>
            </w:tcBorders>
          </w:tcPr>
          <w:p>
            <w:pPr>
              <w:spacing w:after="0" w:line="90" w:lineRule="exact"/>
              <w:rPr>
                <w:sz w:val="20"/>
                <w:szCs w:val="20"/>
                <w:color w:val="auto"/>
              </w:rPr>
            </w:pPr>
            <w:r>
              <w:rPr>
                <w:rFonts w:ascii="Arial" w:cs="Arial" w:eastAsia="Arial" w:hAnsi="Arial"/>
                <w:sz w:val="10"/>
                <w:szCs w:val="10"/>
                <w:color w:val="auto"/>
              </w:rPr>
              <w:t>Debt Securities</w:t>
            </w:r>
          </w:p>
        </w:tc>
        <w:tc>
          <w:tcPr>
            <w:tcW w:w="780" w:type="dxa"/>
            <w:vAlign w:val="bottom"/>
            <w:tcBorders>
              <w:right w:val="single" w:sz="8" w:color="auto"/>
            </w:tcBorders>
          </w:tcPr>
          <w:p>
            <w:pPr>
              <w:jc w:val="center"/>
              <w:ind w:right="29"/>
              <w:spacing w:after="0" w:line="90" w:lineRule="exact"/>
              <w:rPr>
                <w:sz w:val="20"/>
                <w:szCs w:val="20"/>
                <w:color w:val="auto"/>
              </w:rPr>
            </w:pPr>
            <w:r>
              <w:rPr>
                <w:rFonts w:ascii="Arial" w:cs="Arial" w:eastAsia="Arial" w:hAnsi="Arial"/>
                <w:sz w:val="10"/>
                <w:szCs w:val="10"/>
                <w:color w:val="auto"/>
                <w:w w:val="95"/>
              </w:rPr>
              <w:t>Rule 456(b)</w:t>
            </w:r>
          </w:p>
        </w:tc>
        <w:tc>
          <w:tcPr>
            <w:tcW w:w="340" w:type="dxa"/>
            <w:vAlign w:val="bottom"/>
          </w:tcPr>
          <w:p>
            <w:pPr>
              <w:jc w:val="center"/>
              <w:ind w:left="129"/>
              <w:spacing w:after="0" w:line="90" w:lineRule="exact"/>
              <w:rPr>
                <w:sz w:val="20"/>
                <w:szCs w:val="20"/>
                <w:color w:val="auto"/>
              </w:rPr>
            </w:pPr>
            <w:r>
              <w:rPr>
                <w:rFonts w:ascii="Arial" w:cs="Arial" w:eastAsia="Arial" w:hAnsi="Arial"/>
                <w:sz w:val="10"/>
                <w:szCs w:val="10"/>
                <w:color w:val="auto"/>
                <w:w w:val="97"/>
              </w:rPr>
              <w:t>(1)</w:t>
            </w:r>
          </w:p>
        </w:tc>
        <w:tc>
          <w:tcPr>
            <w:tcW w:w="2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7"/>
              </w:rPr>
              <w:t>(1)</w:t>
            </w: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7"/>
              </w:rPr>
              <w:t>(1)</w:t>
            </w:r>
          </w:p>
        </w:tc>
        <w:tc>
          <w:tcPr>
            <w:tcW w:w="400" w:type="dxa"/>
            <w:vAlign w:val="bottom"/>
          </w:tcPr>
          <w:p>
            <w:pPr>
              <w:spacing w:after="0"/>
              <w:rPr>
                <w:sz w:val="7"/>
                <w:szCs w:val="7"/>
                <w:color w:val="auto"/>
              </w:rPr>
            </w:pPr>
          </w:p>
        </w:tc>
        <w:tc>
          <w:tcPr>
            <w:tcW w:w="160" w:type="dxa"/>
            <w:vAlign w:val="bottom"/>
            <w:tcBorders>
              <w:right w:val="single" w:sz="8" w:color="auto"/>
            </w:tcBorders>
          </w:tcPr>
          <w:p>
            <w:pPr>
              <w:jc w:val="right"/>
              <w:spacing w:after="0" w:line="90" w:lineRule="exact"/>
              <w:rPr>
                <w:sz w:val="20"/>
                <w:szCs w:val="20"/>
                <w:color w:val="auto"/>
              </w:rPr>
            </w:pPr>
            <w:r>
              <w:rPr>
                <w:rFonts w:ascii="Arial" w:cs="Arial" w:eastAsia="Arial" w:hAnsi="Arial"/>
                <w:sz w:val="10"/>
                <w:szCs w:val="10"/>
                <w:color w:val="auto"/>
                <w:w w:val="97"/>
              </w:rPr>
              <w:t>(2)</w:t>
            </w:r>
          </w:p>
        </w:tc>
        <w:tc>
          <w:tcPr>
            <w:tcW w:w="640" w:type="dxa"/>
            <w:vAlign w:val="bottom"/>
          </w:tcPr>
          <w:p>
            <w:pPr>
              <w:spacing w:after="0"/>
              <w:rPr>
                <w:sz w:val="7"/>
                <w:szCs w:val="7"/>
                <w:color w:val="auto"/>
              </w:rPr>
            </w:pPr>
          </w:p>
        </w:tc>
        <w:tc>
          <w:tcPr>
            <w:tcW w:w="160" w:type="dxa"/>
            <w:vAlign w:val="bottom"/>
            <w:tcBorders>
              <w:right w:val="single" w:sz="8" w:color="auto"/>
            </w:tcBorders>
          </w:tcPr>
          <w:p>
            <w:pPr>
              <w:jc w:val="right"/>
              <w:spacing w:after="0" w:line="90" w:lineRule="exact"/>
              <w:rPr>
                <w:sz w:val="20"/>
                <w:szCs w:val="20"/>
                <w:color w:val="auto"/>
              </w:rPr>
            </w:pPr>
            <w:r>
              <w:rPr>
                <w:rFonts w:ascii="Arial" w:cs="Arial" w:eastAsia="Arial" w:hAnsi="Arial"/>
                <w:sz w:val="10"/>
                <w:szCs w:val="10"/>
                <w:color w:val="auto"/>
                <w:w w:val="97"/>
              </w:rPr>
              <w:t>(2)</w:t>
            </w: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94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jc w:val="center"/>
              <w:ind w:right="9"/>
              <w:spacing w:after="0" w:line="111" w:lineRule="exact"/>
              <w:rPr>
                <w:sz w:val="20"/>
                <w:szCs w:val="20"/>
                <w:color w:val="auto"/>
              </w:rPr>
            </w:pPr>
            <w:r>
              <w:rPr>
                <w:rFonts w:ascii="Arial" w:cs="Arial" w:eastAsia="Arial" w:hAnsi="Arial"/>
                <w:sz w:val="10"/>
                <w:szCs w:val="10"/>
                <w:color w:val="auto"/>
                <w:w w:val="89"/>
              </w:rPr>
              <w:t>and Rule</w:t>
            </w:r>
          </w:p>
        </w:tc>
        <w:tc>
          <w:tcPr>
            <w:tcW w:w="3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0"/>
                <w:szCs w:val="10"/>
                <w:color w:val="auto"/>
              </w:rPr>
              <w:t>457(r)</w:t>
            </w: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940" w:type="dxa"/>
            <w:vAlign w:val="bottom"/>
            <w:tcBorders>
              <w:left w:val="single" w:sz="8" w:color="auto"/>
              <w:right w:val="single" w:sz="8" w:color="auto"/>
            </w:tcBorders>
          </w:tcPr>
          <w:p>
            <w:pPr>
              <w:ind w:left="20"/>
              <w:spacing w:after="0" w:line="90" w:lineRule="exact"/>
              <w:rPr>
                <w:sz w:val="20"/>
                <w:szCs w:val="20"/>
                <w:color w:val="auto"/>
              </w:rPr>
            </w:pPr>
            <w:r>
              <w:rPr>
                <w:rFonts w:ascii="Arial" w:cs="Arial" w:eastAsia="Arial" w:hAnsi="Arial"/>
                <w:sz w:val="10"/>
                <w:szCs w:val="10"/>
                <w:color w:val="auto"/>
              </w:rPr>
              <w:t>Fees to Be Paid</w:t>
            </w:r>
          </w:p>
        </w:tc>
        <w:tc>
          <w:tcPr>
            <w:tcW w:w="680" w:type="dxa"/>
            <w:vAlign w:val="bottom"/>
            <w:tcBorders>
              <w:right w:val="single" w:sz="8" w:color="auto"/>
            </w:tcBorders>
          </w:tcPr>
          <w:p>
            <w:pPr>
              <w:spacing w:after="0" w:line="90" w:lineRule="exact"/>
              <w:rPr>
                <w:sz w:val="20"/>
                <w:szCs w:val="20"/>
                <w:color w:val="auto"/>
              </w:rPr>
            </w:pPr>
            <w:r>
              <w:rPr>
                <w:rFonts w:ascii="Arial" w:cs="Arial" w:eastAsia="Arial" w:hAnsi="Arial"/>
                <w:sz w:val="10"/>
                <w:szCs w:val="10"/>
                <w:color w:val="auto"/>
              </w:rPr>
              <w:t>Equity</w:t>
            </w:r>
          </w:p>
        </w:tc>
        <w:tc>
          <w:tcPr>
            <w:tcW w:w="2280" w:type="dxa"/>
            <w:vAlign w:val="bottom"/>
            <w:tcBorders>
              <w:right w:val="single" w:sz="8" w:color="auto"/>
            </w:tcBorders>
          </w:tcPr>
          <w:p>
            <w:pPr>
              <w:spacing w:after="0" w:line="90" w:lineRule="exact"/>
              <w:rPr>
                <w:sz w:val="20"/>
                <w:szCs w:val="20"/>
                <w:color w:val="auto"/>
              </w:rPr>
            </w:pPr>
            <w:r>
              <w:rPr>
                <w:rFonts w:ascii="Arial" w:cs="Arial" w:eastAsia="Arial" w:hAnsi="Arial"/>
                <w:sz w:val="10"/>
                <w:szCs w:val="10"/>
                <w:color w:val="auto"/>
              </w:rPr>
              <w:t>Warrants</w:t>
            </w: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5"/>
              </w:rPr>
              <w:t>Rule 456(b)</w:t>
            </w:r>
          </w:p>
        </w:tc>
        <w:tc>
          <w:tcPr>
            <w:tcW w:w="340" w:type="dxa"/>
            <w:vAlign w:val="bottom"/>
          </w:tcPr>
          <w:p>
            <w:pPr>
              <w:jc w:val="center"/>
              <w:ind w:left="129"/>
              <w:spacing w:after="0" w:line="90" w:lineRule="exact"/>
              <w:rPr>
                <w:sz w:val="20"/>
                <w:szCs w:val="20"/>
                <w:color w:val="auto"/>
              </w:rPr>
            </w:pPr>
            <w:r>
              <w:rPr>
                <w:rFonts w:ascii="Arial" w:cs="Arial" w:eastAsia="Arial" w:hAnsi="Arial"/>
                <w:sz w:val="10"/>
                <w:szCs w:val="10"/>
                <w:color w:val="auto"/>
                <w:w w:val="97"/>
              </w:rPr>
              <w:t>(1)</w:t>
            </w:r>
          </w:p>
        </w:tc>
        <w:tc>
          <w:tcPr>
            <w:tcW w:w="2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7"/>
              </w:rPr>
              <w:t>(1)</w:t>
            </w: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7"/>
              </w:rPr>
              <w:t>(1)</w:t>
            </w:r>
          </w:p>
        </w:tc>
        <w:tc>
          <w:tcPr>
            <w:tcW w:w="400" w:type="dxa"/>
            <w:vAlign w:val="bottom"/>
          </w:tcPr>
          <w:p>
            <w:pPr>
              <w:spacing w:after="0"/>
              <w:rPr>
                <w:sz w:val="7"/>
                <w:szCs w:val="7"/>
                <w:color w:val="auto"/>
              </w:rPr>
            </w:pPr>
          </w:p>
        </w:tc>
        <w:tc>
          <w:tcPr>
            <w:tcW w:w="160" w:type="dxa"/>
            <w:vAlign w:val="bottom"/>
            <w:tcBorders>
              <w:right w:val="single" w:sz="8" w:color="auto"/>
            </w:tcBorders>
          </w:tcPr>
          <w:p>
            <w:pPr>
              <w:jc w:val="right"/>
              <w:spacing w:after="0" w:line="90" w:lineRule="exact"/>
              <w:rPr>
                <w:sz w:val="20"/>
                <w:szCs w:val="20"/>
                <w:color w:val="auto"/>
              </w:rPr>
            </w:pPr>
            <w:r>
              <w:rPr>
                <w:rFonts w:ascii="Arial" w:cs="Arial" w:eastAsia="Arial" w:hAnsi="Arial"/>
                <w:sz w:val="10"/>
                <w:szCs w:val="10"/>
                <w:color w:val="auto"/>
                <w:w w:val="97"/>
              </w:rPr>
              <w:t>(2)</w:t>
            </w:r>
          </w:p>
        </w:tc>
        <w:tc>
          <w:tcPr>
            <w:tcW w:w="640" w:type="dxa"/>
            <w:vAlign w:val="bottom"/>
          </w:tcPr>
          <w:p>
            <w:pPr>
              <w:spacing w:after="0"/>
              <w:rPr>
                <w:sz w:val="7"/>
                <w:szCs w:val="7"/>
                <w:color w:val="auto"/>
              </w:rPr>
            </w:pPr>
          </w:p>
        </w:tc>
        <w:tc>
          <w:tcPr>
            <w:tcW w:w="160" w:type="dxa"/>
            <w:vAlign w:val="bottom"/>
            <w:tcBorders>
              <w:right w:val="single" w:sz="8" w:color="auto"/>
            </w:tcBorders>
          </w:tcPr>
          <w:p>
            <w:pPr>
              <w:jc w:val="right"/>
              <w:spacing w:after="0" w:line="90" w:lineRule="exact"/>
              <w:rPr>
                <w:sz w:val="20"/>
                <w:szCs w:val="20"/>
                <w:color w:val="auto"/>
              </w:rPr>
            </w:pPr>
            <w:r>
              <w:rPr>
                <w:rFonts w:ascii="Arial" w:cs="Arial" w:eastAsia="Arial" w:hAnsi="Arial"/>
                <w:sz w:val="10"/>
                <w:szCs w:val="10"/>
                <w:color w:val="auto"/>
                <w:w w:val="97"/>
              </w:rPr>
              <w:t>(2)</w:t>
            </w: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94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jc w:val="center"/>
              <w:ind w:right="29"/>
              <w:spacing w:after="0" w:line="111" w:lineRule="exact"/>
              <w:rPr>
                <w:sz w:val="20"/>
                <w:szCs w:val="20"/>
                <w:color w:val="auto"/>
              </w:rPr>
            </w:pPr>
            <w:r>
              <w:rPr>
                <w:rFonts w:ascii="Arial" w:cs="Arial" w:eastAsia="Arial" w:hAnsi="Arial"/>
                <w:sz w:val="10"/>
                <w:szCs w:val="10"/>
                <w:color w:val="auto"/>
                <w:w w:val="94"/>
              </w:rPr>
              <w:t>and Rule</w:t>
            </w:r>
          </w:p>
        </w:tc>
        <w:tc>
          <w:tcPr>
            <w:tcW w:w="3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457(r)</w:t>
            </w: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940" w:type="dxa"/>
            <w:vAlign w:val="bottom"/>
            <w:tcBorders>
              <w:left w:val="single" w:sz="8" w:color="auto"/>
              <w:right w:val="single" w:sz="8" w:color="auto"/>
            </w:tcBorders>
          </w:tcPr>
          <w:p>
            <w:pPr>
              <w:ind w:left="20"/>
              <w:spacing w:after="0" w:line="90" w:lineRule="exact"/>
              <w:rPr>
                <w:sz w:val="20"/>
                <w:szCs w:val="20"/>
                <w:color w:val="auto"/>
              </w:rPr>
            </w:pPr>
            <w:r>
              <w:rPr>
                <w:rFonts w:ascii="Arial" w:cs="Arial" w:eastAsia="Arial" w:hAnsi="Arial"/>
                <w:sz w:val="10"/>
                <w:szCs w:val="10"/>
                <w:color w:val="auto"/>
              </w:rPr>
              <w:t>Fees to Be Paid</w:t>
            </w:r>
          </w:p>
        </w:tc>
        <w:tc>
          <w:tcPr>
            <w:tcW w:w="680" w:type="dxa"/>
            <w:vAlign w:val="bottom"/>
            <w:tcBorders>
              <w:right w:val="single" w:sz="8" w:color="auto"/>
            </w:tcBorders>
          </w:tcPr>
          <w:p>
            <w:pPr>
              <w:spacing w:after="0" w:line="90" w:lineRule="exact"/>
              <w:rPr>
                <w:sz w:val="20"/>
                <w:szCs w:val="20"/>
                <w:color w:val="auto"/>
              </w:rPr>
            </w:pPr>
            <w:r>
              <w:rPr>
                <w:rFonts w:ascii="Arial" w:cs="Arial" w:eastAsia="Arial" w:hAnsi="Arial"/>
                <w:sz w:val="10"/>
                <w:szCs w:val="10"/>
                <w:color w:val="auto"/>
              </w:rPr>
              <w:t>Other</w:t>
            </w:r>
          </w:p>
        </w:tc>
        <w:tc>
          <w:tcPr>
            <w:tcW w:w="2280" w:type="dxa"/>
            <w:vAlign w:val="bottom"/>
            <w:tcBorders>
              <w:right w:val="single" w:sz="8" w:color="auto"/>
            </w:tcBorders>
          </w:tcPr>
          <w:p>
            <w:pPr>
              <w:spacing w:after="0" w:line="90" w:lineRule="exact"/>
              <w:rPr>
                <w:sz w:val="20"/>
                <w:szCs w:val="20"/>
                <w:color w:val="auto"/>
              </w:rPr>
            </w:pPr>
            <w:r>
              <w:rPr>
                <w:rFonts w:ascii="Arial" w:cs="Arial" w:eastAsia="Arial" w:hAnsi="Arial"/>
                <w:sz w:val="10"/>
                <w:szCs w:val="10"/>
                <w:color w:val="auto"/>
              </w:rPr>
              <w:t>Purchase Contracts</w:t>
            </w: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5"/>
              </w:rPr>
              <w:t>Rule 456(b)</w:t>
            </w:r>
          </w:p>
        </w:tc>
        <w:tc>
          <w:tcPr>
            <w:tcW w:w="340" w:type="dxa"/>
            <w:vAlign w:val="bottom"/>
          </w:tcPr>
          <w:p>
            <w:pPr>
              <w:jc w:val="center"/>
              <w:ind w:left="129"/>
              <w:spacing w:after="0" w:line="90" w:lineRule="exact"/>
              <w:rPr>
                <w:sz w:val="20"/>
                <w:szCs w:val="20"/>
                <w:color w:val="auto"/>
              </w:rPr>
            </w:pPr>
            <w:r>
              <w:rPr>
                <w:rFonts w:ascii="Arial" w:cs="Arial" w:eastAsia="Arial" w:hAnsi="Arial"/>
                <w:sz w:val="10"/>
                <w:szCs w:val="10"/>
                <w:color w:val="auto"/>
                <w:w w:val="97"/>
              </w:rPr>
              <w:t>(1)</w:t>
            </w:r>
          </w:p>
        </w:tc>
        <w:tc>
          <w:tcPr>
            <w:tcW w:w="2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7"/>
              </w:rPr>
              <w:t>(1)</w:t>
            </w: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7"/>
              </w:rPr>
              <w:t>(1)</w:t>
            </w:r>
          </w:p>
        </w:tc>
        <w:tc>
          <w:tcPr>
            <w:tcW w:w="400" w:type="dxa"/>
            <w:vAlign w:val="bottom"/>
          </w:tcPr>
          <w:p>
            <w:pPr>
              <w:spacing w:after="0"/>
              <w:rPr>
                <w:sz w:val="7"/>
                <w:szCs w:val="7"/>
                <w:color w:val="auto"/>
              </w:rPr>
            </w:pPr>
          </w:p>
        </w:tc>
        <w:tc>
          <w:tcPr>
            <w:tcW w:w="160" w:type="dxa"/>
            <w:vAlign w:val="bottom"/>
            <w:tcBorders>
              <w:right w:val="single" w:sz="8" w:color="auto"/>
            </w:tcBorders>
          </w:tcPr>
          <w:p>
            <w:pPr>
              <w:jc w:val="right"/>
              <w:spacing w:after="0" w:line="90" w:lineRule="exact"/>
              <w:rPr>
                <w:sz w:val="20"/>
                <w:szCs w:val="20"/>
                <w:color w:val="auto"/>
              </w:rPr>
            </w:pPr>
            <w:r>
              <w:rPr>
                <w:rFonts w:ascii="Arial" w:cs="Arial" w:eastAsia="Arial" w:hAnsi="Arial"/>
                <w:sz w:val="10"/>
                <w:szCs w:val="10"/>
                <w:color w:val="auto"/>
                <w:w w:val="97"/>
              </w:rPr>
              <w:t>(2)</w:t>
            </w:r>
          </w:p>
        </w:tc>
        <w:tc>
          <w:tcPr>
            <w:tcW w:w="640" w:type="dxa"/>
            <w:vAlign w:val="bottom"/>
          </w:tcPr>
          <w:p>
            <w:pPr>
              <w:spacing w:after="0"/>
              <w:rPr>
                <w:sz w:val="7"/>
                <w:szCs w:val="7"/>
                <w:color w:val="auto"/>
              </w:rPr>
            </w:pPr>
          </w:p>
        </w:tc>
        <w:tc>
          <w:tcPr>
            <w:tcW w:w="160" w:type="dxa"/>
            <w:vAlign w:val="bottom"/>
            <w:tcBorders>
              <w:right w:val="single" w:sz="8" w:color="auto"/>
            </w:tcBorders>
          </w:tcPr>
          <w:p>
            <w:pPr>
              <w:jc w:val="right"/>
              <w:spacing w:after="0" w:line="90" w:lineRule="exact"/>
              <w:rPr>
                <w:sz w:val="20"/>
                <w:szCs w:val="20"/>
                <w:color w:val="auto"/>
              </w:rPr>
            </w:pPr>
            <w:r>
              <w:rPr>
                <w:rFonts w:ascii="Arial" w:cs="Arial" w:eastAsia="Arial" w:hAnsi="Arial"/>
                <w:sz w:val="10"/>
                <w:szCs w:val="10"/>
                <w:color w:val="auto"/>
                <w:w w:val="97"/>
              </w:rPr>
              <w:t>(2)</w:t>
            </w: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94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jc w:val="center"/>
              <w:ind w:right="29"/>
              <w:spacing w:after="0" w:line="111" w:lineRule="exact"/>
              <w:rPr>
                <w:sz w:val="20"/>
                <w:szCs w:val="20"/>
                <w:color w:val="auto"/>
              </w:rPr>
            </w:pPr>
            <w:r>
              <w:rPr>
                <w:rFonts w:ascii="Arial" w:cs="Arial" w:eastAsia="Arial" w:hAnsi="Arial"/>
                <w:sz w:val="10"/>
                <w:szCs w:val="10"/>
                <w:color w:val="auto"/>
                <w:w w:val="94"/>
              </w:rPr>
              <w:t>and Rule</w:t>
            </w:r>
          </w:p>
        </w:tc>
        <w:tc>
          <w:tcPr>
            <w:tcW w:w="3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457(r)</w:t>
            </w: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940" w:type="dxa"/>
            <w:vAlign w:val="bottom"/>
            <w:tcBorders>
              <w:left w:val="single" w:sz="8" w:color="auto"/>
              <w:right w:val="single" w:sz="8" w:color="auto"/>
            </w:tcBorders>
          </w:tcPr>
          <w:p>
            <w:pPr>
              <w:ind w:left="20"/>
              <w:spacing w:after="0" w:line="90" w:lineRule="exact"/>
              <w:rPr>
                <w:sz w:val="20"/>
                <w:szCs w:val="20"/>
                <w:color w:val="auto"/>
              </w:rPr>
            </w:pPr>
            <w:r>
              <w:rPr>
                <w:rFonts w:ascii="Arial" w:cs="Arial" w:eastAsia="Arial" w:hAnsi="Arial"/>
                <w:sz w:val="10"/>
                <w:szCs w:val="10"/>
                <w:color w:val="auto"/>
              </w:rPr>
              <w:t>Fees to Be Paid</w:t>
            </w:r>
          </w:p>
        </w:tc>
        <w:tc>
          <w:tcPr>
            <w:tcW w:w="680" w:type="dxa"/>
            <w:vAlign w:val="bottom"/>
            <w:tcBorders>
              <w:right w:val="single" w:sz="8" w:color="auto"/>
            </w:tcBorders>
          </w:tcPr>
          <w:p>
            <w:pPr>
              <w:spacing w:after="0" w:line="90" w:lineRule="exact"/>
              <w:rPr>
                <w:sz w:val="20"/>
                <w:szCs w:val="20"/>
                <w:color w:val="auto"/>
              </w:rPr>
            </w:pPr>
            <w:r>
              <w:rPr>
                <w:rFonts w:ascii="Arial" w:cs="Arial" w:eastAsia="Arial" w:hAnsi="Arial"/>
                <w:sz w:val="10"/>
                <w:szCs w:val="10"/>
                <w:color w:val="auto"/>
              </w:rPr>
              <w:t>Other</w:t>
            </w:r>
          </w:p>
        </w:tc>
        <w:tc>
          <w:tcPr>
            <w:tcW w:w="2280" w:type="dxa"/>
            <w:vAlign w:val="bottom"/>
            <w:tcBorders>
              <w:right w:val="single" w:sz="8" w:color="auto"/>
            </w:tcBorders>
          </w:tcPr>
          <w:p>
            <w:pPr>
              <w:spacing w:after="0" w:line="90" w:lineRule="exact"/>
              <w:rPr>
                <w:sz w:val="20"/>
                <w:szCs w:val="20"/>
                <w:color w:val="auto"/>
              </w:rPr>
            </w:pPr>
            <w:r>
              <w:rPr>
                <w:rFonts w:ascii="Arial" w:cs="Arial" w:eastAsia="Arial" w:hAnsi="Arial"/>
                <w:sz w:val="10"/>
                <w:szCs w:val="10"/>
                <w:color w:val="auto"/>
              </w:rPr>
              <w:t>Units</w:t>
            </w:r>
          </w:p>
        </w:tc>
        <w:tc>
          <w:tcPr>
            <w:tcW w:w="780" w:type="dxa"/>
            <w:vAlign w:val="bottom"/>
            <w:tcBorders>
              <w:right w:val="single" w:sz="8" w:color="auto"/>
            </w:tcBorders>
          </w:tcPr>
          <w:p>
            <w:pPr>
              <w:jc w:val="center"/>
              <w:ind w:right="29"/>
              <w:spacing w:after="0" w:line="90" w:lineRule="exact"/>
              <w:rPr>
                <w:sz w:val="20"/>
                <w:szCs w:val="20"/>
                <w:color w:val="auto"/>
              </w:rPr>
            </w:pPr>
            <w:r>
              <w:rPr>
                <w:rFonts w:ascii="Arial" w:cs="Arial" w:eastAsia="Arial" w:hAnsi="Arial"/>
                <w:sz w:val="10"/>
                <w:szCs w:val="10"/>
                <w:color w:val="auto"/>
                <w:w w:val="95"/>
              </w:rPr>
              <w:t>Rule 456(b)</w:t>
            </w:r>
          </w:p>
        </w:tc>
        <w:tc>
          <w:tcPr>
            <w:tcW w:w="340" w:type="dxa"/>
            <w:vAlign w:val="bottom"/>
          </w:tcPr>
          <w:p>
            <w:pPr>
              <w:jc w:val="center"/>
              <w:ind w:left="129"/>
              <w:spacing w:after="0" w:line="90" w:lineRule="exact"/>
              <w:rPr>
                <w:sz w:val="20"/>
                <w:szCs w:val="20"/>
                <w:color w:val="auto"/>
              </w:rPr>
            </w:pPr>
            <w:r>
              <w:rPr>
                <w:rFonts w:ascii="Arial" w:cs="Arial" w:eastAsia="Arial" w:hAnsi="Arial"/>
                <w:sz w:val="10"/>
                <w:szCs w:val="10"/>
                <w:color w:val="auto"/>
                <w:w w:val="97"/>
              </w:rPr>
              <w:t>(1)</w:t>
            </w:r>
          </w:p>
        </w:tc>
        <w:tc>
          <w:tcPr>
            <w:tcW w:w="2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7"/>
              </w:rPr>
              <w:t>(1)</w:t>
            </w: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color w:val="auto"/>
                <w:w w:val="97"/>
              </w:rPr>
              <w:t>(1)</w:t>
            </w:r>
          </w:p>
        </w:tc>
        <w:tc>
          <w:tcPr>
            <w:tcW w:w="400" w:type="dxa"/>
            <w:vAlign w:val="bottom"/>
          </w:tcPr>
          <w:p>
            <w:pPr>
              <w:spacing w:after="0"/>
              <w:rPr>
                <w:sz w:val="7"/>
                <w:szCs w:val="7"/>
                <w:color w:val="auto"/>
              </w:rPr>
            </w:pPr>
          </w:p>
        </w:tc>
        <w:tc>
          <w:tcPr>
            <w:tcW w:w="160" w:type="dxa"/>
            <w:vAlign w:val="bottom"/>
            <w:tcBorders>
              <w:right w:val="single" w:sz="8" w:color="auto"/>
            </w:tcBorders>
          </w:tcPr>
          <w:p>
            <w:pPr>
              <w:jc w:val="right"/>
              <w:spacing w:after="0" w:line="90" w:lineRule="exact"/>
              <w:rPr>
                <w:sz w:val="20"/>
                <w:szCs w:val="20"/>
                <w:color w:val="auto"/>
              </w:rPr>
            </w:pPr>
            <w:r>
              <w:rPr>
                <w:rFonts w:ascii="Arial" w:cs="Arial" w:eastAsia="Arial" w:hAnsi="Arial"/>
                <w:sz w:val="10"/>
                <w:szCs w:val="10"/>
                <w:color w:val="auto"/>
                <w:w w:val="97"/>
              </w:rPr>
              <w:t>(2)</w:t>
            </w:r>
          </w:p>
        </w:tc>
        <w:tc>
          <w:tcPr>
            <w:tcW w:w="640" w:type="dxa"/>
            <w:vAlign w:val="bottom"/>
          </w:tcPr>
          <w:p>
            <w:pPr>
              <w:spacing w:after="0"/>
              <w:rPr>
                <w:sz w:val="7"/>
                <w:szCs w:val="7"/>
                <w:color w:val="auto"/>
              </w:rPr>
            </w:pPr>
          </w:p>
        </w:tc>
        <w:tc>
          <w:tcPr>
            <w:tcW w:w="160" w:type="dxa"/>
            <w:vAlign w:val="bottom"/>
            <w:tcBorders>
              <w:right w:val="single" w:sz="8" w:color="auto"/>
            </w:tcBorders>
          </w:tcPr>
          <w:p>
            <w:pPr>
              <w:jc w:val="right"/>
              <w:spacing w:after="0" w:line="90" w:lineRule="exact"/>
              <w:rPr>
                <w:sz w:val="20"/>
                <w:szCs w:val="20"/>
                <w:color w:val="auto"/>
              </w:rPr>
            </w:pPr>
            <w:r>
              <w:rPr>
                <w:rFonts w:ascii="Arial" w:cs="Arial" w:eastAsia="Arial" w:hAnsi="Arial"/>
                <w:sz w:val="10"/>
                <w:szCs w:val="10"/>
                <w:color w:val="auto"/>
                <w:w w:val="97"/>
              </w:rPr>
              <w:t>(2)</w:t>
            </w: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94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jc w:val="center"/>
              <w:ind w:right="29"/>
              <w:spacing w:after="0" w:line="111" w:lineRule="exact"/>
              <w:rPr>
                <w:sz w:val="20"/>
                <w:szCs w:val="20"/>
                <w:color w:val="auto"/>
              </w:rPr>
            </w:pPr>
            <w:r>
              <w:rPr>
                <w:rFonts w:ascii="Arial" w:cs="Arial" w:eastAsia="Arial" w:hAnsi="Arial"/>
                <w:sz w:val="10"/>
                <w:szCs w:val="10"/>
                <w:color w:val="auto"/>
                <w:w w:val="94"/>
              </w:rPr>
              <w:t>and Rule</w:t>
            </w:r>
          </w:p>
        </w:tc>
        <w:tc>
          <w:tcPr>
            <w:tcW w:w="3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457(r)</w:t>
            </w: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40" w:type="dxa"/>
            <w:vAlign w:val="bottom"/>
            <w:tcBorders>
              <w:left w:val="single" w:sz="8" w:color="auto"/>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gridSpan w:val="3"/>
          </w:tcPr>
          <w:p>
            <w:pPr>
              <w:jc w:val="center"/>
              <w:ind w:right="469"/>
              <w:spacing w:after="0" w:line="102" w:lineRule="exact"/>
              <w:rPr>
                <w:sz w:val="20"/>
                <w:szCs w:val="20"/>
                <w:color w:val="auto"/>
              </w:rPr>
            </w:pPr>
            <w:r>
              <w:rPr>
                <w:rFonts w:ascii="Arial" w:cs="Arial" w:eastAsia="Arial" w:hAnsi="Arial"/>
                <w:sz w:val="10"/>
                <w:szCs w:val="10"/>
                <w:b w:val="1"/>
                <w:bCs w:val="1"/>
                <w:color w:val="auto"/>
                <w:w w:val="95"/>
              </w:rPr>
              <w:t>Carry Forward Securities</w:t>
            </w: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940" w:type="dxa"/>
            <w:vAlign w:val="bottom"/>
            <w:tcBorders>
              <w:left w:val="single" w:sz="8" w:color="auto"/>
              <w:right w:val="single" w:sz="8" w:color="auto"/>
            </w:tcBorders>
          </w:tcPr>
          <w:p>
            <w:pPr>
              <w:ind w:left="20"/>
              <w:spacing w:after="0" w:line="90" w:lineRule="exact"/>
              <w:rPr>
                <w:sz w:val="20"/>
                <w:szCs w:val="20"/>
                <w:color w:val="auto"/>
              </w:rPr>
            </w:pPr>
            <w:r>
              <w:rPr>
                <w:rFonts w:ascii="Arial" w:cs="Arial" w:eastAsia="Arial" w:hAnsi="Arial"/>
                <w:sz w:val="10"/>
                <w:szCs w:val="10"/>
                <w:color w:val="auto"/>
              </w:rPr>
              <w:t>Carry Forward</w:t>
            </w:r>
          </w:p>
        </w:tc>
        <w:tc>
          <w:tcPr>
            <w:tcW w:w="6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rPr>
              <w:t>—</w:t>
            </w:r>
          </w:p>
        </w:tc>
        <w:tc>
          <w:tcPr>
            <w:tcW w:w="2280" w:type="dxa"/>
            <w:vAlign w:val="bottom"/>
            <w:tcBorders>
              <w:right w:val="single" w:sz="8" w:color="auto"/>
            </w:tcBorders>
          </w:tcPr>
          <w:p>
            <w:pPr>
              <w:jc w:val="center"/>
              <w:ind w:right="9"/>
              <w:spacing w:after="0" w:line="90" w:lineRule="exact"/>
              <w:rPr>
                <w:sz w:val="20"/>
                <w:szCs w:val="20"/>
                <w:color w:val="auto"/>
              </w:rPr>
            </w:pPr>
            <w:r>
              <w:rPr>
                <w:rFonts w:ascii="Arial" w:cs="Arial" w:eastAsia="Arial" w:hAnsi="Arial"/>
                <w:sz w:val="10"/>
                <w:szCs w:val="10"/>
                <w:b w:val="1"/>
                <w:bCs w:val="1"/>
                <w:color w:val="auto"/>
                <w:w w:val="99"/>
              </w:rPr>
              <w:t>—</w:t>
            </w: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99"/>
              </w:rPr>
              <w:t>—</w:t>
            </w:r>
          </w:p>
        </w:tc>
        <w:tc>
          <w:tcPr>
            <w:tcW w:w="340" w:type="dxa"/>
            <w:vAlign w:val="bottom"/>
          </w:tcPr>
          <w:p>
            <w:pPr>
              <w:jc w:val="center"/>
              <w:ind w:left="149"/>
              <w:spacing w:after="0" w:line="90" w:lineRule="exact"/>
              <w:rPr>
                <w:sz w:val="20"/>
                <w:szCs w:val="20"/>
                <w:color w:val="auto"/>
              </w:rPr>
            </w:pPr>
            <w:r>
              <w:rPr>
                <w:rFonts w:ascii="Arial" w:cs="Arial" w:eastAsia="Arial" w:hAnsi="Arial"/>
                <w:sz w:val="10"/>
                <w:szCs w:val="10"/>
                <w:b w:val="1"/>
                <w:bCs w:val="1"/>
                <w:color w:val="auto"/>
                <w:w w:val="99"/>
              </w:rPr>
              <w:t>—</w:t>
            </w:r>
          </w:p>
        </w:tc>
        <w:tc>
          <w:tcPr>
            <w:tcW w:w="2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99"/>
              </w:rPr>
              <w:t>—</w:t>
            </w:r>
          </w:p>
        </w:tc>
        <w:tc>
          <w:tcPr>
            <w:tcW w:w="68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rPr>
              <w:t>—</w:t>
            </w:r>
          </w:p>
        </w:tc>
        <w:tc>
          <w:tcPr>
            <w:tcW w:w="66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99"/>
              </w:rPr>
              <w:t>—</w:t>
            </w:r>
          </w:p>
        </w:tc>
        <w:tc>
          <w:tcPr>
            <w:tcW w:w="100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99"/>
              </w:rPr>
              <w:t>—</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Securities</w:t>
            </w:r>
          </w:p>
        </w:tc>
        <w:tc>
          <w:tcPr>
            <w:tcW w:w="68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40" w:type="dxa"/>
            <w:vAlign w:val="bottom"/>
            <w:tcBorders>
              <w:left w:val="single" w:sz="8" w:color="auto"/>
              <w:bottom w:val="single" w:sz="8" w:color="auto"/>
              <w:right w:val="single" w:sz="8" w:color="auto"/>
            </w:tcBorders>
          </w:tcPr>
          <w:p>
            <w:pPr>
              <w:spacing w:after="0"/>
              <w:rPr>
                <w:sz w:val="8"/>
                <w:szCs w:val="8"/>
                <w:color w:val="auto"/>
              </w:rPr>
            </w:pPr>
          </w:p>
        </w:tc>
        <w:tc>
          <w:tcPr>
            <w:tcW w:w="2960" w:type="dxa"/>
            <w:vAlign w:val="bottom"/>
            <w:tcBorders>
              <w:bottom w:val="single" w:sz="8" w:color="auto"/>
            </w:tcBorders>
            <w:gridSpan w:val="2"/>
          </w:tcPr>
          <w:p>
            <w:pPr>
              <w:spacing w:after="0" w:line="102" w:lineRule="exact"/>
              <w:rPr>
                <w:sz w:val="20"/>
                <w:szCs w:val="20"/>
                <w:color w:val="auto"/>
              </w:rPr>
            </w:pPr>
            <w:r>
              <w:rPr>
                <w:rFonts w:ascii="Arial" w:cs="Arial" w:eastAsia="Arial" w:hAnsi="Arial"/>
                <w:sz w:val="10"/>
                <w:szCs w:val="10"/>
                <w:b w:val="1"/>
                <w:bCs w:val="1"/>
                <w:color w:val="auto"/>
              </w:rPr>
              <w:t>Total Offering Amounts</w:t>
            </w: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jc w:val="center"/>
              <w:ind w:left="89"/>
              <w:spacing w:after="0" w:line="102" w:lineRule="exact"/>
              <w:rPr>
                <w:sz w:val="20"/>
                <w:szCs w:val="20"/>
                <w:color w:val="auto"/>
              </w:rPr>
            </w:pPr>
            <w:r>
              <w:rPr>
                <w:rFonts w:ascii="Arial" w:cs="Arial" w:eastAsia="Arial" w:hAnsi="Arial"/>
                <w:sz w:val="10"/>
                <w:szCs w:val="10"/>
                <w:b w:val="1"/>
                <w:bCs w:val="1"/>
                <w:color w:val="auto"/>
                <w:w w:val="99"/>
              </w:rPr>
              <w:t>—</w:t>
            </w:r>
          </w:p>
        </w:tc>
        <w:tc>
          <w:tcPr>
            <w:tcW w:w="1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940" w:type="dxa"/>
            <w:vAlign w:val="bottom"/>
            <w:tcBorders>
              <w:left w:val="single" w:sz="8" w:color="auto"/>
              <w:bottom w:val="single" w:sz="8" w:color="auto"/>
              <w:right w:val="single" w:sz="8" w:color="auto"/>
            </w:tcBorders>
          </w:tcPr>
          <w:p>
            <w:pPr>
              <w:spacing w:after="0"/>
              <w:rPr>
                <w:sz w:val="8"/>
                <w:szCs w:val="8"/>
                <w:color w:val="auto"/>
              </w:rPr>
            </w:pPr>
          </w:p>
        </w:tc>
        <w:tc>
          <w:tcPr>
            <w:tcW w:w="2960" w:type="dxa"/>
            <w:vAlign w:val="bottom"/>
            <w:tcBorders>
              <w:bottom w:val="single" w:sz="8" w:color="auto"/>
            </w:tcBorders>
            <w:gridSpan w:val="2"/>
          </w:tcPr>
          <w:p>
            <w:pPr>
              <w:spacing w:after="0" w:line="102" w:lineRule="exact"/>
              <w:rPr>
                <w:sz w:val="20"/>
                <w:szCs w:val="20"/>
                <w:color w:val="auto"/>
              </w:rPr>
            </w:pPr>
            <w:r>
              <w:rPr>
                <w:rFonts w:ascii="Arial" w:cs="Arial" w:eastAsia="Arial" w:hAnsi="Arial"/>
                <w:sz w:val="10"/>
                <w:szCs w:val="10"/>
                <w:b w:val="1"/>
                <w:bCs w:val="1"/>
                <w:color w:val="auto"/>
              </w:rPr>
              <w:t>Total Fees Previously Paid</w:t>
            </w: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jc w:val="center"/>
              <w:ind w:left="89"/>
              <w:spacing w:after="0" w:line="102" w:lineRule="exact"/>
              <w:rPr>
                <w:sz w:val="20"/>
                <w:szCs w:val="20"/>
                <w:color w:val="auto"/>
              </w:rPr>
            </w:pPr>
            <w:r>
              <w:rPr>
                <w:rFonts w:ascii="Arial" w:cs="Arial" w:eastAsia="Arial" w:hAnsi="Arial"/>
                <w:sz w:val="10"/>
                <w:szCs w:val="10"/>
                <w:b w:val="1"/>
                <w:bCs w:val="1"/>
                <w:color w:val="auto"/>
                <w:w w:val="99"/>
              </w:rPr>
              <w:t>—</w:t>
            </w:r>
          </w:p>
        </w:tc>
        <w:tc>
          <w:tcPr>
            <w:tcW w:w="1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940" w:type="dxa"/>
            <w:vAlign w:val="bottom"/>
            <w:tcBorders>
              <w:left w:val="single" w:sz="8" w:color="auto"/>
              <w:bottom w:val="single" w:sz="8" w:color="auto"/>
              <w:right w:val="single" w:sz="8" w:color="auto"/>
            </w:tcBorders>
          </w:tcPr>
          <w:p>
            <w:pPr>
              <w:spacing w:after="0"/>
              <w:rPr>
                <w:sz w:val="8"/>
                <w:szCs w:val="8"/>
                <w:color w:val="auto"/>
              </w:rPr>
            </w:pPr>
          </w:p>
        </w:tc>
        <w:tc>
          <w:tcPr>
            <w:tcW w:w="2960" w:type="dxa"/>
            <w:vAlign w:val="bottom"/>
            <w:tcBorders>
              <w:bottom w:val="single" w:sz="8" w:color="auto"/>
            </w:tcBorders>
            <w:gridSpan w:val="2"/>
          </w:tcPr>
          <w:p>
            <w:pPr>
              <w:spacing w:after="0" w:line="102" w:lineRule="exact"/>
              <w:rPr>
                <w:sz w:val="20"/>
                <w:szCs w:val="20"/>
                <w:color w:val="auto"/>
              </w:rPr>
            </w:pPr>
            <w:r>
              <w:rPr>
                <w:rFonts w:ascii="Arial" w:cs="Arial" w:eastAsia="Arial" w:hAnsi="Arial"/>
                <w:sz w:val="10"/>
                <w:szCs w:val="10"/>
                <w:b w:val="1"/>
                <w:bCs w:val="1"/>
                <w:color w:val="auto"/>
              </w:rPr>
              <w:t>Total Fee Offsets</w:t>
            </w: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jc w:val="center"/>
              <w:ind w:left="89"/>
              <w:spacing w:after="0" w:line="102" w:lineRule="exact"/>
              <w:rPr>
                <w:sz w:val="20"/>
                <w:szCs w:val="20"/>
                <w:color w:val="auto"/>
              </w:rPr>
            </w:pPr>
            <w:r>
              <w:rPr>
                <w:rFonts w:ascii="Arial" w:cs="Arial" w:eastAsia="Arial" w:hAnsi="Arial"/>
                <w:sz w:val="10"/>
                <w:szCs w:val="10"/>
                <w:b w:val="1"/>
                <w:bCs w:val="1"/>
                <w:color w:val="auto"/>
                <w:w w:val="99"/>
              </w:rPr>
              <w:t>—</w:t>
            </w:r>
          </w:p>
        </w:tc>
        <w:tc>
          <w:tcPr>
            <w:tcW w:w="1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940" w:type="dxa"/>
            <w:vAlign w:val="bottom"/>
            <w:tcBorders>
              <w:left w:val="single" w:sz="8" w:color="auto"/>
              <w:bottom w:val="single" w:sz="8" w:color="auto"/>
              <w:right w:val="single" w:sz="8" w:color="auto"/>
            </w:tcBorders>
          </w:tcPr>
          <w:p>
            <w:pPr>
              <w:spacing w:after="0"/>
              <w:rPr>
                <w:sz w:val="8"/>
                <w:szCs w:val="8"/>
                <w:color w:val="auto"/>
              </w:rPr>
            </w:pPr>
          </w:p>
        </w:tc>
        <w:tc>
          <w:tcPr>
            <w:tcW w:w="680" w:type="dxa"/>
            <w:vAlign w:val="bottom"/>
            <w:tcBorders>
              <w:bottom w:val="single" w:sz="8" w:color="auto"/>
            </w:tcBorders>
          </w:tcPr>
          <w:p>
            <w:pPr>
              <w:spacing w:after="0" w:line="102" w:lineRule="exact"/>
              <w:rPr>
                <w:sz w:val="20"/>
                <w:szCs w:val="20"/>
                <w:color w:val="auto"/>
              </w:rPr>
            </w:pPr>
            <w:r>
              <w:rPr>
                <w:rFonts w:ascii="Arial" w:cs="Arial" w:eastAsia="Arial" w:hAnsi="Arial"/>
                <w:sz w:val="10"/>
                <w:szCs w:val="10"/>
                <w:b w:val="1"/>
                <w:bCs w:val="1"/>
                <w:color w:val="auto"/>
              </w:rPr>
              <w:t>Net Fee Due</w:t>
            </w:r>
          </w:p>
        </w:tc>
        <w:tc>
          <w:tcPr>
            <w:tcW w:w="2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jc w:val="center"/>
              <w:ind w:left="89"/>
              <w:spacing w:after="0" w:line="102" w:lineRule="exact"/>
              <w:rPr>
                <w:sz w:val="20"/>
                <w:szCs w:val="20"/>
                <w:color w:val="auto"/>
              </w:rPr>
            </w:pPr>
            <w:r>
              <w:rPr>
                <w:rFonts w:ascii="Arial" w:cs="Arial" w:eastAsia="Arial" w:hAnsi="Arial"/>
                <w:sz w:val="10"/>
                <w:szCs w:val="10"/>
                <w:b w:val="1"/>
                <w:bCs w:val="1"/>
                <w:color w:val="auto"/>
                <w:w w:val="99"/>
              </w:rPr>
              <w:t>—</w:t>
            </w:r>
          </w:p>
        </w:tc>
        <w:tc>
          <w:tcPr>
            <w:tcW w:w="1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20" w:hanging="212"/>
        <w:spacing w:after="0" w:line="313" w:lineRule="auto"/>
        <w:tabs>
          <w:tab w:leader="none" w:pos="2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w:t>
      </w:r>
    </w:p>
    <w:p>
      <w:pPr>
        <w:spacing w:after="0" w:line="121" w:lineRule="exact"/>
        <w:rPr>
          <w:rFonts w:ascii="Arial" w:cs="Arial" w:eastAsia="Arial" w:hAnsi="Arial"/>
          <w:sz w:val="13"/>
          <w:szCs w:val="13"/>
          <w:color w:val="auto"/>
        </w:rPr>
      </w:pPr>
    </w:p>
    <w:p>
      <w:pPr>
        <w:ind w:left="220" w:hanging="212"/>
        <w:spacing w:after="0" w:line="266" w:lineRule="auto"/>
        <w:tabs>
          <w:tab w:leader="none" w:pos="2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 accordance with Rules 456(b) and 457(r) under the Securities Act, the registrant is deferring payment of the entire registration fee. Any registration fees will be paid subsequently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5708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sectPr>
      <w:pgSz w:w="11900" w:h="16838" w:orient="portrait"/>
      <w:cols w:equalWidth="0" w:num="1">
        <w:col w:w="11280"/>
      </w:cols>
      <w:pgMar w:left="300" w:top="3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lvl w:ilvl="1">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4E6AFB66"/>
    <w:multiLevelType w:val="hybridMultilevel"/>
    <w:lvl w:ilvl="0">
      <w:lvlJc w:val="left"/>
      <w:lvlText w:val="%1"/>
      <w:numFmt w:val="decimal"/>
      <w:start w:val="1"/>
    </w:lvl>
    <w:lvl w:ilvl="1">
      <w:lvlJc w:val="left"/>
      <w:lvlText w:val="(%2)"/>
      <w:numFmt w:val="lowerRoman"/>
      <w:start w:val="3"/>
    </w:lvl>
  </w:abstractNum>
  <w:abstractNum w:abstractNumId="9">
    <w:nsid w:val="25E45D32"/>
    <w:multiLevelType w:val="hybridMultilevel"/>
    <w:lvl w:ilvl="0">
      <w:lvlJc w:val="left"/>
      <w:lvlText w:val="(%1)"/>
      <w:numFmt w:val="decimal"/>
      <w:start w:val="2"/>
    </w:lvl>
    <w:lvl w:ilvl="1">
      <w:lvlJc w:val="left"/>
      <w:lvlText w:val="(%2)"/>
      <w:numFmt w:val="lowerRoman"/>
      <w:start w:val="1"/>
    </w:lvl>
  </w:abstractNum>
  <w:abstractNum w:abstractNumId="10">
    <w:nsid w:val="519B500D"/>
    <w:multiLevelType w:val="hybridMultilevel"/>
    <w:lvl w:ilvl="0">
      <w:lvlJc w:val="left"/>
      <w:lvlText w:val="%1"/>
      <w:numFmt w:val="lowerLetter"/>
      <w:start w:val="1"/>
    </w:lvl>
    <w:lvl w:ilvl="1">
      <w:lvlJc w:val="left"/>
      <w:lvlText w:val="(%2)"/>
      <w:numFmt w:val="lowerRoman"/>
      <w:start w:val="4"/>
    </w:lvl>
  </w:abstractNum>
  <w:abstractNum w:abstractNumId="11">
    <w:nsid w:val="431BD7B7"/>
    <w:multiLevelType w:val="hybridMultilevel"/>
    <w:lvl w:ilvl="0">
      <w:lvlJc w:val="left"/>
      <w:lvlText w:val="(%1)"/>
      <w:numFmt w:val="lowerLetter"/>
      <w:start w:val="2"/>
    </w:lvl>
    <w:lvl w:ilvl="1">
      <w:lvlJc w:val="left"/>
      <w:lvlText w:val="%2"/>
      <w:numFmt w:val="lowerRoman"/>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Roman"/>
      <w:start w:val="2"/>
    </w:lvl>
  </w:abstractNum>
  <w:abstractNum w:abstractNumId="20">
    <w:nsid w:val="2443A858"/>
    <w:multiLevelType w:val="hybridMultilevel"/>
    <w:lvl w:ilvl="0">
      <w:lvlJc w:val="left"/>
      <w:lvlText w:val="(%1)"/>
      <w:numFmt w:val="decimal"/>
      <w:start w:val="1"/>
    </w:lvl>
    <w:lvl w:ilvl="1">
      <w:lvlJc w:val="left"/>
      <w:lvlText w:val="-"/>
      <w:numFmt w:val="bullet"/>
      <w:start w:val="1"/>
    </w:lvl>
  </w:abstractNum>
  <w:abstractNum w:abstractNumId="21">
    <w:nsid w:val="2D1D5AE9"/>
    <w:multiLevelType w:val="hybridMultilevel"/>
    <w:lvl w:ilvl="0">
      <w:lvlJc w:val="left"/>
      <w:lvlText w:val="(%1)"/>
      <w:numFmt w:val="decimal"/>
      <w:start w:val="8"/>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jpeg"/><Relationship Id="rId72" Type="http://schemas.openxmlformats.org/officeDocument/2006/relationships/image" Target="media/image58.jpeg"/><Relationship Id="rId73" Type="http://schemas.openxmlformats.org/officeDocument/2006/relationships/image" Target="media/image59.png"/><Relationship Id="rId74" Type="http://schemas.openxmlformats.org/officeDocument/2006/relationships/image" Target="media/image60.jpeg"/><Relationship Id="rId75" Type="http://schemas.openxmlformats.org/officeDocument/2006/relationships/image" Target="media/image61.png"/><Relationship Id="rId76" Type="http://schemas.openxmlformats.org/officeDocument/2006/relationships/image" Target="media/image62.jpe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jpe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29" Type="http://schemas.openxmlformats.org/officeDocument/2006/relationships/hyperlink" Target="http://www.sec.gov/ix?doc=/Archives/edgar/data/723125/000072312523000054/mu-20230831.htm" TargetMode="External"/><Relationship Id="rId30" Type="http://schemas.openxmlformats.org/officeDocument/2006/relationships/hyperlink" Target="http://www.sec.gov/ix?doc=/Archives/edgar/data/723125/000072312522000048/mu-20220901.htm" TargetMode="External"/><Relationship Id="rId31" Type="http://schemas.openxmlformats.org/officeDocument/2006/relationships/hyperlink" Target="http://www.sec.gov/Archives/edgar/data/723125/000072312522000063/a2022definitiveproxy.htm" TargetMode="External"/><Relationship Id="rId32" Type="http://schemas.openxmlformats.org/officeDocument/2006/relationships/hyperlink" Target="http://www.sec.gov/Archives/edgar/data/723125/000072312509000145/form8a12b-nasdaq.htm" TargetMode="External"/><Relationship Id="rId49" Type="http://schemas.openxmlformats.org/officeDocument/2006/relationships/hyperlink" Target="http://www.sec.gov/Archives/edgar/data/723125/000110465915004447/a15-3005_2ex99d2.htm" TargetMode="External"/><Relationship Id="rId50" Type="http://schemas.openxmlformats.org/officeDocument/2006/relationships/hyperlink" Target="http://www.sec.gov/Archives/edgar/data/723125/000072312521000018/exhibit31-amendedandrestat.htm" TargetMode="External"/><Relationship Id="rId51" Type="http://schemas.openxmlformats.org/officeDocument/2006/relationships/hyperlink" Target="http://www.sec.gov/Archives/edgar/data/723125/000110465919006069/a18-36862_4ex4d1.htm#Exhibit4_1_0832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2023-11-02T15:51:34Z</dcterms:created>
  <dcterms:modified xsi:type="dcterms:W3CDTF">2023-11-02T15:51:34Z</dcterms:modified>
</cp:coreProperties>
</file>