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0" w:lineRule="exact"/>
        <w:rPr>
          <w:sz w:val="24"/>
          <w:szCs w:val="24"/>
          <w:color w:val="auto"/>
        </w:rPr>
      </w:pPr>
    </w:p>
    <w:p>
      <w:pPr>
        <w:spacing w:after="0" w:line="210" w:lineRule="exact"/>
        <w:rPr>
          <w:sz w:val="24"/>
          <w:szCs w:val="24"/>
          <w:color w:val="auto"/>
        </w:rPr>
      </w:pPr>
    </w:p>
    <w:p>
      <w:pPr>
        <w:ind w:right="4099"/>
        <w:spacing w:after="0" w:line="236" w:lineRule="auto"/>
        <w:rPr>
          <w:sz w:val="20"/>
          <w:szCs w:val="20"/>
          <w:color w:val="auto"/>
        </w:rPr>
      </w:pPr>
      <w:r>
        <w:rPr>
          <w:rFonts w:ascii="Courier New" w:cs="Courier New" w:eastAsia="Courier New" w:hAnsi="Courier New"/>
          <w:sz w:val="18"/>
          <w:szCs w:val="18"/>
          <w:color w:val="auto"/>
        </w:rPr>
        <w:t>INFORMATION TO BE INCLUDED IN STATEMENTS FILED PURSUANT TO RULES 13d-1(b),(c) AND (d) AND AMENDMENTS THERETO FILED PURSUANT TO RULE 13d-2(b)</w:t>
      </w:r>
    </w:p>
    <w:p>
      <w:pPr>
        <w:spacing w:after="0" w:line="203"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8"/>
          <w:szCs w:val="18"/>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MICRON TECHNOLOGY, INC.</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595112103</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2007</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640" w:right="7679"/>
        <w:spacing w:after="0" w:line="279" w:lineRule="auto"/>
        <w:tabs>
          <w:tab w:leader="none" w:pos="106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 (b) [ ] Rule 13d-1 (c) [ ] Rule 13d-1 (d)</w:t>
      </w:r>
    </w:p>
    <w:p>
      <w:pPr>
        <w:spacing w:after="0" w:line="381"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2 of 7</w:t>
      </w:r>
    </w:p>
    <w:p>
      <w:pPr>
        <w:sectPr>
          <w:pgSz w:w="11900" w:h="16838" w:orient="portrait"/>
          <w:cols w:equalWidth="0" w:num="1">
            <w:col w:w="10219"/>
          </w:cols>
          <w:pgMar w:left="240" w:top="244" w:right="1440" w:bottom="0" w:gutter="0" w:footer="0" w:header="0"/>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595112103</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13G</w:t>
      </w:r>
    </w:p>
    <w:p>
      <w:pPr>
        <w:spacing w:after="0" w:line="200" w:lineRule="exact"/>
        <w:rPr>
          <w:sz w:val="24"/>
          <w:szCs w:val="24"/>
          <w:color w:val="auto"/>
        </w:rPr>
      </w:pPr>
    </w:p>
    <w:p>
      <w:pPr>
        <w:sectPr>
          <w:pgSz w:w="11900" w:h="16838" w:orient="portrait"/>
          <w:cols w:equalWidth="0" w:num="3">
            <w:col w:w="960" w:space="320"/>
            <w:col w:w="940" w:space="520"/>
            <w:col w:w="7479"/>
          </w:cols>
          <w:pgMar w:left="240" w:top="244" w:right="1440" w:bottom="0" w:gutter="0" w:footer="0" w:header="0"/>
          <w:type w:val="continuous"/>
        </w:sectPr>
      </w:pPr>
    </w:p>
    <w:p>
      <w:pPr>
        <w:spacing w:after="0" w:line="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NAME OF REPORTING PERSON</w:t>
      </w:r>
    </w:p>
    <w:p>
      <w:pPr>
        <w:ind w:left="120"/>
        <w:spacing w:after="0" w:line="238" w:lineRule="auto"/>
        <w:rPr>
          <w:sz w:val="20"/>
          <w:szCs w:val="20"/>
          <w:color w:val="auto"/>
        </w:rPr>
      </w:pPr>
      <w:r>
        <w:rPr>
          <w:rFonts w:ascii="Courier New" w:cs="Courier New" w:eastAsia="Courier New" w:hAnsi="Courier New"/>
          <w:sz w:val="18"/>
          <w:szCs w:val="18"/>
          <w:color w:val="auto"/>
        </w:rPr>
        <w:t>I.R.S. IDENTIFICATION NO. OF ABOVE PERSON (ENTITIES ONLY)</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(on behalf of its investment advisory subsidiaries - See Item 7)</w:t>
      </w:r>
    </w:p>
    <w:p>
      <w:pPr>
        <w:sectPr>
          <w:pgSz w:w="11900" w:h="16838" w:orient="portrait"/>
          <w:cols w:equalWidth="0" w:num="1">
            <w:col w:w="10219"/>
          </w:cols>
          <w:pgMar w:left="240" w:top="244" w:right="1440" w:bottom="0" w:gutter="0" w:footer="0" w:header="0"/>
          <w:type w:val="continuous"/>
        </w:sectPr>
      </w:pP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 CHECK THE APPROPRIATE BOX IF A MEMBER OF A GROUP Joint Filing</w:t>
      </w:r>
    </w:p>
    <w:p>
      <w:pPr>
        <w:spacing w:after="0" w:line="218" w:lineRule="exact"/>
        <w:rPr>
          <w:sz w:val="24"/>
          <w:szCs w:val="24"/>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2" w:lineRule="exact"/>
        <w:rPr>
          <w:sz w:val="24"/>
          <w:szCs w:val="24"/>
          <w:color w:val="auto"/>
        </w:rPr>
      </w:pPr>
    </w:p>
    <w:p>
      <w:pPr>
        <w:ind w:left="320" w:hanging="312"/>
        <w:spacing w:after="0"/>
        <w:tabs>
          <w:tab w:leader="none" w:pos="3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right="6099" w:firstLine="8"/>
        <w:spacing w:after="0" w:line="470" w:lineRule="auto"/>
        <w:tabs>
          <w:tab w:leader="none" w:pos="31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NUMBER OF SHARES BENEFICALLY OWNED BY EACH REPORTING PERSON WITH</w:t>
      </w:r>
    </w:p>
    <w:p>
      <w:pPr>
        <w:sectPr>
          <w:pgSz w:w="11900" w:h="16838" w:orient="portrait"/>
          <w:cols w:equalWidth="0" w:num="1">
            <w:col w:w="10219"/>
          </w:cols>
          <w:pgMar w:left="240" w:top="244" w:right="1440" w:bottom="0" w:gutter="0" w:footer="0" w:header="0"/>
          <w:type w:val="continuous"/>
        </w:sectPr>
      </w:pPr>
    </w:p>
    <w:bookmarkStart w:id="1" w:name="page2"/>
    <w:bookmarkEnd w:id="1"/>
    <w:p>
      <w:pPr>
        <w:ind w:right="8099" w:firstLine="8"/>
        <w:spacing w:after="0" w:line="470"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NONE</w:t>
      </w:r>
    </w:p>
    <w:p>
      <w:pPr>
        <w:spacing w:after="0" w:line="11" w:lineRule="exact"/>
        <w:rPr>
          <w:rFonts w:ascii="Courier New" w:cs="Courier New" w:eastAsia="Courier New" w:hAnsi="Courier New"/>
          <w:sz w:val="18"/>
          <w:szCs w:val="18"/>
          <w:color w:val="auto"/>
        </w:rPr>
      </w:pPr>
    </w:p>
    <w:p>
      <w:pPr>
        <w:ind w:right="7899" w:firstLine="8"/>
        <w:spacing w:after="0" w:line="470"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52,224,022</w:t>
      </w:r>
    </w:p>
    <w:p>
      <w:pPr>
        <w:spacing w:after="0" w:line="11" w:lineRule="exact"/>
        <w:rPr>
          <w:rFonts w:ascii="Courier New" w:cs="Courier New" w:eastAsia="Courier New" w:hAnsi="Courier New"/>
          <w:sz w:val="18"/>
          <w:szCs w:val="18"/>
          <w:color w:val="auto"/>
        </w:rPr>
      </w:pPr>
    </w:p>
    <w:p>
      <w:pPr>
        <w:ind w:right="7579" w:firstLine="8"/>
        <w:spacing w:after="0" w:line="470"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NONE</w:t>
      </w:r>
    </w:p>
    <w:p>
      <w:pPr>
        <w:spacing w:after="0" w:line="11" w:lineRule="exact"/>
        <w:rPr>
          <w:rFonts w:ascii="Courier New" w:cs="Courier New" w:eastAsia="Courier New" w:hAnsi="Courier New"/>
          <w:sz w:val="18"/>
          <w:szCs w:val="18"/>
          <w:color w:val="auto"/>
        </w:rPr>
      </w:pPr>
    </w:p>
    <w:p>
      <w:pPr>
        <w:ind w:right="7359" w:firstLine="8"/>
        <w:spacing w:after="0" w:line="470"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52,224,022</w:t>
      </w:r>
    </w:p>
    <w:p>
      <w:pPr>
        <w:spacing w:after="0" w:line="11" w:lineRule="exact"/>
        <w:rPr>
          <w:rFonts w:ascii="Courier New" w:cs="Courier New" w:eastAsia="Courier New" w:hAnsi="Courier New"/>
          <w:sz w:val="18"/>
          <w:szCs w:val="18"/>
          <w:color w:val="auto"/>
        </w:rPr>
      </w:pPr>
    </w:p>
    <w:p>
      <w:pPr>
        <w:ind w:right="2619" w:firstLine="8"/>
        <w:spacing w:after="0" w:line="536" w:lineRule="auto"/>
        <w:tabs>
          <w:tab w:leader="none" w:pos="316"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52,224,022 (ownership disclaimed pursuant to Rule 13d-4 of the 1934 Act)</w:t>
      </w: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w:t>
      </w:r>
    </w:p>
    <w:p>
      <w:pPr>
        <w:spacing w:after="0" w:line="207" w:lineRule="exact"/>
        <w:rPr>
          <w:sz w:val="20"/>
          <w:szCs w:val="20"/>
          <w:color w:val="auto"/>
        </w:rPr>
      </w:pPr>
    </w:p>
    <w:p>
      <w:pPr>
        <w:ind w:right="4839" w:firstLine="8"/>
        <w:spacing w:after="0" w:line="470" w:lineRule="auto"/>
        <w:tabs>
          <w:tab w:leader="none" w:pos="42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6.87%</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HC, CO</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20"/>
                <w:szCs w:val="20"/>
                <w:color w:val="auto"/>
              </w:rPr>
            </w:pPr>
            <w:r>
              <w:rPr>
                <w:rFonts w:ascii="Courier New" w:cs="Courier New" w:eastAsia="Courier New" w:hAnsi="Courier New"/>
                <w:sz w:val="18"/>
                <w:szCs w:val="18"/>
                <w:color w:val="auto"/>
                <w:w w:val="95"/>
              </w:rPr>
              <w:t>Page 3</w:t>
            </w:r>
          </w:p>
        </w:tc>
        <w:tc>
          <w:tcPr>
            <w:tcW w:w="70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of 7</w:t>
            </w:r>
          </w:p>
        </w:tc>
      </w:tr>
      <w:tr>
        <w:trPr>
          <w:trHeight w:val="608"/>
        </w:trPr>
        <w:tc>
          <w:tcPr>
            <w:tcW w:w="640" w:type="dxa"/>
            <w:vAlign w:val="bottom"/>
          </w:tcPr>
          <w:p>
            <w:pPr>
              <w:spacing w:after="0"/>
              <w:rPr>
                <w:sz w:val="20"/>
                <w:szCs w:val="20"/>
                <w:color w:val="auto"/>
              </w:rPr>
            </w:pPr>
            <w:r>
              <w:rPr>
                <w:rFonts w:ascii="Courier New" w:cs="Courier New" w:eastAsia="Courier New" w:hAnsi="Courier New"/>
                <w:sz w:val="18"/>
                <w:szCs w:val="18"/>
                <w:color w:val="auto"/>
                <w:w w:val="95"/>
              </w:rPr>
              <w:t>ITEM 1</w:t>
            </w:r>
          </w:p>
        </w:tc>
        <w:tc>
          <w:tcPr>
            <w:tcW w:w="420" w:type="dxa"/>
            <w:vAlign w:val="bottom"/>
          </w:tcPr>
          <w:p>
            <w:pPr>
              <w:ind w:left="100"/>
              <w:spacing w:after="0"/>
              <w:rPr>
                <w:sz w:val="20"/>
                <w:szCs w:val="20"/>
                <w:color w:val="auto"/>
              </w:rPr>
            </w:pPr>
            <w:r>
              <w:rPr>
                <w:rFonts w:ascii="Courier New" w:cs="Courier New" w:eastAsia="Courier New" w:hAnsi="Courier New"/>
                <w:sz w:val="18"/>
                <w:szCs w:val="18"/>
                <w:color w:val="auto"/>
                <w:w w:val="92"/>
              </w:rPr>
              <w:t>(a)</w:t>
            </w:r>
          </w:p>
        </w:tc>
        <w:tc>
          <w:tcPr>
            <w:tcW w:w="6640" w:type="dxa"/>
            <w:vAlign w:val="bottom"/>
          </w:tcPr>
          <w:p>
            <w:pPr>
              <w:ind w:left="100"/>
              <w:spacing w:after="0"/>
              <w:rPr>
                <w:sz w:val="20"/>
                <w:szCs w:val="20"/>
                <w:color w:val="auto"/>
              </w:rPr>
            </w:pPr>
            <w:r>
              <w:rPr>
                <w:rFonts w:ascii="Courier New" w:cs="Courier New" w:eastAsia="Courier New" w:hAnsi="Courier New"/>
                <w:sz w:val="18"/>
                <w:szCs w:val="18"/>
                <w:color w:val="auto"/>
              </w:rPr>
              <w:t>Name of Issuer:</w:t>
            </w:r>
          </w:p>
        </w:tc>
      </w:tr>
      <w:tr>
        <w:trPr>
          <w:trHeight w:val="203"/>
        </w:trPr>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640" w:type="dxa"/>
            <w:vAlign w:val="bottom"/>
          </w:tcPr>
          <w:p>
            <w:pPr>
              <w:spacing w:after="0"/>
              <w:rPr>
                <w:sz w:val="24"/>
                <w:szCs w:val="24"/>
                <w:color w:val="auto"/>
              </w:rPr>
            </w:pPr>
          </w:p>
        </w:tc>
        <w:tc>
          <w:tcPr>
            <w:tcW w:w="7060" w:type="dxa"/>
            <w:vAlign w:val="bottom"/>
            <w:gridSpan w:val="2"/>
          </w:tcPr>
          <w:p>
            <w:pPr>
              <w:spacing w:after="0"/>
              <w:rPr>
                <w:sz w:val="20"/>
                <w:szCs w:val="20"/>
                <w:color w:val="auto"/>
              </w:rPr>
            </w:pPr>
            <w:r>
              <w:rPr>
                <w:rFonts w:ascii="Courier New" w:cs="Courier New" w:eastAsia="Courier New" w:hAnsi="Courier New"/>
                <w:sz w:val="18"/>
                <w:szCs w:val="18"/>
                <w:color w:val="auto"/>
              </w:rPr>
              <w:t>MICRON TECHNOLOGY, INC.  (the "Company")</w:t>
            </w:r>
          </w:p>
        </w:tc>
      </w:tr>
      <w:tr>
        <w:trPr>
          <w:trHeight w:val="608"/>
        </w:trPr>
        <w:tc>
          <w:tcPr>
            <w:tcW w:w="640" w:type="dxa"/>
            <w:vAlign w:val="bottom"/>
          </w:tcPr>
          <w:p>
            <w:pPr>
              <w:spacing w:after="0"/>
              <w:rPr>
                <w:sz w:val="20"/>
                <w:szCs w:val="20"/>
                <w:color w:val="auto"/>
              </w:rPr>
            </w:pPr>
            <w:r>
              <w:rPr>
                <w:rFonts w:ascii="Courier New" w:cs="Courier New" w:eastAsia="Courier New" w:hAnsi="Courier New"/>
                <w:sz w:val="18"/>
                <w:szCs w:val="18"/>
                <w:color w:val="auto"/>
                <w:w w:val="95"/>
              </w:rPr>
              <w:t>ITEM 1</w:t>
            </w:r>
          </w:p>
        </w:tc>
        <w:tc>
          <w:tcPr>
            <w:tcW w:w="420" w:type="dxa"/>
            <w:vAlign w:val="bottom"/>
          </w:tcPr>
          <w:p>
            <w:pPr>
              <w:ind w:left="100"/>
              <w:spacing w:after="0"/>
              <w:rPr>
                <w:sz w:val="20"/>
                <w:szCs w:val="20"/>
                <w:color w:val="auto"/>
              </w:rPr>
            </w:pPr>
            <w:r>
              <w:rPr>
                <w:rFonts w:ascii="Courier New" w:cs="Courier New" w:eastAsia="Courier New" w:hAnsi="Courier New"/>
                <w:sz w:val="18"/>
                <w:szCs w:val="18"/>
                <w:color w:val="auto"/>
                <w:w w:val="92"/>
              </w:rPr>
              <w:t>(b)</w:t>
            </w:r>
          </w:p>
        </w:tc>
        <w:tc>
          <w:tcPr>
            <w:tcW w:w="6640" w:type="dxa"/>
            <w:vAlign w:val="bottom"/>
          </w:tcPr>
          <w:p>
            <w:pPr>
              <w:ind w:left="10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203"/>
        </w:trPr>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40" w:type="dxa"/>
            <w:vAlign w:val="bottom"/>
          </w:tcPr>
          <w:p>
            <w:pPr>
              <w:ind w:left="640"/>
              <w:spacing w:after="0"/>
              <w:rPr>
                <w:sz w:val="20"/>
                <w:szCs w:val="20"/>
                <w:color w:val="auto"/>
              </w:rPr>
            </w:pPr>
            <w:r>
              <w:rPr>
                <w:rFonts w:ascii="Courier New" w:cs="Courier New" w:eastAsia="Courier New" w:hAnsi="Courier New"/>
                <w:sz w:val="18"/>
                <w:szCs w:val="18"/>
                <w:color w:val="auto"/>
              </w:rPr>
              <w:t>8000 South Federal Way</w:t>
            </w:r>
          </w:p>
        </w:tc>
      </w:tr>
      <w:tr>
        <w:trPr>
          <w:trHeight w:val="203"/>
        </w:trPr>
        <w:tc>
          <w:tcPr>
            <w:tcW w:w="640" w:type="dxa"/>
            <w:vAlign w:val="bottom"/>
          </w:tcPr>
          <w:p>
            <w:pPr>
              <w:spacing w:after="0"/>
              <w:rPr>
                <w:sz w:val="17"/>
                <w:szCs w:val="17"/>
                <w:color w:val="auto"/>
              </w:rPr>
            </w:pPr>
          </w:p>
        </w:tc>
        <w:tc>
          <w:tcPr>
            <w:tcW w:w="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83"/>
              </w:rPr>
              <w:t>PO</w:t>
            </w:r>
          </w:p>
        </w:tc>
        <w:tc>
          <w:tcPr>
            <w:tcW w:w="6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Box 6</w:t>
            </w:r>
          </w:p>
        </w:tc>
      </w:tr>
      <w:tr>
        <w:trPr>
          <w:trHeight w:val="203"/>
        </w:trPr>
        <w:tc>
          <w:tcPr>
            <w:tcW w:w="640" w:type="dxa"/>
            <w:vAlign w:val="bottom"/>
          </w:tcPr>
          <w:p>
            <w:pPr>
              <w:spacing w:after="0"/>
              <w:rPr>
                <w:sz w:val="17"/>
                <w:szCs w:val="17"/>
                <w:color w:val="auto"/>
              </w:rPr>
            </w:pPr>
          </w:p>
        </w:tc>
        <w:tc>
          <w:tcPr>
            <w:tcW w:w="7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Boise, ID 83707</w:t>
            </w:r>
          </w:p>
        </w:tc>
      </w:tr>
      <w:tr>
        <w:trPr>
          <w:trHeight w:val="608"/>
        </w:trPr>
        <w:tc>
          <w:tcPr>
            <w:tcW w:w="640" w:type="dxa"/>
            <w:vAlign w:val="bottom"/>
          </w:tcPr>
          <w:p>
            <w:pPr>
              <w:spacing w:after="0"/>
              <w:rPr>
                <w:sz w:val="20"/>
                <w:szCs w:val="20"/>
                <w:color w:val="auto"/>
              </w:rPr>
            </w:pPr>
            <w:r>
              <w:rPr>
                <w:rFonts w:ascii="Courier New" w:cs="Courier New" w:eastAsia="Courier New" w:hAnsi="Courier New"/>
                <w:sz w:val="18"/>
                <w:szCs w:val="18"/>
                <w:color w:val="auto"/>
                <w:w w:val="95"/>
              </w:rPr>
              <w:t>ITEM 2</w:t>
            </w:r>
          </w:p>
        </w:tc>
        <w:tc>
          <w:tcPr>
            <w:tcW w:w="420" w:type="dxa"/>
            <w:vAlign w:val="bottom"/>
          </w:tcPr>
          <w:p>
            <w:pPr>
              <w:ind w:left="100"/>
              <w:spacing w:after="0"/>
              <w:rPr>
                <w:sz w:val="20"/>
                <w:szCs w:val="20"/>
                <w:color w:val="auto"/>
              </w:rPr>
            </w:pPr>
            <w:r>
              <w:rPr>
                <w:rFonts w:ascii="Courier New" w:cs="Courier New" w:eastAsia="Courier New" w:hAnsi="Courier New"/>
                <w:sz w:val="18"/>
                <w:szCs w:val="18"/>
                <w:color w:val="auto"/>
                <w:w w:val="92"/>
              </w:rPr>
              <w:t>(a)</w:t>
            </w:r>
          </w:p>
        </w:tc>
        <w:tc>
          <w:tcPr>
            <w:tcW w:w="6640" w:type="dxa"/>
            <w:vAlign w:val="bottom"/>
          </w:tcPr>
          <w:p>
            <w:pPr>
              <w:ind w:left="100"/>
              <w:spacing w:after="0"/>
              <w:rPr>
                <w:sz w:val="20"/>
                <w:szCs w:val="20"/>
                <w:color w:val="auto"/>
              </w:rPr>
            </w:pPr>
            <w:r>
              <w:rPr>
                <w:rFonts w:ascii="Courier New" w:cs="Courier New" w:eastAsia="Courier New" w:hAnsi="Courier New"/>
                <w:sz w:val="18"/>
                <w:szCs w:val="18"/>
                <w:color w:val="auto"/>
              </w:rPr>
              <w:t>Name of Person Filing:</w:t>
            </w:r>
          </w:p>
        </w:tc>
      </w:tr>
      <w:tr>
        <w:trPr>
          <w:trHeight w:val="203"/>
        </w:trPr>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0" w:type="dxa"/>
            <w:vAlign w:val="bottom"/>
          </w:tcPr>
          <w:p>
            <w:pPr>
              <w:spacing w:after="0"/>
              <w:rPr>
                <w:sz w:val="24"/>
                <w:szCs w:val="24"/>
                <w:color w:val="auto"/>
              </w:rPr>
            </w:pPr>
          </w:p>
        </w:tc>
        <w:tc>
          <w:tcPr>
            <w:tcW w:w="706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BlackRock, Inc.</w:t>
            </w:r>
          </w:p>
        </w:tc>
      </w:tr>
      <w:tr>
        <w:trPr>
          <w:trHeight w:val="203"/>
        </w:trPr>
        <w:tc>
          <w:tcPr>
            <w:tcW w:w="640" w:type="dxa"/>
            <w:vAlign w:val="bottom"/>
          </w:tcPr>
          <w:p>
            <w:pPr>
              <w:spacing w:after="0"/>
              <w:rPr>
                <w:sz w:val="17"/>
                <w:szCs w:val="17"/>
                <w:color w:val="auto"/>
              </w:rPr>
            </w:pPr>
          </w:p>
        </w:tc>
        <w:tc>
          <w:tcPr>
            <w:tcW w:w="70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(on behalf of its investment advisory subsidiaries - See Item 7)</w:t>
            </w:r>
          </w:p>
        </w:tc>
      </w:tr>
      <w:tr>
        <w:trPr>
          <w:trHeight w:val="810"/>
        </w:trPr>
        <w:tc>
          <w:tcPr>
            <w:tcW w:w="640" w:type="dxa"/>
            <w:vAlign w:val="bottom"/>
          </w:tcPr>
          <w:p>
            <w:pPr>
              <w:spacing w:after="0"/>
              <w:rPr>
                <w:sz w:val="20"/>
                <w:szCs w:val="20"/>
                <w:color w:val="auto"/>
              </w:rPr>
            </w:pPr>
            <w:r>
              <w:rPr>
                <w:rFonts w:ascii="Courier New" w:cs="Courier New" w:eastAsia="Courier New" w:hAnsi="Courier New"/>
                <w:sz w:val="18"/>
                <w:szCs w:val="18"/>
                <w:color w:val="auto"/>
                <w:w w:val="95"/>
              </w:rPr>
              <w:t>ITEM 2</w:t>
            </w:r>
          </w:p>
        </w:tc>
        <w:tc>
          <w:tcPr>
            <w:tcW w:w="420" w:type="dxa"/>
            <w:vAlign w:val="bottom"/>
          </w:tcPr>
          <w:p>
            <w:pPr>
              <w:ind w:left="100"/>
              <w:spacing w:after="0"/>
              <w:rPr>
                <w:sz w:val="20"/>
                <w:szCs w:val="20"/>
                <w:color w:val="auto"/>
              </w:rPr>
            </w:pPr>
            <w:r>
              <w:rPr>
                <w:rFonts w:ascii="Courier New" w:cs="Courier New" w:eastAsia="Courier New" w:hAnsi="Courier New"/>
                <w:sz w:val="18"/>
                <w:szCs w:val="18"/>
                <w:color w:val="auto"/>
                <w:w w:val="92"/>
              </w:rPr>
              <w:t>(b)</w:t>
            </w:r>
          </w:p>
        </w:tc>
        <w:tc>
          <w:tcPr>
            <w:tcW w:w="6640" w:type="dxa"/>
            <w:vAlign w:val="bottom"/>
          </w:tcPr>
          <w:p>
            <w:pPr>
              <w:ind w:left="100"/>
              <w:spacing w:after="0"/>
              <w:rPr>
                <w:sz w:val="20"/>
                <w:szCs w:val="20"/>
                <w:color w:val="auto"/>
              </w:rPr>
            </w:pPr>
            <w:r>
              <w:rPr>
                <w:rFonts w:ascii="Courier New" w:cs="Courier New" w:eastAsia="Courier New" w:hAnsi="Courier New"/>
                <w:sz w:val="18"/>
                <w:szCs w:val="18"/>
                <w:color w:val="auto"/>
              </w:rPr>
              <w:t>Address of Principal Business Office or, if none, Residence:</w:t>
            </w:r>
          </w:p>
        </w:tc>
      </w:tr>
      <w:tr>
        <w:trPr>
          <w:trHeight w:val="203"/>
        </w:trPr>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BlackRock,</w:t>
            </w:r>
          </w:p>
        </w:tc>
        <w:tc>
          <w:tcPr>
            <w:tcW w:w="6640" w:type="dxa"/>
            <w:vAlign w:val="bottom"/>
          </w:tcPr>
          <w:p>
            <w:pPr>
              <w:ind w:left="100"/>
              <w:spacing w:after="0"/>
              <w:rPr>
                <w:sz w:val="20"/>
                <w:szCs w:val="20"/>
                <w:color w:val="auto"/>
              </w:rPr>
            </w:pPr>
            <w:r>
              <w:rPr>
                <w:rFonts w:ascii="Courier New" w:cs="Courier New" w:eastAsia="Courier New" w:hAnsi="Courier New"/>
                <w:sz w:val="18"/>
                <w:szCs w:val="18"/>
                <w:color w:val="auto"/>
              </w:rPr>
              <w:t>Inc.</w:t>
            </w:r>
          </w:p>
        </w:tc>
      </w:tr>
      <w:tr>
        <w:trPr>
          <w:trHeight w:val="203"/>
        </w:trPr>
        <w:tc>
          <w:tcPr>
            <w:tcW w:w="77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40 East 52nd Street</w:t>
            </w:r>
          </w:p>
        </w:tc>
      </w:tr>
      <w:tr>
        <w:trPr>
          <w:trHeight w:val="203"/>
        </w:trPr>
        <w:tc>
          <w:tcPr>
            <w:tcW w:w="77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New York, NY 10022</w:t>
            </w:r>
          </w:p>
        </w:tc>
      </w:tr>
      <w:tr>
        <w:trPr>
          <w:trHeight w:val="608"/>
        </w:trPr>
        <w:tc>
          <w:tcPr>
            <w:tcW w:w="640" w:type="dxa"/>
            <w:vAlign w:val="bottom"/>
          </w:tcPr>
          <w:p>
            <w:pPr>
              <w:spacing w:after="0"/>
              <w:rPr>
                <w:sz w:val="20"/>
                <w:szCs w:val="20"/>
                <w:color w:val="auto"/>
              </w:rPr>
            </w:pPr>
            <w:r>
              <w:rPr>
                <w:rFonts w:ascii="Courier New" w:cs="Courier New" w:eastAsia="Courier New" w:hAnsi="Courier New"/>
                <w:sz w:val="18"/>
                <w:szCs w:val="18"/>
                <w:color w:val="auto"/>
                <w:w w:val="95"/>
              </w:rPr>
              <w:t>ITEM 2</w:t>
            </w:r>
          </w:p>
        </w:tc>
        <w:tc>
          <w:tcPr>
            <w:tcW w:w="420" w:type="dxa"/>
            <w:vAlign w:val="bottom"/>
          </w:tcPr>
          <w:p>
            <w:pPr>
              <w:ind w:left="100"/>
              <w:spacing w:after="0"/>
              <w:rPr>
                <w:sz w:val="20"/>
                <w:szCs w:val="20"/>
                <w:color w:val="auto"/>
              </w:rPr>
            </w:pPr>
            <w:r>
              <w:rPr>
                <w:rFonts w:ascii="Courier New" w:cs="Courier New" w:eastAsia="Courier New" w:hAnsi="Courier New"/>
                <w:sz w:val="18"/>
                <w:szCs w:val="18"/>
                <w:color w:val="auto"/>
                <w:w w:val="92"/>
              </w:rPr>
              <w:t>(c)</w:t>
            </w:r>
          </w:p>
        </w:tc>
        <w:tc>
          <w:tcPr>
            <w:tcW w:w="6640" w:type="dxa"/>
            <w:vAlign w:val="bottom"/>
          </w:tcPr>
          <w:p>
            <w:pPr>
              <w:ind w:left="100"/>
              <w:spacing w:after="0"/>
              <w:rPr>
                <w:sz w:val="20"/>
                <w:szCs w:val="20"/>
                <w:color w:val="auto"/>
              </w:rPr>
            </w:pPr>
            <w:r>
              <w:rPr>
                <w:rFonts w:ascii="Courier New" w:cs="Courier New" w:eastAsia="Courier New" w:hAnsi="Courier New"/>
                <w:sz w:val="18"/>
                <w:szCs w:val="18"/>
                <w:color w:val="auto"/>
              </w:rPr>
              <w:t>Citizenship:</w:t>
            </w:r>
          </w:p>
        </w:tc>
      </w:tr>
      <w:tr>
        <w:trPr>
          <w:trHeight w:val="203"/>
        </w:trPr>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See Item 4</w:t>
            </w:r>
          </w:p>
        </w:tc>
        <w:tc>
          <w:tcPr>
            <w:tcW w:w="6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 Cover Page</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w w:val="95"/>
              </w:rPr>
              <w:t>ITEM 2</w:t>
            </w:r>
          </w:p>
        </w:tc>
        <w:tc>
          <w:tcPr>
            <w:tcW w:w="420" w:type="dxa"/>
            <w:vAlign w:val="bottom"/>
          </w:tcPr>
          <w:p>
            <w:pPr>
              <w:ind w:left="100"/>
              <w:spacing w:after="0"/>
              <w:rPr>
                <w:sz w:val="20"/>
                <w:szCs w:val="20"/>
                <w:color w:val="auto"/>
              </w:rPr>
            </w:pPr>
            <w:r>
              <w:rPr>
                <w:rFonts w:ascii="Courier New" w:cs="Courier New" w:eastAsia="Courier New" w:hAnsi="Courier New"/>
                <w:sz w:val="18"/>
                <w:szCs w:val="18"/>
                <w:color w:val="auto"/>
                <w:w w:val="92"/>
              </w:rPr>
              <w:t>(d)</w:t>
            </w:r>
          </w:p>
        </w:tc>
        <w:tc>
          <w:tcPr>
            <w:tcW w:w="6640" w:type="dxa"/>
            <w:vAlign w:val="bottom"/>
          </w:tcPr>
          <w:p>
            <w:pPr>
              <w:ind w:left="100"/>
              <w:spacing w:after="0"/>
              <w:rPr>
                <w:sz w:val="20"/>
                <w:szCs w:val="20"/>
                <w:color w:val="auto"/>
              </w:rPr>
            </w:pPr>
            <w:r>
              <w:rPr>
                <w:rFonts w:ascii="Courier New" w:cs="Courier New" w:eastAsia="Courier New" w:hAnsi="Courier New"/>
                <w:sz w:val="18"/>
                <w:szCs w:val="18"/>
                <w:color w:val="auto"/>
              </w:rPr>
              <w:t>Title of Class Securities:</w:t>
            </w:r>
          </w:p>
        </w:tc>
      </w:tr>
      <w:tr>
        <w:trPr>
          <w:trHeight w:val="203"/>
        </w:trPr>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w w:val="95"/>
              </w:rPr>
              <w:t>Common</w:t>
            </w:r>
          </w:p>
        </w:tc>
        <w:tc>
          <w:tcPr>
            <w:tcW w:w="70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Stock</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w w:val="95"/>
              </w:rPr>
              <w:t>ITEM 2</w:t>
            </w:r>
          </w:p>
        </w:tc>
        <w:tc>
          <w:tcPr>
            <w:tcW w:w="420" w:type="dxa"/>
            <w:vAlign w:val="bottom"/>
          </w:tcPr>
          <w:p>
            <w:pPr>
              <w:ind w:left="100"/>
              <w:spacing w:after="0"/>
              <w:rPr>
                <w:sz w:val="20"/>
                <w:szCs w:val="20"/>
                <w:color w:val="auto"/>
              </w:rPr>
            </w:pPr>
            <w:r>
              <w:rPr>
                <w:rFonts w:ascii="Courier New" w:cs="Courier New" w:eastAsia="Courier New" w:hAnsi="Courier New"/>
                <w:sz w:val="18"/>
                <w:szCs w:val="18"/>
                <w:color w:val="auto"/>
                <w:w w:val="92"/>
              </w:rPr>
              <w:t>(e)</w:t>
            </w:r>
          </w:p>
        </w:tc>
        <w:tc>
          <w:tcPr>
            <w:tcW w:w="6640" w:type="dxa"/>
            <w:vAlign w:val="bottom"/>
          </w:tcPr>
          <w:p>
            <w:pPr>
              <w:ind w:left="100"/>
              <w:spacing w:after="0"/>
              <w:rPr>
                <w:sz w:val="20"/>
                <w:szCs w:val="20"/>
                <w:color w:val="auto"/>
              </w:rPr>
            </w:pPr>
            <w:r>
              <w:rPr>
                <w:rFonts w:ascii="Courier New" w:cs="Courier New" w:eastAsia="Courier New" w:hAnsi="Courier New"/>
                <w:sz w:val="18"/>
                <w:szCs w:val="18"/>
                <w:color w:val="auto"/>
              </w:rPr>
              <w:t>CUSIP NUMBER:</w:t>
            </w:r>
          </w:p>
        </w:tc>
      </w:tr>
    </w:tbl>
    <w:p>
      <w:pPr>
        <w:sectPr>
          <w:pgSz w:w="11900" w:h="16838" w:orient="portrait"/>
          <w:cols w:equalWidth="0" w:num="1">
            <w:col w:w="10219"/>
          </w:cols>
          <w:pgMar w:left="240" w:top="142"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4 of 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If this statement is filed pursuant to SS 240.13d-1(b) or</w:t>
      </w:r>
    </w:p>
    <w:p>
      <w:pPr>
        <w:ind w:left="860"/>
        <w:spacing w:after="0" w:line="238" w:lineRule="auto"/>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207" w:lineRule="exact"/>
        <w:rPr>
          <w:sz w:val="20"/>
          <w:szCs w:val="20"/>
          <w:color w:val="auto"/>
        </w:rPr>
      </w:pPr>
    </w:p>
    <w:p>
      <w:pPr>
        <w:ind w:left="420" w:hanging="412"/>
        <w:spacing w:after="0"/>
        <w:tabs>
          <w:tab w:leader="none" w:pos="4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Broker or dealer registered under Section 15 of the Act (15 U.S.C 78c),</w:t>
      </w:r>
    </w:p>
    <w:p>
      <w:pPr>
        <w:spacing w:after="0" w:line="16" w:lineRule="exact"/>
        <w:rPr>
          <w:rFonts w:ascii="Courier New" w:cs="Courier New" w:eastAsia="Courier New" w:hAnsi="Courier New"/>
          <w:sz w:val="16"/>
          <w:szCs w:val="16"/>
          <w:color w:val="auto"/>
        </w:rPr>
      </w:pPr>
    </w:p>
    <w:p>
      <w:pPr>
        <w:ind w:left="420" w:hanging="412"/>
        <w:spacing w:after="0" w:line="238"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 (6) of the Act (15 U.S.C 78c),</w:t>
      </w:r>
    </w:p>
    <w:p>
      <w:pPr>
        <w:ind w:left="420" w:hanging="412"/>
        <w:spacing w:after="0" w:line="238"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 (19) of the Act</w:t>
      </w:r>
    </w:p>
    <w:p>
      <w:pPr>
        <w:spacing w:after="0" w:line="207" w:lineRule="exact"/>
        <w:rPr>
          <w:sz w:val="20"/>
          <w:szCs w:val="20"/>
          <w:color w:val="auto"/>
        </w:rPr>
      </w:pPr>
    </w:p>
    <w:p>
      <w:pPr>
        <w:ind w:left="860" w:right="2739" w:hanging="852"/>
        <w:spacing w:after="0" w:line="235" w:lineRule="auto"/>
        <w:tabs>
          <w:tab w:leader="none" w:pos="43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SS 240. 13d-1(b) (1) (ii) (E),</w:t>
      </w:r>
    </w:p>
    <w:p>
      <w:pPr>
        <w:spacing w:after="0" w:line="4" w:lineRule="exact"/>
        <w:rPr>
          <w:rFonts w:ascii="Courier New" w:cs="Courier New" w:eastAsia="Courier New" w:hAnsi="Courier New"/>
          <w:sz w:val="18"/>
          <w:szCs w:val="18"/>
          <w:color w:val="auto"/>
        </w:rPr>
      </w:pPr>
    </w:p>
    <w:p>
      <w:pPr>
        <w:ind w:left="860" w:right="3259" w:hanging="852"/>
        <w:spacing w:after="0" w:line="235" w:lineRule="auto"/>
        <w:tabs>
          <w:tab w:leader="none" w:pos="43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or Endowment Fund in accordance with SS 240. 13d-1(b) (ii) (F),</w:t>
      </w:r>
    </w:p>
    <w:p>
      <w:pPr>
        <w:spacing w:after="0" w:line="5" w:lineRule="exact"/>
        <w:rPr>
          <w:rFonts w:ascii="Courier New" w:cs="Courier New" w:eastAsia="Courier New" w:hAnsi="Courier New"/>
          <w:sz w:val="18"/>
          <w:szCs w:val="18"/>
          <w:color w:val="auto"/>
        </w:rPr>
      </w:pPr>
    </w:p>
    <w:p>
      <w:pPr>
        <w:ind w:left="860" w:right="3159" w:hanging="852"/>
        <w:spacing w:after="0" w:line="235" w:lineRule="auto"/>
        <w:tabs>
          <w:tab w:leader="none" w:pos="43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Parent Holding Company or Control Person in accordance with SS.SS.240. 13d-1(b) (ii) (G); see Item 7,</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w:t>
      </w:r>
    </w:p>
    <w:p>
      <w:pPr>
        <w:spacing w:after="0" w:line="5" w:lineRule="exact"/>
        <w:rPr>
          <w:sz w:val="20"/>
          <w:szCs w:val="20"/>
          <w:color w:val="auto"/>
        </w:rPr>
      </w:pPr>
    </w:p>
    <w:p>
      <w:pPr>
        <w:ind w:left="860" w:right="3039"/>
        <w:spacing w:after="0" w:line="235" w:lineRule="auto"/>
        <w:rPr>
          <w:sz w:val="20"/>
          <w:szCs w:val="20"/>
          <w:color w:val="auto"/>
        </w:rPr>
      </w:pPr>
      <w:r>
        <w:rPr>
          <w:rFonts w:ascii="Courier New" w:cs="Courier New" w:eastAsia="Courier New" w:hAnsi="Courier New"/>
          <w:sz w:val="18"/>
          <w:szCs w:val="18"/>
          <w:color w:val="auto"/>
        </w:rPr>
        <w:t>investment company under Section 3(c) (14) of the Investment Company Act of 1940(15 U.S.C 80a-3),</w:t>
      </w:r>
    </w:p>
    <w:p>
      <w:pPr>
        <w:spacing w:after="0"/>
        <w:rPr>
          <w:sz w:val="20"/>
          <w:szCs w:val="20"/>
          <w:color w:val="auto"/>
        </w:rPr>
      </w:pPr>
      <w:r>
        <w:rPr>
          <w:rFonts w:ascii="Courier New" w:cs="Courier New" w:eastAsia="Courier New" w:hAnsi="Courier New"/>
          <w:sz w:val="18"/>
          <w:szCs w:val="18"/>
          <w:color w:val="auto"/>
        </w:rPr>
        <w:t>(j) [ ] Group, in accordance with SS 240. 13d-1(b) (1) (ii) (J).</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right="6939" w:hanging="532"/>
        <w:spacing w:after="0" w:line="536" w:lineRule="auto"/>
        <w:tabs>
          <w:tab w:leader="none" w:pos="54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See Item 9 of Cover Page.</w:t>
      </w: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11 of Cover Page</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6" w:lineRule="exact"/>
        <w:rPr>
          <w:rFonts w:ascii="Courier New" w:cs="Courier New" w:eastAsia="Courier New" w:hAnsi="Courier New"/>
          <w:sz w:val="18"/>
          <w:szCs w:val="18"/>
          <w:color w:val="auto"/>
        </w:rPr>
      </w:pPr>
    </w:p>
    <w:p>
      <w:pPr>
        <w:ind w:left="960" w:right="4939" w:hanging="425"/>
        <w:spacing w:after="0" w:line="470" w:lineRule="auto"/>
        <w:tabs>
          <w:tab w:leader="none" w:pos="9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See Item 5 of Cover page</w:t>
      </w:r>
    </w:p>
    <w:p>
      <w:pPr>
        <w:spacing w:after="0" w:line="11" w:lineRule="exact"/>
        <w:rPr>
          <w:rFonts w:ascii="Courier New" w:cs="Courier New" w:eastAsia="Courier New" w:hAnsi="Courier New"/>
          <w:sz w:val="18"/>
          <w:szCs w:val="18"/>
          <w:color w:val="auto"/>
        </w:rPr>
      </w:pPr>
    </w:p>
    <w:p>
      <w:pPr>
        <w:ind w:left="960" w:right="4739" w:hanging="531"/>
        <w:spacing w:after="0" w:line="470" w:lineRule="auto"/>
        <w:tabs>
          <w:tab w:leader="none" w:pos="9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See Item 6 of Cover page</w:t>
      </w:r>
    </w:p>
    <w:p>
      <w:pPr>
        <w:spacing w:after="0" w:line="11" w:lineRule="exact"/>
        <w:rPr>
          <w:rFonts w:ascii="Courier New" w:cs="Courier New" w:eastAsia="Courier New" w:hAnsi="Courier New"/>
          <w:sz w:val="18"/>
          <w:szCs w:val="18"/>
          <w:color w:val="auto"/>
        </w:rPr>
      </w:pPr>
    </w:p>
    <w:p>
      <w:pPr>
        <w:ind w:left="960" w:right="3579" w:hanging="636"/>
        <w:spacing w:after="0" w:line="470" w:lineRule="auto"/>
        <w:tabs>
          <w:tab w:leader="none" w:pos="9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See Item 7 of Cover page</w:t>
      </w:r>
    </w:p>
    <w:p>
      <w:pPr>
        <w:spacing w:after="0" w:line="11" w:lineRule="exact"/>
        <w:rPr>
          <w:rFonts w:ascii="Courier New" w:cs="Courier New" w:eastAsia="Courier New" w:hAnsi="Courier New"/>
          <w:sz w:val="18"/>
          <w:szCs w:val="18"/>
          <w:color w:val="auto"/>
        </w:rPr>
      </w:pPr>
    </w:p>
    <w:p>
      <w:pPr>
        <w:ind w:left="960" w:right="3359" w:hanging="531"/>
        <w:spacing w:after="0" w:line="470" w:lineRule="auto"/>
        <w:tabs>
          <w:tab w:leader="none" w:pos="9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See Item 8 of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5 of 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519"/>
        <w:spacing w:after="0" w:line="279"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3779" w:firstLine="211"/>
        <w:spacing w:after="0" w:line="235" w:lineRule="auto"/>
        <w:rPr>
          <w:sz w:val="20"/>
          <w:szCs w:val="20"/>
          <w:color w:val="auto"/>
        </w:rPr>
      </w:pPr>
      <w:r>
        <w:rPr>
          <w:rFonts w:ascii="Courier New" w:cs="Courier New" w:eastAsia="Courier New" w:hAnsi="Courier New"/>
          <w:sz w:val="18"/>
          <w:szCs w:val="18"/>
          <w:color w:val="auto"/>
        </w:rPr>
        <w:t>BlackRock, Inc. is a parent holding company for a number of investment management subsidiaries. Certain of</w:t>
      </w:r>
    </w:p>
    <w:p>
      <w:pPr>
        <w:spacing w:after="0" w:line="6" w:lineRule="exact"/>
        <w:rPr>
          <w:sz w:val="20"/>
          <w:szCs w:val="20"/>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these subsidiaries hold shares of the security which is the subject of this report. (See Item 7).</w:t>
      </w:r>
    </w:p>
    <w:p>
      <w:pPr>
        <w:spacing w:after="0" w:line="208" w:lineRule="exact"/>
        <w:rPr>
          <w:sz w:val="20"/>
          <w:szCs w:val="20"/>
          <w:color w:val="auto"/>
        </w:rPr>
      </w:pPr>
    </w:p>
    <w:p>
      <w:pPr>
        <w:ind w:left="220" w:right="2739" w:hanging="210"/>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ectPr>
          <w:pgSz w:w="11900" w:h="16838" w:orient="portrait"/>
          <w:cols w:equalWidth="0" w:num="1">
            <w:col w:w="10219"/>
          </w:cols>
          <w:pgMar w:left="240" w:top="136" w:right="1440" w:bottom="0" w:gutter="0" w:footer="0" w:header="0"/>
        </w:sectPr>
      </w:pPr>
    </w:p>
    <w:bookmarkStart w:id="3" w:name="page4"/>
    <w:bookmarkEnd w:id="3"/>
    <w:p>
      <w:pPr>
        <w:ind w:left="22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619" w:firstLine="316"/>
        <w:spacing w:after="0" w:line="235" w:lineRule="auto"/>
        <w:rPr>
          <w:sz w:val="20"/>
          <w:szCs w:val="20"/>
          <w:color w:val="auto"/>
        </w:rPr>
      </w:pPr>
      <w:r>
        <w:rPr>
          <w:rFonts w:ascii="Courier New" w:cs="Courier New" w:eastAsia="Courier New" w:hAnsi="Courier New"/>
          <w:sz w:val="18"/>
          <w:szCs w:val="18"/>
          <w:color w:val="auto"/>
        </w:rPr>
        <w:t>The following subsidiaries of BlackRock, Inc. are investment advisors which hold shares of the security being reported;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Asset Management U.K. Limited</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8" w:lineRule="auto"/>
        <w:rPr>
          <w:sz w:val="20"/>
          <w:szCs w:val="20"/>
          <w:color w:val="auto"/>
        </w:rPr>
      </w:pPr>
      <w:r>
        <w:rPr>
          <w:rFonts w:ascii="Courier New" w:cs="Courier New" w:eastAsia="Courier New" w:hAnsi="Courier New"/>
          <w:sz w:val="18"/>
          <w:szCs w:val="18"/>
          <w:color w:val="auto"/>
        </w:rPr>
        <w:t>BlackRock (Channel Islands) Ltd</w:t>
      </w:r>
    </w:p>
    <w:p>
      <w:pPr>
        <w:spacing w:after="0"/>
        <w:rPr>
          <w:sz w:val="20"/>
          <w:szCs w:val="20"/>
          <w:color w:val="auto"/>
        </w:rPr>
      </w:pPr>
      <w:r>
        <w:rPr>
          <w:rFonts w:ascii="Courier New" w:cs="Courier New" w:eastAsia="Courier New" w:hAnsi="Courier New"/>
          <w:sz w:val="18"/>
          <w:szCs w:val="18"/>
          <w:color w:val="auto"/>
        </w:rPr>
        <w:t>BlackRock (Isle of Man) Ltd</w:t>
      </w:r>
    </w:p>
    <w:p>
      <w:pPr>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rPr>
          <w:sz w:val="20"/>
          <w:szCs w:val="20"/>
          <w:color w:val="auto"/>
        </w:rPr>
      </w:pPr>
      <w:r>
        <w:rPr>
          <w:rFonts w:ascii="Courier New" w:cs="Courier New" w:eastAsia="Courier New" w:hAnsi="Courier New"/>
          <w:sz w:val="18"/>
          <w:szCs w:val="18"/>
          <w:color w:val="auto"/>
        </w:rPr>
        <w:t>BlackRock International Ltd</w:t>
      </w:r>
    </w:p>
    <w:p>
      <w:pPr>
        <w:spacing w:after="0" w:line="237" w:lineRule="auto"/>
        <w:rPr>
          <w:sz w:val="20"/>
          <w:szCs w:val="20"/>
          <w:color w:val="auto"/>
        </w:rPr>
      </w:pPr>
      <w:r>
        <w:rPr>
          <w:rFonts w:ascii="Courier New" w:cs="Courier New" w:eastAsia="Courier New" w:hAnsi="Courier New"/>
          <w:sz w:val="18"/>
          <w:szCs w:val="18"/>
          <w:color w:val="auto"/>
        </w:rPr>
        <w:t>BlackRock Japan Co. Ltd</w:t>
      </w:r>
    </w:p>
    <w:p>
      <w:pPr>
        <w:spacing w:after="0"/>
        <w:rPr>
          <w:sz w:val="20"/>
          <w:szCs w:val="20"/>
          <w:color w:val="auto"/>
        </w:rPr>
      </w:pPr>
      <w:r>
        <w:rPr>
          <w:rFonts w:ascii="Courier New" w:cs="Courier New" w:eastAsia="Courier New" w:hAnsi="Courier New"/>
          <w:sz w:val="18"/>
          <w:szCs w:val="18"/>
          <w:color w:val="auto"/>
        </w:rPr>
        <w:t>BlackRock Investment Management UK Ltd</w:t>
      </w:r>
    </w:p>
    <w:p>
      <w:pPr>
        <w:spacing w:after="0" w:line="237" w:lineRule="auto"/>
        <w:rPr>
          <w:sz w:val="20"/>
          <w:szCs w:val="20"/>
          <w:color w:val="auto"/>
        </w:rPr>
      </w:pPr>
      <w:r>
        <w:rPr>
          <w:rFonts w:ascii="Courier New" w:cs="Courier New" w:eastAsia="Courier New" w:hAnsi="Courier New"/>
          <w:sz w:val="18"/>
          <w:szCs w:val="18"/>
          <w:color w:val="auto"/>
        </w:rPr>
        <w:t>State Street Research &amp; Management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6 of 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939" w:firstLine="316"/>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such securities and were not acquired and are not held in connection with or as a participant in any transaction having such purpose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08, 2008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Asset Management U.K. Limited</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8" w:lineRule="auto"/>
        <w:rPr>
          <w:sz w:val="20"/>
          <w:szCs w:val="20"/>
          <w:color w:val="auto"/>
        </w:rPr>
      </w:pPr>
      <w:r>
        <w:rPr>
          <w:rFonts w:ascii="Courier New" w:cs="Courier New" w:eastAsia="Courier New" w:hAnsi="Courier New"/>
          <w:sz w:val="18"/>
          <w:szCs w:val="18"/>
          <w:color w:val="auto"/>
        </w:rPr>
        <w:t>BlackRock (Channel Islands) Ltd</w:t>
      </w:r>
    </w:p>
    <w:p>
      <w:pPr>
        <w:spacing w:after="0"/>
        <w:rPr>
          <w:sz w:val="20"/>
          <w:szCs w:val="20"/>
          <w:color w:val="auto"/>
        </w:rPr>
      </w:pPr>
      <w:r>
        <w:rPr>
          <w:rFonts w:ascii="Courier New" w:cs="Courier New" w:eastAsia="Courier New" w:hAnsi="Courier New"/>
          <w:sz w:val="18"/>
          <w:szCs w:val="18"/>
          <w:color w:val="auto"/>
        </w:rPr>
        <w:t>BlackRock (Isle of Man) Ltd</w:t>
      </w:r>
    </w:p>
    <w:p>
      <w:pPr>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rPr>
          <w:sz w:val="20"/>
          <w:szCs w:val="20"/>
          <w:color w:val="auto"/>
        </w:rPr>
      </w:pPr>
      <w:r>
        <w:rPr>
          <w:rFonts w:ascii="Courier New" w:cs="Courier New" w:eastAsia="Courier New" w:hAnsi="Courier New"/>
          <w:sz w:val="18"/>
          <w:szCs w:val="18"/>
          <w:color w:val="auto"/>
        </w:rPr>
        <w:t>BlackRock International Ltd</w:t>
      </w:r>
    </w:p>
    <w:p>
      <w:pPr>
        <w:spacing w:after="0" w:line="237" w:lineRule="auto"/>
        <w:rPr>
          <w:sz w:val="20"/>
          <w:szCs w:val="20"/>
          <w:color w:val="auto"/>
        </w:rPr>
      </w:pPr>
      <w:r>
        <w:rPr>
          <w:rFonts w:ascii="Courier New" w:cs="Courier New" w:eastAsia="Courier New" w:hAnsi="Courier New"/>
          <w:sz w:val="18"/>
          <w:szCs w:val="18"/>
          <w:color w:val="auto"/>
        </w:rPr>
        <w:t>BlackRock Japan Co. Ltd</w:t>
      </w:r>
    </w:p>
    <w:p>
      <w:pPr>
        <w:spacing w:after="0"/>
        <w:rPr>
          <w:sz w:val="20"/>
          <w:szCs w:val="20"/>
          <w:color w:val="auto"/>
        </w:rPr>
      </w:pPr>
      <w:r>
        <w:rPr>
          <w:rFonts w:ascii="Courier New" w:cs="Courier New" w:eastAsia="Courier New" w:hAnsi="Courier New"/>
          <w:sz w:val="18"/>
          <w:szCs w:val="18"/>
          <w:color w:val="auto"/>
        </w:rPr>
        <w:t>BlackRock Investment Management UK Ltd</w:t>
      </w:r>
    </w:p>
    <w:p>
      <w:pPr>
        <w:spacing w:after="0" w:line="237" w:lineRule="auto"/>
        <w:rPr>
          <w:sz w:val="20"/>
          <w:szCs w:val="20"/>
          <w:color w:val="auto"/>
        </w:rPr>
      </w:pPr>
      <w:r>
        <w:rPr>
          <w:rFonts w:ascii="Courier New" w:cs="Courier New" w:eastAsia="Courier New" w:hAnsi="Courier New"/>
          <w:sz w:val="18"/>
          <w:szCs w:val="18"/>
          <w:color w:val="auto"/>
        </w:rPr>
        <w:t>State Street Research &amp; Management Co.</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Denis Molleur</w:t>
      </w:r>
    </w:p>
    <w:p>
      <w:pPr>
        <w:spacing w:after="0" w:line="201"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Denis Molleur</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Attorney-In-Fact*</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*Signed pursuant to a power of attorney, dated January 11, 2008, included</w:t>
      </w:r>
    </w:p>
    <w:p>
      <w:pPr>
        <w:sectPr>
          <w:pgSz w:w="11900" w:h="16838" w:orient="portrait"/>
          <w:cols w:equalWidth="0" w:num="1">
            <w:col w:w="10219"/>
          </w:cols>
          <w:pgMar w:left="240" w:top="136" w:right="1440" w:bottom="0" w:gutter="0" w:footer="0" w:header="0"/>
        </w:sectPr>
      </w:pPr>
    </w:p>
    <w:bookmarkStart w:id="4" w:name="page5"/>
    <w:bookmarkEnd w:id="4"/>
    <w:p>
      <w:pPr>
        <w:ind w:right="2619"/>
        <w:spacing w:after="0" w:line="235" w:lineRule="auto"/>
        <w:rPr>
          <w:sz w:val="20"/>
          <w:szCs w:val="20"/>
          <w:color w:val="auto"/>
        </w:rPr>
      </w:pPr>
      <w:r>
        <w:rPr>
          <w:rFonts w:ascii="Courier New" w:cs="Courier New" w:eastAsia="Courier New" w:hAnsi="Courier New"/>
          <w:sz w:val="18"/>
          <w:szCs w:val="18"/>
          <w:color w:val="auto"/>
        </w:rPr>
        <w:t>as Exhibit A to this Schedule 13G filed with the Securities and Exchange Commission by BlackRock,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7 of 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Robert Connolly, Howard Surloff, Edward Baer, James DesMarais, Bartholomew Battista, Daniel Waltcher, Vincent Tritto, Karen Clark, Denis Molleur, Daniel Ronnen, Daniel Moonay, Nicholas Hall, Con Tzatzakis and Junichi Yoshioka acting severally, as its true and lawful attorneys-in-fact, for the purpose of, from time to time, executing in its name and on its behalf, whether the Company is acting individually or</w:t>
      </w:r>
    </w:p>
    <w:p>
      <w:pPr>
        <w:spacing w:after="0" w:line="11" w:lineRule="exact"/>
        <w:rPr>
          <w:sz w:val="20"/>
          <w:szCs w:val="20"/>
          <w:color w:val="auto"/>
        </w:rPr>
      </w:pPr>
    </w:p>
    <w:p>
      <w:pPr>
        <w:ind w:right="2739"/>
        <w:spacing w:after="0" w:line="269" w:lineRule="auto"/>
        <w:rPr>
          <w:sz w:val="20"/>
          <w:szCs w:val="20"/>
          <w:color w:val="auto"/>
        </w:rPr>
      </w:pPr>
      <w:r>
        <w:rPr>
          <w:rFonts w:ascii="Courier New" w:cs="Courier New" w:eastAsia="Courier New" w:hAnsi="Courier New"/>
          <w:sz w:val="16"/>
          <w:szCs w:val="16"/>
          <w:color w:val="auto"/>
        </w:rPr>
        <w:t>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3, 4, 5, 13D, 13F and 13G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395"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October 4, 2006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11th day of January, 2008.</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Robert W. Doll, Jr.</w:t>
      </w:r>
    </w:p>
    <w:p>
      <w:pPr>
        <w:spacing w:after="0" w:line="238" w:lineRule="auto"/>
        <w:rPr>
          <w:sz w:val="20"/>
          <w:szCs w:val="20"/>
          <w:color w:val="auto"/>
        </w:rPr>
      </w:pPr>
      <w:r>
        <w:rPr>
          <w:rFonts w:ascii="Courier New" w:cs="Courier New" w:eastAsia="Courier New" w:hAnsi="Courier New"/>
          <w:sz w:val="18"/>
          <w:szCs w:val="18"/>
          <w:color w:val="auto"/>
        </w:rPr>
        <w:t>Name: Robert W. Doll, Jr.</w:t>
      </w:r>
    </w:p>
    <w:p>
      <w:pPr>
        <w:spacing w:after="0"/>
        <w:rPr>
          <w:sz w:val="20"/>
          <w:szCs w:val="20"/>
          <w:color w:val="auto"/>
        </w:rPr>
      </w:pPr>
      <w:r>
        <w:rPr>
          <w:rFonts w:ascii="Courier New" w:cs="Courier New" w:eastAsia="Courier New" w:hAnsi="Courier New"/>
          <w:sz w:val="18"/>
          <w:szCs w:val="18"/>
          <w:color w:val="auto"/>
        </w:rPr>
        <w:t>Title: Vice Chairman</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upperLetter"/>
      <w:start w:val="24"/>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decimal"/>
      <w:start w:val="3"/>
    </w:lvl>
  </w:abstractNum>
  <w:abstractNum w:abstractNumId="7">
    <w:nsid w:val="216231B"/>
    <w:multiLevelType w:val="hybridMultilevel"/>
    <w:lvl w:ilvl="0">
      <w:lvlJc w:val="left"/>
      <w:lvlText w:val="%1."/>
      <w:numFmt w:val="decimal"/>
      <w:start w:val="5"/>
    </w:lvl>
  </w:abstractNum>
  <w:abstractNum w:abstractNumId="8">
    <w:nsid w:val="1F16E9E8"/>
    <w:multiLevelType w:val="hybridMultilevel"/>
    <w:lvl w:ilvl="0">
      <w:lvlJc w:val="left"/>
      <w:lvlText w:val="%1."/>
      <w:numFmt w:val="decimal"/>
      <w:start w:val="1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4"/>
    </w:lvl>
    <w:lvl w:ilvl="1">
      <w:lvlJc w:val="left"/>
      <w:lvlText w:val="%2"/>
      <w:numFmt w:val="upperLetter"/>
      <w:start w:val="1"/>
    </w:lvl>
  </w:abstractNum>
  <w:abstractNum w:abstractNumId="11">
    <w:nsid w:val="140E0F76"/>
    <w:multiLevelType w:val="hybridMultilevel"/>
    <w:lvl w:ilvl="0">
      <w:lvlJc w:val="left"/>
      <w:lvlText w:val="(%1)"/>
      <w:numFmt w:val="lowerLetter"/>
      <w:start w:val="1"/>
    </w:lvl>
    <w:lvl w:ilvl="1">
      <w:lvlJc w:val="left"/>
      <w:lvlText w:val="(%2)"/>
      <w:numFmt w:val="lowerRoman"/>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2019-12-13T12:59:20Z</dcterms:created>
  <dcterms:modified xsi:type="dcterms:W3CDTF">2019-12-13T12:59:20Z</dcterms:modified>
</cp:coreProperties>
</file>