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4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Zinsner David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7"/>
        <w:spacing w:after="0"/>
        <w:rPr>
          <w:sz w:val="20"/>
          <w:szCs w:val="20"/>
          <w:color w:val="auto"/>
        </w:rPr>
      </w:pPr>
      <w:r>
        <w:rPr>
          <w:rFonts w:ascii="Arial" w:cs="Arial" w:eastAsia="Arial" w:hAnsi="Arial"/>
          <w:sz w:val="17"/>
          <w:szCs w:val="17"/>
          <w:color w:val="0000FF"/>
        </w:rPr>
        <w:t>SVP &amp; Chief Financial Officer</w:t>
      </w:r>
    </w:p>
    <w:p>
      <w:pPr>
        <w:spacing w:after="0" w:line="311" w:lineRule="exact"/>
        <w:rPr>
          <w:sz w:val="24"/>
          <w:szCs w:val="24"/>
          <w:color w:val="auto"/>
        </w:rPr>
      </w:pPr>
    </w:p>
    <w:p>
      <w:pPr>
        <w:sectPr>
          <w:pgSz w:w="11900" w:h="16838" w:orient="portrait"/>
          <w:cols w:equalWidth="0" w:num="3">
            <w:col w:w="3200" w:space="720"/>
            <w:col w:w="3280" w:space="543"/>
            <w:col w:w="3337"/>
          </w:cols>
          <w:pgMar w:left="460" w:top="222" w:right="359" w:bottom="43"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300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30060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4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03/15/2021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center"/>
              <w:ind w:left="30"/>
              <w:spacing w:after="0"/>
              <w:rPr>
                <w:sz w:val="20"/>
                <w:szCs w:val="20"/>
                <w:color w:val="auto"/>
              </w:rPr>
            </w:pPr>
            <w:r>
              <w:rPr>
                <w:rFonts w:ascii="Arial" w:cs="Arial" w:eastAsia="Arial" w:hAnsi="Arial"/>
                <w:sz w:val="17"/>
                <w:szCs w:val="17"/>
                <w:color w:val="0000FF"/>
                <w:w w:val="89"/>
              </w:rPr>
              <w:t>3,800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ind w:left="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128,724</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03/15/2021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center"/>
              <w:ind w:left="30"/>
              <w:spacing w:after="0"/>
              <w:rPr>
                <w:sz w:val="20"/>
                <w:szCs w:val="20"/>
                <w:color w:val="auto"/>
              </w:rPr>
            </w:pPr>
            <w:r>
              <w:rPr>
                <w:rFonts w:ascii="Arial" w:cs="Arial" w:eastAsia="Arial" w:hAnsi="Arial"/>
                <w:sz w:val="17"/>
                <w:szCs w:val="17"/>
                <w:color w:val="0000FF"/>
                <w:w w:val="89"/>
              </w:rPr>
              <w:t>4,250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ind w:left="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132,974</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89"/>
              </w:rPr>
              <w:t>3,001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86.95</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129,973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89"/>
              </w:rPr>
              <w:t>4,268</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87.72</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125,705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1"/>
              </w:rPr>
              <w:t>781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88.57</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124,924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33,170</w:t>
            </w:r>
          </w:p>
        </w:tc>
        <w:tc>
          <w:tcPr>
            <w:tcW w:w="300" w:type="dxa"/>
            <w:vAlign w:val="bottom"/>
          </w:tcPr>
          <w:p>
            <w:pPr>
              <w:spacing w:after="0"/>
              <w:rPr>
                <w:sz w:val="21"/>
                <w:szCs w:val="21"/>
                <w:color w:val="auto"/>
              </w:rPr>
            </w:pPr>
          </w:p>
        </w:tc>
        <w:tc>
          <w:tcPr>
            <w:tcW w:w="540" w:type="dxa"/>
            <w:vAlign w:val="bottom"/>
            <w:vMerge w:val="restart"/>
          </w:tcPr>
          <w:p>
            <w:pPr>
              <w:jc w:val="center"/>
              <w:ind w:right="29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03/15/2021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3,800</w:t>
            </w:r>
          </w:p>
        </w:tc>
        <w:tc>
          <w:tcPr>
            <w:tcW w:w="780" w:type="dxa"/>
            <w:vAlign w:val="bottom"/>
          </w:tcPr>
          <w:p>
            <w:pPr>
              <w:ind w:left="320"/>
              <w:spacing w:after="0"/>
              <w:rPr>
                <w:sz w:val="20"/>
                <w:szCs w:val="20"/>
                <w:color w:val="auto"/>
              </w:rPr>
            </w:pPr>
            <w:r>
              <w:rPr>
                <w:rFonts w:ascii="Arial" w:cs="Arial" w:eastAsia="Arial" w:hAnsi="Arial"/>
                <w:sz w:val="11"/>
                <w:szCs w:val="11"/>
                <w:color w:val="008000"/>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jc w:val="right"/>
              <w:ind w:right="48"/>
              <w:spacing w:after="0" w:line="191" w:lineRule="exact"/>
              <w:rPr>
                <w:sz w:val="20"/>
                <w:szCs w:val="20"/>
                <w:color w:val="auto"/>
              </w:rPr>
            </w:pPr>
            <w:r>
              <w:rPr>
                <w:rFonts w:ascii="Arial" w:cs="Arial" w:eastAsia="Arial" w:hAnsi="Arial"/>
                <w:sz w:val="17"/>
                <w:szCs w:val="17"/>
                <w:color w:val="0000FF"/>
              </w:rPr>
              <w:t>3,800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35,585</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jc w:val="center"/>
              <w:spacing w:after="0" w:line="95" w:lineRule="exact"/>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03/15/2021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4,250</w:t>
            </w:r>
          </w:p>
        </w:tc>
        <w:tc>
          <w:tcPr>
            <w:tcW w:w="780" w:type="dxa"/>
            <w:vAlign w:val="bottom"/>
          </w:tcPr>
          <w:p>
            <w:pPr>
              <w:ind w:left="320"/>
              <w:spacing w:after="0"/>
              <w:rPr>
                <w:sz w:val="20"/>
                <w:szCs w:val="20"/>
                <w:color w:val="auto"/>
              </w:rPr>
            </w:pPr>
            <w:r>
              <w:rPr>
                <w:rFonts w:ascii="Arial" w:cs="Arial" w:eastAsia="Arial" w:hAnsi="Arial"/>
                <w:sz w:val="11"/>
                <w:szCs w:val="11"/>
                <w:color w:val="008000"/>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jc w:val="right"/>
              <w:ind w:right="48"/>
              <w:spacing w:after="0" w:line="191" w:lineRule="exact"/>
              <w:rPr>
                <w:sz w:val="20"/>
                <w:szCs w:val="20"/>
                <w:color w:val="auto"/>
              </w:rPr>
            </w:pPr>
            <w:r>
              <w:rPr>
                <w:rFonts w:ascii="Arial" w:cs="Arial" w:eastAsia="Arial" w:hAnsi="Arial"/>
                <w:sz w:val="17"/>
                <w:szCs w:val="17"/>
                <w:color w:val="0000FF"/>
              </w:rPr>
              <w:t>4,250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39,883</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-2498725</wp:posOffset>
            </wp:positionV>
            <wp:extent cx="7033260" cy="2638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6384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May 13,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$86.25 to $87.23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$87.25 to $88.23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$88.42 to $88.79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a Trust for the benefit of the reporting person and his family, with the reporting person as a co-trustee with his spouse.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February 19, 2019, 2020, 2021, and 2022.</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03/17/2021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30891"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2021-03-17T15:27:59Z</dcterms:created>
  <dcterms:modified xsi:type="dcterms:W3CDTF">2021-03-17T15:27:59Z</dcterms:modified>
</cp:coreProperties>
</file>