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168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6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138,467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1,040,525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138,467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143,594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540,525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643,594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15,272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555,797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15,272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</w:t>
            </w:r>
          </w:p>
        </w:tc>
        <w:tc>
          <w:tcPr>
            <w:tcW w:w="8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Shares transferred from a grantor retained annuity trust back to a revocable trust. All trusts are for the benefit of the reporting person and his family.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8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Grantor retained annuity trust for the benefit of the reporting person and his family.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04/12/2023</w:t>
            </w:r>
          </w:p>
        </w:tc>
      </w:tr>
      <w:tr>
        <w:trPr>
          <w:trHeight w:val="235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2023-04-12T23:17:43Z</dcterms:created>
  <dcterms:modified xsi:type="dcterms:W3CDTF">2023-04-12T23:17:43Z</dcterms:modified>
</cp:coreProperties>
</file>