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203835</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27"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380365</wp:posOffset>
            </wp:positionV>
            <wp:extent cx="19640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Notice of Fiscal 2012 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22, 2013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79"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2012 Annual Meeting of Shareholders of Micron Technology, Inc., a Delaware corporation, will be held on January 22, 2013,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69"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Amended and Restated 2004 Equity Incentive Plan and increase the shares reserved for issuance thereunder by 30,000,000;</w:t>
      </w:r>
    </w:p>
    <w:p>
      <w:pPr>
        <w:spacing w:after="0" w:line="128" w:lineRule="exact"/>
        <w:rPr>
          <w:rFonts w:ascii="Arial" w:cs="Arial" w:eastAsia="Arial" w:hAnsi="Arial"/>
          <w:sz w:val="17"/>
          <w:szCs w:val="17"/>
          <w:color w:val="auto"/>
        </w:rPr>
      </w:pPr>
    </w:p>
    <w:p>
      <w:pPr>
        <w:ind w:left="340" w:hanging="8"/>
        <w:spacing w:after="0" w:line="277" w:lineRule="auto"/>
        <w:tabs>
          <w:tab w:leader="none" w:pos="6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August 29, 2013;</w:t>
      </w:r>
    </w:p>
    <w:p>
      <w:pPr>
        <w:spacing w:after="0" w:line="62"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w:t>
      </w:r>
    </w:p>
    <w:p>
      <w:pPr>
        <w:spacing w:after="0" w:line="128"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Only shareholders of record at the close of business on November 23, 2012,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2012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23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 Directions to the meeting's location accompany the Proxy Statement.</w:t>
      </w:r>
    </w:p>
    <w:p>
      <w:pPr>
        <w:spacing w:after="0" w:line="2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13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Roderic W. Lewis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Vice President of Legal Affairs,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General Counsel &amp; Corporate Secretary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13, 2012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466090</wp:posOffset>
            </wp:positionV>
            <wp:extent cx="1964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1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2012 ANNUAL MEETING OF SHAREHOLDERS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22,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Mountain Standard Time</w:t>
      </w:r>
    </w:p>
    <w:p>
      <w:pPr>
        <w:spacing w:after="0" w:line="2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2012 Annual Meeting of Shareholders to be held on January 22, 2013, at 9:00 a.m., Mountain Standard Time, or at any adjournment or postponement thereof (the "Annual Meeting"). The purpose of the Annual Meeting is set forth herein and in the accompanying Notice of Fiscal 2012 Annual Meeting of Shareholders. The Annual Meeting will be held at our headquarters located at 8000 South Federal Way, Boise, Idaho 83716-9632. Directions to the Annual Meeting accompany this Proxy Statement. Our telephone number is (208) 368-4000.</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13, 2012, to all shareholders entitled to vote at the meeting.</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79"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www.proxydocs.com/mu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9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21,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Shareholders of record at the close of business on November 23, 2012 (the "Record Date"), are entitled to notice of and to vote at the meeting.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ectPr>
          <w:pgSz w:w="11900" w:h="16838" w:orient="portrait"/>
          <w:cols w:equalWidth="0" w:num="1">
            <w:col w:w="11420"/>
          </w:cols>
          <w:pgMar w:left="240" w:top="144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44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AST Phoenix Advisors,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one class of stock outstanding, common stock, $0.10 par value per share (the "Common Stock"). At November 23, 2012, the Record Date, 1,020,960,739 shares of Common Stock were issued and outstanding and entitled to vote.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Delaware General Corporation Law and our Restated Certificate of Incorporation and our Bylaws, each shareholder will be entitled to one vote for each share of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23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Shares held in a brokerage account or by another nominee are considered held in "street name" by the shareholder or "beneficial owner." A broker or nominee holding shares for a beneficial owner may not vote on matters relating to the election of directors or equity compensation plans unless the broker or nominee receives specific voting instructions from the beneficial owner of the shares. As a result, absent specific instructions, brokers or nominees may not vote a beneficial owner's shares on Items 1, 2, and 4 and such shares will be considered "broker non-votes" for such proposals.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each other item of business, the "FOR" vote of a majority of the Votes Cast is required in order for such matter to be considered approved by the shareholders.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Cumulative voting for the election of directors shall not be required unless a shareholder has requested cumulative voting by written notice to our Corporate Secretary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six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7"/>
          <w:szCs w:val="17"/>
          <w:b w:val="1"/>
          <w:bCs w:val="1"/>
          <w:color w:val="auto"/>
        </w:rPr>
        <w:t>If no instructions are given with respect to a properly executed Proxy timely received by us, the shares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Common Stock represented thereby will be voted </w:t>
      </w:r>
      <w:r>
        <w:rPr>
          <w:rFonts w:ascii="Arial" w:cs="Arial" w:eastAsia="Arial" w:hAnsi="Arial"/>
          <w:sz w:val="17"/>
          <w:szCs w:val="17"/>
          <w:color w:val="auto"/>
        </w:rPr>
        <w:t>(i)</w:t>
      </w:r>
      <w:r>
        <w:rPr>
          <w:rFonts w:ascii="Arial" w:cs="Arial" w:eastAsia="Arial" w:hAnsi="Arial"/>
          <w:sz w:val="17"/>
          <w:szCs w:val="17"/>
          <w:b w:val="1"/>
          <w:bCs w:val="1"/>
          <w:color w:val="auto"/>
        </w:rPr>
        <w:t xml:space="preserve"> FOR </w:t>
      </w:r>
      <w:r>
        <w:rPr>
          <w:rFonts w:ascii="Arial" w:cs="Arial" w:eastAsia="Arial" w:hAnsi="Arial"/>
          <w:sz w:val="17"/>
          <w:szCs w:val="17"/>
          <w:color w:val="auto"/>
        </w:rPr>
        <w:t>each of the nominees named herein as directors, or their respective substitutes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appointed by the Board of Directors, (ii)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the Amended and Restated 2004 Equity Incentive Plan, (iii) </w:t>
      </w:r>
      <w:r>
        <w:rPr>
          <w:rFonts w:ascii="Arial" w:cs="Arial" w:eastAsia="Arial" w:hAnsi="Arial"/>
          <w:sz w:val="17"/>
          <w:szCs w:val="17"/>
          <w:b w:val="1"/>
          <w:bCs w:val="1"/>
          <w:color w:val="auto"/>
        </w:rPr>
        <w:t>FOR</w:t>
      </w:r>
      <w:r>
        <w:rPr>
          <w:rFonts w:ascii="Arial" w:cs="Arial" w:eastAsia="Arial" w:hAnsi="Arial"/>
          <w:sz w:val="17"/>
          <w:szCs w:val="17"/>
          <w:color w:val="auto"/>
        </w:rPr>
        <w:t xml:space="preserve"> ratification of the appointment of PricewaterhouseCoopers LLP as our Independent Registered Public Accounting Firm for the fiscal year ending August 29, 2013, (iv)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a non-binding resolution to approve the compensation of our Named Executive Officers as described in the proxy statement; and (v) in the discretion of the proxy holders for such business which may properly come before the Annual Meeting.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board of six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management's six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5"/>
              </w:rPr>
              <w:t>Served as a</w:t>
            </w:r>
          </w:p>
        </w:tc>
        <w:tc>
          <w:tcPr>
            <w:tcW w:w="68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2"/>
              </w:rPr>
              <w:t>Board Committees*</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4280" w:type="dxa"/>
            <w:vAlign w:val="bottom"/>
          </w:tcPr>
          <w:p>
            <w:pPr>
              <w:ind w:left="1320"/>
              <w:spacing w:after="0"/>
              <w:rPr>
                <w:sz w:val="20"/>
                <w:szCs w:val="20"/>
                <w:color w:val="auto"/>
              </w:rPr>
            </w:pPr>
            <w:r>
              <w:rPr>
                <w:rFonts w:ascii="Arial" w:cs="Arial" w:eastAsia="Arial" w:hAnsi="Arial"/>
                <w:sz w:val="18"/>
                <w:szCs w:val="18"/>
                <w:b w:val="1"/>
                <w:bCs w:val="1"/>
                <w:color w:val="auto"/>
              </w:rPr>
              <w:t>Principal Occupation</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Director Since</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b w:val="1"/>
                <w:bCs w:val="1"/>
                <w:color w:val="auto"/>
              </w:rPr>
              <w:t>C</w:t>
            </w:r>
          </w:p>
        </w:tc>
        <w:tc>
          <w:tcPr>
            <w:tcW w:w="660" w:type="dxa"/>
            <w:vAlign w:val="bottom"/>
          </w:tcPr>
          <w:p>
            <w:pPr>
              <w:ind w:left="26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Former Chairman of PMC-Sierra, Inc.</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0"/>
                <w:szCs w:val="20"/>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w w:val="98"/>
              </w:rPr>
              <w:t>Vice President Strategy &amp; Business Development and</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6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Chief Technical Officer of Danaher Corporation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3"/>
                <w:szCs w:val="23"/>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Executive Officer of Micron Technology, Inc.</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w w:val="99"/>
              </w:rPr>
              <w:t>Former Chief Financial Officer of Avago Technologies</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22"/>
                <w:szCs w:val="22"/>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Limited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w w:val="99"/>
              </w:rPr>
              <w:t>Former President and Chief Executive Officer of CSK</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6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Auto Corporation</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3"/>
                <w:szCs w:val="23"/>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Chairman of the Board of Micron Technology, Inc.</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23"/>
                <w:szCs w:val="23"/>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5"/>
          </w:tcPr>
          <w:p>
            <w:pPr>
              <w:spacing w:after="0"/>
              <w:rPr>
                <w:sz w:val="20"/>
                <w:szCs w:val="20"/>
                <w:color w:val="auto"/>
              </w:rPr>
            </w:pPr>
            <w:r>
              <w:rPr>
                <w:rFonts w:ascii="Arial" w:cs="Arial" w:eastAsia="Arial" w:hAnsi="Arial"/>
                <w:sz w:val="18"/>
                <w:szCs w:val="18"/>
                <w:color w:val="auto"/>
              </w:rPr>
              <w:t>*  A = Audit Committee, C = Compensation Committee, G = Governance Committee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14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("PMC") from 2005 until May 2011 and also served as PMC's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2000 until February 2003. Mr. Bailey served as a director of PMC from October 1996 to May 2011. He also served as the President and Chief Executive Officer of PMC from July 1997 until May 2008. PMC is a leading provider of broadband communication and semiconductor storage solutions for the next-generation Internet. Mr. Bailey currently serves on the Board of Directors of Entropic Communications. Mr. Bailey holds a BS degree in Electrical Engineering from the University of Bridgeport and an MBA from the University of Dallas. He has served on our Board of Directors since 2007.</w:t>
      </w:r>
    </w:p>
    <w:p>
      <w:pPr>
        <w:spacing w:after="0" w:line="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8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served as the Vice President of Strategy and Business Development and Chief Technical Officer of Danaher Corporation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1, 2012. Danaher Corporation designs, manufactures, and markets innovative products and services to professional, medical, industrial, and commercial customers. Prior to that, Mr. Byrne served as Director, President and Chief Executive Officer of Intermec, Inc. from 2007 to May 2012. Mr. Byrne was with Agilent Technologies, Inc. from 1999 to 2007 and served in various management positions. Mr. Byrne is also a member of the Board of Directors of Flow International Corporation. Mr. Byrne holds a BS degree in Electrical Engineering from the University of California, Berkeley, and an MS degree in Electrical Engineering from Stanford University. Mr. Byrne joined our Board of Directors in April 2011.</w:t>
      </w:r>
    </w:p>
    <w:p>
      <w:pPr>
        <w:spacing w:after="0" w:line="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15" w:right="239" w:bottom="1440" w:gutter="0" w:footer="0" w:header="0"/>
        </w:sectPr>
      </w:pPr>
    </w:p>
    <w:bookmarkStart w:id="5" w:name="page6"/>
    <w:bookmarkEnd w:id="5"/>
    <w:p>
      <w:pPr>
        <w:jc w:val="both"/>
        <w:ind w:right="22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us in June 1984 and has served in various positions since that time. Mr. Durcan was appointed our Chief Operating Officer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2006, President in June 2007 and Director and Chief Executive Officer in February 2012. Mr. Durcan has been an officer since 1996. Mr. Durcan holds a BS and MChE in Chemical Engineering from Rice University. Mr. Durcan has served on our Board of Directors since February 2012.</w:t>
      </w:r>
    </w:p>
    <w:p>
      <w:pPr>
        <w:spacing w:after="0" w:line="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Mr. Durcan has been with us for over 28 years and his experiences have given him extensive expertise in our business and operations. He has also developed expertise in the areas of finance, corporate development, corporate governance, business strategy and management.</w:t>
      </w:r>
    </w:p>
    <w:p>
      <w:pPr>
        <w:spacing w:after="0" w:line="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and Juniper Networks, Inc. Ms. Johnson is the Chairman of the Board's Audit Committee and has served on our Board of Directors since 2005.</w:t>
      </w:r>
    </w:p>
    <w:p>
      <w:pPr>
        <w:spacing w:after="0" w:line="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was the President and Chief Executive Officer of CSK Auto Corporation ("CSK"), a specialty retailer of automotive aftermarket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parts, from August 2007 to July 2008. Prior to his appointment at CSK, Mr. Mondry served as the Chief Executive Officer of CompUSA Inc. from November 2003 to May 2006. Mr. Mondry joined CompUSA in 1990. Mr. Mondry is the Chairman of the Board's Compensation Committee and Governance Committee. He has served on our Board of Directors since 2005.</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Mondry's retail expertise is especially relevant to our Lexar and Crucial businesses.</w:t>
      </w:r>
    </w:p>
    <w:p>
      <w:pPr>
        <w:spacing w:after="0" w:line="2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Robert E. Switz </w:t>
      </w:r>
      <w:r>
        <w:rPr>
          <w:rFonts w:ascii="Arial" w:cs="Arial" w:eastAsia="Arial" w:hAnsi="Arial"/>
          <w:sz w:val="16"/>
          <w:szCs w:val="16"/>
          <w:color w:val="auto"/>
        </w:rPr>
        <w:t>was the Chairman, President and Chief Executive Officer of ADC Telecommunications, Inc., ("ADC"), a supplier of network</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as well as a degree in Marketing/Economics from Quinnipiac University. Mr. Switz also serves on the Board of Directors for Broadcom Corporation, GT Advanced Technologies and Leap Wireless International, Inc. He has served on our Board of Directors since 2006 and was appointed Chairman of the Board in February 2012.</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Switz's experience as CEO and Chairman of a leading technology company has given him expertise in the technology industry as well business operations, finance, corporate development, corporate governance and management.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8"/>
          <w:szCs w:val="18"/>
          <w:i w:val="1"/>
          <w:iCs w:val="1"/>
          <w:color w:val="auto"/>
        </w:rPr>
        <w:t>www.micron.com/about/our-commitment/governance/ethics</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has determined that directors Bailey, Byrne, Johnson, Mondry and Switz qualify as independent directors. In determining the independence of our directors, the Board of Directors has adopted independence standards that mirror exactly the criteria specified by applicable laws and regulations of the SEC and the Listing Rules of NASDAQ. None of these directors have a relationship with us, other than any relationship that is categorically not material under the guidelines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referenced above and other than as disclosed in this Proxy Statement under "Compensation of Directors" and "Certain Relationships and Related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2012, Mr. Switz was appointed to succeed Steven Appleton, our former Chairman and CEO, as Chairman of the Board. We do not have a fixed policy on whether the roles of chairman and CEO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CEO.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2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24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30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benchmark total direct compensation levels (salary, short-term incentives, long-term incentives and total direct compensation) of our executive team using several data sources;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ectPr>
          <w:pgSz w:w="11900" w:h="16838" w:orient="portrait"/>
          <w:cols w:equalWidth="0" w:num="1">
            <w:col w:w="11420"/>
          </w:cols>
          <w:pgMar w:left="240" w:top="719"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19" w:right="239" w:bottom="1440" w:gutter="0" w:footer="0" w:header="0"/>
          <w:type w:val="continuous"/>
        </w:sectPr>
      </w:pPr>
    </w:p>
    <w:bookmarkStart w:id="7" w:name="page8"/>
    <w:bookmarkEnd w:id="7"/>
    <w:p>
      <w:pPr>
        <w:jc w:val="both"/>
        <w:ind w:firstLine="324"/>
        <w:spacing w:after="0" w:line="257" w:lineRule="auto"/>
        <w:rPr>
          <w:sz w:val="20"/>
          <w:szCs w:val="20"/>
          <w:color w:val="auto"/>
        </w:rPr>
      </w:pPr>
      <w:r>
        <w:rPr>
          <w:rFonts w:ascii="Arial" w:cs="Arial" w:eastAsia="Arial" w:hAnsi="Arial"/>
          <w:sz w:val="18"/>
          <w:szCs w:val="18"/>
          <w:color w:val="auto"/>
        </w:rPr>
        <w:t>We paid Mercer a total of $447,123 in fiscal 2012 for services provided. Of this amount, $127,725 was paid as a result of the executive and non-employee director compensation consulting work Mercer performed for the Compensation Committee and Governance Committee, $233,360 was paid as a result of the work Mercer performed related to our 401(k) Plan and other human resource functions and $86,038 was paid for various types of employee insurance. The decision to use Mercer for services other than those provided to the Compensation Committee and Governance Committee was made by our management and was not approved by the Compensation Committee.</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the Compensation Committee considered the independence of Mercer in light of new SEC rules and proposed NASDAQ listing standards. The Compensation Committee received a letter from Mercer addressing its independence, including the following factors: (i) other services provided to the Company by Mercer; (ii) fees paid by the Company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Company stock owned by the individual consultants involved in the engagement; and (vi) any business or personal relationships between the Company's executive officers and Mercer or the individual consultants involved in the engagement. The Compensation Committee concluded that the work of Mercer did not raise any conflict of interest.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held eight meetings during fiscal 2012. The Board of Directors met in Executive Session four times during fiscal 2012. In fiscal 2012, the Board of Directors had a standing Audit Committee, Governance Committee and Compensation Committee. During fiscal 2012, the Audit Committee met twelve times, the Compensation Committee met six times and the Governance Committee met two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2012. All incumbent directors who served on the Compensation, Audit and Governance Committees attended 75% or more of the total number of committee meetings during fiscal 2012. All members of our Board were present at the fiscal 2011 Annual Meeting of Shareholders. We encourage director attendance at the Annual Meeting of Shareholders.</w:t>
      </w:r>
    </w:p>
    <w:p>
      <w:pPr>
        <w:spacing w:after="0" w:line="2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federal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federal laws and the Listing Rules of NASDAQ for such committees.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Governance Guidelines specify a mandatory retirement age of 70 for members of its Board of Directors.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The purpose of the Audit Committee is to assist the Board in overseeing and monitoring:</w:t>
      </w:r>
    </w:p>
    <w:p>
      <w:pPr>
        <w:spacing w:after="0" w:line="20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Johnson and Messrs. Bailey, Byrne, Mondry and Switz currently serve on the Governance Committee. Mr. Mondry has served as Chairman of the Governance Committee since October 2009. The responsibilities of the Governance Committee include assisting the Board in discharging its duties with respect to (i) the identification and selection of nominees to our Board of</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19" w:right="239" w:bottom="1440" w:gutter="0" w:footer="0" w:header="0"/>
          <w:type w:val="continuous"/>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 xml:space="preserve">Directors, (ii) director compensation, (iii) the development of our Corporate Governance Guidelines and (iv) the annual evaluations of the Board and its committees. 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2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Governance Committee is responsible for identifying nominees for our Board of Directors. There are no minimum qualifications that nominees must possess, however,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NASDAQ and relevant rules and regulations of the SEC. In the event the Board of Directors has determined that it would be advisable to add additional members to the Board, the Governance Committee works with a third party executive search firm to assist them in the identification and evaluation of potential candidates to our Board of Directors. It is currently anticipated that additional members may join our Board of Directors in 2013.</w:t>
      </w:r>
    </w:p>
    <w:p>
      <w:pPr>
        <w:spacing w:after="0" w:line="2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Messrs. Byrne and Mondry currently serve on the Compensation Committee of the Board of Directors. Mr. Mondry has served as the Chairman of the Compensation Committee since January 2012. The Compensation Committee is responsible for reviewing and approving the compensation of our officers. See the "Compensation Discussion and Analysis" and the "Compensation Committee Report" for information regarding how the Compensation Committee sets executive compensation levels. The complete duties of the Compensation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2012, Mr. Switz was appointed Chairman of our Board of Directors. As part of his duties as Chairman, Mr. Switz chairs executive session meetings of our Board (meetings in which only non-employee directors are present). Shareholders and interested parties wishing to communicate with our Board of Directors may contact Mr. Switz at chairman@micron.com.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Governance Committee of the Board of Directors oversees the setting of compensation for our non-employee members of the Board of Directors. At the end of each of fiscal 2011 and fiscal 2012, the Governance Committee engaged Mercer to review and evaluate director compensation for the ensuing year,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Compensation Discussion and Analysis." For fiscal 2012, upon completion of its review and evaluation, the Governance Committee recommended that the Board of Directors increase (i) the annual retainer paid to non-employee directors, (ii) the fee paid to the Chairman of the Compensation Committee and (iii) the amount of the annual equity award. For fiscal 2013, upon completion of its review and evaluation, the Governance Committee recommended that the Board of Directors make no changes to the directors'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2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Non-employee directors are entitled to receive an annual retainer of $80,000. Pursuant to our 2008 Director's Compensation Plan (the "DCP"), non-employee directors may elect to take some or their entire annual retainer in the form of cash, shares of Common Stock or deferred rights to receive Common Stock upon termination as a director. During the period from October 1, 2011 to September 30, 2012, Mr. Byrne received 4,491 shares of Common Stock under the DCP in lieu of cash. Employee directors receive no additional or special remuneration for their service as directors.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the amounts received by directors for their service as committee chair, Presiding Director or Chairman of the Board in fiscal 2012 and the amounts that are expected to be received in fiscal 2013:</w:t>
      </w:r>
    </w:p>
    <w:p>
      <w:pPr>
        <w:sectPr>
          <w:pgSz w:w="11900" w:h="16838" w:orient="portrait"/>
          <w:cols w:equalWidth="0" w:num="1">
            <w:col w:w="11420"/>
          </w:cols>
          <w:pgMar w:left="240" w:top="7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19"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Audit Committee Chair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Committee Chair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Governance Committee Chair</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Presiding Director (1)</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Chairman of the Board (1)</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Switz was appointed Chairman of the Board on February 4, 2012. As of result of having an independent Chairman, the position of Presiding Director was eliminated in fiscal 2013.</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for the foregoing, directors do not receive any additional or special remuneration for their service on any of the committees established by the Board of Directors.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reimburse directors for travel and lodging expenses, if any, incurred in connection with attendance at Board of Directors' meetings.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From fiscal 2009 through fiscal 2011 the targeted value was $225,000. In October 2011, the Board approved an increase in the targeted value for fiscal 2012 compensation to $240,000. The Board did not change the targeted value for fiscal 2013 compensation.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through fiscal 2012 lapse for 50% of such shares on the first anniversary of the date of grant and will lapse for the remaining 50% on the second anniversary of the date of grant (the "Vesting Period"). The restrictions on the shares awarded in fiscal 2013 lapse for 100% of such shares on the first anniversary of the date of grant. Notwithstanding the foregoing, the restrictions will lapse for 100% of such shares in the event a director either reaches the mandatory retirement age or retires from the Board during the Vesting Period having achieved a minimum of three years of service with the Board prior to the effective date of his or her retirement.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Director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ind w:left="80"/>
              <w:spacing w:after="0"/>
              <w:rPr>
                <w:sz w:val="20"/>
                <w:szCs w:val="20"/>
                <w:color w:val="auto"/>
              </w:rPr>
            </w:pPr>
            <w:r>
              <w:rPr>
                <w:rFonts w:ascii="Arial" w:cs="Arial" w:eastAsia="Arial" w:hAnsi="Arial"/>
                <w:sz w:val="18"/>
                <w:szCs w:val="18"/>
                <w:b w:val="1"/>
                <w:bCs w:val="1"/>
                <w:color w:val="auto"/>
              </w:rPr>
              <w:t>Fees Earned or Paid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240" w:type="dxa"/>
            <w:vAlign w:val="bottom"/>
          </w:tcPr>
          <w:p>
            <w:pPr>
              <w:spacing w:after="0"/>
              <w:rPr>
                <w:sz w:val="18"/>
                <w:szCs w:val="18"/>
                <w:color w:val="auto"/>
              </w:rPr>
            </w:pPr>
          </w:p>
        </w:tc>
        <w:tc>
          <w:tcPr>
            <w:tcW w:w="112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All Other</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in Cash</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Awards(1)</w:t>
            </w:r>
          </w:p>
        </w:tc>
        <w:tc>
          <w:tcPr>
            <w:tcW w:w="240" w:type="dxa"/>
            <w:vAlign w:val="bottom"/>
          </w:tcPr>
          <w:p>
            <w:pPr>
              <w:spacing w:after="0"/>
              <w:rPr>
                <w:sz w:val="20"/>
                <w:szCs w:val="20"/>
                <w:color w:val="auto"/>
              </w:rPr>
            </w:pPr>
          </w:p>
        </w:tc>
        <w:tc>
          <w:tcPr>
            <w:tcW w:w="15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Teruaki Aoki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36,962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2,286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279,244</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James W. Bagley (2)</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31,411</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271,407</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79,583</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319,579</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79,588</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319,584</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99,583</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339,579</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110,632</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350,628</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165,268</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239,996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405,264</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jc w:val="both"/>
        <w:ind w:left="340" w:hanging="332"/>
        <w:spacing w:after="0" w:line="270"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October 12, 2011, each director who was not an employee was granted 46,153 shares of restricted stock or restricted stock units with a grant date fair value of $239,996 ($5.20 per share). Specific amounts expensed for each director vary as a result of the director's holdings, length of service and age. Grant date fair values were determined in accordance with Financial Accounting Standards Board Accounting Statements Codification Topic 718 ("ASC 718"). For information on the restrictions associated with these awards, see "Elements of Director Compensation—Equity Awards" above. Any dividends payable with respect to our Common Stock will be payable with respect to all awards of restricted stock. The total number of outstanding restricted shares held as of August 30, 2012, for each non-employee director was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0" w:name="page11"/>
    <w:bookmarkEnd w:id="10"/>
    <w:tbl>
      <w:tblPr>
        <w:tblLayout w:type="fixed"/>
        <w:tblInd w:w="980" w:type="dxa"/>
        <w:tblCellMar>
          <w:top w:w="0" w:type="dxa"/>
          <w:left w:w="0" w:type="dxa"/>
          <w:bottom w:w="0" w:type="dxa"/>
          <w:right w:w="0" w:type="dxa"/>
        </w:tblCellMar>
      </w:tblPr>
      <w:tr>
        <w:trPr>
          <w:trHeight w:val="234"/>
        </w:trPr>
        <w:tc>
          <w:tcPr>
            <w:tcW w:w="54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rPr>
              <w:t>Restricted Stock</w:t>
            </w:r>
          </w:p>
        </w:tc>
      </w:tr>
      <w:tr>
        <w:trPr>
          <w:trHeight w:val="27"/>
        </w:trPr>
        <w:tc>
          <w:tcPr>
            <w:tcW w:w="5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Teruaki Aoki</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James W. Bagley</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Robert L. Bailey</w:t>
            </w:r>
          </w:p>
        </w:tc>
        <w:tc>
          <w:tcPr>
            <w:tcW w:w="1780" w:type="dxa"/>
            <w:vAlign w:val="bottom"/>
          </w:tcPr>
          <w:p>
            <w:pPr>
              <w:jc w:val="right"/>
              <w:spacing w:after="0"/>
              <w:rPr>
                <w:sz w:val="20"/>
                <w:szCs w:val="20"/>
                <w:color w:val="auto"/>
              </w:rPr>
            </w:pPr>
            <w:r>
              <w:rPr>
                <w:rFonts w:ascii="Arial" w:cs="Arial" w:eastAsia="Arial" w:hAnsi="Arial"/>
                <w:sz w:val="18"/>
                <w:szCs w:val="18"/>
                <w:color w:val="auto"/>
              </w:rPr>
              <w:t>60,975</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Patrick J. Byrne</w:t>
            </w:r>
          </w:p>
        </w:tc>
        <w:tc>
          <w:tcPr>
            <w:tcW w:w="1780" w:type="dxa"/>
            <w:vAlign w:val="bottom"/>
          </w:tcPr>
          <w:p>
            <w:pPr>
              <w:jc w:val="right"/>
              <w:spacing w:after="0"/>
              <w:rPr>
                <w:sz w:val="20"/>
                <w:szCs w:val="20"/>
                <w:color w:val="auto"/>
              </w:rPr>
            </w:pPr>
            <w:r>
              <w:rPr>
                <w:rFonts w:ascii="Arial" w:cs="Arial" w:eastAsia="Arial" w:hAnsi="Arial"/>
                <w:sz w:val="18"/>
                <w:szCs w:val="18"/>
                <w:color w:val="auto"/>
              </w:rPr>
              <w:t>51,281</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Mercedes Johnson</w:t>
            </w:r>
          </w:p>
        </w:tc>
        <w:tc>
          <w:tcPr>
            <w:tcW w:w="1780" w:type="dxa"/>
            <w:vAlign w:val="bottom"/>
          </w:tcPr>
          <w:p>
            <w:pPr>
              <w:jc w:val="right"/>
              <w:spacing w:after="0"/>
              <w:rPr>
                <w:sz w:val="20"/>
                <w:szCs w:val="20"/>
                <w:color w:val="auto"/>
              </w:rPr>
            </w:pPr>
            <w:r>
              <w:rPr>
                <w:rFonts w:ascii="Arial" w:cs="Arial" w:eastAsia="Arial" w:hAnsi="Arial"/>
                <w:sz w:val="18"/>
                <w:szCs w:val="18"/>
                <w:color w:val="auto"/>
              </w:rPr>
              <w:t>60,975</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1780" w:type="dxa"/>
            <w:vAlign w:val="bottom"/>
          </w:tcPr>
          <w:p>
            <w:pPr>
              <w:jc w:val="right"/>
              <w:spacing w:after="0"/>
              <w:rPr>
                <w:sz w:val="20"/>
                <w:szCs w:val="20"/>
                <w:color w:val="auto"/>
              </w:rPr>
            </w:pPr>
            <w:r>
              <w:rPr>
                <w:rFonts w:ascii="Arial" w:cs="Arial" w:eastAsia="Arial" w:hAnsi="Arial"/>
                <w:sz w:val="18"/>
                <w:szCs w:val="18"/>
                <w:color w:val="auto"/>
              </w:rPr>
              <w:t>60,975</w:t>
            </w:r>
          </w:p>
        </w:tc>
      </w:tr>
      <w:tr>
        <w:trPr>
          <w:trHeight w:val="27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Robert E. Switz</w:t>
            </w:r>
          </w:p>
        </w:tc>
        <w:tc>
          <w:tcPr>
            <w:tcW w:w="1780" w:type="dxa"/>
            <w:vAlign w:val="bottom"/>
          </w:tcPr>
          <w:p>
            <w:pPr>
              <w:jc w:val="right"/>
              <w:spacing w:after="0"/>
              <w:rPr>
                <w:sz w:val="20"/>
                <w:szCs w:val="20"/>
                <w:color w:val="auto"/>
              </w:rPr>
            </w:pPr>
            <w:r>
              <w:rPr>
                <w:rFonts w:ascii="Arial" w:cs="Arial" w:eastAsia="Arial" w:hAnsi="Arial"/>
                <w:sz w:val="18"/>
                <w:szCs w:val="18"/>
                <w:color w:val="auto"/>
              </w:rPr>
              <w:t>60,975</w:t>
            </w:r>
          </w:p>
        </w:tc>
      </w:tr>
    </w:tbl>
    <w:p>
      <w:pPr>
        <w:spacing w:after="0" w:line="148"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Aoki and Mr. Bagley served as members of our Board of Director through January 24, 2012. Dr. Aoki received restricted stock units in place of restricted stock.</w:t>
      </w:r>
    </w:p>
    <w:p>
      <w:pPr>
        <w:spacing w:after="0" w:line="22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Reflects amounts incurred to cover tax services provided by Deloitte Touche Tohmatsu Japan ("Deloitte") and the gross-up to Dr. Aoki to cover the taxes on the services provided by Deloitte.</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paid to Mr. Byrne in fiscal 2012 is comprised of $26,672 (approximately 3,933 shares) paid in stock and $52,916 paid in cash.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security ownership information of our Common Stock as of the Record Date (November 23, 2012),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with the exception of Mr. Appleton and (iv) all directors and executive officers as a group: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Owned(1)</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Acquire(2)</w:t>
            </w:r>
          </w:p>
        </w:tc>
        <w:tc>
          <w:tcPr>
            <w:tcW w:w="14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Ownership</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Class(3)</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6"/>
              </w:rPr>
              <w:t>Orbis Investment Management (U.S.), LLC ("OIMUS"), Orbis Investment</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Management Limited ("OIML") and Orbis Asset Management Limited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("OAML") (4)</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101,298,436</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101,298,436</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25 Front Street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Hamilton, Bermuda HM11</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BlackRock, Inc.(5)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69,695,234</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69,695,234</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4"/>
                <w:szCs w:val="14"/>
                <w:color w:val="auto"/>
              </w:rPr>
              <w:t>nd</w:t>
            </w:r>
            <w:r>
              <w:rPr>
                <w:rFonts w:ascii="Arial" w:cs="Arial" w:eastAsia="Arial" w:hAnsi="Arial"/>
                <w:sz w:val="18"/>
                <w:szCs w:val="18"/>
                <w:color w:val="auto"/>
              </w:rPr>
              <w:t xml:space="preserve"> Street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New York, NY 10022</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 Rowe Price Associates, Inc. (6)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69,302,202</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69,302,202</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100 E. Pratt Street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Baltimore, MD 21202</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FMR LLC (7)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64,217,115</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64,217,115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82 Devonshire Street</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Boston, MA 02109</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AllianceBernstein LP (8)</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63,766,816</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63,766,816</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1345 Avenue of the Americas</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New York City, NY 10105</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700,969</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671,748</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1,372,717</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171,608</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171,608</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102,422</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102,422</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 Mark Durcan(9)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2,101,774</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1,722,000</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3,823,774</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Ronald C. Foster(10)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811,382</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1,199,750</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2,011,132</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212,113</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212,113</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802,898</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923,000</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1,725,898</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Mario Licciardello</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236,691</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236,691</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611,810</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768,250</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1,380,060</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183,566</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183,566</w:t>
            </w:r>
          </w:p>
        </w:tc>
        <w:tc>
          <w:tcPr>
            <w:tcW w:w="10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(17 persons)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8,453,987</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6,954,198</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15,408,185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   Represents less than 1% of shares outstanding</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jc w:val="both"/>
        <w:ind w:left="34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listed is for OIML and OAML, the address for OIMUS is 600 Montgomery Street, Suite 3800, San Francisco, CA 94111. OIML is the beneficial owner of 100,530,861 shares of common stock, OIMUS is the beneficial owner of 596,850 shares of common stock and OAML is the beneficial owner of 170,725 shares of common stock. Collectively, OIML,</w:t>
      </w:r>
    </w:p>
    <w:p>
      <w:pPr>
        <w:sectPr>
          <w:pgSz w:w="11900" w:h="16838" w:orient="portrait"/>
          <w:cols w:equalWidth="0" w:num="1">
            <w:col w:w="11420"/>
          </w:cols>
          <w:pgMar w:left="240" w:top="71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15" w:right="239" w:bottom="1440" w:gutter="0" w:footer="0" w:header="0"/>
          <w:type w:val="continuous"/>
        </w:sectPr>
      </w:pPr>
    </w:p>
    <w:bookmarkStart w:id="12" w:name="page13"/>
    <w:bookmarkEnd w:id="12"/>
    <w:p>
      <w:pPr>
        <w:ind w:left="340"/>
        <w:spacing w:after="0" w:line="282" w:lineRule="auto"/>
        <w:rPr>
          <w:sz w:val="20"/>
          <w:szCs w:val="20"/>
          <w:color w:val="auto"/>
        </w:rPr>
      </w:pPr>
      <w:r>
        <w:rPr>
          <w:rFonts w:ascii="Arial" w:cs="Arial" w:eastAsia="Arial" w:hAnsi="Arial"/>
          <w:sz w:val="18"/>
          <w:szCs w:val="18"/>
          <w:color w:val="auto"/>
        </w:rPr>
        <w:t>OIMUS and OAML have sole voting and dispositive power as to 101,298,436 shares. This information was taken from Schedule 13G filed July 10, 2012.</w:t>
      </w:r>
    </w:p>
    <w:p>
      <w:pPr>
        <w:spacing w:after="0" w:line="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BlackRock Inc. has sole voting and dispositive power as to 69,695,234 shares. This information was taken from Schedule 13G filed February 10, 2012.</w:t>
      </w:r>
    </w:p>
    <w:p>
      <w:pPr>
        <w:spacing w:after="0" w:line="4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 Rowe Price Associates, Inc. has sole voting power as to 25,553,387 shares and sole dispositive power as to 69,302,202 shares. This information was taken from Schedule 13G filed February 10, 2012.</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FMR LLC has sole power to vote or to direct the vote as to 2,434,947 shares and sole power to dispose or to direct the disposition of 64,217,115 shares. This information was taken from Schedule 13G filed February 14, 2012.</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AllianceBernstein LP has sole voting power as to 48,952,533 shares, sole dispositive power as to 63,734,901 shares and shared dispositive power as to 31,915 shares. This information was taken from Schedule 13G filed February 14, 2012.</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284,653 shares beneficially owned by C&amp;E Partners L.P. and 3,101 shares beneficially owned by Mr. Durcan's spouse.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2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 W. Adams, our current President and our Vice President of Worldwide Sales for a portion of the year;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 Mark Durcan, our current Chief Executive Officer and our President and Chief Operating Officer for a portion of fiscal 2012;</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Ronald C. Foster, our Chief Financial Officer;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Roderic W. Lewis, our Vice President of Legal Affairs and General Counsel;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Brian M. Shirley, our Vice President of DRAM Solutions.</w:t>
      </w:r>
    </w:p>
    <w:p>
      <w:pPr>
        <w:spacing w:after="0" w:line="27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In addition, we have included information related to two executives who served for a portion of fiscal 2012: Steven R. Appleton, who served as our Chairman and Chief Executive Officer from September 1994 until his death in February 2012, and Mario Licciardello, our former Vice President of Wireless Solutions.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Throughout this discussion, the foregoing individuals, who are also named in the "Fiscal 2012 Summary Compensation Table," are referred to as our "Named Executive Officers" and the Compensation Committee of the Board of Directors is referred to as the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2012 Highlights</w:t>
      </w:r>
    </w:p>
    <w:p>
      <w:pPr>
        <w:spacing w:after="0" w:line="2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generated $2.1 billion in operating cash flows and ended the year with over $2.9 billion in cash and marketable investments.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increased gigabit sales of DRAM and NAND flash to trade customers by 59% and 164%, respectively, as compared to fiscal 2011.</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reduced our cost per gigabit sold of DRAM and NAND flash to trade customers by 32% and 54%, respectively, as compared to fiscal 2011.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3" w:name="page14"/>
    <w:bookmarkEnd w:id="13"/>
    <w:p>
      <w:pPr>
        <w:ind w:left="328"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selling prices for our DRAM and NAND flash products sold to trade customers declined by 45% and 55%, respectively, and our revenue declined by 6% from fiscal 2011 levels. Notwithstanding these declines, we remained free cash flow positive.</w:t>
      </w:r>
    </w:p>
    <w:p>
      <w:pPr>
        <w:spacing w:after="0" w:line="224"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prevailed in our multi-year litigation with Rambus, Inc. ("Rambus") and were found not liable for any claims. Rambus had alleged antitrust violations and was seeking approximately $12 billion in damages.</w:t>
      </w:r>
    </w:p>
    <w:p>
      <w:pPr>
        <w:spacing w:after="0" w:line="224"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April 2012, we restructured our IM Flash joint venture with Intel Corporation to expand the scope of the joint venture and include certain emerging memory technologies.</w:t>
      </w:r>
    </w:p>
    <w:p>
      <w:pPr>
        <w:spacing w:after="0" w:line="22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July 2012, we announced our intention to acquire Elpida Memory, Inc. ("Elpida"). Elpida is currently in bankruptcy proceedings in Japan and the acquisition is subject to various regulatory approvals and closing conditions. Successful completion of the acquisition would result in the creation of the second largest semiconductor memory company in the world.</w:t>
      </w:r>
    </w:p>
    <w:p>
      <w:pPr>
        <w:spacing w:after="0" w:line="235"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Fiscal 2012 Compensation Highlights</w:t>
      </w:r>
    </w:p>
    <w:p>
      <w:pPr>
        <w:spacing w:after="0" w:line="279" w:lineRule="exact"/>
        <w:rPr>
          <w:sz w:val="20"/>
          <w:szCs w:val="20"/>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October 2011, the Committee set compensation levels and performance goals for fiscal 2012 based on a review of financial results, projections, individual contributions, strategic objectives and Market Data (as defined below).</w:t>
      </w:r>
    </w:p>
    <w:p>
      <w:pPr>
        <w:spacing w:after="0" w:line="224"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a result of this review, none of the Named Executive Officers received an increase in base salary, targeted short-term incentive compensation or long-term equity incentive compensation, as those amounts were consistent with the market median.</w:t>
      </w:r>
    </w:p>
    <w:p>
      <w:pPr>
        <w:spacing w:after="0" w:line="224" w:lineRule="exact"/>
        <w:rPr>
          <w:rFonts w:ascii="Arial" w:cs="Arial" w:eastAsia="Arial" w:hAnsi="Arial"/>
          <w:sz w:val="18"/>
          <w:szCs w:val="18"/>
          <w:color w:val="auto"/>
        </w:rPr>
      </w:pPr>
    </w:p>
    <w:p>
      <w:pPr>
        <w:jc w:val="both"/>
        <w:ind w:left="648" w:hanging="324"/>
        <w:spacing w:after="0" w:line="286" w:lineRule="auto"/>
        <w:tabs>
          <w:tab w:leader="none" w:pos="6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performance goals used for our short-term incentives were selected due to their correlation to the creation of shareholder value and their alignment with our strategic objectives. For fiscal 2012, our corporate goals were tied to cash management, operating expense, customer delivery performance and inventory management. We also had goals tied to each of our business units.</w:t>
      </w:r>
    </w:p>
    <w:p>
      <w:pPr>
        <w:spacing w:after="0" w:line="219" w:lineRule="exact"/>
        <w:rPr>
          <w:rFonts w:ascii="Arial" w:cs="Arial" w:eastAsia="Arial" w:hAnsi="Arial"/>
          <w:sz w:val="17"/>
          <w:szCs w:val="17"/>
          <w:color w:val="auto"/>
        </w:rPr>
      </w:pPr>
    </w:p>
    <w:p>
      <w:pPr>
        <w:ind w:left="648" w:hanging="324"/>
        <w:spacing w:after="0"/>
        <w:tabs>
          <w:tab w:leader="none" w:pos="6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our Named Executive Officers for fiscal 2012:</w:t>
      </w:r>
    </w:p>
    <w:p>
      <w:pPr>
        <w:spacing w:after="0" w:line="302" w:lineRule="exact"/>
        <w:rPr>
          <w:sz w:val="20"/>
          <w:szCs w:val="20"/>
          <w:color w:val="auto"/>
        </w:rPr>
      </w:pPr>
    </w:p>
    <w:tbl>
      <w:tblPr>
        <w:tblLayout w:type="fixed"/>
        <w:tblInd w:w="968"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Short-term</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Long-term</w:t>
            </w: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Base Salary</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Incentive</w:t>
            </w: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Steven R. Appleton</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Mario Licciardello</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48" w:lineRule="exact"/>
        <w:rPr>
          <w:sz w:val="20"/>
          <w:szCs w:val="20"/>
          <w:color w:val="auto"/>
        </w:rPr>
      </w:pPr>
    </w:p>
    <w:p>
      <w:pPr>
        <w:jc w:val="both"/>
        <w:ind w:left="648" w:hanging="324"/>
        <w:spacing w:after="0" w:line="264"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our long-term equity incentives, we use stock options, time-based restricted stock and performance-based restricted stock. For the performance-based restricted stock, we use a performance goal tied to Return on Assets ("ROA"). ROA is an indicator of how profitable a company is relative to its total assets and is calculated by dividing annual earnings by total assets.</w:t>
      </w:r>
    </w:p>
    <w:p>
      <w:pPr>
        <w:spacing w:after="0" w:line="235"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79" w:lineRule="exact"/>
        <w:rPr>
          <w:rFonts w:ascii="Arial" w:cs="Arial" w:eastAsia="Arial" w:hAnsi="Arial"/>
          <w:sz w:val="18"/>
          <w:szCs w:val="18"/>
          <w:color w:val="auto"/>
        </w:rPr>
      </w:pPr>
    </w:p>
    <w:p>
      <w:pPr>
        <w:jc w:val="both"/>
        <w:ind w:left="648" w:hanging="324"/>
        <w:spacing w:after="0" w:line="264"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Mr. Durcan succeeded Mr. Appleton as CEO in February 2012. Upon his appointment as CEO, Mr. Durcan's base salary increased from $645,000 to $900,000 and his short-term incentive target increased from 120% to 150%of base salary. Information on Mr. Durcan's compensation is included below under the heading "CEO Compensation - Mr. Durcan."</w:t>
      </w:r>
    </w:p>
    <w:p>
      <w:pPr>
        <w:spacing w:after="0" w:line="23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fiscal 2012, the Committee did not change Mr. Appleton's base salary ($950,000), short-term incentive target (150%) or long-term incentive target ($6,500,000) from fiscal 2011 levels.</w:t>
      </w:r>
    </w:p>
    <w:p>
      <w:pPr>
        <w:spacing w:after="0" w:line="224"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October 2012, the Committee reviewed performance goals and results for fiscal 2012 and approved the Executive Officer Performance Incentive Plan ("EIP") payments identified in the Fiscal 2012 Summary Compensation Table. The average payout for fiscal 2012 bonuses under the EIP for our Named Executive Officers was 10% of target.</w:t>
      </w:r>
    </w:p>
    <w:p>
      <w:pPr>
        <w:spacing w:after="0" w:line="23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February 2012, an aggregate of $2.9 million was paid out in bonuses to certain employees, including Messrs. Durcan, Lewis and Shirley, related to successful litigation results.</w:t>
      </w:r>
    </w:p>
    <w:p>
      <w:pPr>
        <w:sectPr>
          <w:pgSz w:w="11900" w:h="16838" w:orient="portrait"/>
          <w:cols w:equalWidth="0" w:num="1">
            <w:col w:w="11088"/>
          </w:cols>
          <w:pgMar w:left="572" w:top="719" w:right="239" w:bottom="1440" w:gutter="0" w:footer="0" w:header="0"/>
        </w:sectPr>
      </w:pPr>
    </w:p>
    <w:p>
      <w:pPr>
        <w:spacing w:after="0" w:line="333" w:lineRule="exact"/>
        <w:rPr>
          <w:sz w:val="20"/>
          <w:szCs w:val="20"/>
          <w:color w:val="auto"/>
        </w:rPr>
      </w:pPr>
    </w:p>
    <w:p>
      <w:pPr>
        <w:jc w:val="center"/>
        <w:ind w:right="332"/>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88"/>
          </w:cols>
          <w:pgMar w:left="572" w:top="719" w:right="239" w:bottom="1440" w:gutter="0" w:footer="0" w:header="0"/>
          <w:type w:val="continuous"/>
        </w:sectPr>
      </w:pPr>
    </w:p>
    <w:bookmarkStart w:id="14" w:name="page15"/>
    <w:bookmarkEnd w:id="14"/>
    <w:p>
      <w:pPr>
        <w:ind w:left="340"/>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79" w:lineRule="exact"/>
        <w:rPr>
          <w:sz w:val="20"/>
          <w:szCs w:val="20"/>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EIP is performance-based and we have no history of changing performance metrics mid-cycle. The weightings of the performance metrics for Messrs. Durcan and Adams were changed in February 2012 when their positions were changed due to Mr. Appleton's death.</w:t>
      </w:r>
    </w:p>
    <w:p>
      <w:pPr>
        <w:spacing w:after="0" w:line="20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established stock ownership guidelines for our directors and officers. For fiscal 2012, all officers and directors were in compliance with the guidelines.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2012 Advisory Vote on Executive Compensation</w:t>
      </w:r>
    </w:p>
    <w:p>
      <w:pPr>
        <w:spacing w:after="0" w:line="14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At the Annual Meeting of Shareholders on January 24, 2012, in the first advisory vote on executive compensation, over 90% of the shares voted were voted in support of the compensation of our named executive officers. The Committee appreciates and values the views of our shareholders. In considering the results of the 2012 advisory vote on executive compensation, the Committee concluded that the compensation paid to our executive officers and the Company's overall executive pay practices have strong shareholder support and have been effective in implementing the Company's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Please refer to “Executive Sessions and Communications with the Board of Directors” on page 7 for information about communicating with the Board.</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Also at the Annual Meeting of Shareholders on January 24, 2012, our shareholders expressed a preference that advisory votes on executive compensation occur every year. In accordance with the results of this vote, the Board determined to implement an advisory vote on executive compensation every year until the next required vote on the frequency of shareholder votes on the compensation of executives, which is scheduled to occur at the 2017 Annual Meeting of Shareholders</w:t>
      </w:r>
      <w:r>
        <w:rPr>
          <w:rFonts w:ascii="Arial" w:cs="Arial" w:eastAsia="Arial" w:hAnsi="Arial"/>
          <w:sz w:val="19"/>
          <w:szCs w:val="19"/>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executive compensation program is administered by the Committee, which is comprised of Messrs. Byrne and Mondry.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this evaluation. The Committee also reviews the evaluation process and compensation structure for our other officers, including the other Named Executive Officers, and approves their compensation.</w:t>
      </w:r>
    </w:p>
    <w:p>
      <w:pPr>
        <w:spacing w:after="0" w:line="2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in the governance section.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Governance—Compensation Consultant" on page 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6"/>
          <w:szCs w:val="16"/>
          <w:i w:val="1"/>
          <w:iCs w:val="1"/>
          <w:color w:val="auto"/>
        </w:rPr>
        <w:t>"Market Data Defined"</w:t>
      </w:r>
      <w:r>
        <w:rPr>
          <w:rFonts w:ascii="Arial" w:cs="Arial" w:eastAsia="Arial" w:hAnsi="Arial"/>
          <w:sz w:val="16"/>
          <w:szCs w:val="16"/>
          <w:color w:val="auto"/>
        </w:rPr>
        <w:t xml:space="preserve"> below. What is "reasonable" and "competitive" is gauged against the Market Data (as defined below) and reviewed by the Committee for each of the primary elements of compensation.</w:t>
      </w:r>
    </w:p>
    <w:p>
      <w:pPr>
        <w:sectPr>
          <w:pgSz w:w="11900" w:h="16838" w:orient="portrait"/>
          <w:cols w:equalWidth="0" w:num="1">
            <w:col w:w="11420"/>
          </w:cols>
          <w:pgMar w:left="240" w:top="719"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1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Reasonable</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224"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past and anticipated contributions by an officer,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22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incentive compensation (stock options and restricted stock).</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 executives' interests with those of our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2012, the total direct compensation approved by the Committee was below the 75th percentile of Market Data values for all our Named Executive Officers and below the 25th percentile of Market Data values for three of our Named Executive Officers.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 which typically include keeping costs down, providing innovative products and memory solutions, improving our sales channel, growing our non-memory businesses and being a technology leader.</w:t>
      </w:r>
    </w:p>
    <w:p>
      <w:pPr>
        <w:spacing w:after="0" w:line="24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Mercer reviews the most recent available data and identifies the Market Data values for the 25</w:t>
      </w:r>
      <w:r>
        <w:rPr>
          <w:rFonts w:ascii="Arial" w:cs="Arial" w:eastAsia="Arial" w:hAnsi="Arial"/>
          <w:sz w:val="13"/>
          <w:szCs w:val="13"/>
          <w:color w:val="auto"/>
        </w:rPr>
        <w:t>th</w:t>
      </w:r>
      <w:r>
        <w:rPr>
          <w:rFonts w:ascii="Arial" w:cs="Arial" w:eastAsia="Arial" w:hAnsi="Arial"/>
          <w:sz w:val="16"/>
          <w:szCs w:val="16"/>
          <w:color w:val="auto"/>
        </w:rPr>
        <w:t>, 50</w:t>
      </w:r>
      <w:r>
        <w:rPr>
          <w:rFonts w:ascii="Arial" w:cs="Arial" w:eastAsia="Arial" w:hAnsi="Arial"/>
          <w:sz w:val="13"/>
          <w:szCs w:val="13"/>
          <w:color w:val="auto"/>
        </w:rPr>
        <w:t>th</w:t>
      </w:r>
      <w:r>
        <w:rPr>
          <w:rFonts w:ascii="Arial" w:cs="Arial" w:eastAsia="Arial" w:hAnsi="Arial"/>
          <w:sz w:val="16"/>
          <w:szCs w:val="16"/>
          <w:color w:val="auto"/>
        </w:rPr>
        <w:t xml:space="preserve"> (i.e. median) and 75</w:t>
      </w:r>
      <w:r>
        <w:rPr>
          <w:rFonts w:ascii="Arial" w:cs="Arial" w:eastAsia="Arial" w:hAnsi="Arial"/>
          <w:sz w:val="13"/>
          <w:szCs w:val="13"/>
          <w:color w:val="auto"/>
        </w:rPr>
        <w:t>th</w:t>
      </w:r>
      <w:r>
        <w:rPr>
          <w:rFonts w:ascii="Arial" w:cs="Arial" w:eastAsia="Arial" w:hAnsi="Arial"/>
          <w:sz w:val="16"/>
          <w:szCs w:val="16"/>
          <w:color w:val="auto"/>
        </w:rPr>
        <w:t xml:space="preserve">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w:t>
      </w:r>
    </w:p>
    <w:p>
      <w:pPr>
        <w:sectPr>
          <w:pgSz w:w="11900" w:h="16838" w:orient="portrait"/>
          <w:cols w:equalWidth="0" w:num="1">
            <w:col w:w="11420"/>
          </w:cols>
          <w:pgMar w:left="240" w:top="584"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with respect to short-term incentives and offers suggestions as to long-term incentive compensation for the Named Executive Officers other than himself. He makes no recommendations as to his own level of compensation.</w:t>
      </w:r>
    </w:p>
    <w:p>
      <w:pPr>
        <w:spacing w:after="0" w:line="2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2012 base salaries</w:t>
      </w:r>
    </w:p>
    <w:p>
      <w:pPr>
        <w:spacing w:after="0" w:line="2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2011, the Market Data showed that the base salaries of all of the Named Executive Officers were between the 25th and 75th percentiles for their positions or ranks. The Committee determined not to change the base salaries of the Named Executive Officers for fiscal 2012 with the exception of Messrs. Durcan and Adams. Mr. Durcan's base salary was increased from $645,000 to $900,000 when he became our CEO and Mr. Adams' base salary was increased from $450,000 to $600,000 when he became our President. Market Data showed that Mr. Durcan's base salary as CEO was approximately 8% below the median and Mr. Adams' base salary as President was approximately 17% below the median.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2012 short-term incentive awards</w:t>
      </w:r>
    </w:p>
    <w:p>
      <w:pPr>
        <w:spacing w:after="0" w:line="2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Annual short-term incentive awards are paid in cash to our officers under the Executive Officer Performance Incentive Plan ("EIP"). The short-term incentive "opportunity" ("Target Award") for each officer is stated in terms of a specified percentage of such officer's base salary and is designed to reward participants for the achievement of specified short-term business-unit and/or Company-wide financial, operational or strategic goals. The Committee believes the pre-determined goals, regardless of whether tied to business unit or Company-wide performance, promote our long-term success and shareholder value.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2011, and in accordance with the provisions of the EIP, the Committee established the following goals for fiscal 2012:</w:t>
      </w:r>
    </w:p>
    <w:p>
      <w:pPr>
        <w:spacing w:after="0" w:line="2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Management—meeting specified net cash goals taking into account capital expenditures and investments,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Expense—meeting an operating expense (SG&amp;A plus R&amp;D) target that did not exceed a specified level of revenue,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Delivery Performance—meeting specified delivery requirements for certain customers,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Management—achieving annual inventory turn targets,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WSG—meeting specified inventory turn targets for our WSG business unit,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DSG—meeting a specified percentage of DRAM wafer equivalents to certain markets,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NSG—meeting specified shipment targets for SSDs and eNAND units,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ESG—meeting specified gross margin targets for our ESG business unit.</w:t>
      </w:r>
    </w:p>
    <w:p>
      <w:pPr>
        <w:spacing w:after="0" w:line="2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target incentive amounts that could be payable under the EIP for achievement of the fiscal 2012 goals are shown in the columns "Estimated Future Payouts under Non-Equity Incentive Plan Awards" of the "Grants of Plan-Based Awards in Fiscal 2012" table. All goals were established with threshold, target and maximum payout levels, with the target payout requiring a significant level of effort and no assurance of goal achievement.</w:t>
      </w:r>
    </w:p>
    <w:p>
      <w:pPr>
        <w:sectPr>
          <w:pgSz w:w="11900" w:h="16838" w:orient="portrait"/>
          <w:cols w:equalWidth="0" w:num="1">
            <w:col w:w="11420"/>
          </w:cols>
          <w:pgMar w:left="240" w:top="719"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19" w:right="239" w:bottom="1440" w:gutter="0" w:footer="0" w:header="0"/>
          <w:type w:val="continuous"/>
        </w:sectPr>
      </w:pPr>
    </w:p>
    <w:bookmarkStart w:id="17" w:name="page18"/>
    <w:bookmarkEnd w:id="17"/>
    <w:p>
      <w:pPr>
        <w:jc w:val="both"/>
        <w:ind w:firstLine="324"/>
        <w:spacing w:after="0" w:line="259" w:lineRule="auto"/>
        <w:rPr>
          <w:sz w:val="20"/>
          <w:szCs w:val="20"/>
          <w:color w:val="auto"/>
        </w:rPr>
      </w:pPr>
      <w:r>
        <w:rPr>
          <w:rFonts w:ascii="Arial" w:cs="Arial" w:eastAsia="Arial" w:hAnsi="Arial"/>
          <w:sz w:val="18"/>
          <w:szCs w:val="18"/>
          <w:color w:val="auto"/>
        </w:rPr>
        <w:t>The Target Awards established for fiscal 2012 for the Named Executive Officers were measured against the Market Data median. However, opportunities are not necessarily limited to the Market Data median, but considered within the factors described under the section labeled "Reasonable" above. The actual payouts of the awards established in October 2011 with respect to fiscal 2012 bonuses under the EIP are based on actual fiscal 2012 results in the manner set forth below. For fiscal 2012, the following Target Awards were established:</w:t>
      </w:r>
    </w:p>
    <w:p>
      <w:pPr>
        <w:spacing w:after="0" w:line="24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Adams—100% of base salary (Mr. Adams' short-term incentive target was increased to 120% when he became President in February 2012)</w:t>
      </w:r>
    </w:p>
    <w:p>
      <w:pPr>
        <w:spacing w:after="0" w:line="302"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Durcan—120% of base salary (Mr. Durcan's short-term incentive target was increased to 150% when he became CEO in February 2012)</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Foster—100% of base salary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Lewis—80% of base salary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Shirley—100% of base salary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Appleton—150% of base salary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Licciardello—100% of base salary</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the Target Award weighting for Messrs. Adams, Appleton, Durcan, Foster, Lewis, Licciardello, and Shirley among the various goals. The weightings reflect the officer's responsibilities and ability to affect the attainment of the goal.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(b)</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Named Executive</w:t>
            </w:r>
          </w:p>
        </w:tc>
        <w:tc>
          <w:tcPr>
            <w:tcW w:w="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Operating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Customer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Inventory</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(g)</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(h)</w:t>
            </w:r>
          </w:p>
        </w:tc>
      </w:tr>
      <w:tr>
        <w:trPr>
          <w:trHeight w:val="234"/>
        </w:trPr>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rPr>
              <w:t>Officer</w:t>
            </w:r>
          </w:p>
        </w:tc>
        <w:tc>
          <w:tcPr>
            <w:tcW w:w="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Cash</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Expense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Delivery</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Management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WSG</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DSG</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NSG</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ESG</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Mark W. Adams (1)</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D. Mark Durcan (2)</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Ronald C. Foster</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Roderic W. Lewis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Brian M. Shirley</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Steven R. Appleton</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2080" w:type="dxa"/>
            <w:vAlign w:val="bottom"/>
            <w:gridSpan w:val="3"/>
          </w:tcPr>
          <w:p>
            <w:pPr>
              <w:ind w:left="40"/>
              <w:spacing w:after="0"/>
              <w:rPr>
                <w:sz w:val="20"/>
                <w:szCs w:val="20"/>
                <w:color w:val="auto"/>
              </w:rPr>
            </w:pPr>
            <w:r>
              <w:rPr>
                <w:rFonts w:ascii="Arial" w:cs="Arial" w:eastAsia="Arial" w:hAnsi="Arial"/>
                <w:sz w:val="18"/>
                <w:szCs w:val="18"/>
                <w:color w:val="auto"/>
              </w:rPr>
              <w:t>Mario Licciardello</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3"/>
        </w:trPr>
        <w:tc>
          <w:tcPr>
            <w:tcW w:w="2080" w:type="dxa"/>
            <w:vAlign w:val="bottom"/>
            <w:gridSpan w:val="3"/>
          </w:tcPr>
          <w:p>
            <w:pPr>
              <w:spacing w:after="0"/>
              <w:rPr>
                <w:sz w:val="20"/>
                <w:szCs w:val="20"/>
                <w:color w:val="auto"/>
              </w:rPr>
            </w:pPr>
            <w:r>
              <w:rPr>
                <w:rFonts w:ascii="Arial" w:cs="Arial" w:eastAsia="Arial" w:hAnsi="Arial"/>
                <w:sz w:val="18"/>
                <w:szCs w:val="18"/>
                <w:color w:val="auto"/>
                <w:w w:val="89"/>
              </w:rPr>
              <w:t>_______________________</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jc w:val="both"/>
        <w:ind w:left="340" w:hanging="332"/>
        <w:spacing w:after="0" w:line="25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period from September 1, 2011 to February 3, 2012, during which time Mr. Adams served as our Vice President of Worldwide Sales, his EIP weightings were 15%, 15%, 15%, 15%, 10%, 10%, 10%, and 10% for goals (a), (b), (c), (d), (e), (f), (g) and (h), respectively. Upon Mr. Adams' appointment as President, his EIP weightings were changed to 35%, 30%, 10%, 5%, 5%, 5%, 5%, and 5% for goals (a), (b), (c), (d), (e), (f), (g) and (h), respectively. The percentages shown in the table represent the average weighting for the two periods.</w:t>
      </w:r>
    </w:p>
    <w:p>
      <w:pPr>
        <w:spacing w:after="0" w:line="24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period from September 1, 2011 to February 3, 2012, during which time Mr. Durcan served as our Chief Operating Officer and President, his EIP weightings were 35%, 30%, 10%, 5%, 5%, 5%, 5%, and 5% for goals (a), (b), (c), (d), (e), (f), (g) and (h), respectively. Upon Mr. Durcan's appointment as CEO, his EIP weightings were changed to 35%, 35%, 15%, 15%, 0%, 0%, 0%, and 0% for goals (a), (b), (c), (d), (e), (f), (g) and (h), respectively. The percentages shown in the table represent the average weighting for the two periods.</w:t>
      </w:r>
    </w:p>
    <w:p>
      <w:pPr>
        <w:spacing w:after="0" w:line="24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Following a review of fiscal 2012 results, the Committee determined that the goals (d) and (f) were achieved at 50% and 59% of target, respectively. The Committee determined that goals (a), (b), (c), (e), (g) and (h) were not achieved. The average payout for fiscal 2012 bonuses under the EIP was 10% of target for our Named Executive Officers. As a result of goals met, the Named Executive Officers received bonuses in the following amounts: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Bonus</w:t>
            </w:r>
          </w:p>
        </w:tc>
        <w:tc>
          <w:tcPr>
            <w:tcW w:w="1080" w:type="dxa"/>
            <w:vAlign w:val="bottom"/>
          </w:tcPr>
          <w:p>
            <w:pPr>
              <w:ind w:left="80"/>
              <w:spacing w:after="0"/>
              <w:rPr>
                <w:sz w:val="20"/>
                <w:szCs w:val="20"/>
                <w:color w:val="auto"/>
              </w:rPr>
            </w:pPr>
            <w:r>
              <w:rPr>
                <w:rFonts w:ascii="Arial" w:cs="Arial" w:eastAsia="Arial" w:hAnsi="Arial"/>
                <w:sz w:val="18"/>
                <w:szCs w:val="18"/>
                <w:b w:val="1"/>
                <w:bCs w:val="1"/>
                <w:color w:val="auto"/>
                <w:w w:val="99"/>
              </w:rPr>
              <w:t>% of Target</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48,148</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7.9%</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76,403</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6.9%</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36,750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7.5%</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25,200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7.5%</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136,246</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28.2%</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Steven R. Appleton</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106,875</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7.5%</w:t>
            </w: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Mario Licciardello (1)</w:t>
            </w:r>
          </w:p>
        </w:tc>
        <w:tc>
          <w:tcPr>
            <w:tcW w:w="2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ind w:left="340" w:right="2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Licciardello retired before the fiscal 2012 EIP Plan payments were made and he was not entitled to continue participation in the EIP after his retirement.</w:t>
      </w:r>
    </w:p>
    <w:p>
      <w:pPr>
        <w:spacing w:after="0" w:line="23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foregoing amounts are included in the "Fiscal 2012 Summary Compensation Table" in the column "Non-Equity Incentive Plan Compensation."</w:t>
      </w:r>
    </w:p>
    <w:p>
      <w:pPr>
        <w:spacing w:after="0" w:line="29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In this regard, the weighting of the EIP goals for Mr. Durcan and Mr. Adams were modified in February 2012 upon their appointments as Chief Executive Officer and President, respectively. As a result of these changes, the EIP bonus paid to Mr. Durcan and Mr. Adams do not satisfy the requirements of Section 162(m).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In fiscal 2012, the Committee did not exercise any such discretion.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Achievement Bonuses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2012, an aggregate of $2.9 million was paid in bonuses to certain of our employees as a result of successful litigation outcomes over a period of years. Pursuant to this program, Messrs. Durcan, Lewis and Shirley received $500,000, $900,000 and $75,000, respectively. The foregoing amounts are included in the "Fiscal 2012 Summary Compensation Table" in the column "Bonus."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2012 long-term equity incentives</w:t>
      </w:r>
    </w:p>
    <w:p>
      <w:pPr>
        <w:spacing w:after="0" w:line="2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believe long-term incentive compensation should be tied to our success and increases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82% of the companies in the Compensation Peer Group used stock options, 64% of the companies used time-based restricted shares and 64% also used performance-based restricted shares as compensation vehicles for their executives. In setting fiscal 2012 compensation, the Committee determined that a 50-25-25 split between stock options, performance-based restricted stock and time-based restricted stock, respectively, represented the right balance between reward for our long-term success and retentive effect. Despite the 25-25 split for restricted shares, the actual number of restricted shares awarded with performance-based restrictions was not the same as the number of such shares awarded having time-based restrictions because there is a "probability-of-achievement" discount was applied to the value ascribed to performance-based restricted shares. This resulted in the actual number of shares in the two categories being different from one another with the number of performance-based shares exceeding the number of time-based shares. We used a 20% discount in calculating the number of performance-based restricted shares. The same approach was used by Mercer for valuing the performance-based equity of Compensation Peer Group companies to ensure Market Data and Micron values were comparable. For information on how the number of award shares was calculated and the application of the probability-of-achievement discount, please see the discussion below on "CEO Compensation—Long-Term Equity Incentives."</w:t>
      </w:r>
    </w:p>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respect to the time-based restricted stock awards for fiscal 2012, the restrictions lapse as to one-fourth of the shares on each anniversary of the date of grant. With respect to the stock option awards for fiscal 2012, the options vest as to one-fourth of the shares on each anniversary of the date of grant. With respect to the performance-based restricted stock awards granted in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9" w:name="page20"/>
    <w:bookmarkEnd w:id="19"/>
    <w:p>
      <w:pPr>
        <w:jc w:val="both"/>
        <w:spacing w:after="0" w:line="273" w:lineRule="auto"/>
        <w:rPr>
          <w:sz w:val="20"/>
          <w:szCs w:val="20"/>
          <w:color w:val="auto"/>
        </w:rPr>
      </w:pPr>
      <w:r>
        <w:rPr>
          <w:rFonts w:ascii="Arial" w:cs="Arial" w:eastAsia="Arial" w:hAnsi="Arial"/>
          <w:sz w:val="17"/>
          <w:szCs w:val="17"/>
          <w:color w:val="auto"/>
        </w:rPr>
        <w:t>fiscal 2012, the restrictions will lapse if we achieve a certain percentage ROA over a consecutive rolling four-quarter period between the beginning of fiscal 2012 and the end of fiscal 2014 (the "Share Performance Period"). The achievement during the Share Performance Period of a lower threshold ROA percentage will result in the restrictions lapsing as to one-half of the fiscal 2012 performance-based shares. The achievement during the Share Performance Period of the target ROA percentage will result in the restrictions lapsing as to all of the fiscal 2012 performance-based shares. Both the threshold and target ROA percentages require significant effort with the achievement of neither ROA percentage being assured. In the absence of at least the threshold ROA percentage being achieved during the Share Performance Period, the restrictions will not lapse and the shares will be forfeited.</w:t>
      </w:r>
    </w:p>
    <w:p>
      <w:pPr>
        <w:spacing w:after="0" w:line="2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determining the amount of the long-term equity incentive award for Messrs. Adams, Durcan, Foster, Lewis, Licciardello and Shirley, the Committee reviewed the Market Data and information provided by Mr. Appleton related to the other Named Executive Officer's performance and his recommendation as to the amount of their awards. For fiscal 2012, the long-term equity incentive awards approved by the Committee for each of Messrs. Adams, Durcan, Foster, and Shirley were all below the 50</w:t>
      </w:r>
      <w:r>
        <w:rPr>
          <w:rFonts w:ascii="Arial" w:cs="Arial" w:eastAsia="Arial" w:hAnsi="Arial"/>
          <w:sz w:val="14"/>
          <w:szCs w:val="14"/>
          <w:color w:val="auto"/>
        </w:rPr>
        <w:t>th</w:t>
      </w:r>
      <w:r>
        <w:rPr>
          <w:rFonts w:ascii="Arial" w:cs="Arial" w:eastAsia="Arial" w:hAnsi="Arial"/>
          <w:sz w:val="18"/>
          <w:szCs w:val="18"/>
          <w:color w:val="auto"/>
        </w:rPr>
        <w:t xml:space="preserve"> percentile of the Market Data for their position or rank. Mr. Lewis' fiscal 2012 long-term equity incentive was slightly above the 75th percentile for his position or rank. Because Mr. Licciardello is based in Italy, there was limited comparable Market Data available related to long-term equity incentives for his position. For information on Mr. Appleton's and Mr. Durcan's long-term equity incentive, please see the discussion below on CEO compensation.</w:t>
      </w: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(which typically occurs approximately within the week following the announcement of our results for the fiscal year). Historically, long-term incentive grants to the Named Executive Officers are approved by the Committee on the same day as the grants to other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2012 employee benefits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Executive perquisites, which for us are minor in scope and amount, are not considered to be material elements of compensation. We provide a competitive level of time off and health, welfare and retirement benefits to substantially all employees. The Named Executive Officers participate in the same plans as our other employees.</w:t>
      </w:r>
    </w:p>
    <w:p>
      <w:pPr>
        <w:spacing w:after="0" w:line="2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U.S. Time Off with Pay</w:t>
      </w:r>
      <w:r>
        <w:rPr>
          <w:rFonts w:ascii="Arial" w:cs="Arial" w:eastAsia="Arial" w:hAnsi="Arial"/>
          <w:sz w:val="18"/>
          <w:szCs w:val="18"/>
          <w:color w:val="auto"/>
        </w:rPr>
        <w:t>. The U.S.-based Named Executive Officers participate in our time-off plan. Under the time-off plan, all of our U.S.-based employees, including the Named Executive Officers, are allowed to accumulate up to 999 hours of time-off to be used for vacation, holiday, sick time, emergencies and personal needs.</w:t>
      </w:r>
    </w:p>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U.S. 401(k) Retirement Benefits</w:t>
      </w:r>
      <w:r>
        <w:rPr>
          <w:rFonts w:ascii="Arial" w:cs="Arial" w:eastAsia="Arial" w:hAnsi="Arial"/>
          <w:sz w:val="18"/>
          <w:szCs w:val="18"/>
          <w:color w:val="auto"/>
        </w:rPr>
        <w:t>. We provide retirement benefits to our U.S.-based employees, including the Named Executive Officers, under our tax-qualified 401(k) plan. Due to market conditions, in March 2009, we suspended making matching contributions. In January 2011, we started making matching contributions of up to 5% of the employee's eligible pay. The Named Executive Officers participate in the 401(k) plan on the same terms as our other employees.</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Mr. Licciardello's Benefits</w:t>
      </w:r>
      <w:r>
        <w:rPr>
          <w:rFonts w:ascii="Arial" w:cs="Arial" w:eastAsia="Arial" w:hAnsi="Arial"/>
          <w:sz w:val="18"/>
          <w:szCs w:val="18"/>
          <w:color w:val="auto"/>
        </w:rPr>
        <w:t>. Mr. Licciardello was employed in Europe and did not receive the U.S. benefits described above. He was employed in Switzerland until December 1, 2010, when he transferred to employment in Italy. In Switzerland, Mr. Licciardello's benefit arrangements had been made by Numonyx and assumed by us. Due to his age, Mr. Licciardello did not qualify for Numonyx's Swiss pension arrangements. In lieu of participation in a pension arrangement, while he was employed in Switzerland Mr. Licciardello was paid an additional amount per month based on the amount we would have otherwise contributed to a retirement account. While he was employed in Switzerland, Mr. Licciardello also received a monthly meal allowance and housing allowance.</w:t>
      </w:r>
    </w:p>
    <w:p>
      <w:pPr>
        <w:spacing w:after="0" w:line="2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an Italy-based employee, Mr. Licciardello generally received the same benefits as our other Italy-based senior leader level employees, including paid holidays and a vehicle allowance. However, due to his age, Mr. Licciardello did not qualify for our Italy-based disability insurance or for additional Italian pension contributions.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 - Mr. Durcan</w:t>
      </w:r>
    </w:p>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Mr. Durcan was appointed our Chief Executive Officer on February 4, 2012. Prior to his appointment as CEO, Mr. Durcan served as our President and Chief Operating Officer. Upon his appointment as CEO, the Committee examined Mr. Durcan's compensation in light of his changed position and the prevailing market practices for our Compensation Peer Group. Mr. Durcan's compensation is comprised of the following elements:</w:t>
      </w:r>
    </w:p>
    <w:p>
      <w:pPr>
        <w:sectPr>
          <w:pgSz w:w="11900" w:h="16838" w:orient="portrait"/>
          <w:cols w:equalWidth="0" w:num="1">
            <w:col w:w="11420"/>
          </w:cols>
          <w:pgMar w:left="240" w:top="719"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19" w:right="239" w:bottom="1440" w:gutter="0" w:footer="0" w:header="0"/>
          <w:type w:val="continuous"/>
        </w:sectPr>
      </w:pPr>
    </w:p>
    <w:bookmarkStart w:id="20" w:name="page21"/>
    <w:bookmarkEnd w:id="20"/>
    <w:p>
      <w:pPr>
        <w:jc w:val="both"/>
        <w:ind w:firstLine="324"/>
        <w:spacing w:after="0" w:line="277"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 Mr. Durcan's base salary was increased from $645,000 to $900,000 when he became our CEO. Market Data showed that Mr. Durcan's base salary as CEO was approximately 8% below the median.</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u w:val="single" w:color="auto"/>
          <w:color w:val="auto"/>
        </w:rPr>
        <w:t>Short-Term Incentive</w:t>
      </w:r>
      <w:r>
        <w:rPr>
          <w:rFonts w:ascii="Arial" w:cs="Arial" w:eastAsia="Arial" w:hAnsi="Arial"/>
          <w:sz w:val="16"/>
          <w:szCs w:val="16"/>
          <w:color w:val="auto"/>
        </w:rPr>
        <w:t xml:space="preserve"> - Mr. Durcan's short-term incentive Target Award was increased from 120% to 150% when he became CEO. Market Data showed that for short-term incentives a Target Award of 150% of base salary is at the median for CEOs. In fiscal 2012, Mr. Durcan received $76,403 under the EIP. Information regarding Mr. Durcan's specific goals under the EIP is included in the discussion above on "Fiscal 2012 Short-Term Incentive Awards." Mr. Durcan also received $500,000 pursuant to the supplemental achievement bonus related to patent and antitrust litigation outcomes described above.</w:t>
      </w:r>
    </w:p>
    <w:p>
      <w:pPr>
        <w:spacing w:after="0" w:line="20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u w:val="single" w:color="auto"/>
          <w:color w:val="auto"/>
        </w:rPr>
        <w:t>Long-Term Equity Incentive</w:t>
      </w:r>
      <w:r>
        <w:rPr>
          <w:rFonts w:ascii="Arial" w:cs="Arial" w:eastAsia="Arial" w:hAnsi="Arial"/>
          <w:sz w:val="16"/>
          <w:szCs w:val="16"/>
          <w:color w:val="auto"/>
        </w:rPr>
        <w:t xml:space="preserve"> - Mr. Durcan's long-term equity incentive targets were not changed when he became CEO. Mr. Durcan was granted 491,000 shares of restricted stock and options to purchase 777,000 shares of Common Stock in October 2011, while he was serving as our Chief Operating Officer and President. The aggregate value of Mr. Durcan's fiscal year 2012 long-term incentive opportunity is below the 25th percentile for CEOs in our peer group.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 - Mr. Appleton</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Appleton served as our CEO and Chairman of the Board from September 1994 until his death in February 2012. The following discussion relates to the actions taken by the Committee in October 2011 in setting Mr. Appleton's fiscal 2012 compensation. For a discussion of the death benefits received by Mr. Appleton's estate please see "Severance and Change in Control Arrangements."</w:t>
      </w:r>
    </w:p>
    <w:p>
      <w:pPr>
        <w:spacing w:after="0" w:line="2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With respect to Mr. Appleton's compensation, the Committee reviewed his performance, our financial results and Market Data values at the 25</w:t>
      </w:r>
      <w:r>
        <w:rPr>
          <w:rFonts w:ascii="Arial" w:cs="Arial" w:eastAsia="Arial" w:hAnsi="Arial"/>
          <w:sz w:val="14"/>
          <w:szCs w:val="14"/>
          <w:color w:val="auto"/>
        </w:rPr>
        <w:t>th</w:t>
      </w:r>
      <w:r>
        <w:rPr>
          <w:rFonts w:ascii="Arial" w:cs="Arial" w:eastAsia="Arial" w:hAnsi="Arial"/>
          <w:sz w:val="18"/>
          <w:szCs w:val="18"/>
          <w:color w:val="auto"/>
        </w:rPr>
        <w:t>, 50</w:t>
      </w:r>
      <w:r>
        <w:rPr>
          <w:rFonts w:ascii="Arial" w:cs="Arial" w:eastAsia="Arial" w:hAnsi="Arial"/>
          <w:sz w:val="14"/>
          <w:szCs w:val="14"/>
          <w:color w:val="auto"/>
        </w:rPr>
        <w:t>th</w:t>
      </w:r>
      <w:r>
        <w:rPr>
          <w:rFonts w:ascii="Arial" w:cs="Arial" w:eastAsia="Arial" w:hAnsi="Arial"/>
          <w:sz w:val="18"/>
          <w:szCs w:val="18"/>
          <w:color w:val="auto"/>
        </w:rPr>
        <w:t xml:space="preserve"> and 75</w:t>
      </w:r>
      <w:r>
        <w:rPr>
          <w:rFonts w:ascii="Arial" w:cs="Arial" w:eastAsia="Arial" w:hAnsi="Arial"/>
          <w:sz w:val="14"/>
          <w:szCs w:val="14"/>
          <w:color w:val="auto"/>
        </w:rPr>
        <w:t>th</w:t>
      </w:r>
      <w:r>
        <w:rPr>
          <w:rFonts w:ascii="Arial" w:cs="Arial" w:eastAsia="Arial" w:hAnsi="Arial"/>
          <w:sz w:val="18"/>
          <w:szCs w:val="18"/>
          <w:color w:val="auto"/>
        </w:rPr>
        <w:t xml:space="preserve"> percentiles. Please see "Guiding Principles" above for a discussion of other factors the Committee considers in setting compensation levels and deviations from the market median.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the Market Data showed that Mr. Appleton's base salary was approximately 3% below the median, the Committee decided to keep Mr. Appleton's salary at $950,000. Mr. Appleton's base salary did not change from fiscal 2007.</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Data showed that for short-term incentives a Target Award of 150% of base salary is at the median. Mr. Appleton's Target Award has been at 150% since 2007. For fiscal 2012, Mr. Appleton' estate received $106,875 under the EIP. Information regarding Mr. Appleton's specific goals under the EIP is included in the discussion above on "Fiscal 2012 Short-Term Incentive Awards."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charts show the long-term equity incentive mix for Mr. Appleton and for CEOs who were granted long-term equity incentives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177165</wp:posOffset>
            </wp:positionV>
            <wp:extent cx="5805805" cy="2178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0580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the Market Data showed that Mr. Appleton's long-term equity incentive opportunity based on value was approximately 11% below the median, the Committee decided to keep the value of Mr. Appleton's targeted long-term equity incentive award for fiscal 2012 targeted at $6,500,000. Mr. Appleton's long-term incentive award value did not change from fiscal 2007.</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19" w:right="2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8"/>
          <w:szCs w:val="18"/>
          <w:color w:val="auto"/>
        </w:rPr>
        <w:t>The following table sets forth the elements and amounts of Mr. Appleton's long-term incentive award for fiscal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Options/Shares(1)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Security</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Options</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1,123,000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3,250,000</w:t>
            </w:r>
          </w:p>
        </w:tc>
        <w:tc>
          <w:tcPr>
            <w:tcW w:w="0" w:type="dxa"/>
            <w:vAlign w:val="bottom"/>
          </w:tcPr>
          <w:p>
            <w:pPr>
              <w:spacing w:after="0"/>
              <w:rPr>
                <w:sz w:val="1"/>
                <w:szCs w:val="1"/>
                <w:color w:val="auto"/>
              </w:rPr>
            </w:pP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1,625,000</w:t>
            </w:r>
          </w:p>
        </w:tc>
        <w:tc>
          <w:tcPr>
            <w:tcW w:w="0" w:type="dxa"/>
            <w:vAlign w:val="bottom"/>
          </w:tcPr>
          <w:p>
            <w:pPr>
              <w:spacing w:after="0"/>
              <w:rPr>
                <w:sz w:val="1"/>
                <w:szCs w:val="1"/>
                <w:color w:val="auto"/>
              </w:rPr>
            </w:pP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Performance-based Restricted Stock</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394,000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1,625,000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1,832,000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7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Information related to Mr. Appleton's long-term incentive award also is included in the "Grants of Plan-Based Awards in Fiscal 2012"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Topic 718. The amounts included on the table above are consistent with the approach used by Mercer and differ from the amounts included in the "Grants of Plan-Based Awards Table in Fiscal 2012" as they reflect the 20% "probability-of-achievement" discount applied to the performance-based shares.</w:t>
      </w:r>
    </w:p>
    <w:p>
      <w:pPr>
        <w:spacing w:after="0" w:line="97" w:lineRule="exact"/>
        <w:rPr>
          <w:rFonts w:ascii="Arial" w:cs="Arial" w:eastAsia="Arial" w:hAnsi="Arial"/>
          <w:sz w:val="17"/>
          <w:szCs w:val="17"/>
          <w:color w:val="auto"/>
        </w:rPr>
      </w:pPr>
    </w:p>
    <w:p>
      <w:pPr>
        <w:jc w:val="both"/>
        <w:ind w:left="340" w:hanging="332"/>
        <w:spacing w:after="0" w:line="27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options granted to Mr. Appleton was determined by dividing $3,250,000 (50% of $6,500,000) by approximately $2.89, the estimated fair value of our stock options at the time of the Committee's meeting on executive compensation. The number of time-based restricted shares granted to Mr. Appleton was determined by dividing $1,625,000 (25% of $6,500,000) by $5.16, the approximate fair market value of our Common Stock at the time of the Committee's meeting on executive compensation. The number of performance-based restricted shares granted to Mr. Appleton was determined by dividing $1,625,000 (25% of $6,500,000) by approximately $4.13 (20% discount to the $5.16 share price).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our Named Executive Officers, except Mr. Licciardello, has a similar severance agreement in place (the "Severance Agreements"). We believe severance agreements for certain of our officers are in the best interests of us and our shareholders because they are necessary to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the Severance Agreements provide for severance payments upon termination of employment for any reason, including death, voluntary or involuntary termination or termination with or without cause.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2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bonuses, executive bonuses, benefits and continued vesting of any granted stock options and restricted shares. With respect to short-term incentive awards and long-term equity awards that are performance-based, the officer is entitled to receive such awards only if the goals are achieved before or during the applicable Transition Period. Such terminated officers are not entitled to receive any new awards under our equity plans or EIP or to the payment of any compensation that would be deferred past the Transition Period due to payment criteria of an incentive program, as those criteria exist as of the Termination Date.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79"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19" w:right="239" w:bottom="1440" w:gutter="0" w:footer="0" w:header="0"/>
          <w:type w:val="continuous"/>
        </w:sectPr>
      </w:pPr>
    </w:p>
    <w:bookmarkStart w:id="22" w:name="page23"/>
    <w:bookmarkEnd w:id="22"/>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Licciardello</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Licciardello retired on May 31, 2012. In connection with his retirement, we entered into an agreement with Mr. Licciardello that provided for a severance payment and additional payments in exchange for certain waivers, releases and covenants.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Death Benefits</w:t>
      </w:r>
    </w:p>
    <w:p>
      <w:pPr>
        <w:spacing w:after="0" w:line="2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Most of our equity plans currently provide for automatic acceleration of vesting and lapsing of restrictions in the event of death. At the time of Mr. Appleton's passing, our 2004 Plan provided for automatic pro rata lapsing of restrictions on the performance-based restricted stock awards upon the death of the award recipient. The 2004 Plan gave the Committee the discretion to lapse restrictions on restricted stock awards which had not automatically lapsed. The Committee exercised this discretion and approved the lapsing of the restrictions on Mr. Appleton's performance-based restricted stock awards under the 2004 Plan.</w:t>
      </w:r>
    </w:p>
    <w:p>
      <w:pPr>
        <w:spacing w:after="0" w:line="2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Under our time-off plan, in some states, including Idaho, our team members are entitled to 50% of their accrued but unused time-off upon a normal termination of employment. At the time of Mr. Appleton's passing, our longstanding practice had been to pay out 100% in the event of death, but this practice had not been formalized. The Committee approved paying out Mr. Appleton's time-off at 100% in accordance with our practice. Our time-off plan was subsequently changed to explicitly provide for team members to be paid 100% of their accrued but unused time-off in the event of death.</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Actual and Estimated Severance Payments and Death Benefits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"Voluntary or Involuntary Termination of Employment" table on page 31 describes the actual amounts payable and other benefits applicable to Mr. Appleton and Mr. Licciardello's terminations of employment and the estimated severance payments as of the end of fiscal 2012 for the current Named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executive incentive plan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the "Change in Control" table on page 32.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2012, each as discussed below, were weighted equally by the Committee and are collectively referred to throughout this discussion as the "Market Data."</w:t>
      </w:r>
    </w:p>
    <w:p>
      <w:pPr>
        <w:sectPr>
          <w:pgSz w:w="11900" w:h="16838" w:orient="portrait"/>
          <w:cols w:equalWidth="0" w:num="1">
            <w:col w:w="11420"/>
          </w:cols>
          <w:pgMar w:left="240" w:top="7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19" w:right="239" w:bottom="1440" w:gutter="0" w:footer="0" w:header="0"/>
          <w:type w:val="continuous"/>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35% to 140% of the size of Micron and have a high degree of business match. We believe our custom peer group is comprised of companies that are likely to be our competitors for executive talent.</w:t>
      </w:r>
    </w:p>
    <w:p>
      <w:pPr>
        <w:spacing w:after="0" w:line="2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year we reevaluate the composition of our Compensation Peer Group to ensure that it reflects industry or economic changes that may have occurred during the fiscal year, such as changes in business strategies, operations, revenues, product lines or availability of information. For fiscal 2012, the Compensation Peer Group of companies changed from the group used for fiscal 2011, with the removal of Infinion Technologies and STMicroelectronics due to a lack of robust publicly available data. As a result of these changes, our Compensation Peer Group for 2012 consisted of: Advanced Micro Devices, Inc., Agilent Technologies, Inc., Applied Materials, Inc., Broadcom Corporation, Marvell Technology Group Ltd, Nvidia Corporation, QUALCOMM Incorporated, SanDisk Corporation, Seagate Technology Plc., Texas Instruments Incorporated and Western Digital Corp. These companies are referred to in the compensation discussion and analysis as the "Compensation Peer Group."</w:t>
      </w:r>
    </w:p>
    <w:p>
      <w:pPr>
        <w:spacing w:after="0" w:line="23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highest paid Company officer is ranked to the highest paid officer at each company within the Compensation Peer Group.</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Survey data may vary from year to year. For fiscal 2012, Mercer used the Radford Executive Survey and Towers Watson Survey. We believe these surveys are particularly relevant for high technology companies given the high level of participation by such companies in the survey. We used survey data as guidance in reviewing Mr. Licciardello's compensation since limited peer data was available.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established stock ownership guidelines for our officers and directors. The Committee believes that officers will more effectively manage a company in the best interests of the shareholders if they are also shareholders. The minimum ownership guideline for directors is to hold shares with a value equal to three times their annual retainer. The minimum ownership guideline for our CEO is to hold shares with a value equal to five times his base salary. The other Named Executive Officers are required to hold shares with a value equal to three times their base salary. Directors and officers are given five years to meet the ownership guidelines. The Governance Committee reviews the Ownership Guidelines and monitors each covered executive's progress toward, and continued compliance with, the guidelines. Stock sales restrictions may be imposed upon officers and directors if the stock ownership guidelines are not met. All our officers and directors are in compliance with the guidelines.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guidelines for each of the current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w:t>
            </w:r>
          </w:p>
        </w:tc>
      </w:tr>
      <w:tr>
        <w:trPr>
          <w:trHeight w:val="216"/>
        </w:trPr>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Guideline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with</w:t>
            </w:r>
          </w:p>
        </w:tc>
      </w:tr>
      <w:tr>
        <w:trPr>
          <w:trHeight w:val="234"/>
        </w:trPr>
        <w:tc>
          <w:tcPr>
            <w:tcW w:w="67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Guideline</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140" w:type="dxa"/>
            <w:vAlign w:val="bottom"/>
          </w:tcPr>
          <w:p>
            <w:pPr>
              <w:jc w:val="right"/>
              <w:spacing w:after="0"/>
              <w:rPr>
                <w:sz w:val="20"/>
                <w:szCs w:val="20"/>
                <w:color w:val="auto"/>
              </w:rPr>
            </w:pPr>
            <w:r>
              <w:rPr>
                <w:rFonts w:ascii="Arial" w:cs="Arial" w:eastAsia="Arial" w:hAnsi="Arial"/>
                <w:sz w:val="18"/>
                <w:szCs w:val="18"/>
                <w:color w:val="auto"/>
              </w:rPr>
              <w:t>$   1,800,000</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1140" w:type="dxa"/>
            <w:vAlign w:val="bottom"/>
          </w:tcPr>
          <w:p>
            <w:pPr>
              <w:jc w:val="right"/>
              <w:spacing w:after="0"/>
              <w:rPr>
                <w:sz w:val="20"/>
                <w:szCs w:val="20"/>
                <w:color w:val="auto"/>
              </w:rPr>
            </w:pPr>
            <w:r>
              <w:rPr>
                <w:rFonts w:ascii="Arial" w:cs="Arial" w:eastAsia="Arial" w:hAnsi="Arial"/>
                <w:sz w:val="18"/>
                <w:szCs w:val="18"/>
                <w:color w:val="auto"/>
              </w:rPr>
              <w:t>1,470,000</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140" w:type="dxa"/>
            <w:vAlign w:val="bottom"/>
          </w:tcPr>
          <w:p>
            <w:pPr>
              <w:jc w:val="right"/>
              <w:spacing w:after="0"/>
              <w:rPr>
                <w:sz w:val="20"/>
                <w:szCs w:val="20"/>
                <w:color w:val="auto"/>
              </w:rPr>
            </w:pPr>
            <w:r>
              <w:rPr>
                <w:rFonts w:ascii="Arial" w:cs="Arial" w:eastAsia="Arial" w:hAnsi="Arial"/>
                <w:sz w:val="18"/>
                <w:szCs w:val="18"/>
                <w:color w:val="auto"/>
              </w:rPr>
              <w:t>1,260,000</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0"/>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140" w:type="dxa"/>
            <w:vAlign w:val="bottom"/>
          </w:tcPr>
          <w:p>
            <w:pPr>
              <w:jc w:val="right"/>
              <w:spacing w:after="0"/>
              <w:rPr>
                <w:sz w:val="20"/>
                <w:szCs w:val="20"/>
                <w:color w:val="auto"/>
              </w:rPr>
            </w:pPr>
            <w:r>
              <w:rPr>
                <w:rFonts w:ascii="Arial" w:cs="Arial" w:eastAsia="Arial" w:hAnsi="Arial"/>
                <w:sz w:val="18"/>
                <w:szCs w:val="18"/>
                <w:color w:val="auto"/>
              </w:rPr>
              <w:t>1,452,000</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19"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2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Patrick J. Byrne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Lawrence N. Mondry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 member of the Compensation Committee (Messrs. Byrne and Mondry) is or has been one of our officers or employees or an officer or employee of any of our subsidiaries. During fiscal 2012, none of our executive officers served on the Compensation Committee (or equivalent), or the board of directors of another entity whose executive officer(s) served on our Compensation Committee or Board of Directors.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2012 SUMMARY COMPENSATION TABLE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2012, 2011 and 2010.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5"/>
              </w:rPr>
              <w:t>Salary</w:t>
            </w:r>
          </w:p>
        </w:tc>
        <w:tc>
          <w:tcPr>
            <w:tcW w:w="240" w:type="dxa"/>
            <w:vAlign w:val="bottom"/>
          </w:tcPr>
          <w:p>
            <w:pPr>
              <w:spacing w:after="0"/>
              <w:rPr>
                <w:sz w:val="17"/>
                <w:szCs w:val="17"/>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Stock Awards</w:t>
            </w: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Option Awards</w:t>
            </w:r>
          </w:p>
        </w:tc>
        <w:tc>
          <w:tcPr>
            <w:tcW w:w="1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42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 and Principal Position</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(1)</w:t>
            </w:r>
          </w:p>
        </w:tc>
        <w:tc>
          <w:tcPr>
            <w:tcW w:w="24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w:t>
            </w:r>
          </w:p>
        </w:tc>
        <w:tc>
          <w:tcPr>
            <w:tcW w:w="30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Mark W. Adams</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535,961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846,240</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48,148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13,130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2,193,091</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President</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D. Mark Durcan</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791,135</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500,000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2,533,560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2,248,837</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76,403</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14,018</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6,163,953</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Chief Executive 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641,366</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1,692,570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1,500,134</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421,056</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12,250</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4,267,376</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(Principal Executive 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507,692</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456,000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1,693,420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1,494,327</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612,000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4,763,439</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Ronald C. Foster</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490,000</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1,238,400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1,099,817</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36,750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15,661</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2,880,628</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Chief Financial 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486,769</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1,123,320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997,531</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260,435</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12,250</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2,880,305</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(Principal Financial 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404,654</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264,000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1,126,460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997,532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405,000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3,197,646</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Roderic W. Lewis</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420,000</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900,000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846,240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14,409</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2,955,461</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Vice President of Legal</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Affairs and General Counsel</w:t>
            </w: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Brian M. Shirley</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484,000</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75,000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846,240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136,246</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13,021</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2,304,119</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Vice President of</w:t>
            </w: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484,000</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842,490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748,149</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453,750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12,250</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2,540,639</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DRAM Solutions</w:t>
            </w:r>
          </w:p>
        </w:tc>
        <w:tc>
          <w:tcPr>
            <w:tcW w:w="64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433,452</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284,200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842,980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745,192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363,000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2,668,824</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Steven R. Appleton</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405,577</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7,542,714</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3,250,249</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106,875</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1,458,496</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12,763,911</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Former Chief Executive</w:t>
            </w: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950,000</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3,658,380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3,245,814</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775,200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12,250</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8,641,644</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Officer</w:t>
            </w:r>
          </w:p>
        </w:tc>
        <w:tc>
          <w:tcPr>
            <w:tcW w:w="64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806,405</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3"/>
              </w:rPr>
              <w:t>807,500</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3,655,400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w w:val="98"/>
              </w:rPr>
              <w:t>3,237,051</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1,282,500</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9,788,856</w:t>
            </w: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Mario Licciardello</w:t>
            </w:r>
          </w:p>
        </w:tc>
        <w:tc>
          <w:tcPr>
            <w:tcW w:w="640" w:type="dxa"/>
            <w:vAlign w:val="bottom"/>
          </w:tcPr>
          <w:p>
            <w:pPr>
              <w:jc w:val="right"/>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418,846</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846,240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1,368,639</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3,383,337</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Former Vice President of</w:t>
            </w:r>
          </w:p>
        </w:tc>
        <w:tc>
          <w:tcPr>
            <w:tcW w:w="640" w:type="dxa"/>
            <w:vAlign w:val="bottom"/>
          </w:tcPr>
          <w:p>
            <w:pPr>
              <w:jc w:val="right"/>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510,616</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842,490</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748,149</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512,423</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79,491</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2,693,169</w:t>
            </w:r>
          </w:p>
        </w:tc>
      </w:tr>
      <w:tr>
        <w:trPr>
          <w:trHeight w:val="270"/>
        </w:trPr>
        <w:tc>
          <w:tcPr>
            <w:tcW w:w="2420" w:type="dxa"/>
            <w:vAlign w:val="bottom"/>
            <w:gridSpan w:val="2"/>
          </w:tcPr>
          <w:p>
            <w:pPr>
              <w:ind w:left="120"/>
              <w:spacing w:after="0"/>
              <w:rPr>
                <w:sz w:val="20"/>
                <w:szCs w:val="20"/>
                <w:color w:val="auto"/>
              </w:rPr>
            </w:pPr>
            <w:r>
              <w:rPr>
                <w:rFonts w:ascii="Arial" w:cs="Arial" w:eastAsia="Arial" w:hAnsi="Arial"/>
                <w:sz w:val="16"/>
                <w:szCs w:val="16"/>
                <w:color w:val="auto"/>
              </w:rPr>
              <w:t>Wireless Solutions</w:t>
            </w:r>
          </w:p>
        </w:tc>
        <w:tc>
          <w:tcPr>
            <w:tcW w:w="64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165,118</w:t>
            </w:r>
          </w:p>
        </w:tc>
        <w:tc>
          <w:tcPr>
            <w:tcW w:w="24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3,959,874</w:t>
            </w: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498,868</w:t>
            </w:r>
          </w:p>
        </w:tc>
        <w:tc>
          <w:tcPr>
            <w:tcW w:w="28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37,602</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4,661,462</w:t>
            </w:r>
          </w:p>
        </w:tc>
      </w:tr>
      <w:tr>
        <w:trPr>
          <w:trHeight w:val="249"/>
        </w:trPr>
        <w:tc>
          <w:tcPr>
            <w:tcW w:w="2300" w:type="dxa"/>
            <w:vAlign w:val="bottom"/>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jc w:val="both"/>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light of the impact of the global financial crisis on our operations, in October 2008, we implemented a 20% reduction in the base salaries of all our officers. In addition, in January 2009, Messrs. Appleton and Durcan reduced their base salary by an additional 10%. In March 2010, the officers' full salary was reinstated.</w:t>
      </w:r>
    </w:p>
    <w:p>
      <w:pPr>
        <w:spacing w:after="0" w:line="244"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Mr. Licciardello joined us in May 2010 following our acquisition of Numonyx and resigned in May 2012. Mr. Licciardello's base salary was approximately $500,000 (EUR 396,000) for each of the years reported. The amounts shown for 2010 and 2012 reflects his prorated salary. Mr. Licciardello was paid in Swiss francs from May 2010 through November 30, 2010</w:t>
      </w:r>
    </w:p>
    <w:p>
      <w:pPr>
        <w:sectPr>
          <w:pgSz w:w="11900" w:h="16838" w:orient="portrait"/>
          <w:cols w:equalWidth="0" w:num="1">
            <w:col w:w="11420"/>
          </w:cols>
          <w:pgMar w:left="240" w:top="71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15" w:right="239" w:bottom="1440" w:gutter="0" w:footer="0" w:header="0"/>
          <w:type w:val="continuous"/>
        </w:sectPr>
      </w:pPr>
    </w:p>
    <w:bookmarkStart w:id="25" w:name="page26"/>
    <w:bookmarkEnd w:id="25"/>
    <w:p>
      <w:pPr>
        <w:jc w:val="both"/>
        <w:ind w:left="340"/>
        <w:spacing w:after="0" w:line="273" w:lineRule="auto"/>
        <w:rPr>
          <w:sz w:val="20"/>
          <w:szCs w:val="20"/>
          <w:color w:val="auto"/>
        </w:rPr>
      </w:pPr>
      <w:r>
        <w:rPr>
          <w:rFonts w:ascii="Arial" w:cs="Arial" w:eastAsia="Arial" w:hAnsi="Arial"/>
          <w:sz w:val="17"/>
          <w:szCs w:val="17"/>
          <w:color w:val="auto"/>
        </w:rPr>
        <w:t>and thereafter was paid in euros. Dollar amounts shown for Mr. Licciardello in fiscal 2012 were calculated using the conversion ratio of 1.32 for euros, which was the average daily exchange rate for the period from September 2, 2011 through June 30, 2012. Dollar amounts shown for Mr. Licciardello in fiscal 2011 were calculated using the conversion ratio of 1.02 for Swiss francs, which was the average daily exchange rate for the period from September 3, 2010 through November 30, 2010 and 1.40 for euros, which was the average daily exchange rate for the period from December 1, 2010 to September 1, 2011. Dollar amounts shown for Mr. Licciardello in fiscal 2010 were calculated using the conversion ratio of 0.92 for Swiss francs, which was the average daily exchange rate for the period from May 7, 2010 to September 2, 2010.</w:t>
      </w:r>
    </w:p>
    <w:p>
      <w:pPr>
        <w:spacing w:after="0" w:line="233" w:lineRule="exact"/>
        <w:rPr>
          <w:sz w:val="20"/>
          <w:szCs w:val="20"/>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paid in fiscal 2012 pursuant to a supplemental achievement bonus related to successful litigation outcomes. Under this program, Mr. Durcan received $500,000, Mr. Lewis received $900,000 and Mr. Shirley received $75,000.</w:t>
      </w:r>
    </w:p>
    <w:p>
      <w:pPr>
        <w:spacing w:after="0" w:line="224" w:lineRule="exact"/>
        <w:rPr>
          <w:rFonts w:ascii="Arial" w:cs="Arial" w:eastAsia="Arial" w:hAnsi="Arial"/>
          <w:sz w:val="18"/>
          <w:szCs w:val="18"/>
          <w:color w:val="auto"/>
        </w:rPr>
      </w:pPr>
    </w:p>
    <w:p>
      <w:pPr>
        <w:ind w:left="340"/>
        <w:spacing w:after="0" w:line="308" w:lineRule="auto"/>
        <w:rPr>
          <w:rFonts w:ascii="Arial" w:cs="Arial" w:eastAsia="Arial" w:hAnsi="Arial"/>
          <w:sz w:val="18"/>
          <w:szCs w:val="18"/>
          <w:color w:val="auto"/>
        </w:rPr>
      </w:pPr>
      <w:r>
        <w:rPr>
          <w:rFonts w:ascii="Arial" w:cs="Arial" w:eastAsia="Arial" w:hAnsi="Arial"/>
          <w:sz w:val="17"/>
          <w:szCs w:val="17"/>
          <w:color w:val="auto"/>
        </w:rPr>
        <w:t>Includes amounts paid in fiscal 2010 pursuant to a supplemental bonus for our officers for extraordinary achievement in fiscal 2010. Pursuant to this program, Mr. Appleton received $427,500, Mr. Durcan received $216,000, Mr. Foster received $135,000 and Mr. Shirley received $145,200.</w:t>
      </w:r>
    </w:p>
    <w:p>
      <w:pPr>
        <w:spacing w:after="0" w:line="200"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Also includes bonus amounts paid in April 2010 to team members, including our officers, whose base salary was reduced in fiscal 2009 in response to the global financial crisis. Pursuant to this program, Mr. Appleton received $380,000, Mr. Durcan received $240,000, Mr. Foster received $129,000 and Mr. Shirley received $139,000.</w:t>
      </w:r>
    </w:p>
    <w:p>
      <w:pPr>
        <w:spacing w:after="0" w:line="235"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Assumptions used in determining the grant-date fair values of option awards is set forth in the "Equity Plans" note to the financial statements included in our annual reports on Form 10-K for fiscal years 2012, 2011 and 2010, which note is incorporated herein by reference. The grant-date fair values for the stock awards is based on the closing price on the last market-trading day prior to the date of grant. The fiscal 2012 amount for Mr. Appleton's stock awards includes $3,658,440 of time- and performance-based restricted stock granted at the beginning of fiscal 2012 and $3,884,274 related to the fair value associated with the accelerated vesting of his performance-based restricted stock by the Committee as a result of his death.</w:t>
      </w:r>
    </w:p>
    <w:p>
      <w:pPr>
        <w:spacing w:after="0" w:line="21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amounts shown for Messrs. Adams, Durcan, Foster, Lewis, Shirley and Appleton were paid or payable pursuant to the Executive Officer Incentive Plan (the "EIP") and relate to the achievement of certain performance milestones. For Mr. Licciardello, amount shown for fiscal 2011 was paid in euros pursuant to the EIP and amount shown for fiscal 2010 was paid in Swiss francs pursuant to a legacy Numonyx bonus plan. Dollar amounts shown for Mr. Licciardello in fiscal 2011 were calculated using the conversion ratio of 1.45 for euros, which was the exchange rate on September 1, 2011. Dollar amount shown for Mr. Licciardello in fiscal 2010 was calculated using the conversion ratio of 0.92 for Swiss francs, which was the average daily exchange rate for the period from May 7, 2010 to September 2, 2010.</w:t>
      </w:r>
    </w:p>
    <w:p>
      <w:pPr>
        <w:spacing w:after="0" w:line="24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shown reflect the following compensation for each Named Executive Officer:</w:t>
      </w:r>
    </w:p>
    <w:p>
      <w:pPr>
        <w:spacing w:after="0" w:line="279"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Matching contributions allocated by us to each of the Named Executive Officers, other than Mr. Licciardello, pursuant to our 401(k) plan. For fiscal 2012, the contribution for each of Messrs. Adams, Durcan, Foster, Lewis, Shirley and Appleton was $12,500. For fiscal 2011, the contribution for each of Messrs. Durcan, Foster, Shirley and Appleton was $12,250. No matching contributions were made in fiscal 2010.</w:t>
      </w:r>
    </w:p>
    <w:p>
      <w:pPr>
        <w:spacing w:after="0" w:line="219"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fiscal 2012 amount for Mr. Appleton includes $38,671 cash paid in lieu of benefits and $950,000 in salary-based severance payable pursuant to Mr. Appleton's Severance Agreement (See the "Voluntary or Involuntary Termination of Employment" table on page 31). At the time of his death Mr. Appleton had accumulated 999 hours of unused time-off under our time-off plan; his fiscal 2012 amount also includes $456,274 for such unused time-off.</w:t>
      </w:r>
    </w:p>
    <w:p>
      <w:pPr>
        <w:spacing w:after="0" w:line="24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fiscal 2012 amount for Mr. Licciardello includes $1,267,681 (dollar amount calculated based on a conversion ratio of 1.22 for euros on July 31, 2012, the date of payment) pursuant to a severance agreement entered into in connection with his retirement. The fiscal 2012 amount for Mr. Licciardello also includes a payment for his Trattamento di fine rapporto (a statutorily required termination payment) in the amount of $88,975 (dollar amount calculated based on a conversion ratio of 1.24 for euros on June 29, 2012, the date of payment). Mr. Licciardello's amounts for fiscal 2011 include payout of accrued Swiss vacation time of $31,785, a vehicle allowance of $26,026, a housing allowance of $16,492, a pension allowance of $3,808, a meal allowance of $914 and tax support of $466. Mr. Licciardello's amounts for 2010 include a housing allowance of $31,752, a pension allowance of $4,717 and a meal allowance of $1,131.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9"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GRANTS OF PLAN-BASED AWARDS IN FISCAL 2012</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gridSpan w:val="2"/>
          </w:tcPr>
          <w:p>
            <w:pPr>
              <w:jc w:val="center"/>
              <w:ind w:left="97"/>
              <w:spacing w:after="0"/>
              <w:rPr>
                <w:sz w:val="20"/>
                <w:szCs w:val="20"/>
                <w:color w:val="auto"/>
              </w:rPr>
            </w:pPr>
            <w:r>
              <w:rPr>
                <w:rFonts w:ascii="Arial" w:cs="Arial" w:eastAsia="Arial" w:hAnsi="Arial"/>
                <w:sz w:val="13"/>
                <w:szCs w:val="13"/>
                <w:b w:val="1"/>
                <w:bCs w:val="1"/>
                <w:color w:val="auto"/>
                <w:w w:val="90"/>
              </w:rPr>
              <w:t>Estimated Future</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gridSpan w:val="2"/>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Payouts under</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60" w:type="dxa"/>
            <w:vAlign w:val="bottom"/>
            <w:gridSpan w:val="5"/>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Estimated Future Payouts under Non-</w:t>
            </w:r>
          </w:p>
        </w:tc>
        <w:tc>
          <w:tcPr>
            <w:tcW w:w="160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88"/>
              </w:rPr>
              <w:t>Equity Incentive</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80" w:type="dxa"/>
            <w:vAlign w:val="bottom"/>
            <w:gridSpan w:val="3"/>
          </w:tcPr>
          <w:p>
            <w:pPr>
              <w:jc w:val="right"/>
              <w:ind w:right="237"/>
              <w:spacing w:after="0" w:line="135" w:lineRule="exact"/>
              <w:rPr>
                <w:sz w:val="20"/>
                <w:szCs w:val="20"/>
                <w:color w:val="auto"/>
              </w:rPr>
            </w:pPr>
            <w:r>
              <w:rPr>
                <w:rFonts w:ascii="Arial" w:cs="Arial" w:eastAsia="Arial" w:hAnsi="Arial"/>
                <w:sz w:val="13"/>
                <w:szCs w:val="13"/>
                <w:b w:val="1"/>
                <w:bCs w:val="1"/>
                <w:color w:val="auto"/>
                <w:w w:val="92"/>
              </w:rPr>
              <w:t>Close Price Fair Value</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5"/>
          </w:tcPr>
          <w:p>
            <w:pPr>
              <w:jc w:val="center"/>
              <w:ind w:right="37"/>
              <w:spacing w:after="0" w:line="144" w:lineRule="exact"/>
              <w:rPr>
                <w:sz w:val="20"/>
                <w:szCs w:val="20"/>
                <w:color w:val="auto"/>
              </w:rPr>
            </w:pPr>
            <w:r>
              <w:rPr>
                <w:rFonts w:ascii="Arial" w:cs="Arial" w:eastAsia="Arial" w:hAnsi="Arial"/>
                <w:sz w:val="13"/>
                <w:szCs w:val="13"/>
                <w:b w:val="1"/>
                <w:bCs w:val="1"/>
                <w:color w:val="auto"/>
                <w:w w:val="89"/>
              </w:rPr>
              <w:t>Equity Incentive Plan Awards(1)</w:t>
            </w:r>
          </w:p>
        </w:tc>
        <w:tc>
          <w:tcPr>
            <w:tcW w:w="1600" w:type="dxa"/>
            <w:vAlign w:val="bottom"/>
            <w:gridSpan w:val="2"/>
          </w:tcPr>
          <w:p>
            <w:pPr>
              <w:jc w:val="center"/>
              <w:ind w:left="97"/>
              <w:spacing w:after="0" w:line="144" w:lineRule="exact"/>
              <w:rPr>
                <w:sz w:val="20"/>
                <w:szCs w:val="20"/>
                <w:color w:val="auto"/>
              </w:rPr>
            </w:pPr>
            <w:r>
              <w:rPr>
                <w:rFonts w:ascii="Arial" w:cs="Arial" w:eastAsia="Arial" w:hAnsi="Arial"/>
                <w:sz w:val="13"/>
                <w:szCs w:val="13"/>
                <w:b w:val="1"/>
                <w:bCs w:val="1"/>
                <w:color w:val="auto"/>
                <w:w w:val="89"/>
              </w:rPr>
              <w:t>Plan Awards(2)</w:t>
            </w: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640" w:type="dxa"/>
            <w:vAlign w:val="bottom"/>
          </w:tcPr>
          <w:p>
            <w:pPr>
              <w:jc w:val="center"/>
              <w:ind w:left="37"/>
              <w:spacing w:after="0" w:line="144" w:lineRule="exact"/>
              <w:rPr>
                <w:sz w:val="20"/>
                <w:szCs w:val="20"/>
                <w:color w:val="auto"/>
              </w:rPr>
            </w:pPr>
            <w:r>
              <w:rPr>
                <w:rFonts w:ascii="Arial" w:cs="Arial" w:eastAsia="Arial" w:hAnsi="Arial"/>
                <w:sz w:val="13"/>
                <w:szCs w:val="13"/>
                <w:b w:val="1"/>
                <w:bCs w:val="1"/>
                <w:color w:val="auto"/>
                <w:w w:val="87"/>
              </w:rPr>
              <w:t>on</w:t>
            </w:r>
          </w:p>
        </w:tc>
        <w:tc>
          <w:tcPr>
            <w:tcW w:w="9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of Stock (or</w:t>
            </w:r>
          </w:p>
        </w:tc>
        <w:tc>
          <w:tcPr>
            <w:tcW w:w="0" w:type="dxa"/>
            <w:vAlign w:val="bottom"/>
          </w:tcPr>
          <w:p>
            <w:pPr>
              <w:spacing w:after="0"/>
              <w:rPr>
                <w:sz w:val="1"/>
                <w:szCs w:val="1"/>
                <w:color w:val="auto"/>
              </w:rPr>
            </w:pPr>
          </w:p>
        </w:tc>
      </w:tr>
      <w:tr>
        <w:trPr>
          <w:trHeight w:val="32"/>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2"/>
                <w:szCs w:val="2"/>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640" w:type="dxa"/>
            <w:vAlign w:val="bottom"/>
            <w:vMerge w:val="restart"/>
          </w:tcPr>
          <w:p>
            <w:pPr>
              <w:jc w:val="center"/>
              <w:ind w:left="37"/>
              <w:spacing w:after="0" w:line="135" w:lineRule="exact"/>
              <w:rPr>
                <w:sz w:val="20"/>
                <w:szCs w:val="20"/>
                <w:color w:val="auto"/>
              </w:rPr>
            </w:pPr>
            <w:r>
              <w:rPr>
                <w:rFonts w:ascii="Arial" w:cs="Arial" w:eastAsia="Arial" w:hAnsi="Arial"/>
                <w:sz w:val="13"/>
                <w:szCs w:val="13"/>
                <w:b w:val="1"/>
                <w:bCs w:val="1"/>
                <w:color w:val="auto"/>
                <w:w w:val="97"/>
              </w:rPr>
              <w:t>Grant</w:t>
            </w: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3"/>
                <w:szCs w:val="13"/>
                <w:b w:val="1"/>
                <w:bCs w:val="1"/>
                <w:color w:val="auto"/>
              </w:rPr>
              <w:t>units) and</w:t>
            </w:r>
          </w:p>
        </w:tc>
        <w:tc>
          <w:tcPr>
            <w:tcW w:w="0" w:type="dxa"/>
            <w:vAlign w:val="bottom"/>
          </w:tcPr>
          <w:p>
            <w:pPr>
              <w:spacing w:after="0"/>
              <w:rPr>
                <w:sz w:val="1"/>
                <w:szCs w:val="1"/>
                <w:color w:val="auto"/>
              </w:rPr>
            </w:pPr>
          </w:p>
        </w:tc>
      </w:tr>
      <w:tr>
        <w:trPr>
          <w:trHeight w:val="83"/>
        </w:trPr>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Plan Name</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Target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Max</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64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0"/>
              </w:rPr>
              <w:t>Date(5)</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Option(6)</w:t>
            </w: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Mark W. Adams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45,500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469,560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President</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376,680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259,000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  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749,612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302,671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605,342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756,678</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 Mark Durcan</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136,500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273,000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1,408,680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Chief Executive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218,000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1,124,880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Officer</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777,000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2,248,837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553,973</w:t>
            </w:r>
          </w:p>
        </w:tc>
        <w:tc>
          <w:tcPr>
            <w:tcW w:w="2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1,107,945</w:t>
            </w:r>
          </w:p>
        </w:tc>
        <w:tc>
          <w:tcPr>
            <w:tcW w:w="24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1,384,932</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Ronald C. Foster</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66,500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133,000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686,280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Chief Financial</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107,000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552,120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Officer</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380,000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1,099,817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2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500,000</w:t>
            </w:r>
          </w:p>
        </w:tc>
        <w:tc>
          <w:tcPr>
            <w:tcW w:w="24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625,000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Roderic W. Lewis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45,500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91,000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469,560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Vice President of</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376,680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Legal Affairs and</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259,000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749,612</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General Counsel</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168,000</w:t>
            </w:r>
          </w:p>
        </w:tc>
        <w:tc>
          <w:tcPr>
            <w:tcW w:w="2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336,000</w:t>
            </w:r>
          </w:p>
        </w:tc>
        <w:tc>
          <w:tcPr>
            <w:tcW w:w="24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420,000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Brian M. Shirley</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45,500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91,000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469,560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Vice President of</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376,680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DRAM Solutions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259,000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749,612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242,000</w:t>
            </w:r>
          </w:p>
        </w:tc>
        <w:tc>
          <w:tcPr>
            <w:tcW w:w="2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484,000</w:t>
            </w:r>
          </w:p>
        </w:tc>
        <w:tc>
          <w:tcPr>
            <w:tcW w:w="24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605,000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Steven R.</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Appleton</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197,000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394,000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2,033,040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Former Chief</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315,000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1,625,400</w:t>
            </w:r>
          </w:p>
        </w:tc>
        <w:tc>
          <w:tcPr>
            <w:tcW w:w="0" w:type="dxa"/>
            <w:vAlign w:val="bottom"/>
          </w:tcPr>
          <w:p>
            <w:pPr>
              <w:spacing w:after="0"/>
              <w:rPr>
                <w:sz w:val="1"/>
                <w:szCs w:val="1"/>
                <w:color w:val="auto"/>
              </w:rPr>
            </w:pPr>
          </w:p>
        </w:tc>
      </w:tr>
      <w:tr>
        <w:trPr>
          <w:trHeight w:val="164"/>
        </w:trPr>
        <w:tc>
          <w:tcPr>
            <w:tcW w:w="1160" w:type="dxa"/>
            <w:vAlign w:val="bottom"/>
            <w:gridSpan w:val="2"/>
          </w:tcPr>
          <w:p>
            <w:pPr>
              <w:ind w:left="200"/>
              <w:spacing w:after="0"/>
              <w:rPr>
                <w:sz w:val="20"/>
                <w:szCs w:val="20"/>
                <w:color w:val="auto"/>
              </w:rPr>
            </w:pPr>
            <w:r>
              <w:rPr>
                <w:rFonts w:ascii="Arial" w:cs="Arial" w:eastAsia="Arial" w:hAnsi="Arial"/>
                <w:sz w:val="13"/>
                <w:szCs w:val="13"/>
                <w:color w:val="auto"/>
              </w:rPr>
              <w:t>Executive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Officer</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1,123,000</w:t>
            </w:r>
          </w:p>
        </w:tc>
        <w:tc>
          <w:tcPr>
            <w:tcW w:w="100" w:type="dxa"/>
            <w:vAlign w:val="bottom"/>
          </w:tcPr>
          <w:p>
            <w:pPr>
              <w:spacing w:after="0"/>
              <w:rPr>
                <w:sz w:val="13"/>
                <w:szCs w:val="1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3,250,249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04/02/12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479,540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3,884,274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712,500</w:t>
            </w:r>
          </w:p>
        </w:tc>
        <w:tc>
          <w:tcPr>
            <w:tcW w:w="2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3"/>
              </w:rPr>
              <w:t>1,425,000</w:t>
            </w:r>
          </w:p>
        </w:tc>
        <w:tc>
          <w:tcPr>
            <w:tcW w:w="240" w:type="dxa"/>
            <w:vAlign w:val="bottom"/>
          </w:tcPr>
          <w:p>
            <w:pPr>
              <w:spacing w:after="0"/>
              <w:rPr>
                <w:sz w:val="23"/>
                <w:szCs w:val="2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1,781,250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Mario Licciardello</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45,500</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91,000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469,560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Former Vice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376,680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President of</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2004 Plan</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259,000</w:t>
            </w:r>
          </w:p>
        </w:tc>
        <w:tc>
          <w:tcPr>
            <w:tcW w:w="100" w:type="dxa"/>
            <w:vAlign w:val="bottom"/>
          </w:tcPr>
          <w:p>
            <w:pPr>
              <w:spacing w:after="0"/>
              <w:rPr>
                <w:sz w:val="23"/>
                <w:szCs w:val="23"/>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color w:val="auto"/>
              </w:rPr>
              <w:t>5.16</w:t>
            </w:r>
          </w:p>
        </w:tc>
        <w:tc>
          <w:tcPr>
            <w:tcW w:w="640" w:type="dxa"/>
            <w:vAlign w:val="bottom"/>
          </w:tcPr>
          <w:p>
            <w:pPr>
              <w:jc w:val="right"/>
              <w:ind w:right="97"/>
              <w:spacing w:after="0"/>
              <w:rPr>
                <w:sz w:val="20"/>
                <w:szCs w:val="20"/>
                <w:color w:val="auto"/>
              </w:rPr>
            </w:pPr>
            <w:r>
              <w:rPr>
                <w:rFonts w:ascii="Arial" w:cs="Arial" w:eastAsia="Arial" w:hAnsi="Arial"/>
                <w:sz w:val="13"/>
                <w:szCs w:val="13"/>
                <w:color w:val="auto"/>
              </w:rPr>
              <w:t>5.20</w:t>
            </w:r>
          </w:p>
        </w:tc>
        <w:tc>
          <w:tcPr>
            <w:tcW w:w="24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749,612</w:t>
            </w:r>
          </w:p>
        </w:tc>
        <w:tc>
          <w:tcPr>
            <w:tcW w:w="0" w:type="dxa"/>
            <w:vAlign w:val="bottom"/>
          </w:tcPr>
          <w:p>
            <w:pPr>
              <w:spacing w:after="0"/>
              <w:rPr>
                <w:sz w:val="1"/>
                <w:szCs w:val="1"/>
                <w:color w:val="auto"/>
              </w:rPr>
            </w:pPr>
          </w:p>
        </w:tc>
      </w:tr>
      <w:tr>
        <w:trPr>
          <w:trHeight w:val="164"/>
        </w:trPr>
        <w:tc>
          <w:tcPr>
            <w:tcW w:w="1160" w:type="dxa"/>
            <w:vAlign w:val="bottom"/>
            <w:gridSpan w:val="2"/>
          </w:tcPr>
          <w:p>
            <w:pPr>
              <w:ind w:left="120"/>
              <w:spacing w:after="0"/>
              <w:rPr>
                <w:sz w:val="20"/>
                <w:szCs w:val="20"/>
                <w:color w:val="auto"/>
              </w:rPr>
            </w:pPr>
            <w:r>
              <w:rPr>
                <w:rFonts w:ascii="Arial" w:cs="Arial" w:eastAsia="Arial" w:hAnsi="Arial"/>
                <w:sz w:val="13"/>
                <w:szCs w:val="13"/>
                <w:color w:val="auto"/>
              </w:rPr>
              <w:t>Wireless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Solutions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EIP</w:t>
            </w:r>
          </w:p>
        </w:tc>
        <w:tc>
          <w:tcPr>
            <w:tcW w:w="700" w:type="dxa"/>
            <w:vAlign w:val="bottom"/>
          </w:tcPr>
          <w:p>
            <w:pPr>
              <w:jc w:val="right"/>
              <w:spacing w:after="0"/>
              <w:rPr>
                <w:sz w:val="20"/>
                <w:szCs w:val="20"/>
                <w:color w:val="auto"/>
              </w:rPr>
            </w:pPr>
            <w:r>
              <w:rPr>
                <w:rFonts w:ascii="Arial" w:cs="Arial" w:eastAsia="Arial" w:hAnsi="Arial"/>
                <w:sz w:val="13"/>
                <w:szCs w:val="13"/>
                <w:color w:val="auto"/>
              </w:rPr>
              <w:t>10/11/11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w w:val="89"/>
              </w:rPr>
              <w:t>269,140</w:t>
            </w:r>
          </w:p>
        </w:tc>
        <w:tc>
          <w:tcPr>
            <w:tcW w:w="22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538,280</w:t>
            </w:r>
          </w:p>
        </w:tc>
        <w:tc>
          <w:tcPr>
            <w:tcW w:w="24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672,850</w:t>
            </w: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jc w:val="both"/>
        <w:ind w:left="340" w:hanging="332"/>
        <w:spacing w:after="0" w:line="30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potential payouts set in fiscal 2012 under the EIP. Payment of bonuses under the EIP is dependent upon meeting specified performance goals. The average payout for fiscal 2012 bonuses under the EIP for our Named Executive Officers was 10% of target. Dollar amounts shown for Mr. Licciardello in fiscal 2012 were calculated using the conversion ratio of 1.36, which is the conversion rate from euros as of October 11, 2011.</w:t>
      </w:r>
    </w:p>
    <w:p>
      <w:pPr>
        <w:spacing w:after="0" w:line="209" w:lineRule="exact"/>
        <w:rPr>
          <w:rFonts w:ascii="Arial" w:cs="Arial" w:eastAsia="Arial" w:hAnsi="Arial"/>
          <w:sz w:val="16"/>
          <w:szCs w:val="16"/>
          <w:color w:val="auto"/>
        </w:rPr>
      </w:pPr>
    </w:p>
    <w:p>
      <w:pPr>
        <w:jc w:val="both"/>
        <w:ind w:left="340" w:right="2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restricted stock awarded in fiscal 2012 under the 2004 Equity Incentive Plan (the "2004 Plan") with performance-based restrictions. Information related to the performance-based restrictions associated with these shares is contained in Compensation Discussion and Analysis. Target amounts also represent the maximum number of shares that may be awarded.</w:t>
      </w:r>
    </w:p>
    <w:p>
      <w:pPr>
        <w:spacing w:after="0" w:line="23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On April 2, 2012, our Board exercised its discretion under the 2004 Plan to accelerate the vesting of 479,540 performance-based restricted stock awards previously granted to Mr. Appleton.</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restricted stock with time-based restrictions which lapse in four equal installments over a four-year period from the date of the award.</w:t>
      </w:r>
    </w:p>
    <w:p>
      <w:pPr>
        <w:spacing w:after="0" w:line="290" w:lineRule="exact"/>
        <w:rPr>
          <w:rFonts w:ascii="Arial" w:cs="Arial" w:eastAsia="Arial" w:hAnsi="Arial"/>
          <w:sz w:val="17"/>
          <w:szCs w:val="17"/>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options which have a term of six years and vest in equal installments over a four-year period.</w:t>
      </w:r>
    </w:p>
    <w:p>
      <w:pPr>
        <w:spacing w:after="0" w:line="279"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 For purpose of the 2004 Plan and the calculation of "Grant Date Fair Value", the fair market value of our Common Stock on the date of grant referenced in this</w:t>
      </w:r>
    </w:p>
    <w:p>
      <w:pPr>
        <w:sectPr>
          <w:pgSz w:w="11900" w:h="16838" w:orient="portrait"/>
          <w:cols w:equalWidth="0" w:num="1">
            <w:col w:w="11420"/>
          </w:cols>
          <w:pgMar w:left="240" w:top="715" w:right="239" w:bottom="757"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15" w:right="239" w:bottom="757" w:gutter="0" w:footer="0" w:header="0"/>
          <w:type w:val="continuous"/>
        </w:sectPr>
      </w:pPr>
    </w:p>
    <w:bookmarkStart w:id="27" w:name="page28"/>
    <w:bookmarkEnd w:id="27"/>
    <w:p>
      <w:pPr>
        <w:ind w:left="340"/>
        <w:spacing w:after="0" w:line="324" w:lineRule="auto"/>
        <w:rPr>
          <w:sz w:val="20"/>
          <w:szCs w:val="20"/>
          <w:color w:val="auto"/>
        </w:rPr>
      </w:pPr>
      <w:r>
        <w:rPr>
          <w:rFonts w:ascii="Arial" w:cs="Arial" w:eastAsia="Arial" w:hAnsi="Arial"/>
          <w:sz w:val="18"/>
          <w:szCs w:val="18"/>
          <w:color w:val="auto"/>
        </w:rPr>
        <w:t>table for October 11, 2011, was $5.16 (the closing price on October 10, 2011). The closing price of our Common Stock on the date of grant referenced in this table was $5.20 on October 11, 2011.</w:t>
      </w:r>
    </w:p>
    <w:p>
      <w:pPr>
        <w:spacing w:after="0" w:line="197" w:lineRule="exact"/>
        <w:rPr>
          <w:sz w:val="20"/>
          <w:szCs w:val="20"/>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expense shown for stock awards is based solely on the fair value as of the date of grant, disregarding any assumptions as to estimated forfeitures based on continued service. No other assumptions are used in the expense calculation for the stock awards. Assumptions used in determining the fair values of these option awards are set forth in the "Equity Plans" note to our financial statements included in our annual report on Form 10-K for fiscal 2012.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fiscal 2012, compensatory awards were made to the Named Executive Officers pursuant to the EIP and the 2004 Plan. The EIP was approved by our shareholders in 2004 and 2009. The purpose of the EIP is to attract, retain and reward qualified executives who are important to our success by providing performance-based, incentive cash awards for outstanding performance at the individual, business-unit and company-wide level. The purpose of the 2004 Plan is to promote our success by linking the personal interests of our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plan) on the date of grant and a term of six years. For purposes of share counting, each share of restricted stock issued under the 2004 Plan reduces the number of shares available for issuance by two.</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8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Performance-based Awards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2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executive officers have been granted restricted stock with performance-based restrictions related to the achievement of a minimum specified ROA goal. The restrictions related to these shares lapse if we achieve a certain ROA over a consecutive rolling four-quarter period (the "Share Performance Period"). The achievement during the Share Performance Period the threshold ROA percentage will result in the restrictions lapsing as to one-half of the performance-based shares. The achievement during the Share Performance Period of the target ROA percentage will result in the restrictions lapsing as to all the performance-based shares. Both the threshold and target ROA percentages require significant effort with the achievement of neither ROA percentage being assured. In the absence of at least the threshold ROA percentage being achieved during the Share Performance Period, the restrictions will not lapse and the shares will be forfeited. The ROA goal associated with the performance-based restricted stock awards granted in fiscal 2010 were achieved and the restrictions as to those shares lapsed in October 2010. The ROA goal associated with the performance-based stock granted in fiscal 2011 and 2012 have not yet been achieved and those shares will be forfeited if the goal is not met by the end of fiscal 2013 and 2014, respectively.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performance milestones related to the payment of bonuses under the EIP for fiscal 2012, 2011 and 2010 were partially achieved or not achieved at all. As a result, bonuses for those fiscal years were not paid out at the levels indicated in the columns labeled "Estimated Future Payouts under Non-equity Incentive Plan Awards" on the "Grants of Plan-Based Awards in Fiscal 2012" table. The actual amount of the EIP bonuses paid for fiscal 2012, 2011 and 2010 performance are included in the "Fiscal 2012 Summary Compensation Table" in the column labeled "Non-Equity Plan Incentive Compensation." The performance milestones related to the EIP are discussed in Compensation Discussion and Analysis.</w:t>
      </w:r>
    </w:p>
    <w:p>
      <w:pPr>
        <w:spacing w:after="0" w:line="2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Supplemental cash bonuses were awarded in February 2012 to certain employees, including Messrs. Durcan, Lewis and Shirley as a result of successful litigation outcomes. In addition, in light of achieving historical highs for revenue, income and cash flows in fiscal 2010, our officers received supplemental bonuses for extraordinary achievement in October 2010. The amounts awarded pursuant to these supplemental bonuses are included in the "Fiscal 2012 Summary Compensation Table" in the column "Bonus."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 Option Vesting</w:t>
      </w:r>
    </w:p>
    <w:p>
      <w:pPr>
        <w:spacing w:after="0" w:line="28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Since September 2004, options granted generally vest in four equal installments over a four-year period from the date of grant and have a term of six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option awards were estimated as of the dates of grant using the Black-Scholes option valuation model in accordance with ASC Topic</w:t>
      </w:r>
    </w:p>
    <w:p>
      <w:pPr>
        <w:spacing w:after="0" w:line="46" w:lineRule="exact"/>
        <w:rPr>
          <w:sz w:val="20"/>
          <w:szCs w:val="20"/>
          <w:color w:val="auto"/>
        </w:rPr>
      </w:pPr>
    </w:p>
    <w:p>
      <w:pPr>
        <w:jc w:val="both"/>
        <w:ind w:firstLine="8"/>
        <w:spacing w:after="0" w:line="254" w:lineRule="auto"/>
        <w:tabs>
          <w:tab w:leader="none" w:pos="3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Black-Scholes model requires the input of assumptions, including the expected stock 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the time of the grant.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02"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OUTSTANDING EQUITY AWARDS AT 2012 FISCAL YEAR-END</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by our Named Executive Officers as of August 30, 2012, with the exception of Mario Licciardello. Mr. Licciardello did not have any outstanding equity awards as of August 30, 2012 due to the expiration of his awards as a result of his resignation on May 31, 2012.</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Stock Awards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97"/>
              </w:rPr>
              <w:t>Number of Securities Underlying</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Shares or Units of Stock That Have</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Equity Incentive Plan</w:t>
            </w: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Unexercised Options</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gridSpan w:val="2"/>
          </w:tcPr>
          <w:p>
            <w:pPr>
              <w:jc w:val="center"/>
              <w:ind w:left="68"/>
              <w:spacing w:after="0" w:line="153" w:lineRule="exact"/>
              <w:rPr>
                <w:sz w:val="20"/>
                <w:szCs w:val="20"/>
                <w:color w:val="auto"/>
              </w:rPr>
            </w:pPr>
            <w:r>
              <w:rPr>
                <w:rFonts w:ascii="Arial" w:cs="Arial" w:eastAsia="Arial" w:hAnsi="Arial"/>
                <w:sz w:val="14"/>
                <w:szCs w:val="14"/>
                <w:b w:val="1"/>
                <w:bCs w:val="1"/>
                <w:color w:val="auto"/>
                <w:w w:val="90"/>
              </w:rPr>
              <w:t>Not Vested</w:t>
            </w:r>
          </w:p>
        </w:tc>
        <w:tc>
          <w:tcPr>
            <w:tcW w:w="820" w:type="dxa"/>
            <w:vAlign w:val="bottom"/>
          </w:tcPr>
          <w:p>
            <w:pPr>
              <w:spacing w:after="0"/>
              <w:rPr>
                <w:sz w:val="13"/>
                <w:szCs w:val="13"/>
                <w:color w:val="auto"/>
              </w:rPr>
            </w:pP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Awards: Number of</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00" w:type="dxa"/>
            <w:vAlign w:val="bottom"/>
          </w:tcPr>
          <w:p>
            <w:pPr>
              <w:spacing w:after="0" w:line="20" w:lineRule="exact"/>
              <w:rPr>
                <w:sz w:val="1"/>
                <w:szCs w:val="1"/>
                <w:color w:val="auto"/>
              </w:rPr>
            </w:pPr>
          </w:p>
        </w:tc>
        <w:tc>
          <w:tcPr>
            <w:tcW w:w="118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Unexercisable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vMerge w:val="continue"/>
          </w:tcPr>
          <w:p>
            <w:pPr>
              <w:spacing w:after="0"/>
              <w:rPr>
                <w:sz w:val="12"/>
                <w:szCs w:val="12"/>
                <w:color w:val="auto"/>
              </w:rPr>
            </w:pPr>
          </w:p>
        </w:tc>
        <w:tc>
          <w:tcPr>
            <w:tcW w:w="11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Units or Other Rights</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92"/>
        </w:trPr>
        <w:tc>
          <w:tcPr>
            <w:tcW w:w="1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1140" w:type="dxa"/>
            <w:vAlign w:val="bottom"/>
            <w:tcBorders>
              <w:bottom w:val="single" w:sz="8" w:color="auto"/>
            </w:tcBorders>
            <w:gridSpan w:val="2"/>
            <w:vMerge w:val="continue"/>
          </w:tcPr>
          <w:p>
            <w:pPr>
              <w:spacing w:after="0"/>
              <w:rPr>
                <w:sz w:val="16"/>
                <w:szCs w:val="16"/>
                <w:color w:val="auto"/>
              </w:rPr>
            </w:pPr>
          </w:p>
        </w:tc>
        <w:tc>
          <w:tcPr>
            <w:tcW w:w="3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Market Value(1) That Have Not Vested Have Not Vested(1)</w:t>
            </w:r>
          </w:p>
        </w:tc>
        <w:tc>
          <w:tcPr>
            <w:tcW w:w="0" w:type="dxa"/>
            <w:vAlign w:val="bottom"/>
          </w:tcPr>
          <w:p>
            <w:pPr>
              <w:spacing w:after="0"/>
              <w:rPr>
                <w:sz w:val="1"/>
                <w:szCs w:val="1"/>
                <w:color w:val="auto"/>
              </w:rPr>
            </w:pPr>
          </w:p>
        </w:tc>
      </w:tr>
      <w:tr>
        <w:trPr>
          <w:trHeight w:val="258"/>
        </w:trPr>
        <w:tc>
          <w:tcPr>
            <w:tcW w:w="1640" w:type="dxa"/>
            <w:vAlign w:val="bottom"/>
          </w:tcPr>
          <w:p>
            <w:pPr>
              <w:ind w:left="20"/>
              <w:spacing w:after="0"/>
              <w:rPr>
                <w:sz w:val="20"/>
                <w:szCs w:val="20"/>
                <w:color w:val="auto"/>
              </w:rPr>
            </w:pPr>
            <w:r>
              <w:rPr>
                <w:rFonts w:ascii="Arial" w:cs="Arial" w:eastAsia="Arial" w:hAnsi="Arial"/>
                <w:sz w:val="14"/>
                <w:szCs w:val="14"/>
                <w:color w:val="auto"/>
              </w:rPr>
              <w:t>Mark W. Adams</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59,249</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  14.52</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1/4/2016</w:t>
            </w:r>
          </w:p>
        </w:tc>
        <w:tc>
          <w:tcPr>
            <w:tcW w:w="720" w:type="dxa"/>
            <w:vAlign w:val="bottom"/>
          </w:tcPr>
          <w:p>
            <w:pPr>
              <w:jc w:val="right"/>
              <w:spacing w:after="0"/>
              <w:rPr>
                <w:sz w:val="20"/>
                <w:szCs w:val="20"/>
                <w:color w:val="auto"/>
              </w:rPr>
            </w:pPr>
            <w:r>
              <w:rPr>
                <w:rFonts w:ascii="Arial" w:cs="Arial" w:eastAsia="Arial" w:hAnsi="Arial"/>
                <w:sz w:val="14"/>
                <w:szCs w:val="14"/>
                <w:color w:val="auto"/>
              </w:rPr>
              <w:t>20,750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128,235</w:t>
            </w:r>
          </w:p>
        </w:tc>
        <w:tc>
          <w:tcPr>
            <w:tcW w:w="820" w:type="dxa"/>
            <w:vAlign w:val="bottom"/>
          </w:tcPr>
          <w:p>
            <w:pPr>
              <w:jc w:val="right"/>
              <w:spacing w:after="0"/>
              <w:rPr>
                <w:sz w:val="20"/>
                <w:szCs w:val="20"/>
                <w:color w:val="auto"/>
              </w:rPr>
            </w:pPr>
            <w:r>
              <w:rPr>
                <w:rFonts w:ascii="Arial" w:cs="Arial" w:eastAsia="Arial" w:hAnsi="Arial"/>
                <w:sz w:val="14"/>
                <w:szCs w:val="14"/>
                <w:color w:val="auto"/>
              </w:rPr>
              <w:t>62,000</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383,160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President</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118,499</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10.89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2/10/2016</w:t>
            </w: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154,500</w:t>
            </w:r>
          </w:p>
        </w:tc>
        <w:tc>
          <w:tcPr>
            <w:tcW w:w="820" w:type="dxa"/>
            <w:vAlign w:val="bottom"/>
          </w:tcPr>
          <w:p>
            <w:pPr>
              <w:jc w:val="right"/>
              <w:spacing w:after="0"/>
              <w:rPr>
                <w:sz w:val="20"/>
                <w:szCs w:val="20"/>
                <w:color w:val="auto"/>
              </w:rPr>
            </w:pPr>
            <w:r>
              <w:rPr>
                <w:rFonts w:ascii="Arial" w:cs="Arial" w:eastAsia="Arial" w:hAnsi="Arial"/>
                <w:sz w:val="14"/>
                <w:szCs w:val="14"/>
                <w:color w:val="auto"/>
              </w:rPr>
              <w:t>91,000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562,380</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95,250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94,750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10/3/2014</w:t>
            </w:r>
          </w:p>
        </w:tc>
        <w:tc>
          <w:tcPr>
            <w:tcW w:w="720" w:type="dxa"/>
            <w:vAlign w:val="bottom"/>
          </w:tcPr>
          <w:p>
            <w:pPr>
              <w:jc w:val="right"/>
              <w:spacing w:after="0"/>
              <w:rPr>
                <w:sz w:val="20"/>
                <w:szCs w:val="20"/>
                <w:color w:val="auto"/>
              </w:rPr>
            </w:pPr>
            <w:r>
              <w:rPr>
                <w:rFonts w:ascii="Arial" w:cs="Arial" w:eastAsia="Arial" w:hAnsi="Arial"/>
                <w:sz w:val="14"/>
                <w:szCs w:val="14"/>
                <w:color w:val="auto"/>
              </w:rPr>
              <w:t>36,750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227,115</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94,500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10/5/2015</w:t>
            </w:r>
          </w:p>
        </w:tc>
        <w:tc>
          <w:tcPr>
            <w:tcW w:w="720" w:type="dxa"/>
            <w:vAlign w:val="bottom"/>
          </w:tcPr>
          <w:p>
            <w:pPr>
              <w:jc w:val="right"/>
              <w:spacing w:after="0"/>
              <w:rPr>
                <w:sz w:val="20"/>
                <w:szCs w:val="20"/>
                <w:color w:val="auto"/>
              </w:rPr>
            </w:pPr>
            <w:r>
              <w:rPr>
                <w:rFonts w:ascii="Arial" w:cs="Arial" w:eastAsia="Arial" w:hAnsi="Arial"/>
                <w:sz w:val="14"/>
                <w:szCs w:val="14"/>
                <w:color w:val="auto"/>
              </w:rPr>
              <w:t>73,000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451,140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48,750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146,250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10/11/2016</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259,000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17.43</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9/10/2012</w:t>
            </w:r>
          </w:p>
        </w:tc>
        <w:tc>
          <w:tcPr>
            <w:tcW w:w="720" w:type="dxa"/>
            <w:vAlign w:val="bottom"/>
          </w:tcPr>
          <w:p>
            <w:pPr>
              <w:jc w:val="right"/>
              <w:spacing w:after="0"/>
              <w:rPr>
                <w:sz w:val="20"/>
                <w:szCs w:val="20"/>
                <w:color w:val="auto"/>
              </w:rPr>
            </w:pPr>
            <w:r>
              <w:rPr>
                <w:rFonts w:ascii="Arial" w:cs="Arial" w:eastAsia="Arial" w:hAnsi="Arial"/>
                <w:sz w:val="14"/>
                <w:szCs w:val="14"/>
                <w:color w:val="auto"/>
              </w:rPr>
              <w:t>41,750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258,015</w:t>
            </w:r>
          </w:p>
        </w:tc>
        <w:tc>
          <w:tcPr>
            <w:tcW w:w="820" w:type="dxa"/>
            <w:vAlign w:val="bottom"/>
          </w:tcPr>
          <w:p>
            <w:pPr>
              <w:jc w:val="right"/>
              <w:spacing w:after="0"/>
              <w:rPr>
                <w:sz w:val="20"/>
                <w:szCs w:val="20"/>
                <w:color w:val="auto"/>
              </w:rPr>
            </w:pPr>
            <w:r>
              <w:rPr>
                <w:rFonts w:ascii="Arial" w:cs="Arial" w:eastAsia="Arial" w:hAnsi="Arial"/>
                <w:sz w:val="14"/>
                <w:szCs w:val="14"/>
                <w:color w:val="auto"/>
              </w:rPr>
              <w:t>124,000</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766,320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Chief Executive</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4/22/2013</w:t>
            </w:r>
          </w:p>
        </w:tc>
        <w:tc>
          <w:tcPr>
            <w:tcW w:w="720" w:type="dxa"/>
            <w:vAlign w:val="bottom"/>
          </w:tcPr>
          <w:p>
            <w:pPr>
              <w:jc w:val="right"/>
              <w:spacing w:after="0"/>
              <w:rPr>
                <w:sz w:val="20"/>
                <w:szCs w:val="20"/>
                <w:color w:val="auto"/>
              </w:rPr>
            </w:pPr>
            <w:r>
              <w:rPr>
                <w:rFonts w:ascii="Arial" w:cs="Arial" w:eastAsia="Arial" w:hAnsi="Arial"/>
                <w:sz w:val="14"/>
                <w:szCs w:val="14"/>
                <w:color w:val="auto"/>
              </w:rPr>
              <w:t>50,500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312,090</w:t>
            </w:r>
          </w:p>
        </w:tc>
        <w:tc>
          <w:tcPr>
            <w:tcW w:w="820" w:type="dxa"/>
            <w:vAlign w:val="bottom"/>
          </w:tcPr>
          <w:p>
            <w:pPr>
              <w:jc w:val="right"/>
              <w:spacing w:after="0"/>
              <w:rPr>
                <w:sz w:val="20"/>
                <w:szCs w:val="20"/>
                <w:color w:val="auto"/>
              </w:rPr>
            </w:pPr>
            <w:r>
              <w:rPr>
                <w:rFonts w:ascii="Arial" w:cs="Arial" w:eastAsia="Arial" w:hAnsi="Arial"/>
                <w:sz w:val="14"/>
                <w:szCs w:val="14"/>
                <w:color w:val="auto"/>
              </w:rPr>
              <w:t>273,000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1,687,140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Officer</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14.35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9/23/2013</w:t>
            </w:r>
          </w:p>
        </w:tc>
        <w:tc>
          <w:tcPr>
            <w:tcW w:w="720" w:type="dxa"/>
            <w:vAlign w:val="bottom"/>
          </w:tcPr>
          <w:p>
            <w:pPr>
              <w:jc w:val="right"/>
              <w:spacing w:after="0"/>
              <w:rPr>
                <w:sz w:val="20"/>
                <w:szCs w:val="20"/>
                <w:color w:val="auto"/>
              </w:rPr>
            </w:pPr>
            <w:r>
              <w:rPr>
                <w:rFonts w:ascii="Arial" w:cs="Arial" w:eastAsia="Arial" w:hAnsi="Arial"/>
                <w:sz w:val="14"/>
                <w:szCs w:val="14"/>
                <w:color w:val="auto"/>
              </w:rPr>
              <w:t>74,250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458,865</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15.91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3/29/2014</w:t>
            </w:r>
          </w:p>
        </w:tc>
        <w:tc>
          <w:tcPr>
            <w:tcW w:w="720" w:type="dxa"/>
            <w:vAlign w:val="bottom"/>
          </w:tcPr>
          <w:p>
            <w:pPr>
              <w:jc w:val="right"/>
              <w:spacing w:after="0"/>
              <w:rPr>
                <w:sz w:val="20"/>
                <w:szCs w:val="20"/>
                <w:color w:val="auto"/>
              </w:rPr>
            </w:pPr>
            <w:r>
              <w:rPr>
                <w:rFonts w:ascii="Arial" w:cs="Arial" w:eastAsia="Arial" w:hAnsi="Arial"/>
                <w:sz w:val="14"/>
                <w:szCs w:val="14"/>
                <w:color w:val="auto"/>
              </w:rPr>
              <w:t>218,000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w w:val="93"/>
              </w:rPr>
              <w:t>1,347,240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568,500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189,500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10/3/2014</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189,500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189,500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10/5/2015</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97,750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293,250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10/11/2016</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777,000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4"/>
                <w:szCs w:val="14"/>
                <w:color w:val="auto"/>
              </w:rPr>
              <w:t>Ronald C. Foster</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5.97</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4/1/2014</w:t>
            </w:r>
          </w:p>
        </w:tc>
        <w:tc>
          <w:tcPr>
            <w:tcW w:w="720" w:type="dxa"/>
            <w:vAlign w:val="bottom"/>
          </w:tcPr>
          <w:p>
            <w:pPr>
              <w:jc w:val="right"/>
              <w:spacing w:after="0"/>
              <w:rPr>
                <w:sz w:val="20"/>
                <w:szCs w:val="20"/>
                <w:color w:val="auto"/>
              </w:rPr>
            </w:pPr>
            <w:r>
              <w:rPr>
                <w:rFonts w:ascii="Arial" w:cs="Arial" w:eastAsia="Arial" w:hAnsi="Arial"/>
                <w:sz w:val="14"/>
                <w:szCs w:val="14"/>
                <w:color w:val="auto"/>
              </w:rPr>
              <w:t>27,750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171,495</w:t>
            </w:r>
          </w:p>
        </w:tc>
        <w:tc>
          <w:tcPr>
            <w:tcW w:w="820" w:type="dxa"/>
            <w:vAlign w:val="bottom"/>
          </w:tcPr>
          <w:p>
            <w:pPr>
              <w:jc w:val="right"/>
              <w:spacing w:after="0"/>
              <w:rPr>
                <w:sz w:val="20"/>
                <w:szCs w:val="20"/>
                <w:color w:val="auto"/>
              </w:rPr>
            </w:pPr>
            <w:r>
              <w:rPr>
                <w:rFonts w:ascii="Arial" w:cs="Arial" w:eastAsia="Arial" w:hAnsi="Arial"/>
                <w:sz w:val="14"/>
                <w:szCs w:val="14"/>
                <w:color w:val="auto"/>
              </w:rPr>
              <w:t>82,000</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506,760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Chief Financial</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358,750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126,250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10/3/2014</w:t>
            </w:r>
          </w:p>
        </w:tc>
        <w:tc>
          <w:tcPr>
            <w:tcW w:w="720" w:type="dxa"/>
            <w:vAlign w:val="bottom"/>
          </w:tcPr>
          <w:p>
            <w:pPr>
              <w:jc w:val="right"/>
              <w:spacing w:after="0"/>
              <w:rPr>
                <w:sz w:val="20"/>
                <w:szCs w:val="20"/>
                <w:color w:val="auto"/>
              </w:rPr>
            </w:pPr>
            <w:r>
              <w:rPr>
                <w:rFonts w:ascii="Arial" w:cs="Arial" w:eastAsia="Arial" w:hAnsi="Arial"/>
                <w:sz w:val="14"/>
                <w:szCs w:val="14"/>
                <w:color w:val="auto"/>
              </w:rPr>
              <w:t>33,500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207,030</w:t>
            </w:r>
          </w:p>
        </w:tc>
        <w:tc>
          <w:tcPr>
            <w:tcW w:w="820" w:type="dxa"/>
            <w:vAlign w:val="bottom"/>
          </w:tcPr>
          <w:p>
            <w:pPr>
              <w:jc w:val="right"/>
              <w:spacing w:after="0"/>
              <w:rPr>
                <w:sz w:val="20"/>
                <w:szCs w:val="20"/>
                <w:color w:val="auto"/>
              </w:rPr>
            </w:pPr>
            <w:r>
              <w:rPr>
                <w:rFonts w:ascii="Arial" w:cs="Arial" w:eastAsia="Arial" w:hAnsi="Arial"/>
                <w:sz w:val="14"/>
                <w:szCs w:val="14"/>
                <w:color w:val="auto"/>
              </w:rPr>
              <w:t>133,000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821,940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Officer</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126,500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126,500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10/5/2015</w:t>
            </w:r>
          </w:p>
        </w:tc>
        <w:tc>
          <w:tcPr>
            <w:tcW w:w="720" w:type="dxa"/>
            <w:vAlign w:val="bottom"/>
          </w:tcPr>
          <w:p>
            <w:pPr>
              <w:jc w:val="right"/>
              <w:spacing w:after="0"/>
              <w:rPr>
                <w:sz w:val="20"/>
                <w:szCs w:val="20"/>
                <w:color w:val="auto"/>
              </w:rPr>
            </w:pPr>
            <w:r>
              <w:rPr>
                <w:rFonts w:ascii="Arial" w:cs="Arial" w:eastAsia="Arial" w:hAnsi="Arial"/>
                <w:sz w:val="14"/>
                <w:szCs w:val="14"/>
                <w:color w:val="auto"/>
              </w:rPr>
              <w:t>49,500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305,910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65,000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195,000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10/11/2016</w:t>
            </w:r>
          </w:p>
        </w:tc>
        <w:tc>
          <w:tcPr>
            <w:tcW w:w="720" w:type="dxa"/>
            <w:vAlign w:val="bottom"/>
          </w:tcPr>
          <w:p>
            <w:pPr>
              <w:jc w:val="right"/>
              <w:spacing w:after="0"/>
              <w:rPr>
                <w:sz w:val="20"/>
                <w:szCs w:val="20"/>
                <w:color w:val="auto"/>
              </w:rPr>
            </w:pPr>
            <w:r>
              <w:rPr>
                <w:rFonts w:ascii="Arial" w:cs="Arial" w:eastAsia="Arial" w:hAnsi="Arial"/>
                <w:sz w:val="14"/>
                <w:szCs w:val="14"/>
                <w:color w:val="auto"/>
              </w:rPr>
              <w:t>107,000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661,260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380,000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4"/>
                <w:szCs w:val="14"/>
                <w:color w:val="auto"/>
              </w:rPr>
              <w:t>Roderic W. Lewis</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17.43</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9/10/2012</w:t>
            </w:r>
          </w:p>
        </w:tc>
        <w:tc>
          <w:tcPr>
            <w:tcW w:w="720" w:type="dxa"/>
            <w:vAlign w:val="bottom"/>
          </w:tcPr>
          <w:p>
            <w:pPr>
              <w:jc w:val="right"/>
              <w:spacing w:after="0"/>
              <w:rPr>
                <w:sz w:val="20"/>
                <w:szCs w:val="20"/>
                <w:color w:val="auto"/>
              </w:rPr>
            </w:pPr>
            <w:r>
              <w:rPr>
                <w:rFonts w:ascii="Arial" w:cs="Arial" w:eastAsia="Arial" w:hAnsi="Arial"/>
                <w:sz w:val="14"/>
                <w:szCs w:val="14"/>
                <w:color w:val="auto"/>
              </w:rPr>
              <w:t>20,750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128,235</w:t>
            </w:r>
          </w:p>
        </w:tc>
        <w:tc>
          <w:tcPr>
            <w:tcW w:w="820" w:type="dxa"/>
            <w:vAlign w:val="bottom"/>
          </w:tcPr>
          <w:p>
            <w:pPr>
              <w:jc w:val="right"/>
              <w:spacing w:after="0"/>
              <w:rPr>
                <w:sz w:val="20"/>
                <w:szCs w:val="20"/>
                <w:color w:val="auto"/>
              </w:rPr>
            </w:pPr>
            <w:r>
              <w:rPr>
                <w:rFonts w:ascii="Arial" w:cs="Arial" w:eastAsia="Arial" w:hAnsi="Arial"/>
                <w:sz w:val="14"/>
                <w:szCs w:val="14"/>
                <w:color w:val="auto"/>
              </w:rPr>
              <w:t>62,000</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383,160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Vice President of</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4/22/2013</w:t>
            </w: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154,500</w:t>
            </w:r>
          </w:p>
        </w:tc>
        <w:tc>
          <w:tcPr>
            <w:tcW w:w="820" w:type="dxa"/>
            <w:vAlign w:val="bottom"/>
          </w:tcPr>
          <w:p>
            <w:pPr>
              <w:jc w:val="right"/>
              <w:spacing w:after="0"/>
              <w:rPr>
                <w:sz w:val="20"/>
                <w:szCs w:val="20"/>
                <w:color w:val="auto"/>
              </w:rPr>
            </w:pPr>
            <w:r>
              <w:rPr>
                <w:rFonts w:ascii="Arial" w:cs="Arial" w:eastAsia="Arial" w:hAnsi="Arial"/>
                <w:sz w:val="14"/>
                <w:szCs w:val="14"/>
                <w:color w:val="auto"/>
              </w:rPr>
              <w:t>91,000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562,380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Legal Affairs and</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14.35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9/23/2013</w:t>
            </w:r>
          </w:p>
        </w:tc>
        <w:tc>
          <w:tcPr>
            <w:tcW w:w="720" w:type="dxa"/>
            <w:vAlign w:val="bottom"/>
          </w:tcPr>
          <w:p>
            <w:pPr>
              <w:jc w:val="right"/>
              <w:spacing w:after="0"/>
              <w:rPr>
                <w:sz w:val="20"/>
                <w:szCs w:val="20"/>
                <w:color w:val="auto"/>
              </w:rPr>
            </w:pPr>
            <w:r>
              <w:rPr>
                <w:rFonts w:ascii="Arial" w:cs="Arial" w:eastAsia="Arial" w:hAnsi="Arial"/>
                <w:sz w:val="14"/>
                <w:szCs w:val="14"/>
                <w:color w:val="auto"/>
              </w:rPr>
              <w:t>36,750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227,115</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General Counsel</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15.91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3/29/2014</w:t>
            </w:r>
          </w:p>
        </w:tc>
        <w:tc>
          <w:tcPr>
            <w:tcW w:w="720" w:type="dxa"/>
            <w:vAlign w:val="bottom"/>
          </w:tcPr>
          <w:p>
            <w:pPr>
              <w:jc w:val="right"/>
              <w:spacing w:after="0"/>
              <w:rPr>
                <w:sz w:val="20"/>
                <w:szCs w:val="20"/>
                <w:color w:val="auto"/>
              </w:rPr>
            </w:pPr>
            <w:r>
              <w:rPr>
                <w:rFonts w:ascii="Arial" w:cs="Arial" w:eastAsia="Arial" w:hAnsi="Arial"/>
                <w:sz w:val="14"/>
                <w:szCs w:val="14"/>
                <w:color w:val="auto"/>
              </w:rPr>
              <w:t>73,000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451,140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234,250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94,750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10/3/2014</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94,500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10/5/2015</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48,750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146,250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10/11/2016</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259,000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4"/>
                <w:szCs w:val="14"/>
                <w:color w:val="auto"/>
              </w:rPr>
              <w:t>Brian M. Shirley</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12.44</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10/16/2012</w:t>
            </w:r>
          </w:p>
        </w:tc>
        <w:tc>
          <w:tcPr>
            <w:tcW w:w="720" w:type="dxa"/>
            <w:vAlign w:val="bottom"/>
          </w:tcPr>
          <w:p>
            <w:pPr>
              <w:jc w:val="right"/>
              <w:spacing w:after="0"/>
              <w:rPr>
                <w:sz w:val="20"/>
                <w:szCs w:val="20"/>
                <w:color w:val="auto"/>
              </w:rPr>
            </w:pPr>
            <w:r>
              <w:rPr>
                <w:rFonts w:ascii="Arial" w:cs="Arial" w:eastAsia="Arial" w:hAnsi="Arial"/>
                <w:sz w:val="14"/>
                <w:szCs w:val="14"/>
                <w:color w:val="auto"/>
              </w:rPr>
              <w:t>20,750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128,235</w:t>
            </w:r>
          </w:p>
        </w:tc>
        <w:tc>
          <w:tcPr>
            <w:tcW w:w="820" w:type="dxa"/>
            <w:vAlign w:val="bottom"/>
          </w:tcPr>
          <w:p>
            <w:pPr>
              <w:jc w:val="right"/>
              <w:spacing w:after="0"/>
              <w:rPr>
                <w:sz w:val="20"/>
                <w:szCs w:val="20"/>
                <w:color w:val="auto"/>
              </w:rPr>
            </w:pPr>
            <w:r>
              <w:rPr>
                <w:rFonts w:ascii="Arial" w:cs="Arial" w:eastAsia="Arial" w:hAnsi="Arial"/>
                <w:sz w:val="14"/>
                <w:szCs w:val="14"/>
                <w:color w:val="auto"/>
              </w:rPr>
              <w:t>62,000</w:t>
            </w:r>
          </w:p>
        </w:tc>
        <w:tc>
          <w:tcPr>
            <w:tcW w:w="60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383,160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Vice President of</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9.00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5/5/2013</w:t>
            </w: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154,500</w:t>
            </w:r>
          </w:p>
        </w:tc>
        <w:tc>
          <w:tcPr>
            <w:tcW w:w="820" w:type="dxa"/>
            <w:vAlign w:val="bottom"/>
          </w:tcPr>
          <w:p>
            <w:pPr>
              <w:jc w:val="right"/>
              <w:spacing w:after="0"/>
              <w:rPr>
                <w:sz w:val="20"/>
                <w:szCs w:val="20"/>
                <w:color w:val="auto"/>
              </w:rPr>
            </w:pPr>
            <w:r>
              <w:rPr>
                <w:rFonts w:ascii="Arial" w:cs="Arial" w:eastAsia="Arial" w:hAnsi="Arial"/>
                <w:sz w:val="14"/>
                <w:szCs w:val="14"/>
                <w:color w:val="auto"/>
              </w:rPr>
              <w:t>91,000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562,380</w:t>
            </w: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DRAM Solutions</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12.52</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11/19/2013</w:t>
            </w:r>
          </w:p>
        </w:tc>
        <w:tc>
          <w:tcPr>
            <w:tcW w:w="720" w:type="dxa"/>
            <w:vAlign w:val="bottom"/>
          </w:tcPr>
          <w:p>
            <w:pPr>
              <w:jc w:val="right"/>
              <w:spacing w:after="0"/>
              <w:rPr>
                <w:sz w:val="20"/>
                <w:szCs w:val="20"/>
                <w:color w:val="auto"/>
              </w:rPr>
            </w:pPr>
            <w:r>
              <w:rPr>
                <w:rFonts w:ascii="Arial" w:cs="Arial" w:eastAsia="Arial" w:hAnsi="Arial"/>
                <w:sz w:val="14"/>
                <w:szCs w:val="14"/>
                <w:color w:val="auto"/>
              </w:rPr>
              <w:t>36,750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227,115</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75,000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11.51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9/1/2014</w:t>
            </w:r>
          </w:p>
        </w:tc>
        <w:tc>
          <w:tcPr>
            <w:tcW w:w="720" w:type="dxa"/>
            <w:vAlign w:val="bottom"/>
          </w:tcPr>
          <w:p>
            <w:pPr>
              <w:jc w:val="right"/>
              <w:spacing w:after="0"/>
              <w:rPr>
                <w:sz w:val="20"/>
                <w:szCs w:val="20"/>
                <w:color w:val="auto"/>
              </w:rPr>
            </w:pPr>
            <w:r>
              <w:rPr>
                <w:rFonts w:ascii="Arial" w:cs="Arial" w:eastAsia="Arial" w:hAnsi="Arial"/>
                <w:sz w:val="14"/>
                <w:szCs w:val="14"/>
                <w:color w:val="auto"/>
              </w:rPr>
              <w:t>73,000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3"/>
                <w:szCs w:val="23"/>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451,140</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189,500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94,750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10/3/2014</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94,500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94,500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10/5/2015</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48,750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146,250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10/11/2016</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259,000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10/11/2017</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20"/>
              <w:spacing w:after="0"/>
              <w:rPr>
                <w:sz w:val="20"/>
                <w:szCs w:val="20"/>
                <w:color w:val="auto"/>
              </w:rPr>
            </w:pPr>
            <w:r>
              <w:rPr>
                <w:rFonts w:ascii="Arial" w:cs="Arial" w:eastAsia="Arial" w:hAnsi="Arial"/>
                <w:sz w:val="14"/>
                <w:szCs w:val="14"/>
                <w:color w:val="auto"/>
              </w:rPr>
              <w:t>Steven R. Appleton (12)</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17.43</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9/10/2012</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Former Chief</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80,000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ind w:left="100"/>
              <w:spacing w:after="0"/>
              <w:rPr>
                <w:sz w:val="20"/>
                <w:szCs w:val="20"/>
                <w:color w:val="auto"/>
              </w:rPr>
            </w:pPr>
            <w:r>
              <w:rPr>
                <w:rFonts w:ascii="Arial" w:cs="Arial" w:eastAsia="Arial" w:hAnsi="Arial"/>
                <w:sz w:val="14"/>
                <w:szCs w:val="14"/>
                <w:color w:val="auto"/>
              </w:rPr>
              <w:t>Executive Officer</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14.35</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300,000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15.91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966,000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615,750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7.46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423,000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1,123,000</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3/5/2013</w:t>
            </w: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420"/>
          </w:cols>
          <w:pgMar w:left="240" w:top="715" w:right="239" w:bottom="501"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15" w:right="239" w:bottom="501" w:gutter="0" w:footer="0" w:header="0"/>
          <w:type w:val="continuous"/>
        </w:sectPr>
      </w:pPr>
    </w:p>
    <w:bookmarkStart w:id="30" w:name="page31"/>
    <w:bookmarkEnd w:id="30"/>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by $6.18, the closing price of our common stock on August 30, 2012.</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on October 3, 2012.</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5, 2012, and October 5, 2013.</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2012, October 11, 2013, and October 11, 2014.</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2012, October 11, 2013, October 11, 2014, and October 11, 2015.</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on October 3, 2012.</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5, 2012, and October 5, 2013.</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2012, October 11, 2013, and October 11, 2014.</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2012, October 11, 2013, October 11, 2014, and October 11, 2015.</w:t>
      </w:r>
    </w:p>
    <w:p>
      <w:pPr>
        <w:spacing w:after="0" w:line="27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an ROA goal over a consecutive rolling four-quarter period through the fourth fiscal quarter of 2013.</w:t>
      </w:r>
    </w:p>
    <w:p>
      <w:pPr>
        <w:spacing w:after="0" w:line="22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an ROA goal over a consecutive rolling four-quarter period through the fourth fiscal quarter of 2014.</w:t>
      </w:r>
    </w:p>
    <w:p>
      <w:pPr>
        <w:spacing w:after="0" w:line="22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the terms of Mr. Appleton's Severance Agreement, his options expire at the earlier of the option's original expiration date or after the conclusion of a one year "Transition Period" beginning on February 4, 2012. Options continue to vest through the Transition Period. Pursuant to the terms of the equity plans, his options will expire 30 days after his options cease to vest, which is March 5, 2013.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FISCAL 2012</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2012 and the value realized.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Value Realized on</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3"/>
                <w:szCs w:val="13"/>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6"/>
                <w:szCs w:val="16"/>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Acquired on Vesting</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Vesting(1)</w:t>
            </w:r>
          </w:p>
        </w:tc>
        <w:tc>
          <w:tcPr>
            <w:tcW w:w="0" w:type="dxa"/>
            <w:vAlign w:val="bottom"/>
          </w:tcPr>
          <w:p>
            <w:pPr>
              <w:spacing w:after="0"/>
              <w:rPr>
                <w:sz w:val="1"/>
                <w:szCs w:val="1"/>
                <w:color w:val="auto"/>
              </w:rPr>
            </w:pPr>
          </w:p>
        </w:tc>
      </w:tr>
      <w:tr>
        <w:trPr>
          <w:trHeight w:val="228"/>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54,760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270,127</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President</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126,473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624,139</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81,939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470,316</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62,862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310,232</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0"/>
              <w:spacing w:after="0"/>
              <w:rPr>
                <w:sz w:val="20"/>
                <w:szCs w:val="20"/>
                <w:color w:val="auto"/>
              </w:rPr>
            </w:pPr>
            <w:r>
              <w:rPr>
                <w:rFonts w:ascii="Arial" w:cs="Arial" w:eastAsia="Arial" w:hAnsi="Arial"/>
                <w:sz w:val="18"/>
                <w:szCs w:val="18"/>
                <w:color w:val="auto"/>
              </w:rPr>
              <w:t>Vice President of Legal Affairs and General Counsel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tabs>
          <w:tab w:leader="none" w:pos="6560" w:val="left"/>
        </w:tabs>
        <w:rPr>
          <w:sz w:val="20"/>
          <w:szCs w:val="20"/>
          <w:color w:val="auto"/>
        </w:rPr>
      </w:pPr>
      <w:r>
        <w:rPr>
          <w:rFonts w:ascii="Arial" w:cs="Arial" w:eastAsia="Arial" w:hAnsi="Arial"/>
          <w:sz w:val="18"/>
          <w:szCs w:val="18"/>
          <w:color w:val="auto"/>
        </w:rPr>
        <w:t>Brian M. Shirley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Vice President of DRAM Solutions</w:t>
      </w:r>
    </w:p>
    <w:p>
      <w:pPr>
        <w:spacing w:after="0" w:line="49" w:lineRule="exact"/>
        <w:rPr>
          <w:sz w:val="20"/>
          <w:szCs w:val="20"/>
          <w:color w:val="auto"/>
        </w:rPr>
      </w:pPr>
    </w:p>
    <w:p>
      <w:pPr>
        <w:ind w:left="40"/>
        <w:spacing w:after="0"/>
        <w:tabs>
          <w:tab w:leader="none" w:pos="6560" w:val="left"/>
        </w:tabs>
        <w:rPr>
          <w:sz w:val="20"/>
          <w:szCs w:val="20"/>
          <w:color w:val="auto"/>
        </w:rPr>
      </w:pPr>
      <w:r>
        <w:rPr>
          <w:rFonts w:ascii="Arial" w:cs="Arial" w:eastAsia="Arial" w:hAnsi="Arial"/>
          <w:sz w:val="18"/>
          <w:szCs w:val="18"/>
          <w:color w:val="auto"/>
        </w:rPr>
        <w:t>Steven R. Appleton</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Former Chief Executive Officer</w:t>
      </w:r>
    </w:p>
    <w:p>
      <w:pPr>
        <w:spacing w:after="0" w:line="49" w:lineRule="exact"/>
        <w:rPr>
          <w:sz w:val="20"/>
          <w:szCs w:val="20"/>
          <w:color w:val="auto"/>
        </w:rPr>
      </w:pPr>
    </w:p>
    <w:p>
      <w:pPr>
        <w:ind w:left="40"/>
        <w:spacing w:after="0"/>
        <w:tabs>
          <w:tab w:leader="none" w:pos="6560" w:val="left"/>
        </w:tabs>
        <w:rPr>
          <w:sz w:val="20"/>
          <w:szCs w:val="20"/>
          <w:color w:val="auto"/>
        </w:rPr>
      </w:pPr>
      <w:r>
        <w:rPr>
          <w:rFonts w:ascii="Arial" w:cs="Arial" w:eastAsia="Arial" w:hAnsi="Arial"/>
          <w:sz w:val="18"/>
          <w:szCs w:val="18"/>
          <w:color w:val="auto"/>
        </w:rPr>
        <w:t>Mario Licciardello</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Former Vice President of Wireless Solutions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(1) Value calculated by multiplying number of shares by the market value per share on the vesting 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62,862</w:t>
            </w:r>
          </w:p>
        </w:tc>
        <w:tc>
          <w:tcPr>
            <w:tcW w:w="1120" w:type="dxa"/>
            <w:vAlign w:val="bottom"/>
          </w:tcPr>
          <w:p>
            <w:pPr>
              <w:jc w:val="right"/>
              <w:spacing w:after="0"/>
              <w:rPr>
                <w:sz w:val="20"/>
                <w:szCs w:val="20"/>
                <w:color w:val="auto"/>
              </w:rPr>
            </w:pPr>
            <w:r>
              <w:rPr>
                <w:rFonts w:ascii="Arial" w:cs="Arial" w:eastAsia="Arial" w:hAnsi="Arial"/>
                <w:sz w:val="18"/>
                <w:szCs w:val="18"/>
                <w:color w:val="auto"/>
              </w:rPr>
              <w:t>310,232</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1,610,582</w:t>
            </w:r>
          </w:p>
        </w:tc>
        <w:tc>
          <w:tcPr>
            <w:tcW w:w="1120" w:type="dxa"/>
            <w:vAlign w:val="bottom"/>
          </w:tcPr>
          <w:p>
            <w:pPr>
              <w:jc w:val="right"/>
              <w:spacing w:after="0"/>
              <w:rPr>
                <w:sz w:val="20"/>
                <w:szCs w:val="20"/>
                <w:color w:val="auto"/>
              </w:rPr>
            </w:pPr>
            <w:r>
              <w:rPr>
                <w:rFonts w:ascii="Arial" w:cs="Arial" w:eastAsia="Arial" w:hAnsi="Arial"/>
                <w:sz w:val="18"/>
                <w:szCs w:val="18"/>
                <w:color w:val="auto"/>
              </w:rPr>
              <w:t>11,671,101</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166,120</w:t>
            </w:r>
          </w:p>
        </w:tc>
        <w:tc>
          <w:tcPr>
            <w:tcW w:w="1120" w:type="dxa"/>
            <w:vAlign w:val="bottom"/>
          </w:tcPr>
          <w:p>
            <w:pPr>
              <w:jc w:val="right"/>
              <w:spacing w:after="0"/>
              <w:rPr>
                <w:sz w:val="20"/>
                <w:szCs w:val="20"/>
                <w:color w:val="auto"/>
              </w:rPr>
            </w:pPr>
            <w:r>
              <w:rPr>
                <w:rFonts w:ascii="Arial" w:cs="Arial" w:eastAsia="Arial" w:hAnsi="Arial"/>
                <w:sz w:val="18"/>
                <w:szCs w:val="18"/>
                <w:color w:val="auto"/>
              </w:rPr>
              <w:t>1,262,518</w:t>
            </w:r>
          </w:p>
        </w:tc>
      </w:tr>
    </w:tbl>
    <w:p>
      <w:pPr>
        <w:spacing w:after="0" w:line="963" w:lineRule="exact"/>
        <w:rPr>
          <w:sz w:val="20"/>
          <w:szCs w:val="20"/>
          <w:color w:val="auto"/>
        </w:rPr>
      </w:pPr>
    </w:p>
    <w:p>
      <w:pPr>
        <w:sectPr>
          <w:pgSz w:w="11900" w:h="16838" w:orient="portrait"/>
          <w:cols w:equalWidth="0" w:num="2">
            <w:col w:w="7520" w:space="500"/>
            <w:col w:w="3400"/>
          </w:cols>
          <w:pgMar w:left="240" w:top="584" w:right="2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84"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quantify the actual and estimated payments and benefits for each of the Named Executive Officers pursuant to the Severance Agreements described in the "Severance Agreements" and "Change in Control" sections of the "Compensation Discussion and Analysis." The amounts listed for Mr. Appleton and Mr. Licciardello are actual amounts paid or payable in connection with their separations from employment. The amounts listed for the current Named Executive Officers are estimated amounts that were calculated as if the Named Executive Officers separated from service on August 30, 2012, the last day of fiscal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U.S.-based Named Executive Officers</w:t>
      </w:r>
    </w:p>
    <w:p>
      <w:pPr>
        <w:spacing w:after="0" w:line="2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U.S.-based Named Executive Officers (which excludes Mr. Licciardello), 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officer's separation from service. The remaining payments would then be paid according to our regular payroll schedule. Since Mr. Appleton's Severance Agreement was triggered due to his death, Section 409A does not impose a six-month delay.</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2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U.S.-based Named Executive Officer paid each month for benefits coverage as an employee of us and the estimated premiums the U.S.-based Named Executive Officer would need to pay each month for the same or similar coverage as a former employee. This monthly amount is multiplied by the number of months in the U.S.-based Named Executive Officer's Transition Period and is grossed-up for taxes. All gross-up calculations and payments are based on the standard supplemental withholding rates provided by federal and state guidelines. We do not use the U.S.-based Named Executive Officer's actual tax rate for these calculations. The "Cash in Lieu of Benefits" payment is made within 30 days after the officer's separation from service, subject to the possibility of a six-month delay that may be required by Section 409A of the Code. If Section 409A imposes a six-month delay, the payment would be made to the officer on the first day of the seventh month following the officer's separation from service. Since Mr. Appleton's Severance Agreement was triggered due to his death, Section 409A does not impose a six-month delay.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Licciardello</w:t>
      </w:r>
    </w:p>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Licciardello retired from the Company on May 31, 2012. In connection with his retirement, we entered into an agreement with Mr. Licciardello that provided for a severance payment and additional payments in exchange for certain waivers, releases and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0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Voluntary or Involuntary Termination of Employment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Extended</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 of</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Option Vesting</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Extended</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Value of</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Cash in Lieu</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and Exercise</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Salary</w:t>
            </w:r>
          </w:p>
        </w:tc>
        <w:tc>
          <w:tcPr>
            <w:tcW w:w="1040" w:type="dxa"/>
            <w:vAlign w:val="bottom"/>
            <w:gridSpan w:val="2"/>
          </w:tcPr>
          <w:p>
            <w:pPr>
              <w:ind w:left="240"/>
              <w:spacing w:after="0"/>
              <w:rPr>
                <w:sz w:val="20"/>
                <w:szCs w:val="20"/>
                <w:color w:val="auto"/>
              </w:rPr>
            </w:pPr>
            <w:r>
              <w:rPr>
                <w:rFonts w:ascii="Arial" w:cs="Arial" w:eastAsia="Arial" w:hAnsi="Arial"/>
                <w:sz w:val="16"/>
                <w:szCs w:val="16"/>
                <w:b w:val="1"/>
                <w:bCs w:val="1"/>
                <w:color w:val="auto"/>
              </w:rPr>
              <w:t>Bonus</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 Benefits</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Period</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Stock Vesting</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1120" w:type="dxa"/>
            <w:vAlign w:val="bottom"/>
          </w:tcPr>
          <w:p>
            <w:pPr>
              <w:spacing w:after="0"/>
              <w:rPr>
                <w:sz w:val="17"/>
                <w:szCs w:val="17"/>
                <w:color w:val="auto"/>
              </w:rPr>
            </w:pPr>
          </w:p>
        </w:tc>
      </w:tr>
      <w:tr>
        <w:trPr>
          <w:trHeight w:val="210"/>
        </w:trPr>
        <w:tc>
          <w:tcPr>
            <w:tcW w:w="226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Payment(3)</w:t>
            </w:r>
          </w:p>
        </w:tc>
        <w:tc>
          <w:tcPr>
            <w:tcW w:w="10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(4)</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Awards(6)</w:t>
            </w:r>
          </w:p>
        </w:tc>
        <w:tc>
          <w:tcPr>
            <w:tcW w:w="20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  600,000</w:t>
            </w: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   48,148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48,294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630,951</w:t>
            </w: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   393,975</w:t>
            </w: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   562,380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   2,283,748</w:t>
            </w: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President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76,403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56,115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1,636,462</w:t>
            </w:r>
          </w:p>
        </w:tc>
        <w:tc>
          <w:tcPr>
            <w:tcW w:w="1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903,825</w:t>
            </w: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1,687,140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5,259,945</w:t>
            </w: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490,000</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68,119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1,282,936</w:t>
            </w:r>
          </w:p>
        </w:tc>
        <w:tc>
          <w:tcPr>
            <w:tcW w:w="1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542,295</w:t>
            </w: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821,940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3,242,040</w:t>
            </w: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420,000</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61,513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755,430</w:t>
            </w:r>
          </w:p>
        </w:tc>
        <w:tc>
          <w:tcPr>
            <w:tcW w:w="1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393,975</w:t>
            </w: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562,380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2,218,498</w:t>
            </w:r>
          </w:p>
        </w:tc>
      </w:tr>
      <w:tr>
        <w:trPr>
          <w:trHeight w:val="216"/>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Vice President of Legal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Affairs and General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Counsel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484,000</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136,246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29,681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734,987</w:t>
            </w:r>
          </w:p>
        </w:tc>
        <w:tc>
          <w:tcPr>
            <w:tcW w:w="1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393,975</w:t>
            </w: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562,380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2,341,269</w:t>
            </w:r>
          </w:p>
        </w:tc>
      </w:tr>
      <w:tr>
        <w:trPr>
          <w:trHeight w:val="216"/>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Vice President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DRAM Solutions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Steven R. Appleton</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950,000</w:t>
            </w: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106,875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1,019,718</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3,884,274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w w:val="97"/>
              </w:rPr>
              <w:t>12,250,886</w:t>
            </w:r>
          </w:p>
        </w:tc>
        <w:tc>
          <w:tcPr>
            <w:tcW w:w="1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18,250,424</w:t>
            </w:r>
          </w:p>
        </w:tc>
      </w:tr>
      <w:tr>
        <w:trPr>
          <w:trHeight w:val="216"/>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Former Chief Executive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2260" w:type="dxa"/>
            <w:vAlign w:val="bottom"/>
            <w:gridSpan w:val="2"/>
          </w:tcPr>
          <w:p>
            <w:pPr>
              <w:ind w:left="40"/>
              <w:spacing w:after="0"/>
              <w:rPr>
                <w:sz w:val="20"/>
                <w:szCs w:val="20"/>
                <w:color w:val="auto"/>
              </w:rPr>
            </w:pPr>
            <w:r>
              <w:rPr>
                <w:rFonts w:ascii="Arial" w:cs="Arial" w:eastAsia="Arial" w:hAnsi="Arial"/>
                <w:sz w:val="18"/>
                <w:szCs w:val="18"/>
                <w:color w:val="auto"/>
              </w:rPr>
              <w:t>Mario Licciardello</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1,267,681</w:t>
            </w:r>
          </w:p>
        </w:tc>
        <w:tc>
          <w:tcPr>
            <w:tcW w:w="1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1,267,681</w:t>
            </w:r>
          </w:p>
        </w:tc>
      </w:tr>
      <w:tr>
        <w:trPr>
          <w:trHeight w:val="216"/>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Former Vice President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260" w:type="dxa"/>
            <w:vAlign w:val="bottom"/>
            <w:gridSpan w:val="2"/>
          </w:tcPr>
          <w:p>
            <w:pPr>
              <w:ind w:left="200"/>
              <w:spacing w:after="0"/>
              <w:rPr>
                <w:sz w:val="20"/>
                <w:szCs w:val="20"/>
                <w:color w:val="auto"/>
              </w:rPr>
            </w:pPr>
            <w:r>
              <w:rPr>
                <w:rFonts w:ascii="Arial" w:cs="Arial" w:eastAsia="Arial" w:hAnsi="Arial"/>
                <w:sz w:val="18"/>
                <w:szCs w:val="18"/>
                <w:color w:val="auto"/>
              </w:rPr>
              <w:t>Wireless Solutions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w w:val="92"/>
              </w:rPr>
              <w:t>_______________________</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ind w:left="340" w:hanging="332"/>
        <w:spacing w:after="0" w:line="26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The amount for Mr. Appleton represents the actual amount of salary-based severance payable to his estate.</w:t>
      </w:r>
    </w:p>
    <w:p>
      <w:pPr>
        <w:spacing w:after="0" w:line="23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actual amount of bonuses paid under the EIP to the current Named Executive Officers and Mr. Appleton's estate in fiscal 2012. Mr. Licciardello was not eligible for an EIP bonus due to the terms and conditions of the EIP Plan.</w:t>
      </w:r>
    </w:p>
    <w:p>
      <w:pPr>
        <w:spacing w:after="0" w:line="224" w:lineRule="exact"/>
        <w:rPr>
          <w:rFonts w:ascii="Arial" w:cs="Arial" w:eastAsia="Arial" w:hAnsi="Arial"/>
          <w:sz w:val="18"/>
          <w:szCs w:val="18"/>
          <w:color w:val="auto"/>
        </w:rPr>
      </w:pPr>
    </w:p>
    <w:p>
      <w:pPr>
        <w:jc w:val="both"/>
        <w:ind w:left="340" w:hanging="332"/>
        <w:spacing w:after="0" w:line="24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 cash payment for an amount estimated to allow the Named Executive Officer to purchase during the Transition</w:t>
      </w:r>
      <w:r>
        <w:rPr>
          <w:rFonts w:ascii="Arial" w:cs="Arial" w:eastAsia="Arial" w:hAnsi="Arial"/>
          <w:sz w:val="1"/>
          <w:szCs w:val="1"/>
          <w:color w:val="auto"/>
        </w:rPr>
        <w:drawing>
          <wp:inline distT="0" distB="0" distL="0" distR="0">
            <wp:extent cx="2603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8"/>
          <w:szCs w:val="18"/>
          <w:color w:val="auto"/>
        </w:rPr>
        <w:t>Period benefits similar to those he received while he was our employee. The amount listed includes a gross-up calculation for the tax impact of the payment. Mr. Appleton's amount is the actual amount of the payment made to his estate.</w:t>
      </w:r>
    </w:p>
    <w:p>
      <w:pPr>
        <w:spacing w:after="0" w:line="253" w:lineRule="exact"/>
        <w:rPr>
          <w:rFonts w:ascii="Arial" w:cs="Arial" w:eastAsia="Arial" w:hAnsi="Arial"/>
          <w:sz w:val="18"/>
          <w:szCs w:val="18"/>
          <w:color w:val="auto"/>
        </w:rPr>
      </w:pPr>
    </w:p>
    <w:p>
      <w:pPr>
        <w:jc w:val="both"/>
        <w:ind w:left="340" w:hanging="332"/>
        <w:spacing w:after="0" w:line="290"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value resulting from the additional vesting and exercise period for stock options provided by the Named Executive Officer's Transition Period. The fair value of each option award is estimated as of August 30, 2012 with respect to the current Named Executive Officers, using the Black-Scholes model. With respect to Mr. Appleton, pursuant to our equity plans, his options were exercisable for one year after his death. The value of the 1-year exercise period is reflected in the “Other” column of this table (see footnote 7). Mr. Appleton's Transition Period pursuant to his Severance Agreement provides him with an additional 30 days in which to exercise his options beyond the 1-year period provided for by our equity plans. The value of that additional 30-day exercise period is listed in this column, estimated using the Black-Scholes model. For all of the Named Executive Officers, the expected volatility is based on the implied volatility from traded options on our stock and historical volatility. The expected term is based on the shorter of length of the Transition Period or remaining life of the option. The risk-free rates are based on the U.S. Treasury yield.</w:t>
      </w:r>
    </w:p>
    <w:p>
      <w:pPr>
        <w:spacing w:after="0" w:line="220"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pursuant to the Named Executive Officer's Transition Period. The amount shown is calculated as the number of shares multiplied by $6.18 per share, our closing stock price on August 30, 2012.</w:t>
      </w:r>
    </w:p>
    <w:p>
      <w:pPr>
        <w:spacing w:after="0" w:line="22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performance-based goals have been established on a long-term basis using a four-quarter rolling average. We have assumed for purposes of this presentation that the performance-based goals related to these shares would have been met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15" w:right="239" w:bottom="1440" w:gutter="0" w:footer="0" w:header="0"/>
        </w:sectPr>
      </w:pPr>
    </w:p>
    <w:bookmarkStart w:id="33" w:name="page34"/>
    <w:bookmarkEnd w:id="33"/>
    <w:p>
      <w:pPr>
        <w:ind w:left="340"/>
        <w:spacing w:after="0" w:line="324" w:lineRule="auto"/>
        <w:rPr>
          <w:sz w:val="20"/>
          <w:szCs w:val="20"/>
          <w:color w:val="auto"/>
        </w:rPr>
      </w:pPr>
      <w:r>
        <w:rPr>
          <w:rFonts w:ascii="Arial" w:cs="Arial" w:eastAsia="Arial" w:hAnsi="Arial"/>
          <w:sz w:val="18"/>
          <w:szCs w:val="18"/>
          <w:color w:val="auto"/>
        </w:rPr>
        <w:t>during the Named Executive Officer's Transition Period. There can be no assurance that the performance-based goals will be met during the Transition Period as such is dependent on a number of factors including our operating results.</w:t>
      </w:r>
    </w:p>
    <w:p>
      <w:pPr>
        <w:spacing w:after="0" w:line="19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Mr. Appleton's amount represents the actual amount related to the lapsing of restrictions of his performance-based restricted stock awards as approved by our Board of Directors following his passing.</w:t>
      </w:r>
    </w:p>
    <w:p>
      <w:pPr>
        <w:spacing w:after="0" w:line="224" w:lineRule="exact"/>
        <w:rPr>
          <w:sz w:val="20"/>
          <w:szCs w:val="20"/>
          <w:color w:val="auto"/>
        </w:rPr>
      </w:pPr>
    </w:p>
    <w:p>
      <w:pPr>
        <w:jc w:val="both"/>
        <w:ind w:left="340" w:hanging="332"/>
        <w:spacing w:after="0" w:line="270"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 for Mr. Appleton includes $12,022,749 for the value of the non-discretionary accelerated vesting and lapsing of restrictions on his outstanding equity awards as a result of his death. The fair value of each option award is estimated as of February 4, 2012 using the Black-Scholes model. Expected volatility is based on the implied volatility from traded options on our stock and historical volatility. The expected term is the 1-year exercise period that applies under our equity plan following the death of the option holder. The risk-free rates are based on the U.S. Treasury yield. The fair value of stock award is based on our closing stock price on February 3, 2012, the last market-trading day prior to February 4, 2012. The amount for Mr. Appleton also includes $228,137 for 50% of his accrued but unused time-off. As an Idaho-based employee, Mr. Appleton was entitled to 50% of his accrued but unused time-off at the termination of his employment. However, our longstanding practice was to pay out at 100% in the event of death and our Committee approved paying 100% to Mr. Appleton in accordance with our practice. The additional 50% payout approved by the Committee is included here as part of Mr. Appleton's severance.</w:t>
      </w:r>
    </w:p>
    <w:p>
      <w:pPr>
        <w:spacing w:after="0" w:line="23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amount for Mr. Licciardello represents actual payments of $1,267,681 (dollar amount calculated based on a conversion ratio of 1.22 for euros on July 31, 2012, the date of payment) pursuant to a severance agreement entered into in connection with his retirement.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have change in control arrangements for our Named Executive Officers. However, the Severance Agreements described above provide for transitional benefits in the event of termination of employment, whether or not the termination is in connection with a change in control. In addition, under most of our equity plans, upon a change in control, outstanding time-based awards automatically become fully vested or the applicable restrictions lapse and outstanding performance-based awards are treated as if all required performance goals were satisfied and are paid within 30 days on a pro-rata basis based on the amount of the performance period completed as of the date of the change in control. A change in control is generally defined as a change in the majority of the Board's directors within a specified time period or the acquisition of 35% or more of our outstanding Common Stock.</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 and is paid within 30 days.</w:t>
      </w:r>
    </w:p>
    <w:p>
      <w:pPr>
        <w:spacing w:after="0" w:line="2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estimated benefits payable to the current Named Executive Officers assuming a change in control occurred on August 30, 2012. We have assumed for simplicity of presentation that benefits earned as of August 30, 2012, would have equaled benefits earned as of the end of the preceding month in the event of a change of control.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Restricted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Bonus(1)</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Options(2)</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Stock(3)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48,148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425,255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1,523,370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1,996,773</w:t>
            </w:r>
          </w:p>
        </w:tc>
      </w:tr>
      <w:tr>
        <w:trPr>
          <w:trHeight w:val="23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President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76,403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1,114,690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4,829,670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6,020,763</w:t>
            </w:r>
          </w:p>
        </w:tc>
      </w:tr>
      <w:tr>
        <w:trPr>
          <w:trHeight w:val="23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2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602,225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2,167,635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2,806,610</w:t>
            </w:r>
          </w:p>
        </w:tc>
      </w:tr>
      <w:tr>
        <w:trPr>
          <w:trHeight w:val="23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2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425,255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1,523,370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1,973,825</w:t>
            </w:r>
          </w:p>
        </w:tc>
      </w:tr>
      <w:tr>
        <w:trPr>
          <w:trHeight w:val="23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Vice President of Legal Affairs and General Counsel</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425,255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1,523,370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2,084,871</w:t>
            </w:r>
          </w:p>
        </w:tc>
      </w:tr>
      <w:tr>
        <w:trPr>
          <w:trHeight w:val="230"/>
        </w:trPr>
        <w:tc>
          <w:tcPr>
            <w:tcW w:w="5560" w:type="dxa"/>
            <w:vAlign w:val="bottom"/>
            <w:gridSpan w:val="2"/>
          </w:tcPr>
          <w:p>
            <w:pPr>
              <w:ind w:left="200"/>
              <w:spacing w:after="0"/>
              <w:rPr>
                <w:sz w:val="20"/>
                <w:szCs w:val="20"/>
                <w:color w:val="auto"/>
              </w:rPr>
            </w:pPr>
            <w:r>
              <w:rPr>
                <w:rFonts w:ascii="Arial" w:cs="Arial" w:eastAsia="Arial" w:hAnsi="Arial"/>
                <w:sz w:val="18"/>
                <w:szCs w:val="18"/>
                <w:color w:val="auto"/>
              </w:rPr>
              <w:t>Vice President of DRAM Solutions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payment of bonuses under the EIP for the Named Executive Officers.</w:t>
      </w:r>
    </w:p>
    <w:p>
      <w:pPr>
        <w:spacing w:after="0" w:line="26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the acceleration of vesting for all outstanding options. Amount shown is calculated as the excess of $6.18, the closing price of our stock on August 30, 2012, over the accelerated option's exercise price.</w:t>
      </w:r>
    </w:p>
    <w:p>
      <w:pPr>
        <w:sectPr>
          <w:pgSz w:w="11900" w:h="16838" w:orient="portrait"/>
          <w:cols w:equalWidth="0" w:num="1">
            <w:col w:w="11420"/>
          </w:cols>
          <w:pgMar w:left="240" w:top="746"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46" w:right="239" w:bottom="1440" w:gutter="0" w:footer="0" w:header="0"/>
          <w:type w:val="continuous"/>
        </w:sectPr>
      </w:pPr>
    </w:p>
    <w:bookmarkStart w:id="34" w:name="page35"/>
    <w:bookmarkEnd w:id="34"/>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Assumes the lapsing of all restrictions associated with the shares. Amount shown is calculated as the number of shares on which restrictions would lapse multiplied by $6.18 per share, our closing stock price on August 30,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August 30, 2012, regarding Common Stock that may be issued pursuant to our equity compensation plans: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 Weighted</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(c) 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 Exercise</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 of</w:t>
            </w:r>
          </w:p>
        </w:tc>
        <w:tc>
          <w:tcPr>
            <w:tcW w:w="2040" w:type="dxa"/>
            <w:vAlign w:val="bottom"/>
          </w:tcPr>
          <w:p>
            <w:pPr>
              <w:jc w:val="center"/>
              <w:ind w:left="259"/>
              <w:spacing w:after="0"/>
              <w:rPr>
                <w:sz w:val="20"/>
                <w:szCs w:val="20"/>
                <w:color w:val="auto"/>
              </w:rPr>
            </w:pPr>
            <w:r>
              <w:rPr>
                <w:rFonts w:ascii="Arial" w:cs="Arial" w:eastAsia="Arial" w:hAnsi="Arial"/>
                <w:sz w:val="16"/>
                <w:szCs w:val="16"/>
                <w:b w:val="1"/>
                <w:bCs w:val="1"/>
                <w:color w:val="auto"/>
                <w:w w:val="91"/>
              </w:rPr>
              <w:t>Issuance Under Equity</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Outstanding</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Options, Warrants</w:t>
            </w:r>
          </w:p>
        </w:tc>
        <w:tc>
          <w:tcPr>
            <w:tcW w:w="2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and Rights(1)</w:t>
            </w:r>
          </w:p>
        </w:tc>
        <w:tc>
          <w:tcPr>
            <w:tcW w:w="2040" w:type="dxa"/>
            <w:vAlign w:val="bottom"/>
          </w:tcPr>
          <w:p>
            <w:pPr>
              <w:jc w:val="center"/>
              <w:ind w:left="279"/>
              <w:spacing w:after="0"/>
              <w:rPr>
                <w:sz w:val="20"/>
                <w:szCs w:val="20"/>
                <w:color w:val="auto"/>
              </w:rPr>
            </w:pPr>
            <w:r>
              <w:rPr>
                <w:rFonts w:ascii="Arial" w:cs="Arial" w:eastAsia="Arial" w:hAnsi="Arial"/>
                <w:sz w:val="16"/>
                <w:szCs w:val="16"/>
                <w:b w:val="1"/>
                <w:bCs w:val="1"/>
                <w:color w:val="auto"/>
                <w:w w:val="96"/>
              </w:rPr>
              <w:t>(a))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67,500,568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8"/>
                <w:szCs w:val="18"/>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51,139,227</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32,795,442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3"/>
                <w:szCs w:val="23"/>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12,813,198</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auto"/>
              </w:rPr>
              <w:t>Totals(6)</w:t>
            </w:r>
          </w:p>
        </w:tc>
        <w:tc>
          <w:tcPr>
            <w:tcW w:w="1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100,296,010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1"/>
                <w:szCs w:val="21"/>
                <w:color w:val="auto"/>
              </w:rPr>
            </w:pPr>
          </w:p>
        </w:tc>
        <w:tc>
          <w:tcPr>
            <w:tcW w:w="2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63,952,425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jc w:val="right"/>
              <w:ind w:right="3337"/>
              <w:spacing w:after="0"/>
              <w:rPr>
                <w:sz w:val="20"/>
                <w:szCs w:val="20"/>
                <w:color w:val="auto"/>
              </w:rPr>
            </w:pPr>
            <w:r>
              <w:rPr>
                <w:rFonts w:ascii="Arial" w:cs="Arial" w:eastAsia="Arial" w:hAnsi="Arial"/>
                <w:sz w:val="18"/>
                <w:szCs w:val="18"/>
                <w:color w:val="auto"/>
                <w:w w:val="89"/>
              </w:rPr>
              <w:t>_______________________</w:t>
            </w: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12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1994 Stock Option Plan (the "1994 Plan"), 2000 Lexar Stock Option Plan (the "2000 Lexar Plan"), 2001 Stock Option Plan (the "2001 Plan"), the 2004 Plan, 2007 Equity Incentive Plan (the "2007 Plan") and Numonyx Plan. The 2004 Plan and the 2007 Plan provide for a maximum term for options and SARs of six years, all our other equity plans provide for a maximum option term of 10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26,715,988 shares that are available for issuance pursuant to full value awards.</w:t>
      </w:r>
    </w:p>
    <w:p>
      <w:pPr>
        <w:spacing w:after="0" w:line="279"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1997 Nonstatutory Stock Option Plan (the "1997 Plan"), 1998 Nonstatutory Stock Option Plan (the "1998 Plan") and the 2002 Employee Inducement Stock Option Plan (the "2002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242"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1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center"/>
              <w:ind w:left="379"/>
              <w:spacing w:after="0"/>
              <w:rPr>
                <w:sz w:val="20"/>
                <w:szCs w:val="20"/>
                <w:color w:val="auto"/>
              </w:rPr>
            </w:pPr>
            <w:r>
              <w:rPr>
                <w:rFonts w:ascii="Arial" w:cs="Arial" w:eastAsia="Arial" w:hAnsi="Arial"/>
                <w:sz w:val="16"/>
                <w:szCs w:val="16"/>
                <w:b w:val="1"/>
                <w:bCs w:val="1"/>
                <w:color w:val="auto"/>
              </w:rPr>
              <w:t>(a)</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ind w:left="399"/>
              <w:spacing w:after="0"/>
              <w:rPr>
                <w:sz w:val="20"/>
                <w:szCs w:val="20"/>
                <w:color w:val="auto"/>
              </w:rPr>
            </w:pPr>
            <w:r>
              <w:rPr>
                <w:rFonts w:ascii="Arial" w:cs="Arial" w:eastAsia="Arial" w:hAnsi="Arial"/>
                <w:sz w:val="16"/>
                <w:szCs w:val="16"/>
                <w:b w:val="1"/>
                <w:bCs w:val="1"/>
                <w:color w:val="auto"/>
                <w:w w:val="97"/>
              </w:rPr>
              <w:t>(b)</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Number of Securities To Be</w:t>
            </w: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Number of Securities Available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Issued Upon Exercise of</w:t>
            </w: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Outstanding Options,</w:t>
            </w:r>
          </w:p>
        </w:tc>
        <w:tc>
          <w:tcPr>
            <w:tcW w:w="2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c>
          <w:tcPr>
            <w:tcW w:w="0" w:type="dxa"/>
            <w:vAlign w:val="bottom"/>
          </w:tcPr>
          <w:p>
            <w:pPr>
              <w:spacing w:after="0"/>
              <w:rPr>
                <w:sz w:val="1"/>
                <w:szCs w:val="1"/>
                <w:color w:val="auto"/>
              </w:rPr>
            </w:pPr>
          </w:p>
        </w:tc>
      </w:tr>
      <w:tr>
        <w:trPr>
          <w:trHeight w:val="210"/>
        </w:trPr>
        <w:tc>
          <w:tcPr>
            <w:tcW w:w="4320" w:type="dxa"/>
            <w:vAlign w:val="bottom"/>
            <w:gridSpan w:val="3"/>
          </w:tcPr>
          <w:p>
            <w:pPr>
              <w:ind w:left="40"/>
              <w:spacing w:after="0"/>
              <w:rPr>
                <w:sz w:val="20"/>
                <w:szCs w:val="20"/>
                <w:color w:val="auto"/>
              </w:rPr>
            </w:pPr>
            <w:r>
              <w:rPr>
                <w:rFonts w:ascii="Arial" w:cs="Arial" w:eastAsia="Arial" w:hAnsi="Arial"/>
                <w:sz w:val="16"/>
                <w:szCs w:val="16"/>
                <w:b w:val="1"/>
                <w:bCs w:val="1"/>
                <w:color w:val="auto"/>
              </w:rPr>
              <w:t>Equity Plan</w:t>
            </w:r>
          </w:p>
        </w:tc>
        <w:tc>
          <w:tcPr>
            <w:tcW w:w="24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Warrants and Rights</w:t>
            </w:r>
          </w:p>
        </w:tc>
        <w:tc>
          <w:tcPr>
            <w:tcW w:w="1760" w:type="dxa"/>
            <w:vAlign w:val="bottom"/>
          </w:tcPr>
          <w:p>
            <w:pPr>
              <w:jc w:val="center"/>
              <w:ind w:left="399"/>
              <w:spacing w:after="0"/>
              <w:rPr>
                <w:sz w:val="20"/>
                <w:szCs w:val="20"/>
                <w:color w:val="auto"/>
              </w:rPr>
            </w:pPr>
            <w:r>
              <w:rPr>
                <w:rFonts w:ascii="Arial" w:cs="Arial" w:eastAsia="Arial" w:hAnsi="Arial"/>
                <w:sz w:val="16"/>
                <w:szCs w:val="16"/>
                <w:b w:val="1"/>
                <w:bCs w:val="1"/>
                <w:color w:val="auto"/>
                <w:w w:val="96"/>
              </w:rPr>
              <w:t>(a))</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20" w:type="dxa"/>
            <w:vAlign w:val="bottom"/>
            <w:gridSpan w:val="3"/>
          </w:tcPr>
          <w:p>
            <w:pPr>
              <w:ind w:left="40"/>
              <w:spacing w:after="0"/>
              <w:rPr>
                <w:sz w:val="20"/>
                <w:szCs w:val="20"/>
                <w:color w:val="auto"/>
              </w:rPr>
            </w:pPr>
            <w:r>
              <w:rPr>
                <w:rFonts w:ascii="Arial" w:cs="Arial" w:eastAsia="Arial" w:hAnsi="Arial"/>
                <w:sz w:val="16"/>
                <w:szCs w:val="16"/>
                <w:color w:val="auto"/>
              </w:rPr>
              <w:t>Approved Plans</w:t>
            </w:r>
          </w:p>
        </w:tc>
        <w:tc>
          <w:tcPr>
            <w:tcW w:w="1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1994</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3,312,625</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2000</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Lexar Plan</w:t>
            </w:r>
          </w:p>
        </w:tc>
        <w:tc>
          <w:tcPr>
            <w:tcW w:w="1860" w:type="dxa"/>
            <w:vAlign w:val="bottom"/>
          </w:tcPr>
          <w:p>
            <w:pPr>
              <w:jc w:val="right"/>
              <w:spacing w:after="0"/>
              <w:rPr>
                <w:sz w:val="20"/>
                <w:szCs w:val="20"/>
                <w:color w:val="auto"/>
              </w:rPr>
            </w:pPr>
            <w:r>
              <w:rPr>
                <w:rFonts w:ascii="Arial" w:cs="Arial" w:eastAsia="Arial" w:hAnsi="Arial"/>
                <w:sz w:val="16"/>
                <w:szCs w:val="16"/>
                <w:color w:val="auto"/>
              </w:rPr>
              <w:t>563,470</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2001</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23,988,677</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2004</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13,903,414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24,664,017</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2007</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21,660,138</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24,182,460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gridSpan w:val="3"/>
          </w:tcPr>
          <w:p>
            <w:pPr>
              <w:ind w:left="180"/>
              <w:spacing w:after="0"/>
              <w:rPr>
                <w:sz w:val="20"/>
                <w:szCs w:val="20"/>
                <w:color w:val="auto"/>
              </w:rPr>
            </w:pPr>
            <w:r>
              <w:rPr>
                <w:rFonts w:ascii="Arial" w:cs="Arial" w:eastAsia="Arial" w:hAnsi="Arial"/>
                <w:sz w:val="16"/>
                <w:szCs w:val="16"/>
                <w:color w:val="auto"/>
              </w:rPr>
              <w:t>Numonyx Plan</w:t>
            </w:r>
          </w:p>
        </w:tc>
        <w:tc>
          <w:tcPr>
            <w:tcW w:w="1860" w:type="dxa"/>
            <w:vAlign w:val="bottom"/>
          </w:tcPr>
          <w:p>
            <w:pPr>
              <w:jc w:val="right"/>
              <w:spacing w:after="0"/>
              <w:rPr>
                <w:sz w:val="20"/>
                <w:szCs w:val="20"/>
                <w:color w:val="auto"/>
              </w:rPr>
            </w:pPr>
            <w:r>
              <w:rPr>
                <w:rFonts w:ascii="Arial" w:cs="Arial" w:eastAsia="Arial" w:hAnsi="Arial"/>
                <w:sz w:val="16"/>
                <w:szCs w:val="16"/>
                <w:color w:val="auto"/>
              </w:rPr>
              <w:t>4,072,244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2,292,750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gridSpan w:val="3"/>
          </w:tcPr>
          <w:p>
            <w:pPr>
              <w:ind w:left="280"/>
              <w:spacing w:after="0"/>
              <w:rPr>
                <w:sz w:val="20"/>
                <w:szCs w:val="20"/>
                <w:color w:val="auto"/>
              </w:rPr>
            </w:pPr>
            <w:r>
              <w:rPr>
                <w:rFonts w:ascii="Arial" w:cs="Arial" w:eastAsia="Arial" w:hAnsi="Arial"/>
                <w:sz w:val="16"/>
                <w:szCs w:val="16"/>
                <w:color w:val="auto"/>
              </w:rPr>
              <w:t>Approved Plan Total</w:t>
            </w:r>
          </w:p>
        </w:tc>
        <w:tc>
          <w:tcPr>
            <w:tcW w:w="1860" w:type="dxa"/>
            <w:vAlign w:val="bottom"/>
          </w:tcPr>
          <w:p>
            <w:pPr>
              <w:jc w:val="right"/>
              <w:spacing w:after="0"/>
              <w:rPr>
                <w:sz w:val="20"/>
                <w:szCs w:val="20"/>
                <w:color w:val="auto"/>
              </w:rPr>
            </w:pPr>
            <w:r>
              <w:rPr>
                <w:rFonts w:ascii="Arial" w:cs="Arial" w:eastAsia="Arial" w:hAnsi="Arial"/>
                <w:sz w:val="16"/>
                <w:szCs w:val="16"/>
                <w:color w:val="auto"/>
              </w:rPr>
              <w:t>67,500,568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51,139,227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2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Approved Plans</w:t>
            </w:r>
          </w:p>
        </w:tc>
        <w:tc>
          <w:tcPr>
            <w:tcW w:w="1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432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gridSpan w:val="3"/>
          </w:tcPr>
          <w:p>
            <w:pPr>
              <w:ind w:left="180"/>
              <w:spacing w:after="0"/>
              <w:rPr>
                <w:sz w:val="20"/>
                <w:szCs w:val="20"/>
                <w:color w:val="auto"/>
              </w:rPr>
            </w:pPr>
            <w:r>
              <w:rPr>
                <w:rFonts w:ascii="Arial" w:cs="Arial" w:eastAsia="Arial" w:hAnsi="Arial"/>
                <w:sz w:val="16"/>
                <w:szCs w:val="16"/>
                <w:color w:val="auto"/>
              </w:rPr>
              <w:t>NSOP</w:t>
            </w:r>
          </w:p>
        </w:tc>
        <w:tc>
          <w:tcPr>
            <w:tcW w:w="1860" w:type="dxa"/>
            <w:vAlign w:val="bottom"/>
          </w:tcPr>
          <w:p>
            <w:pPr>
              <w:jc w:val="right"/>
              <w:spacing w:after="0"/>
              <w:rPr>
                <w:sz w:val="20"/>
                <w:szCs w:val="20"/>
                <w:color w:val="auto"/>
              </w:rPr>
            </w:pPr>
            <w:r>
              <w:rPr>
                <w:rFonts w:ascii="Arial" w:cs="Arial" w:eastAsia="Arial" w:hAnsi="Arial"/>
                <w:sz w:val="16"/>
                <w:szCs w:val="16"/>
                <w:color w:val="auto"/>
              </w:rPr>
              <w:t>31,560,798</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11,704,018</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1997</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371,947</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28,480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1998</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862,697</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80,700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0" w:type="dxa"/>
            <w:vAlign w:val="bottom"/>
          </w:tcPr>
          <w:p>
            <w:pPr>
              <w:ind w:left="180"/>
              <w:spacing w:after="0"/>
              <w:rPr>
                <w:sz w:val="20"/>
                <w:szCs w:val="20"/>
                <w:color w:val="auto"/>
              </w:rPr>
            </w:pPr>
            <w:r>
              <w:rPr>
                <w:rFonts w:ascii="Arial" w:cs="Arial" w:eastAsia="Arial" w:hAnsi="Arial"/>
                <w:sz w:val="16"/>
                <w:szCs w:val="16"/>
                <w:color w:val="auto"/>
                <w:w w:val="89"/>
              </w:rPr>
              <w:t>2002</w:t>
            </w: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Plan</w:t>
            </w: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1,000,000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20" w:type="dxa"/>
            <w:vAlign w:val="bottom"/>
            <w:gridSpan w:val="3"/>
          </w:tcPr>
          <w:p>
            <w:pPr>
              <w:ind w:left="300"/>
              <w:spacing w:after="0"/>
              <w:rPr>
                <w:sz w:val="20"/>
                <w:szCs w:val="20"/>
                <w:color w:val="auto"/>
              </w:rPr>
            </w:pPr>
            <w:r>
              <w:rPr>
                <w:rFonts w:ascii="Arial" w:cs="Arial" w:eastAsia="Arial" w:hAnsi="Arial"/>
                <w:sz w:val="16"/>
                <w:szCs w:val="16"/>
                <w:color w:val="auto"/>
              </w:rPr>
              <w:t>Not Approved Plan Total</w:t>
            </w:r>
          </w:p>
        </w:tc>
        <w:tc>
          <w:tcPr>
            <w:tcW w:w="1860" w:type="dxa"/>
            <w:vAlign w:val="bottom"/>
          </w:tcPr>
          <w:p>
            <w:pPr>
              <w:jc w:val="right"/>
              <w:spacing w:after="0"/>
              <w:rPr>
                <w:sz w:val="20"/>
                <w:szCs w:val="20"/>
                <w:color w:val="auto"/>
              </w:rPr>
            </w:pPr>
            <w:r>
              <w:rPr>
                <w:rFonts w:ascii="Arial" w:cs="Arial" w:eastAsia="Arial" w:hAnsi="Arial"/>
                <w:sz w:val="16"/>
                <w:szCs w:val="16"/>
                <w:color w:val="auto"/>
              </w:rPr>
              <w:t>32,795,442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12,813,198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gridSpan w:val="3"/>
          </w:tcPr>
          <w:p>
            <w:pPr>
              <w:ind w:left="420"/>
              <w:spacing w:after="0"/>
              <w:rPr>
                <w:sz w:val="20"/>
                <w:szCs w:val="20"/>
                <w:color w:val="auto"/>
              </w:rPr>
            </w:pPr>
            <w:r>
              <w:rPr>
                <w:rFonts w:ascii="Arial" w:cs="Arial" w:eastAsia="Arial" w:hAnsi="Arial"/>
                <w:sz w:val="16"/>
                <w:szCs w:val="16"/>
                <w:color w:val="auto"/>
              </w:rPr>
              <w:t>Grand 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100,296,010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63,952,425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80" w:type="dxa"/>
            <w:vAlign w:val="bottom"/>
            <w:vMerge w:val="restart"/>
          </w:tcPr>
          <w:p>
            <w:pPr>
              <w:ind w:left="460"/>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4,462,250 restricted stock.</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3,920,098 restricted stock units and excludes 295,181 restricted stock.</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714,249 restricted stock units.</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Plan expired on November 25, 2012. No awards were ever made under this plan and these shares are no longer available for issuance.</w:t>
      </w:r>
    </w:p>
    <w:p>
      <w:pPr>
        <w:spacing w:after="0" w:line="298" w:lineRule="exact"/>
        <w:rPr>
          <w:rFonts w:ascii="Arial" w:cs="Arial" w:eastAsia="Arial" w:hAnsi="Arial"/>
          <w:sz w:val="16"/>
          <w:szCs w:val="16"/>
          <w:color w:val="auto"/>
        </w:rPr>
      </w:pPr>
    </w:p>
    <w:p>
      <w:pPr>
        <w:ind w:left="3140"/>
        <w:spacing w:after="0"/>
        <w:rPr>
          <w:rFonts w:ascii="Arial" w:cs="Arial" w:eastAsia="Arial" w:hAnsi="Arial"/>
          <w:sz w:val="16"/>
          <w:szCs w:val="16"/>
          <w:color w:val="auto"/>
        </w:rPr>
      </w:pPr>
      <w:r>
        <w:rPr>
          <w:rFonts w:ascii="Arial" w:cs="Arial" w:eastAsia="Arial" w:hAnsi="Arial"/>
          <w:sz w:val="18"/>
          <w:szCs w:val="18"/>
          <w:b w:val="1"/>
          <w:bCs w:val="1"/>
          <w:color w:val="auto"/>
        </w:rPr>
        <w:t>CERTAIN RELATIONSHIPS AND RELATED TRANSACTIONS</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w:t>
      </w:r>
    </w:p>
    <w:p>
      <w:pPr>
        <w:jc w:val="both"/>
        <w:ind w:firstLine="8"/>
        <w:spacing w:after="0" w:line="277" w:lineRule="auto"/>
        <w:tabs>
          <w:tab w:leader="none" w:pos="22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the beginning of our fiscal 2012 through January 24, 2012, we paid $110 million to Lam Research Corporation ("Lam") for semiconductor manufacturing equipment and related services. Mr. Bagley, who retired from our board on January 24, 2012, was the Executive Chairman of Lam during this time.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Based solely on the reports received and on written representations from reporting persons, all directors, executive officers, and greater than 10% beneficial owners complied with all applicable filing requirements during the fiscal year ended August 30, 2012.</w:t>
      </w:r>
    </w:p>
    <w:p>
      <w:pPr>
        <w:sectPr>
          <w:pgSz w:w="11900" w:h="16838" w:orient="portrait"/>
          <w:cols w:equalWidth="0" w:num="1">
            <w:col w:w="11420"/>
          </w:cols>
          <w:pgMar w:left="240" w:top="747"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747"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PROPOSAL 2 – APPROVAL OF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currently maintain the Micron Technology, Inc. 2004 Equity Incentive Plan, or the 2004 Plan. Approximately 22,000 employees (including all current executive officers) are eligible to participate in the 2004 Plan. Directors and consultants are also eligible to participate in the 2004 Plan.</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November 23, 2012, 44,617,932 awards had been granted under the 2004 Plan, and approximately 15,000,000 shares of Common Stock remained available for grant. The 2004 Plan serves as the primary source of shares for all equity incentive awards granted to our executive officers. The Company expects to exhaust the existing share reserve of the 2004 Plan in the next 12 months. Accordingly, the Company is asking its shareholders to approve an amendment and restatement of the 2004 Plan that would increase the total number of shares of Common Stock available for grant under the 2004 Plan by 30,000,000, which would make available for grant under the 2004 Plan a total of approximately 45,000,000 shares of Common Stock. As discussed earlier in this proxy statement in the Compensation Discussion and Analysis, equity-based compensation is an important component of the Company's compensation program, and the additional shares of Common Stock authorized under the 2004 Plan will allow the Company to continue to attract and retain qualified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following is a summary of the material changes to the 2004 Plan under this amendment and restatement, in addition to the change in the share authorization as described above:</w:t>
      </w:r>
    </w:p>
    <w:p>
      <w:pPr>
        <w:spacing w:after="0" w:line="170" w:lineRule="exact"/>
        <w:rPr>
          <w:sz w:val="20"/>
          <w:szCs w:val="20"/>
          <w:color w:val="auto"/>
        </w:rPr>
      </w:pPr>
    </w:p>
    <w:p>
      <w:pPr>
        <w:ind w:left="660" w:hanging="328"/>
        <w:spacing w:after="0" w:line="27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2004 Plan clarifies that, in accordance with the Company's historical practice, the following shares of Common Stock may not again be made available for issuance as awards under the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2004 Plan would remain in effect for 10 years following shareholder approval at the 2013 annual meeting.</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2004 Plan clarifies that dividends on performance-based full-value awards could not be paid out until the underlying award was earned and vested.</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amendment and restatement of the 2004 Plan would increase from 2,000,000 to 5,000,000 the annual per participant award limitation on options and/or SARs and increase from 2,000,000 to 5,000,000 the annual per participant award limitation on restricted stock, restricted stock units, deferred stock units, performance shares or other stock-based awards.</w:t>
      </w:r>
    </w:p>
    <w:p>
      <w:pPr>
        <w:spacing w:after="0" w:line="181"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2004 Plan contains “return on assets” as an additional performance measure for Code Section 162(m) purposes. The full list of available performance measures is provided in the summary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amended and restated 2004 Plan contains a number of provisions that the Company believes are consistent with the interests of shareholders and sound corporate governance practices, including:</w:t>
      </w:r>
    </w:p>
    <w:p>
      <w:pPr>
        <w:spacing w:after="0" w:line="170" w:lineRule="exact"/>
        <w:rPr>
          <w:sz w:val="20"/>
          <w:szCs w:val="20"/>
          <w:color w:val="auto"/>
        </w:rPr>
      </w:pPr>
    </w:p>
    <w:p>
      <w:pPr>
        <w:ind w:left="660" w:right="160" w:hanging="328"/>
        <w:spacing w:after="0" w:line="29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2004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cancelling an option or SAR in exchange for cash, other awards, or options or SARS with an exercise price or base price that is less than the exercise price or base price of the original option or SAR, or otherwise, (iii) and repurchasing an option or SAR for value (in cash or otherwise) if the current fair market value of the shares of Common Stock underlying the option or SAR is lower than the exercise price or base price per share of the option or SAR.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7" w:name="page38"/>
    <w:bookmarkEnd w:id="37"/>
    <w:p>
      <w:pPr>
        <w:ind w:left="660" w:right="2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17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2004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2004 Plan prohibits the transfer of unexercised, unvested or restricted awards to third parties for value.</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2004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170" w:lineRule="exact"/>
        <w:rPr>
          <w:rFonts w:ascii="Arial" w:cs="Arial" w:eastAsia="Arial" w:hAnsi="Arial"/>
          <w:sz w:val="18"/>
          <w:szCs w:val="18"/>
          <w:color w:val="auto"/>
        </w:rPr>
      </w:pPr>
    </w:p>
    <w:p>
      <w:pPr>
        <w:jc w:val="both"/>
        <w:ind w:left="660" w:right="220" w:hanging="328"/>
        <w:spacing w:after="0" w:line="286"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 certain limited exceptions, full-value awards granted under the 2004 Plan will either (i) be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No Dividends on Unearned Awards</w:t>
      </w:r>
      <w:r>
        <w:rPr>
          <w:rFonts w:ascii="Arial" w:cs="Arial" w:eastAsia="Arial" w:hAnsi="Arial"/>
          <w:sz w:val="16"/>
          <w:szCs w:val="16"/>
          <w:color w:val="auto"/>
        </w:rPr>
        <w:t>. The 2004 Plan prohibits the current payment of dividends or dividend equivalent rights on unearned awards.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2004 Plan as Proposed to be Amended</w:t>
      </w:r>
    </w:p>
    <w:p>
      <w:pPr>
        <w:spacing w:after="0" w:line="28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 summary of the 2004 Plan as proposed to be amended and restated is set forth below. This summary is qualified in its entirety by the full text of the 2004 Plan, as proposed to be amended, which is attached to this Proxy Statement as Appendix 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2004 Plan is to promote the Company's success by linking the personal interests of its employees, officers, directors and consultants to those of the Company's shareholders, and by providing participants with an incentive for outstanding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79" w:lineRule="exact"/>
        <w:rPr>
          <w:sz w:val="20"/>
          <w:szCs w:val="20"/>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Options to purchase shares of Common Stock, which may be nonstatutory stock options or incentive stock options under the U.S. Internal Revenue Code (the "Code"). The exercise price of an option granted under the 2004 Plan may not be less than the fair market value of the Company's Common Stock on the date of grant. Stock options granted under the 2004 Plan have a term of six years.</w:t>
      </w:r>
    </w:p>
    <w:p>
      <w:pPr>
        <w:spacing w:after="0" w:line="10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Stock appreciation rights, or SARs, which give the holder the right to receive the excess, if any, of the fair market value of one share of Common Stock on the date of exercise, over the base price of the stock appreciation right. The base price of a SAR may not be less than the fair market value of the Company's common stock on the date of grant. SARs granted under the 2004 Plan have a term of six years.</w:t>
      </w:r>
    </w:p>
    <w:p>
      <w:pPr>
        <w:spacing w:after="0" w:line="8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8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stock-based awards in the discretion of the Committee, including unrestricted stock grants.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jc w:val="both"/>
        <w:ind w:right="20" w:firstLine="324"/>
        <w:spacing w:after="0" w:line="286" w:lineRule="auto"/>
        <w:rPr>
          <w:sz w:val="20"/>
          <w:szCs w:val="20"/>
          <w:color w:val="auto"/>
        </w:rPr>
      </w:pPr>
      <w:r>
        <w:rPr>
          <w:rFonts w:ascii="Arial" w:cs="Arial" w:eastAsia="Arial" w:hAnsi="Arial"/>
          <w:sz w:val="17"/>
          <w:szCs w:val="17"/>
          <w:color w:val="auto"/>
        </w:rPr>
        <w:t>All awards will be evidenced by a written award certificate between the Company and the participant, which will include such provisions as may be specified by the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Awards granted under the 2004 Plan to the Company's non-employee directors will be made only in accordance with the terms, conditions and parameters of a plan, program or policy for the compensation of non-employee directors as in effect from time to time. The Committee may not make discretionary grants under the 2004 Plan to non-employee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proposed amendment and restatement of the 2004 Plan would increase the number of shares that may be issued under the 2004 Plan by 30,000,000 shares. If the shareholders approve the 2004 Plan, the aggregate number of shares of Common Stock reserved and available for issuance pursuant to awards granted under the 2004 Plan will be 106,000,000, subject to adjustment as provided in the 2004 Plan. The maximum number of shares that may be issued to one person upon exercise of incentive stock options granted under the 2004 Plan is 2,000,000. </w:t>
      </w:r>
      <w:r>
        <w:rPr>
          <w:rFonts w:ascii="Arial" w:cs="Arial" w:eastAsia="Arial" w:hAnsi="Arial"/>
          <w:sz w:val="17"/>
          <w:szCs w:val="17"/>
          <w:i w:val="1"/>
          <w:iCs w:val="1"/>
          <w:color w:val="auto"/>
        </w:rPr>
        <w:t>Each share issued pursuant to "full value" awards, such as</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2004 Plan. The following shares of Common Stock may not again be made available for issuance as awards under the 2004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2004 Plan to any one person during any one calendar year is 5,000,000. The maximum number of shares of Common Stock that may be granted under the 2004 Plan in the form of restricted stock, restricted stock units, deferred stock units, performance shares or other stock-based awards (other than options or stock appreciation rights) under the 2004 Plan to any one person during any one calendar year is 5,000,000.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With certain exceptions, full-value awards granted under the 2004 Plan will be subject to a minimum vesting period of three years (which may include graduated vesting) or one year if the vesting is performance-based. Exceptions include awards issued in substitution for awards in a business combination; awards issued for foregone compensation; accelerated vested in the case of death, disability or retirement, or the occurrence of a change in control (as defined in the 2004 Plan); and awards covering 5% or fewer of the total number of shares of Common Stock authorized under the 2004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plan will be administered by the Committee. The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2004 Plan; and make all other decisions and determinations that may be required under the 2004 Plan. The Board of Directors may at any time administer the 2004 Plan. If it does so, it will have all the powers of the Committee under the 2004 Plan.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2004 Plan is designed to comply with Code Section 162(m) so that grants of market-priced options and stock appreciation rights under the 2004 Plan, and other awards that are conditioned on performance goals as described below, may be excluded from the calculation of annual compensation for purposes of Code Section 162(m) and may be fully deductible. While the Committee believes it is important to preserve the deductibility of compensation under Code Section 162(m) generally, the Board and the Committee reserve the right to grant or approve awards or compensation that is non-deductible.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designate any award as a qualified performance-based award in order to make the award fully deductible without regard to the $1,000,000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24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and/or net revenue (including whether in the aggregate or attributable to specific products);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 of goods sold and gross margin;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and expenses, including research and development and selling, general and administrative expenses;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income (gross, operating, net, etc.);</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flows and share price;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return on investment, capital, equity;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profit or loss;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 retention, compensation, training and development, including succession planning; and</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2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the Company, waive the achievement of any specified goal. The Committee may determine that any evaluation of performance will include, or exclude, or otherwise equitably adjust for any events that occur during a performance period including, by way of example but without limitation, the following: asset write-downs or impairment charges; litigation or claim judgments or settlements; the effect of changes in tax laws or accounting principles affecting reported results; accruals for reorganization and restructuring programs; extraordinary nonrecurring items as described in then-current accounting principles and/or in management's discussion and analysis of financial condition and results of operations appearing in the Company's annual report to shareholders for the applicable year; acquisitions or divestitures; and foreign exchange gains and losses. However, in order to meet the requirements of Section 162(m), in the event the Committee determines to include or exclude such unusual and nonrecurring events when measuring actual results achieve,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ectPr>
          <w:pgSz w:w="11900" w:h="16838" w:orient="portrait"/>
          <w:cols w:equalWidth="0" w:num="1">
            <w:col w:w="11420"/>
          </w:cols>
          <w:pgMar w:left="240" w:top="71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15"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of the Company (as defined in the 2004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24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Committee may in its discretion accelerate awards for any other reason, subject to the above described minimum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discriminate among participants or among awards in exercising such discretion.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any required action by the shareholders, the number of shares of Common Stock covered by outstanding awards, and the share authorization limits under the 2004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Also, in the case of a stock split, stock dividend or stock consolidation, the share authorization limits under the 2004 Plan and shares subject to outstanding awards will automatically be adjusted proportionately.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Amendment</w:t>
      </w:r>
    </w:p>
    <w:p>
      <w:pPr>
        <w:spacing w:after="0" w:line="2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the 2004 Plan is approved by the Company's shareholders at the Fiscal 2012 Annual Meeting, it will terminate on January 22, 2023, or, if the shareholders approve an amendment to the 2004 Plan that increases the number of shares subject to the plan, the 10th anniversary of the date of such approval, unless earlier terminated by the Board or the Committee. The Board or the Committee may, at any time and from time to time, terminate or amend the 2004 Plan, but if an amendment to the 2004 Plan would materially increase the number of shares of stock issuable under the 2004 Plan, expand the types of awards provided under the 2004 Plan, materially expand the class of participants eligible to participate in the 2004 Plan, materially extend the term of the 2004 Plan or otherwise constitute a material amendment requiring shareholder approval under applicable listing requirements, laws, policies or regulations, then such amendment will be subject to shareholder approval. No termination or amendment of the 2004 Plan may adversely affect any award previously granted under the 2004 Plan without the written consent of the participant. Without the prior approval of the Company's shareholders, the 2004 Plan may not be amended to directly or indirectly reprice, replace or repurchase “underwater” options or SARs.</w:t>
      </w:r>
    </w:p>
    <w:p>
      <w:pPr>
        <w:spacing w:after="0" w:line="2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Committee may amend or terminate outstanding awards. However, such amendments may require the consent of the participant and, unless approved by the shareholders or otherwise permitted by the antidilution provisions of the 2004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the Company may not repurchase an option or SAR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5" w:right="239" w:bottom="1440" w:gutter="0" w:footer="0" w:header="0"/>
        </w:sectPr>
      </w:pPr>
    </w:p>
    <w:bookmarkStart w:id="41" w:name="page42"/>
    <w:bookmarkEnd w:id="41"/>
    <w:p>
      <w:pPr>
        <w:jc w:val="both"/>
        <w:spacing w:after="0" w:line="308" w:lineRule="auto"/>
        <w:rPr>
          <w:sz w:val="20"/>
          <w:szCs w:val="20"/>
          <w:color w:val="auto"/>
        </w:rPr>
      </w:pPr>
      <w:r>
        <w:rPr>
          <w:rFonts w:ascii="Arial" w:cs="Arial" w:eastAsia="Arial" w:hAnsi="Arial"/>
          <w:sz w:val="17"/>
          <w:szCs w:val="17"/>
          <w:color w:val="auto"/>
        </w:rPr>
        <w:t>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indicated above under "Termination and Amendment," outstanding stock options and stock appreciation rights cannot be repriced, directly or indirectly, without the prior consent of the Company's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the Company's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following discussion is limited to a summary of the U.S. federal income tax provisions relating to the grant, exercise and vesting of awards under the 2004 Plan and the subsequent sale of Common Stock acquired under the 2004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the Company upon the grant of a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the 2004 Plan. When the optionee exercises a nonstatutory option, however, he or she will recognize ordinary income in an amount equal to the excess of the fair market value of the Common Stock received upon exercise of the option at the time of exercise over the exercise price, and the Company will be allowed a corresponding deduction. Any gain that the optionee realizes when he or she later sells or disposes of the option shares will be short-term or long-term capital gain, depending on how long the shares were held.</w:t>
      </w:r>
    </w:p>
    <w:p>
      <w:pPr>
        <w:spacing w:after="0" w:line="24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the Company upon the grant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the Company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the Company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23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participant receiving a stock appreciation right will not recognize income, and the Company will not be allowed a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at the time the award is granted. When the participant exercises the stock appreciation right, the amount of cash and the fair market value of any shares of Common Stock received will be ordinary income to the participant and the Company will be allowed as a corresponding federal income tax deduction at that time.</w:t>
      </w:r>
    </w:p>
    <w:p>
      <w:pPr>
        <w:spacing w:after="0" w:line="2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Unless a participant makes an election to accelerate recognition of income to the date of grant as described below, the participant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recognize income, and the Company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23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Restricted or Deferred Stock Units. </w:t>
      </w:r>
      <w:r>
        <w:rPr>
          <w:rFonts w:ascii="Arial" w:cs="Arial" w:eastAsia="Arial" w:hAnsi="Arial"/>
          <w:sz w:val="18"/>
          <w:szCs w:val="18"/>
          <w:color w:val="auto"/>
        </w:rPr>
        <w:t>A participant will not recognize income, and the Company will not be allowed a tax deduction, at the time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award is granted. Upon receipt of shares of Common Stock (or the equivalent value in cash)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19"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in settlement of a stock unit award, a participant will recognize ordinary income equal to the fair market value of the Common Stock or other property as of that date, and the Company will be allowed a corresponding federal income tax deduction at that time, subject to any applicable limitations under Code Section 162(m).</w:t>
      </w:r>
    </w:p>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the Company will not be allowed a tax deduction, at the time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granted. When the participant receives settlement of the award, the fair market value of the shares of stock (or cash payment) will be ordinary income to the participant, and the Company will be allowed a corresponding federal income tax deduction at that time, subject to any applicable limitations under Code Section 162(m).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2004 Plan are at the discretion of the Committee. Accordingly, future awards under the 2004 Plan are not determinable.</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November 23, 2012, 40,379,825 shares of Common Stock had been issued under the 2004 Plan or remained subject to outstanding awards under the 2004 Plan. The table below shows the number of shares issued, or subject to outstanding awards, under the 2004 Plan to the Named Executive Officers and the other individuals and groups indicated.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132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Time-Based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Based</w:t>
            </w:r>
          </w:p>
        </w:tc>
        <w:tc>
          <w:tcPr>
            <w:tcW w:w="132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 Stock</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Restricted Stock</w:t>
            </w:r>
          </w:p>
        </w:tc>
        <w:tc>
          <w:tcPr>
            <w:tcW w:w="1320" w:type="dxa"/>
            <w:vAlign w:val="bottom"/>
          </w:tcPr>
          <w:p>
            <w:pPr>
              <w:spacing w:after="0"/>
              <w:rPr>
                <w:sz w:val="18"/>
                <w:szCs w:val="18"/>
                <w:color w:val="auto"/>
              </w:rPr>
            </w:pPr>
          </w:p>
        </w:tc>
      </w:tr>
      <w:tr>
        <w:trPr>
          <w:trHeight w:val="234"/>
        </w:trPr>
        <w:tc>
          <w:tcPr>
            <w:tcW w:w="70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Position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Stock Options</w:t>
            </w:r>
          </w:p>
        </w:tc>
      </w:tr>
      <w:tr>
        <w:trPr>
          <w:trHeight w:val="27"/>
        </w:trPr>
        <w:tc>
          <w:tcPr>
            <w:tcW w:w="6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Mark W. Adams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589,238</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519,297</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1,078,000</w:t>
            </w:r>
          </w:p>
        </w:tc>
      </w:tr>
      <w:tr>
        <w:trPr>
          <w:trHeight w:val="230"/>
        </w:trPr>
        <w:tc>
          <w:tcPr>
            <w:tcW w:w="708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1,383,889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1,166,612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2,290,000</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Ronald C. Foster</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578,753</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638,691</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1,462,000</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540,945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472,806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827,000</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Vice President of Legal Affairs and General Counsel</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537,845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493,806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890,000</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Vice President of DRAM Solutions</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Steven R. Appleton</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1,833,826</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1,762,907</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2,764,000</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Former Chief Executive Officer</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Mario Licciardello</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12,250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Former Vice President of Wireless Solutions</w:t>
            </w: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All Executive Officers as a Group*</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7,056,459</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6,376,010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12,126,000</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All Employees as a Group (Including all Officers who are not Executive Officers)</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4,731,558</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2,027,672</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7,309,478</w:t>
            </w:r>
          </w:p>
        </w:tc>
      </w:tr>
      <w:tr>
        <w:trPr>
          <w:trHeight w:val="27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All Non-Executive Directors as a Group</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752,648</w:t>
            </w:r>
          </w:p>
        </w:tc>
        <w:tc>
          <w:tcPr>
            <w:tcW w:w="14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*Includes stock options and restricted stock units held by an Executive Officer's spouse who is also one of our employees.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Amended and Restated 2004 Equity Incentive Plan.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 RATIFICATION OF PRICEWATERHOUSECOOPERS LLP</w:t>
      </w:r>
    </w:p>
    <w:p>
      <w:pPr>
        <w:spacing w:after="0" w:line="2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 of the Board has retained PricewaterhouseCoopers LLP ("PwC") as our Independent Registered Public Accounting Firm to audit our consolidated financial statements for the fiscal year ending August 29, 2013. PwC and its predecessor, Coopers and Lybrand LLP, have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19"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Fees charged for services performed by PwC for fiscal 2012 and 2011 were as follows:</w:t>
      </w:r>
    </w:p>
    <w:p>
      <w:pPr>
        <w:spacing w:after="0" w:line="30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(amounts in millions)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Audit fees(1)</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5"/>
              </w:rPr>
              <w:t>6.8</w:t>
            </w:r>
          </w:p>
        </w:tc>
        <w:tc>
          <w:tcPr>
            <w:tcW w:w="120" w:type="dxa"/>
            <w:vAlign w:val="bottom"/>
          </w:tcPr>
          <w:p>
            <w:pPr>
              <w:spacing w:after="0"/>
              <w:rPr>
                <w:sz w:val="23"/>
                <w:szCs w:val="23"/>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6.5</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76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5"/>
              </w:rPr>
              <w:t>0.9</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0.6</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Tax fees</w:t>
            </w:r>
          </w:p>
        </w:tc>
        <w:tc>
          <w:tcPr>
            <w:tcW w:w="760" w:type="dxa"/>
            <w:vAlign w:val="bottom"/>
          </w:tcPr>
          <w:p>
            <w:pPr>
              <w:spacing w:after="0"/>
              <w:rPr>
                <w:sz w:val="23"/>
                <w:szCs w:val="2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4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760" w:type="dxa"/>
            <w:vAlign w:val="bottom"/>
          </w:tcPr>
          <w:p>
            <w:pPr>
              <w:spacing w:after="0"/>
              <w:rPr>
                <w:sz w:val="23"/>
                <w:szCs w:val="2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5"/>
              </w:rPr>
              <w:t>7.7</w:t>
            </w:r>
          </w:p>
        </w:tc>
        <w:tc>
          <w:tcPr>
            <w:tcW w:w="12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7.1</w:t>
            </w:r>
          </w:p>
        </w:tc>
        <w:tc>
          <w:tcPr>
            <w:tcW w:w="0" w:type="dxa"/>
            <w:vAlign w:val="bottom"/>
          </w:tcPr>
          <w:p>
            <w:pPr>
              <w:spacing w:after="0"/>
              <w:rPr>
                <w:sz w:val="1"/>
                <w:szCs w:val="1"/>
                <w:color w:val="auto"/>
              </w:rPr>
            </w:pPr>
          </w:p>
        </w:tc>
      </w:tr>
      <w:tr>
        <w:trPr>
          <w:trHeight w:val="27"/>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1300" w:hanging="320"/>
        <w:spacing w:after="0" w:line="25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244"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Fiscal 2012 primarily reflects fees for due diligence work and related accounting considerations with respect to our planned acquisition of Elpida. Fiscal 2011 primarily reflects fees for services in connection with application of new accounting guidance and one-time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In fiscal 2012 and 2011, all audit and non-audit services provided by PwC were approved by the Audit Committee in advance of services being provided.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2012.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2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22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2012,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2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2012; appointed PwC as our Independent Registered Public Accounting Firm for the fiscal year ending August 29, 2013, and approved and authorized PwC to carry out and perform certain specified non-audit services for us in fiscal 2013.</w:t>
      </w:r>
    </w:p>
    <w:p>
      <w:pPr>
        <w:sectPr>
          <w:pgSz w:w="11900" w:h="16838" w:orient="portrait"/>
          <w:cols w:equalWidth="0" w:num="1">
            <w:col w:w="11420"/>
          </w:cols>
          <w:pgMar w:left="240" w:top="71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15" w:right="239" w:bottom="1440" w:gutter="0" w:footer="0" w:header="0"/>
          <w:type w:val="continuous"/>
        </w:sectPr>
      </w:pPr>
    </w:p>
    <w:bookmarkStart w:id="44" w:name="page45"/>
    <w:bookmarkEnd w:id="44"/>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jc w:val="both"/>
        <w:ind w:firstLine="8"/>
        <w:spacing w:after="0" w:line="302" w:lineRule="auto"/>
        <w:tabs>
          <w:tab w:leader="none" w:pos="2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3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E. Switz</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w:t>
      </w:r>
    </w:p>
    <w:p>
      <w:pPr>
        <w:spacing w:after="0" w:line="10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the Company’s annual meeting of shareholders held in January 2012, over 90% of the votes cast on the say-on-pay proposal were voted in favor of the proposal. See "Consideration of 2012 Advisory Vote on Say on Executive Compensation" on page 13.</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invites you to review carefully the Compensation Discussion and Analysis beginning on page 11 and the tabular and other disclosures on compensation under Executive Compensation beginning on page 11, and cast a vote "for" the following resolution:</w:t>
      </w:r>
    </w:p>
    <w:p>
      <w:pPr>
        <w:spacing w:after="0" w:line="2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The Board of Directors and Compensation Committee value the opinions of our shareholders and to the extent there is any significant vote against the Named Executive Officer compensation as disclosed in this proxy statement, the Board will consider the shareholders' concerns and the Compensation Committee will evaluate whether any actions are necessary to address those concerns.</w:t>
      </w:r>
    </w:p>
    <w:p>
      <w:pPr>
        <w:spacing w:after="0" w:line="2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22, 2013. The Proxy Statement and Annual Report on Form 10-K are available at www.proxydocs.com/mu.</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19"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2012. The Annual Report on Form 10-K for fiscal 2012 accompanies this Proxy Statement. Copies of the Annual Report on Form 10-K for fiscal 2012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4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of Internet availability or of this Proxy Statement and 2012 Annual Report on Form 10-K and you decide you want a separate copy of this Proxy Statement and 2012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347-8625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2012 Annual Report on Form 10-K by contacting your bank, broker or other nominee.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FISCAL 2013 ANNUAL MEETING</w:t>
      </w:r>
    </w:p>
    <w:p>
      <w:pPr>
        <w:spacing w:after="0" w:line="13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2013 Annual Meeting of Shareholders must be received by us at its principal executive offices located at 8000 South Federal Way, Boise, Idaho 83716-9632, no later than August 15, 2013, and must also be in compliance with our Restated Certificate of Incorporation and its Bylaws and with applicable laws and regulations in order to be included in the Proxy Statement and form of proxy relating to that meeting. Proposals which are received after August 15, 2013, will be untimely and will not be considered at the meeting.</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13, 2012</w:t>
      </w:r>
    </w:p>
    <w:p>
      <w:pPr>
        <w:spacing w:after="0" w:line="306"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9" w:right="239" w:bottom="1440" w:gutter="0" w:footer="0" w:header="0"/>
        </w:sectPr>
      </w:pPr>
    </w:p>
    <w:bookmarkStart w:id="46" w:name="page47"/>
    <w:bookmarkEnd w:id="46"/>
    <w:p>
      <w:pPr>
        <w:ind w:left="10320"/>
        <w:spacing w:after="0"/>
        <w:rPr>
          <w:sz w:val="20"/>
          <w:szCs w:val="20"/>
          <w:color w:val="auto"/>
        </w:rPr>
      </w:pPr>
      <w:r>
        <w:rPr>
          <w:rFonts w:ascii="Arial" w:cs="Arial" w:eastAsia="Arial" w:hAnsi="Arial"/>
          <w:sz w:val="17"/>
          <w:szCs w:val="17"/>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The purpose of the Micron Technology, Inc. Amended and Restated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i w:val="1"/>
          <w:iCs w:val="1"/>
          <w:color w:val="auto"/>
        </w:rPr>
        <w:t>DEFINITIONS.</w:t>
      </w:r>
      <w:r>
        <w:rPr>
          <w:rFonts w:ascii="Arial" w:cs="Arial" w:eastAsia="Arial" w:hAnsi="Arial"/>
          <w:sz w:val="19"/>
          <w:szCs w:val="19"/>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70" w:lineRule="exact"/>
        <w:rPr>
          <w:sz w:val="20"/>
          <w:szCs w:val="20"/>
          <w:color w:val="auto"/>
        </w:rPr>
      </w:pPr>
    </w:p>
    <w:p>
      <w:pPr>
        <w:ind w:left="660" w:firstLine="645"/>
        <w:spacing w:after="0" w:line="260" w:lineRule="auto"/>
        <w:tabs>
          <w:tab w:leader="none" w:pos="183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“Affiliate” means (i) any Subsidiary or Parent, or (ii) an entity that directly or through one or more intermediaries controls, is controlled by or is under common control with, the Company, as determined by the Committee.</w:t>
      </w:r>
    </w:p>
    <w:p>
      <w:pPr>
        <w:spacing w:after="0" w:line="176" w:lineRule="exact"/>
        <w:rPr>
          <w:rFonts w:ascii="Arial" w:cs="Arial" w:eastAsia="Arial" w:hAnsi="Arial"/>
          <w:sz w:val="20"/>
          <w:szCs w:val="20"/>
          <w:color w:val="auto"/>
        </w:rPr>
      </w:pPr>
    </w:p>
    <w:p>
      <w:pPr>
        <w:ind w:left="660" w:firstLine="645"/>
        <w:spacing w:after="0" w:line="260" w:lineRule="auto"/>
        <w:tabs>
          <w:tab w:leader="none" w:pos="1773" w:val="left"/>
        </w:tabs>
        <w:numPr>
          <w:ilvl w:val="0"/>
          <w:numId w:val="50"/>
        </w:numPr>
        <w:rPr>
          <w:rFonts w:ascii="Arial" w:cs="Arial" w:eastAsia="Arial" w:hAnsi="Arial"/>
          <w:sz w:val="20"/>
          <w:szCs w:val="20"/>
          <w:color w:val="auto"/>
        </w:rPr>
      </w:pPr>
      <w:r>
        <w:rPr>
          <w:rFonts w:ascii="Arial" w:cs="Arial" w:eastAsia="Arial" w:hAnsi="Arial"/>
          <w:sz w:val="20"/>
          <w:szCs w:val="20"/>
          <w:color w:val="auto"/>
        </w:rPr>
        <w:t>“Award” means any Option, Stock Appreciation Right, Restricted Stock Award, Restricted Stock Unit Award, Deferred Stock Unit Award, Performance Share, or Other Stock-Based Award granted to a Participant under the Plan.</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722" w:val="left"/>
        </w:tabs>
        <w:numPr>
          <w:ilvl w:val="0"/>
          <w:numId w:val="50"/>
        </w:numPr>
        <w:rPr>
          <w:rFonts w:ascii="Arial" w:cs="Arial" w:eastAsia="Arial" w:hAnsi="Arial"/>
          <w:sz w:val="19"/>
          <w:szCs w:val="19"/>
          <w:color w:val="auto"/>
        </w:rPr>
      </w:pPr>
      <w:r>
        <w:rPr>
          <w:rFonts w:ascii="Arial" w:cs="Arial" w:eastAsia="Arial" w:hAnsi="Arial"/>
          <w:sz w:val="19"/>
          <w:szCs w:val="19"/>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70" w:lineRule="exact"/>
        <w:rPr>
          <w:rFonts w:ascii="Arial" w:cs="Arial" w:eastAsia="Arial" w:hAnsi="Arial"/>
          <w:sz w:val="19"/>
          <w:szCs w:val="19"/>
          <w:color w:val="auto"/>
        </w:rPr>
      </w:pPr>
    </w:p>
    <w:p>
      <w:pPr>
        <w:ind w:left="1720" w:hanging="415"/>
        <w:spacing w:after="0"/>
        <w:tabs>
          <w:tab w:leader="none" w:pos="1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“Change in Control” means and includes the occurrence of any one of the following events:</w:t>
      </w:r>
    </w:p>
    <w:p>
      <w:pPr>
        <w:spacing w:after="0" w:line="215" w:lineRule="exact"/>
        <w:rPr>
          <w:rFonts w:ascii="Arial" w:cs="Arial" w:eastAsia="Arial" w:hAnsi="Arial"/>
          <w:sz w:val="20"/>
          <w:szCs w:val="20"/>
          <w:color w:val="auto"/>
        </w:rPr>
      </w:pPr>
    </w:p>
    <w:p>
      <w:pPr>
        <w:jc w:val="both"/>
        <w:ind w:left="1300" w:firstLine="653"/>
        <w:spacing w:after="0" w:line="259" w:lineRule="auto"/>
        <w:tabs>
          <w:tab w:leader="none" w:pos="2450"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individual initially elected or nominated as a director of the Company as a result of an actual or threatened election contest with respect to the election or removal of directors (“Election Contest”) or other actual 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715" w:right="239" w:bottom="1440" w:gutter="0" w:footer="0" w:header="0"/>
        </w:sectPr>
      </w:pPr>
    </w:p>
    <w:bookmarkStart w:id="47" w:name="page48"/>
    <w:bookmarkEnd w:id="47"/>
    <w:p>
      <w:pPr>
        <w:jc w:val="both"/>
        <w:ind w:left="100"/>
        <w:spacing w:after="0" w:line="250" w:lineRule="auto"/>
        <w:rPr>
          <w:sz w:val="20"/>
          <w:szCs w:val="20"/>
          <w:color w:val="auto"/>
        </w:rPr>
      </w:pPr>
      <w:r>
        <w:rPr>
          <w:rFonts w:ascii="Arial" w:cs="Arial" w:eastAsia="Arial" w:hAnsi="Arial"/>
          <w:sz w:val="20"/>
          <w:szCs w:val="20"/>
          <w:color w:val="auto"/>
        </w:rPr>
        <w:t>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0" w:lineRule="exact"/>
        <w:rPr>
          <w:sz w:val="20"/>
          <w:szCs w:val="20"/>
          <w:color w:val="auto"/>
        </w:rPr>
      </w:pPr>
    </w:p>
    <w:p>
      <w:pPr>
        <w:spacing w:after="0" w:line="202" w:lineRule="exact"/>
        <w:rPr>
          <w:sz w:val="20"/>
          <w:szCs w:val="20"/>
          <w:color w:val="auto"/>
        </w:rPr>
      </w:pPr>
    </w:p>
    <w:p>
      <w:pPr>
        <w:jc w:val="both"/>
        <w:ind w:left="100" w:firstLine="653"/>
        <w:spacing w:after="0" w:line="273" w:lineRule="auto"/>
        <w:tabs>
          <w:tab w:leader="none" w:pos="1291"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28" w:lineRule="exact"/>
        <w:rPr>
          <w:rFonts w:ascii="Arial" w:cs="Arial" w:eastAsia="Arial" w:hAnsi="Arial"/>
          <w:sz w:val="18"/>
          <w:szCs w:val="18"/>
          <w:color w:val="auto"/>
        </w:rPr>
      </w:pPr>
    </w:p>
    <w:p>
      <w:pPr>
        <w:jc w:val="both"/>
        <w:ind w:left="100" w:firstLine="653"/>
        <w:spacing w:after="0" w:line="267" w:lineRule="auto"/>
        <w:tabs>
          <w:tab w:leader="none" w:pos="13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w:t>
      </w:r>
    </w:p>
    <w:p>
      <w:pPr>
        <w:spacing w:after="0" w:line="3" w:lineRule="exact"/>
        <w:rPr>
          <w:rFonts w:ascii="Arial" w:cs="Arial" w:eastAsia="Arial" w:hAnsi="Arial"/>
          <w:sz w:val="18"/>
          <w:szCs w:val="18"/>
          <w:color w:val="auto"/>
        </w:rPr>
      </w:pPr>
    </w:p>
    <w:p>
      <w:pPr>
        <w:ind w:left="420" w:hanging="315"/>
        <w:spacing w:after="0"/>
        <w:tabs>
          <w:tab w:leader="none" w:pos="4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and (C) above shall be deemed to be a “Non-Qualifying Transaction”); or</w:t>
      </w:r>
    </w:p>
    <w:p>
      <w:pPr>
        <w:spacing w:after="0" w:line="159" w:lineRule="exact"/>
        <w:rPr>
          <w:rFonts w:ascii="Arial" w:cs="Arial" w:eastAsia="Arial" w:hAnsi="Arial"/>
          <w:sz w:val="20"/>
          <w:szCs w:val="20"/>
          <w:color w:val="auto"/>
        </w:rPr>
      </w:pPr>
    </w:p>
    <w:p>
      <w:pPr>
        <w:ind w:left="1220" w:hanging="467"/>
        <w:spacing w:after="0"/>
        <w:tabs>
          <w:tab w:leader="none" w:pos="122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approval by the stockholders of the Company of a complete liquidation or dissolution of the Company.</w:t>
      </w:r>
    </w:p>
    <w:p>
      <w:pPr>
        <w:spacing w:after="0" w:line="175" w:lineRule="exact"/>
        <w:rPr>
          <w:sz w:val="20"/>
          <w:szCs w:val="20"/>
          <w:color w:val="auto"/>
        </w:rPr>
      </w:pPr>
    </w:p>
    <w:p>
      <w:pPr>
        <w:jc w:val="both"/>
        <w:ind w:left="-540" w:firstLine="645"/>
        <w:spacing w:after="0" w:line="246" w:lineRule="auto"/>
        <w:tabs>
          <w:tab w:leader="none" w:pos="621"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51" w:lineRule="exact"/>
        <w:rPr>
          <w:rFonts w:ascii="Arial" w:cs="Arial" w:eastAsia="Arial" w:hAnsi="Arial"/>
          <w:sz w:val="20"/>
          <w:szCs w:val="20"/>
          <w:color w:val="auto"/>
        </w:rPr>
      </w:pPr>
    </w:p>
    <w:p>
      <w:pPr>
        <w:ind w:left="520" w:hanging="415"/>
        <w:spacing w:after="0"/>
        <w:tabs>
          <w:tab w:leader="none" w:pos="5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“Committee” means the committee of the Board described in Article 4.</w:t>
      </w:r>
    </w:p>
    <w:p>
      <w:pPr>
        <w:spacing w:after="0" w:line="200" w:lineRule="exact"/>
        <w:rPr>
          <w:sz w:val="20"/>
          <w:szCs w:val="20"/>
          <w:color w:val="auto"/>
        </w:rPr>
      </w:pPr>
    </w:p>
    <w:p>
      <w:pPr>
        <w:spacing w:after="0" w:line="22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582" w:right="239" w:bottom="1440" w:gutter="0" w:footer="0" w:header="0"/>
        </w:sectPr>
      </w:pPr>
    </w:p>
    <w:bookmarkStart w:id="48" w:name="page49"/>
    <w:bookmarkEnd w:id="48"/>
    <w:p>
      <w:pPr>
        <w:ind w:left="520" w:hanging="415"/>
        <w:spacing w:after="0"/>
        <w:tabs>
          <w:tab w:leader="none" w:pos="5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“Company” means Micron Technology, Inc., a Delaware corporation, or any successor corporation.</w:t>
      </w:r>
    </w:p>
    <w:p>
      <w:pPr>
        <w:spacing w:after="0" w:line="175" w:lineRule="exact"/>
        <w:rPr>
          <w:rFonts w:ascii="Arial" w:cs="Arial" w:eastAsia="Arial" w:hAnsi="Arial"/>
          <w:sz w:val="20"/>
          <w:szCs w:val="20"/>
          <w:color w:val="auto"/>
        </w:rPr>
      </w:pPr>
    </w:p>
    <w:p>
      <w:pPr>
        <w:jc w:val="both"/>
        <w:ind w:left="-540" w:firstLine="645"/>
        <w:spacing w:after="0" w:line="256" w:lineRule="auto"/>
        <w:tabs>
          <w:tab w:leader="none" w:pos="556" w:val="left"/>
        </w:tabs>
        <w:numPr>
          <w:ilvl w:val="0"/>
          <w:numId w:val="54"/>
        </w:numPr>
        <w:rPr>
          <w:rFonts w:ascii="Arial" w:cs="Arial" w:eastAsia="Arial" w:hAnsi="Arial"/>
          <w:sz w:val="19"/>
          <w:szCs w:val="19"/>
          <w:color w:val="auto"/>
        </w:rPr>
      </w:pPr>
      <w:r>
        <w:rPr>
          <w:rFonts w:ascii="Arial" w:cs="Arial" w:eastAsia="Arial" w:hAnsi="Arial"/>
          <w:sz w:val="19"/>
          <w:szCs w:val="19"/>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81" w:lineRule="exact"/>
        <w:rPr>
          <w:rFonts w:ascii="Arial" w:cs="Arial" w:eastAsia="Arial" w:hAnsi="Arial"/>
          <w:sz w:val="19"/>
          <w:szCs w:val="19"/>
          <w:color w:val="auto"/>
        </w:rPr>
      </w:pPr>
    </w:p>
    <w:p>
      <w:pPr>
        <w:ind w:left="480" w:hanging="375"/>
        <w:spacing w:after="0"/>
        <w:tabs>
          <w:tab w:leader="none" w:pos="4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“Covered Employee” means a covered employee as defined in Code Section 162(m)(3).</w:t>
      </w:r>
    </w:p>
    <w:p>
      <w:pPr>
        <w:spacing w:after="0" w:line="215" w:lineRule="exact"/>
        <w:rPr>
          <w:rFonts w:ascii="Arial" w:cs="Arial" w:eastAsia="Arial" w:hAnsi="Arial"/>
          <w:sz w:val="20"/>
          <w:szCs w:val="20"/>
          <w:color w:val="auto"/>
        </w:rPr>
      </w:pPr>
    </w:p>
    <w:p>
      <w:pPr>
        <w:jc w:val="both"/>
        <w:ind w:left="-540" w:firstLine="645"/>
        <w:spacing w:after="0" w:line="256" w:lineRule="auto"/>
        <w:tabs>
          <w:tab w:leader="none" w:pos="5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4" w:lineRule="exact"/>
        <w:rPr>
          <w:rFonts w:ascii="Arial" w:cs="Arial" w:eastAsia="Arial" w:hAnsi="Arial"/>
          <w:sz w:val="19"/>
          <w:szCs w:val="19"/>
          <w:color w:val="auto"/>
        </w:rPr>
      </w:pPr>
    </w:p>
    <w:p>
      <w:pPr>
        <w:ind w:left="480" w:hanging="375"/>
        <w:spacing w:after="0"/>
        <w:tabs>
          <w:tab w:leader="none" w:pos="4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“Deferred Stock Unit” means a right granted to a Participant under Article 11.</w:t>
      </w:r>
    </w:p>
    <w:p>
      <w:pPr>
        <w:spacing w:after="0" w:line="215" w:lineRule="exact"/>
        <w:rPr>
          <w:rFonts w:ascii="Arial" w:cs="Arial" w:eastAsia="Arial" w:hAnsi="Arial"/>
          <w:sz w:val="20"/>
          <w:szCs w:val="20"/>
          <w:color w:val="auto"/>
        </w:rPr>
      </w:pPr>
    </w:p>
    <w:p>
      <w:pPr>
        <w:ind w:left="580" w:hanging="475"/>
        <w:spacing w:after="0"/>
        <w:tabs>
          <w:tab w:leader="none" w:pos="5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“Dividend Equivalent” means a right granted with respect to an Award, as provided in Article 12.</w:t>
      </w:r>
    </w:p>
    <w:p>
      <w:pPr>
        <w:spacing w:after="0" w:line="215" w:lineRule="exact"/>
        <w:rPr>
          <w:rFonts w:ascii="Arial" w:cs="Arial" w:eastAsia="Arial" w:hAnsi="Arial"/>
          <w:sz w:val="20"/>
          <w:szCs w:val="20"/>
          <w:color w:val="auto"/>
        </w:rPr>
      </w:pPr>
    </w:p>
    <w:p>
      <w:pPr>
        <w:ind w:left="520" w:hanging="415"/>
        <w:spacing w:after="0"/>
        <w:tabs>
          <w:tab w:leader="none" w:pos="5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“Effective Date” has the meaning assigned such term in Section 3.1.</w:t>
      </w:r>
    </w:p>
    <w:p>
      <w:pPr>
        <w:spacing w:after="0" w:line="215" w:lineRule="exact"/>
        <w:rPr>
          <w:rFonts w:ascii="Arial" w:cs="Arial" w:eastAsia="Arial" w:hAnsi="Arial"/>
          <w:sz w:val="20"/>
          <w:szCs w:val="20"/>
          <w:color w:val="auto"/>
        </w:rPr>
      </w:pPr>
    </w:p>
    <w:p>
      <w:pPr>
        <w:ind w:left="520" w:hanging="415"/>
        <w:spacing w:after="0"/>
        <w:tabs>
          <w:tab w:leader="none" w:pos="5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“Eligible Participant” means an employee, officer, consultant or director of the Company or any Affiliate.</w:t>
      </w:r>
    </w:p>
    <w:p>
      <w:pPr>
        <w:spacing w:after="0" w:line="215" w:lineRule="exact"/>
        <w:rPr>
          <w:rFonts w:ascii="Arial" w:cs="Arial" w:eastAsia="Arial" w:hAnsi="Arial"/>
          <w:sz w:val="20"/>
          <w:szCs w:val="20"/>
          <w:color w:val="auto"/>
        </w:rPr>
      </w:pPr>
    </w:p>
    <w:p>
      <w:pPr>
        <w:ind w:left="-540" w:right="20" w:firstLine="645"/>
        <w:spacing w:after="0" w:line="260" w:lineRule="auto"/>
        <w:tabs>
          <w:tab w:leader="none" w:pos="532"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“Exchange” means the New York Stock Exchange or any other national securities exchange or national market system on which the Stock may from time to time be listed or traded.</w:t>
      </w:r>
    </w:p>
    <w:p>
      <w:pPr>
        <w:spacing w:after="0" w:line="176" w:lineRule="exact"/>
        <w:rPr>
          <w:rFonts w:ascii="Arial" w:cs="Arial" w:eastAsia="Arial" w:hAnsi="Arial"/>
          <w:sz w:val="20"/>
          <w:szCs w:val="20"/>
          <w:color w:val="auto"/>
        </w:rPr>
      </w:pPr>
    </w:p>
    <w:p>
      <w:pPr>
        <w:jc w:val="both"/>
        <w:ind w:left="-540" w:firstLine="645"/>
        <w:spacing w:after="0" w:line="257" w:lineRule="auto"/>
        <w:tabs>
          <w:tab w:leader="none" w:pos="573"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or (iii) in the absence of an established market for the Stock, the Fair Market Value shall be determined by such other</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20"/>
          </w:cols>
          <w:pgMar w:left="1440" w:top="582"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color w:val="auto"/>
        </w:rPr>
        <w:t>method as the Committee determines in good faith to be reasonable and in compliance with Code Section 409A.</w:t>
      </w:r>
    </w:p>
    <w:p>
      <w:pPr>
        <w:spacing w:after="0" w:line="216" w:lineRule="exact"/>
        <w:rPr>
          <w:sz w:val="20"/>
          <w:szCs w:val="20"/>
          <w:color w:val="auto"/>
        </w:rPr>
      </w:pPr>
    </w:p>
    <w:p>
      <w:pPr>
        <w:ind w:firstLine="645"/>
        <w:spacing w:after="0" w:line="260" w:lineRule="auto"/>
        <w:tabs>
          <w:tab w:leader="none" w:pos="1053" w:val="left"/>
        </w:tabs>
        <w:numPr>
          <w:ilvl w:val="0"/>
          <w:numId w:val="55"/>
        </w:numPr>
        <w:rPr>
          <w:rFonts w:ascii="Arial" w:cs="Arial" w:eastAsia="Arial" w:hAnsi="Arial"/>
          <w:sz w:val="20"/>
          <w:szCs w:val="20"/>
          <w:color w:val="auto"/>
        </w:rPr>
      </w:pPr>
      <w:r>
        <w:rPr>
          <w:rFonts w:ascii="Arial" w:cs="Arial" w:eastAsia="Arial" w:hAnsi="Arial"/>
          <w:sz w:val="20"/>
          <w:szCs w:val="20"/>
          <w:color w:val="auto"/>
        </w:rPr>
        <w:t>“Full-Value Award” means an Award other than in the form of an Option or SAR, and which is settled by the issuance of Stock (or at the discretion of the Committee, settled in cash valued by reference to Stock value).</w:t>
      </w:r>
    </w:p>
    <w:p>
      <w:pPr>
        <w:spacing w:after="0" w:line="393" w:lineRule="exact"/>
        <w:rPr>
          <w:rFonts w:ascii="Arial" w:cs="Arial" w:eastAsia="Arial" w:hAnsi="Arial"/>
          <w:sz w:val="20"/>
          <w:szCs w:val="20"/>
          <w:color w:val="auto"/>
        </w:rPr>
      </w:pPr>
    </w:p>
    <w:p>
      <w:pPr>
        <w:jc w:val="both"/>
        <w:ind w:firstLine="645"/>
        <w:spacing w:after="0" w:line="250" w:lineRule="auto"/>
        <w:tabs>
          <w:tab w:leader="none" w:pos="1037" w:val="left"/>
        </w:tabs>
        <w:numPr>
          <w:ilvl w:val="0"/>
          <w:numId w:val="55"/>
        </w:numPr>
        <w:rPr>
          <w:rFonts w:ascii="Arial" w:cs="Arial" w:eastAsia="Arial" w:hAnsi="Arial"/>
          <w:sz w:val="20"/>
          <w:szCs w:val="20"/>
          <w:color w:val="auto"/>
        </w:rPr>
      </w:pPr>
      <w:r>
        <w:rPr>
          <w:rFonts w:ascii="Arial" w:cs="Arial" w:eastAsia="Arial" w:hAnsi="Arial"/>
          <w:sz w:val="20"/>
          <w:szCs w:val="20"/>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6" w:lineRule="exact"/>
        <w:rPr>
          <w:rFonts w:ascii="Arial" w:cs="Arial" w:eastAsia="Arial" w:hAnsi="Arial"/>
          <w:sz w:val="20"/>
          <w:szCs w:val="20"/>
          <w:color w:val="auto"/>
        </w:rPr>
      </w:pPr>
    </w:p>
    <w:p>
      <w:pPr>
        <w:ind w:firstLine="645"/>
        <w:spacing w:after="0" w:line="260" w:lineRule="auto"/>
        <w:tabs>
          <w:tab w:leader="none" w:pos="1042"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“Incentive Stock Option” means an Option that is intended to be an incentive stock option and meets the requirements of Section 422 of the Code or any successor provision thereto.</w:t>
      </w:r>
    </w:p>
    <w:p>
      <w:pPr>
        <w:spacing w:after="0" w:line="176" w:lineRule="exact"/>
        <w:rPr>
          <w:rFonts w:ascii="Arial" w:cs="Arial" w:eastAsia="Arial" w:hAnsi="Arial"/>
          <w:sz w:val="20"/>
          <w:szCs w:val="20"/>
          <w:color w:val="auto"/>
        </w:rPr>
      </w:pPr>
    </w:p>
    <w:p>
      <w:pPr>
        <w:ind w:left="1100" w:hanging="455"/>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w:t>
      </w:r>
    </w:p>
    <w:p>
      <w:pPr>
        <w:spacing w:after="0" w:line="199" w:lineRule="exact"/>
        <w:rPr>
          <w:rFonts w:ascii="Arial" w:cs="Arial" w:eastAsia="Arial" w:hAnsi="Arial"/>
          <w:sz w:val="18"/>
          <w:szCs w:val="18"/>
          <w:color w:val="auto"/>
        </w:rPr>
      </w:pPr>
    </w:p>
    <w:p>
      <w:pPr>
        <w:ind w:left="1060" w:hanging="415"/>
        <w:spacing w:after="0"/>
        <w:tabs>
          <w:tab w:leader="none" w:pos="10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“Nonstatutory Stock Option” means an Option that is not an Incentive Stock Option.</w:t>
      </w:r>
    </w:p>
    <w:p>
      <w:pPr>
        <w:spacing w:after="0" w:line="215" w:lineRule="exact"/>
        <w:rPr>
          <w:rFonts w:ascii="Arial" w:cs="Arial" w:eastAsia="Arial" w:hAnsi="Arial"/>
          <w:sz w:val="20"/>
          <w:szCs w:val="20"/>
          <w:color w:val="auto"/>
        </w:rPr>
      </w:pPr>
    </w:p>
    <w:p>
      <w:pPr>
        <w:ind w:firstLine="645"/>
        <w:spacing w:after="0" w:line="260" w:lineRule="auto"/>
        <w:tabs>
          <w:tab w:leader="none" w:pos="113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6" w:lineRule="exact"/>
        <w:rPr>
          <w:rFonts w:ascii="Arial" w:cs="Arial" w:eastAsia="Arial" w:hAnsi="Arial"/>
          <w:sz w:val="20"/>
          <w:szCs w:val="20"/>
          <w:color w:val="auto"/>
        </w:rPr>
      </w:pPr>
    </w:p>
    <w:p>
      <w:pPr>
        <w:ind w:firstLine="645"/>
        <w:spacing w:after="0" w:line="240" w:lineRule="exact"/>
        <w:tabs>
          <w:tab w:leader="none" w:pos="1181" w:val="left"/>
        </w:tabs>
        <w:numPr>
          <w:ilvl w:val="0"/>
          <w:numId w:val="55"/>
        </w:numPr>
        <w:rPr>
          <w:rFonts w:ascii="Arial" w:cs="Arial" w:eastAsia="Arial" w:hAnsi="Arial"/>
          <w:sz w:val="20"/>
          <w:szCs w:val="20"/>
          <w:color w:val="auto"/>
        </w:rPr>
      </w:pPr>
      <w:r>
        <w:rPr>
          <w:rFonts w:ascii="Arial" w:cs="Arial" w:eastAsia="Arial" w:hAnsi="Arial"/>
          <w:sz w:val="20"/>
          <w:szCs w:val="20"/>
          <w:color w:val="auto"/>
        </w:rPr>
        <w:t>“Other Stock</w:t>
      </w:r>
      <w:r>
        <w:rPr>
          <w:rFonts w:ascii="MS PGothic" w:cs="MS PGothic" w:eastAsia="MS PGothic" w:hAnsi="MS PGothic"/>
          <w:sz w:val="20"/>
          <w:szCs w:val="20"/>
          <w:color w:val="auto"/>
        </w:rPr>
        <w:t>‑</w:t>
      </w:r>
      <w:r>
        <w:rPr>
          <w:rFonts w:ascii="Arial" w:cs="Arial" w:eastAsia="Arial" w:hAnsi="Arial"/>
          <w:sz w:val="20"/>
          <w:szCs w:val="20"/>
          <w:color w:val="auto"/>
        </w:rPr>
        <w:t>Based Award” means a right, granted to a Participant under Article 13 that relates to or is valued by reference to Stock or other Awards relating to Stock.</w:t>
      </w:r>
    </w:p>
    <w:p>
      <w:pPr>
        <w:spacing w:after="0" w:line="196" w:lineRule="exact"/>
        <w:rPr>
          <w:rFonts w:ascii="Arial" w:cs="Arial" w:eastAsia="Arial" w:hAnsi="Arial"/>
          <w:sz w:val="20"/>
          <w:szCs w:val="20"/>
          <w:color w:val="auto"/>
        </w:rPr>
      </w:pPr>
    </w:p>
    <w:p>
      <w:pPr>
        <w:jc w:val="both"/>
        <w:ind w:firstLine="645"/>
        <w:spacing w:after="0" w:line="250" w:lineRule="auto"/>
        <w:tabs>
          <w:tab w:leader="none" w:pos="1113" w:val="left"/>
        </w:tabs>
        <w:numPr>
          <w:ilvl w:val="0"/>
          <w:numId w:val="55"/>
        </w:numPr>
        <w:rPr>
          <w:rFonts w:ascii="Arial" w:cs="Arial" w:eastAsia="Arial" w:hAnsi="Arial"/>
          <w:sz w:val="20"/>
          <w:szCs w:val="20"/>
          <w:color w:val="auto"/>
        </w:rPr>
      </w:pPr>
      <w:r>
        <w:rPr>
          <w:rFonts w:ascii="Arial" w:cs="Arial" w:eastAsia="Arial" w:hAnsi="Arial"/>
          <w:sz w:val="20"/>
          <w:szCs w:val="20"/>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05" w:lineRule="exact"/>
        <w:rPr>
          <w:rFonts w:ascii="Arial" w:cs="Arial" w:eastAsia="Arial" w:hAnsi="Arial"/>
          <w:sz w:val="20"/>
          <w:szCs w:val="20"/>
          <w:color w:val="auto"/>
        </w:rPr>
      </w:pPr>
    </w:p>
    <w:p>
      <w:pPr>
        <w:jc w:val="both"/>
        <w:ind w:firstLine="645"/>
        <w:spacing w:after="0" w:line="246" w:lineRule="auto"/>
        <w:tabs>
          <w:tab w:leader="none" w:pos="1102" w:val="left"/>
        </w:tabs>
        <w:numPr>
          <w:ilvl w:val="0"/>
          <w:numId w:val="55"/>
        </w:numPr>
        <w:rPr>
          <w:rFonts w:ascii="Arial" w:cs="Arial" w:eastAsia="Arial" w:hAnsi="Arial"/>
          <w:sz w:val="20"/>
          <w:szCs w:val="20"/>
          <w:color w:val="auto"/>
        </w:rPr>
      </w:pPr>
      <w:r>
        <w:rPr>
          <w:rFonts w:ascii="Arial" w:cs="Arial" w:eastAsia="Arial" w:hAnsi="Arial"/>
          <w:sz w:val="20"/>
          <w:szCs w:val="20"/>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10" w:lineRule="exact"/>
        <w:rPr>
          <w:sz w:val="20"/>
          <w:szCs w:val="20"/>
          <w:color w:val="auto"/>
        </w:rPr>
      </w:pPr>
    </w:p>
    <w:p>
      <w:pPr>
        <w:jc w:val="both"/>
        <w:ind w:firstLine="645"/>
        <w:spacing w:after="0" w:line="250" w:lineRule="auto"/>
        <w:tabs>
          <w:tab w:leader="none" w:pos="1190" w:val="left"/>
        </w:tabs>
        <w:numPr>
          <w:ilvl w:val="0"/>
          <w:numId w:val="56"/>
        </w:numPr>
        <w:rPr>
          <w:rFonts w:ascii="Arial" w:cs="Arial" w:eastAsia="Arial" w:hAnsi="Arial"/>
          <w:sz w:val="20"/>
          <w:szCs w:val="20"/>
          <w:color w:val="auto"/>
        </w:rPr>
      </w:pPr>
      <w:r>
        <w:rPr>
          <w:rFonts w:ascii="Arial" w:cs="Arial" w:eastAsia="Arial" w:hAnsi="Arial"/>
          <w:sz w:val="20"/>
          <w:szCs w:val="20"/>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05" w:lineRule="exact"/>
        <w:rPr>
          <w:rFonts w:ascii="Arial" w:cs="Arial" w:eastAsia="Arial" w:hAnsi="Arial"/>
          <w:sz w:val="20"/>
          <w:szCs w:val="20"/>
          <w:color w:val="auto"/>
        </w:rPr>
      </w:pPr>
    </w:p>
    <w:p>
      <w:pPr>
        <w:ind w:firstLine="645"/>
        <w:spacing w:after="0" w:line="260" w:lineRule="auto"/>
        <w:tabs>
          <w:tab w:leader="none" w:pos="1212" w:val="left"/>
        </w:tabs>
        <w:numPr>
          <w:ilvl w:val="0"/>
          <w:numId w:val="56"/>
        </w:numPr>
        <w:rPr>
          <w:rFonts w:ascii="Arial" w:cs="Arial" w:eastAsia="Arial" w:hAnsi="Arial"/>
          <w:sz w:val="20"/>
          <w:szCs w:val="20"/>
          <w:color w:val="auto"/>
        </w:rPr>
      </w:pPr>
      <w:r>
        <w:rPr>
          <w:rFonts w:ascii="Arial" w:cs="Arial" w:eastAsia="Arial" w:hAnsi="Arial"/>
          <w:sz w:val="20"/>
          <w:szCs w:val="20"/>
          <w:color w:val="auto"/>
        </w:rPr>
        <w:t>“Person” means any individual, entity or group, within the meaning of Section 3(a)(9) of the 1934 Act and as used in Section 13(d)(3) or 14(d)(2) of the 1934 Act.</w:t>
      </w:r>
    </w:p>
    <w:p>
      <w:pPr>
        <w:spacing w:after="0" w:line="95" w:lineRule="exact"/>
        <w:rPr>
          <w:rFonts w:ascii="Arial" w:cs="Arial" w:eastAsia="Arial" w:hAnsi="Arial"/>
          <w:sz w:val="20"/>
          <w:szCs w:val="20"/>
          <w:color w:val="auto"/>
        </w:rPr>
      </w:pPr>
    </w:p>
    <w:p>
      <w:pPr>
        <w:ind w:left="1140" w:hanging="495"/>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“Plan” means the Micron Technology, Inc. Amended and Restated 2004 Equity Incentive Plan, as amended from time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w:t>
      </w:r>
    </w:p>
    <w:p>
      <w:pPr>
        <w:spacing w:after="0" w:line="118" w:lineRule="exact"/>
        <w:rPr>
          <w:rFonts w:ascii="Arial" w:cs="Arial" w:eastAsia="Arial" w:hAnsi="Arial"/>
          <w:sz w:val="18"/>
          <w:szCs w:val="18"/>
          <w:color w:val="auto"/>
        </w:rPr>
      </w:pPr>
    </w:p>
    <w:p>
      <w:pPr>
        <w:ind w:firstLine="645"/>
        <w:spacing w:after="0" w:line="260" w:lineRule="auto"/>
        <w:tabs>
          <w:tab w:leader="none" w:pos="1293" w:val="left"/>
        </w:tabs>
        <w:numPr>
          <w:ilvl w:val="0"/>
          <w:numId w:val="56"/>
        </w:numPr>
        <w:rPr>
          <w:rFonts w:ascii="Arial" w:cs="Arial" w:eastAsia="Arial" w:hAnsi="Arial"/>
          <w:sz w:val="20"/>
          <w:szCs w:val="20"/>
          <w:color w:val="auto"/>
        </w:rPr>
      </w:pPr>
      <w:r>
        <w:rPr>
          <w:rFonts w:ascii="Arial" w:cs="Arial" w:eastAsia="Arial" w:hAnsi="Arial"/>
          <w:sz w:val="20"/>
          <w:szCs w:val="20"/>
          <w:color w:val="auto"/>
        </w:rPr>
        <w:t>“Public Offering” shall occur on closing date of a public offering of any class or series of the Company's equity securities pursuant to a registration statement filed by the Company under the 1933 Act.</w:t>
      </w:r>
    </w:p>
    <w:p>
      <w:pPr>
        <w:spacing w:after="0" w:line="34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60"/>
          </w:cols>
          <w:pgMar w:left="900" w:top="582" w:right="239" w:bottom="1440" w:gutter="0" w:footer="0" w:header="0"/>
        </w:sectPr>
      </w:pPr>
    </w:p>
    <w:bookmarkStart w:id="50" w:name="page51"/>
    <w:bookmarkEnd w:id="50"/>
    <w:p>
      <w:pPr>
        <w:jc w:val="both"/>
        <w:ind w:left="660" w:firstLine="645"/>
        <w:spacing w:after="0" w:line="236" w:lineRule="exact"/>
        <w:tabs>
          <w:tab w:leader="none" w:pos="1890" w:val="left"/>
        </w:tabs>
        <w:numPr>
          <w:ilvl w:val="0"/>
          <w:numId w:val="57"/>
        </w:numPr>
        <w:rPr>
          <w:rFonts w:ascii="Arial" w:cs="Arial" w:eastAsia="Arial" w:hAnsi="Arial"/>
          <w:sz w:val="20"/>
          <w:szCs w:val="20"/>
          <w:color w:val="auto"/>
        </w:rPr>
      </w:pPr>
      <w:r>
        <w:rPr>
          <w:rFonts w:ascii="Arial" w:cs="Arial" w:eastAsia="Arial" w:hAnsi="Arial"/>
          <w:sz w:val="20"/>
          <w:szCs w:val="20"/>
          <w:color w:val="auto"/>
        </w:rPr>
        <w:t>“Qualified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 means an Award that is either (i) intended to qualify for the Section 162(m) Exemption and is made subject to performance goals based on Qualified Business Criteria as set forth in Section 14.11(b), or (ii) an Option or SAR.</w:t>
      </w:r>
    </w:p>
    <w:p>
      <w:pPr>
        <w:spacing w:after="0" w:line="116" w:lineRule="exact"/>
        <w:rPr>
          <w:rFonts w:ascii="Arial" w:cs="Arial" w:eastAsia="Arial" w:hAnsi="Arial"/>
          <w:sz w:val="20"/>
          <w:szCs w:val="20"/>
          <w:color w:val="auto"/>
        </w:rPr>
      </w:pPr>
    </w:p>
    <w:p>
      <w:pPr>
        <w:ind w:left="660" w:right="20" w:firstLine="645"/>
        <w:spacing w:after="0" w:line="240" w:lineRule="exact"/>
        <w:tabs>
          <w:tab w:leader="none" w:pos="1910" w:val="left"/>
        </w:tabs>
        <w:numPr>
          <w:ilvl w:val="0"/>
          <w:numId w:val="57"/>
        </w:numPr>
        <w:rPr>
          <w:rFonts w:ascii="Arial" w:cs="Arial" w:eastAsia="Arial" w:hAnsi="Arial"/>
          <w:sz w:val="20"/>
          <w:szCs w:val="20"/>
          <w:color w:val="auto"/>
        </w:rPr>
      </w:pPr>
      <w:r>
        <w:rPr>
          <w:rFonts w:ascii="Arial" w:cs="Arial" w:eastAsia="Arial" w:hAnsi="Arial"/>
          <w:sz w:val="20"/>
          <w:szCs w:val="20"/>
          <w:color w:val="auto"/>
        </w:rPr>
        <w:t>“Qualified Business Criteria” means one or more of the Business Criteria listed in Section 14.11(b) upon which performance goals for certain 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Awards may be established by the Committee.</w:t>
      </w:r>
    </w:p>
    <w:p>
      <w:pPr>
        <w:spacing w:after="0" w:line="115" w:lineRule="exact"/>
        <w:rPr>
          <w:rFonts w:ascii="Arial" w:cs="Arial" w:eastAsia="Arial" w:hAnsi="Arial"/>
          <w:sz w:val="20"/>
          <w:szCs w:val="20"/>
          <w:color w:val="auto"/>
        </w:rPr>
      </w:pPr>
    </w:p>
    <w:p>
      <w:pPr>
        <w:ind w:left="660" w:firstLine="645"/>
        <w:spacing w:after="0" w:line="260" w:lineRule="auto"/>
        <w:tabs>
          <w:tab w:leader="none" w:pos="1818"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“Restricted Stock Award” means Stock granted to a Participant under Article 10 that is subject to certain restrictions and to risk of forfeiture.</w:t>
      </w:r>
    </w:p>
    <w:p>
      <w:pPr>
        <w:spacing w:after="0" w:line="95" w:lineRule="exact"/>
        <w:rPr>
          <w:rFonts w:ascii="Arial" w:cs="Arial" w:eastAsia="Arial" w:hAnsi="Arial"/>
          <w:sz w:val="20"/>
          <w:szCs w:val="20"/>
          <w:color w:val="auto"/>
        </w:rPr>
      </w:pPr>
    </w:p>
    <w:p>
      <w:pPr>
        <w:jc w:val="both"/>
        <w:ind w:left="660" w:firstLine="645"/>
        <w:spacing w:after="0" w:line="250" w:lineRule="auto"/>
        <w:tabs>
          <w:tab w:leader="none" w:pos="18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05" w:lineRule="exact"/>
        <w:rPr>
          <w:rFonts w:ascii="Arial" w:cs="Arial" w:eastAsia="Arial" w:hAnsi="Arial"/>
          <w:sz w:val="20"/>
          <w:szCs w:val="20"/>
          <w:color w:val="auto"/>
        </w:rPr>
      </w:pPr>
    </w:p>
    <w:p>
      <w:pPr>
        <w:ind w:left="660" w:right="20" w:firstLine="645"/>
        <w:spacing w:after="0" w:line="260" w:lineRule="auto"/>
        <w:tabs>
          <w:tab w:leader="none" w:pos="173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“Section 162(m) Exemption” means the exemption from the limitation on deductibility imposed by Section 162(m) of the Code that is set forth in Section 162(m)(4)(C) of the Code or any successor provision thereto.</w:t>
      </w:r>
    </w:p>
    <w:p>
      <w:pPr>
        <w:spacing w:after="0" w:line="95" w:lineRule="exact"/>
        <w:rPr>
          <w:rFonts w:ascii="Arial" w:cs="Arial" w:eastAsia="Arial" w:hAnsi="Arial"/>
          <w:sz w:val="20"/>
          <w:szCs w:val="20"/>
          <w:color w:val="auto"/>
        </w:rPr>
      </w:pPr>
    </w:p>
    <w:p>
      <w:pPr>
        <w:jc w:val="both"/>
        <w:ind w:left="660" w:firstLine="645"/>
        <w:spacing w:after="0" w:line="250" w:lineRule="auto"/>
        <w:tabs>
          <w:tab w:leader="none" w:pos="1757" w:val="left"/>
        </w:tabs>
        <w:numPr>
          <w:ilvl w:val="0"/>
          <w:numId w:val="57"/>
        </w:numPr>
        <w:rPr>
          <w:rFonts w:ascii="Arial" w:cs="Arial" w:eastAsia="Arial" w:hAnsi="Arial"/>
          <w:sz w:val="20"/>
          <w:szCs w:val="20"/>
          <w:color w:val="auto"/>
        </w:rPr>
      </w:pPr>
      <w:r>
        <w:rPr>
          <w:rFonts w:ascii="Arial" w:cs="Arial" w:eastAsia="Arial" w:hAnsi="Arial"/>
          <w:sz w:val="20"/>
          <w:szCs w:val="20"/>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05" w:lineRule="exact"/>
        <w:rPr>
          <w:rFonts w:ascii="Arial" w:cs="Arial" w:eastAsia="Arial" w:hAnsi="Arial"/>
          <w:sz w:val="20"/>
          <w:szCs w:val="20"/>
          <w:color w:val="auto"/>
        </w:rPr>
      </w:pPr>
    </w:p>
    <w:p>
      <w:pPr>
        <w:ind w:left="660" w:right="20" w:firstLine="645"/>
        <w:spacing w:after="0" w:line="260" w:lineRule="auto"/>
        <w:tabs>
          <w:tab w:leader="none" w:pos="18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 means the $.10 par value common stock of the Company and such other securities of the Company as may be substituted for Stock pursuant to Article 15.</w:t>
      </w:r>
    </w:p>
    <w:p>
      <w:pPr>
        <w:spacing w:after="0" w:line="95" w:lineRule="exact"/>
        <w:rPr>
          <w:rFonts w:ascii="Arial" w:cs="Arial" w:eastAsia="Arial" w:hAnsi="Arial"/>
          <w:sz w:val="20"/>
          <w:szCs w:val="20"/>
          <w:color w:val="auto"/>
        </w:rPr>
      </w:pPr>
    </w:p>
    <w:p>
      <w:pPr>
        <w:jc w:val="both"/>
        <w:ind w:left="660" w:firstLine="645"/>
        <w:spacing w:after="0" w:line="250" w:lineRule="auto"/>
        <w:tabs>
          <w:tab w:leader="none" w:pos="1730" w:val="left"/>
        </w:tabs>
        <w:numPr>
          <w:ilvl w:val="0"/>
          <w:numId w:val="57"/>
        </w:numPr>
        <w:rPr>
          <w:rFonts w:ascii="Arial" w:cs="Arial" w:eastAsia="Arial" w:hAnsi="Arial"/>
          <w:sz w:val="20"/>
          <w:szCs w:val="20"/>
          <w:color w:val="auto"/>
        </w:rPr>
      </w:pPr>
      <w:r>
        <w:rPr>
          <w:rFonts w:ascii="Arial" w:cs="Arial" w:eastAsia="Arial" w:hAnsi="Arial"/>
          <w:sz w:val="20"/>
          <w:szCs w:val="20"/>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05" w:lineRule="exact"/>
        <w:rPr>
          <w:rFonts w:ascii="Arial" w:cs="Arial" w:eastAsia="Arial" w:hAnsi="Arial"/>
          <w:sz w:val="20"/>
          <w:szCs w:val="20"/>
          <w:color w:val="auto"/>
        </w:rPr>
      </w:pPr>
    </w:p>
    <w:p>
      <w:pPr>
        <w:jc w:val="both"/>
        <w:ind w:left="660" w:firstLine="645"/>
        <w:spacing w:after="0" w:line="269" w:lineRule="auto"/>
        <w:tabs>
          <w:tab w:leader="none" w:pos="1968" w:val="left"/>
        </w:tabs>
        <w:numPr>
          <w:ilvl w:val="0"/>
          <w:numId w:val="57"/>
        </w:numPr>
        <w:rPr>
          <w:rFonts w:ascii="Arial" w:cs="Arial" w:eastAsia="Arial" w:hAnsi="Arial"/>
          <w:sz w:val="19"/>
          <w:szCs w:val="19"/>
          <w:color w:val="auto"/>
        </w:rPr>
      </w:pPr>
      <w:r>
        <w:rPr>
          <w:rFonts w:ascii="Arial" w:cs="Arial" w:eastAsia="Arial" w:hAnsi="Arial"/>
          <w:sz w:val="19"/>
          <w:szCs w:val="19"/>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89" w:lineRule="exact"/>
        <w:rPr>
          <w:rFonts w:ascii="Arial" w:cs="Arial" w:eastAsia="Arial" w:hAnsi="Arial"/>
          <w:sz w:val="19"/>
          <w:szCs w:val="19"/>
          <w:color w:val="auto"/>
        </w:rPr>
      </w:pPr>
    </w:p>
    <w:p>
      <w:pPr>
        <w:ind w:left="1820" w:hanging="515"/>
        <w:spacing w:after="0"/>
        <w:tabs>
          <w:tab w:leader="none" w:pos="18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“1933 Act” means the Securities Act of 1933, as amended from time to time.</w:t>
      </w:r>
    </w:p>
    <w:p>
      <w:pPr>
        <w:spacing w:after="0" w:line="215" w:lineRule="exact"/>
        <w:rPr>
          <w:rFonts w:ascii="Arial" w:cs="Arial" w:eastAsia="Arial" w:hAnsi="Arial"/>
          <w:sz w:val="20"/>
          <w:szCs w:val="20"/>
          <w:color w:val="auto"/>
        </w:rPr>
      </w:pPr>
    </w:p>
    <w:p>
      <w:pPr>
        <w:ind w:left="1820" w:hanging="515"/>
        <w:spacing w:after="0"/>
        <w:tabs>
          <w:tab w:leader="none" w:pos="18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“1934 Act” means the Securities Exchange Act of 1934, as amended from time to time.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TERM OF PLAN</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i w:val="1"/>
          <w:iCs w:val="1"/>
          <w:color w:val="auto"/>
        </w:rPr>
        <w:t>EFFECTIVE DATE.</w:t>
      </w:r>
      <w:r>
        <w:rPr>
          <w:rFonts w:ascii="Arial" w:cs="Arial" w:eastAsia="Arial" w:hAnsi="Arial"/>
          <w:sz w:val="20"/>
          <w:szCs w:val="20"/>
          <w:color w:val="auto"/>
        </w:rPr>
        <w:t xml:space="preserve"> The Plan shall be effective as of the date it is approved by both the Board and the stockholders of the Company (the “Effective Date”).</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TERMINATION OF PLAN.</w:t>
      </w:r>
      <w:r>
        <w:rPr>
          <w:rFonts w:ascii="Arial" w:cs="Arial" w:eastAsia="Arial" w:hAnsi="Arial"/>
          <w:sz w:val="18"/>
          <w:szCs w:val="18"/>
          <w:color w:val="auto"/>
        </w:rPr>
        <w:t xml:space="preserve"> Unless earlier terminated as provided herein, the Plan shall continue in effect until the tenth anniversary of the Effective Date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i w:val="1"/>
          <w:iCs w:val="1"/>
          <w:color w:val="auto"/>
        </w:rPr>
        <w:t>COMMITTEE.</w:t>
      </w:r>
      <w:r>
        <w:rPr>
          <w:rFonts w:ascii="Arial" w:cs="Arial" w:eastAsia="Arial" w:hAnsi="Arial"/>
          <w:sz w:val="20"/>
          <w:szCs w:val="20"/>
          <w:color w:val="auto"/>
        </w:rPr>
        <w:t xml:space="preserve"> The Plan shall be administered by a Committee appointed by the Board (which Committee shall consist of at least two directors) or, at the discretion of the Board from time to time, the Plan may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582" w:right="239" w:bottom="1440" w:gutter="0" w:footer="0" w:header="0"/>
        </w:sectPr>
      </w:pPr>
    </w:p>
    <w:bookmarkStart w:id="51" w:name="page52"/>
    <w:bookmarkEnd w:id="51"/>
    <w:p>
      <w:pPr>
        <w:jc w:val="both"/>
        <w:spacing w:after="0" w:line="231" w:lineRule="exact"/>
        <w:rPr>
          <w:sz w:val="20"/>
          <w:szCs w:val="20"/>
          <w:color w:val="auto"/>
        </w:rPr>
      </w:pPr>
      <w:r>
        <w:rPr>
          <w:rFonts w:ascii="Arial" w:cs="Arial" w:eastAsia="Arial" w:hAnsi="Arial"/>
          <w:sz w:val="19"/>
          <w:szCs w:val="19"/>
          <w:color w:val="auto"/>
        </w:rPr>
        <w:t>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w:t>
      </w:r>
      <w:r>
        <w:rPr>
          <w:rFonts w:ascii="MS PGothic" w:cs="MS PGothic" w:eastAsia="MS PGothic" w:hAnsi="MS PGothic"/>
          <w:sz w:val="19"/>
          <w:szCs w:val="19"/>
          <w:color w:val="auto"/>
        </w:rPr>
        <w:t>‑</w:t>
      </w:r>
      <w:r>
        <w:rPr>
          <w:rFonts w:ascii="Arial" w:cs="Arial" w:eastAsia="Arial" w:hAnsi="Arial"/>
          <w:sz w:val="19"/>
          <w:szCs w:val="19"/>
          <w:color w:val="auto"/>
        </w:rPr>
        <w: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ACTION AND INTERPRETATIONS BY THE COMMITTEE.</w:t>
      </w:r>
      <w:r>
        <w:rPr>
          <w:rFonts w:ascii="Arial" w:cs="Arial" w:eastAsia="Arial" w:hAnsi="Arial"/>
          <w:sz w:val="19"/>
          <w:szCs w:val="19"/>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Except as provided below, the Committee has the exclusive power, authority and discretion to:</w:t>
      </w:r>
    </w:p>
    <w:p>
      <w:pPr>
        <w:spacing w:after="0" w:line="239" w:lineRule="exact"/>
        <w:rPr>
          <w:sz w:val="20"/>
          <w:szCs w:val="20"/>
          <w:color w:val="auto"/>
        </w:rPr>
      </w:pPr>
    </w:p>
    <w:p>
      <w:pPr>
        <w:ind w:left="1700" w:hanging="395"/>
        <w:spacing w:after="0"/>
        <w:tabs>
          <w:tab w:leader="none" w:pos="17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Grant Awards;</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15" w:lineRule="exact"/>
        <w:rPr>
          <w:rFonts w:ascii="Arial" w:cs="Arial" w:eastAsia="Arial" w:hAnsi="Arial"/>
          <w:sz w:val="20"/>
          <w:szCs w:val="20"/>
          <w:color w:val="auto"/>
        </w:rPr>
      </w:pPr>
    </w:p>
    <w:p>
      <w:pPr>
        <w:ind w:left="1700" w:hanging="395"/>
        <w:spacing w:after="0"/>
        <w:tabs>
          <w:tab w:leader="none" w:pos="17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15" w:lineRule="exact"/>
        <w:rPr>
          <w:rFonts w:ascii="Arial" w:cs="Arial" w:eastAsia="Arial" w:hAnsi="Arial"/>
          <w:sz w:val="20"/>
          <w:szCs w:val="20"/>
          <w:color w:val="auto"/>
        </w:rPr>
      </w:pPr>
    </w:p>
    <w:p>
      <w:pPr>
        <w:ind w:left="1720" w:hanging="415"/>
        <w:spacing w:after="0"/>
        <w:tabs>
          <w:tab w:leader="none" w:pos="1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38" w:lineRule="exact"/>
        <w:rPr>
          <w:rFonts w:ascii="Arial" w:cs="Arial" w:eastAsia="Arial" w:hAnsi="Arial"/>
          <w:sz w:val="18"/>
          <w:szCs w:val="18"/>
          <w:color w:val="auto"/>
        </w:rPr>
      </w:pPr>
    </w:p>
    <w:p>
      <w:pPr>
        <w:jc w:val="both"/>
        <w:ind w:left="660" w:firstLine="645"/>
        <w:spacing w:after="0" w:line="246" w:lineRule="auto"/>
        <w:tabs>
          <w:tab w:leader="none" w:pos="1722" w:val="left"/>
        </w:tabs>
        <w:numPr>
          <w:ilvl w:val="0"/>
          <w:numId w:val="58"/>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91" w:lineRule="exact"/>
        <w:rPr>
          <w:rFonts w:ascii="Arial" w:cs="Arial" w:eastAsia="Arial" w:hAnsi="Arial"/>
          <w:sz w:val="20"/>
          <w:szCs w:val="20"/>
          <w:color w:val="auto"/>
        </w:rPr>
      </w:pPr>
    </w:p>
    <w:p>
      <w:pPr>
        <w:ind w:left="660" w:right="20" w:firstLine="645"/>
        <w:spacing w:after="0" w:line="260" w:lineRule="auto"/>
        <w:tabs>
          <w:tab w:leader="none" w:pos="1767" w:val="left"/>
        </w:tabs>
        <w:numPr>
          <w:ilvl w:val="0"/>
          <w:numId w:val="58"/>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582" w:right="239" w:bottom="1440" w:gutter="0" w:footer="0" w:header="0"/>
        </w:sectPr>
      </w:pPr>
    </w:p>
    <w:bookmarkStart w:id="52" w:name="page53"/>
    <w:bookmarkEnd w:id="52"/>
    <w:p>
      <w:pPr>
        <w:ind w:left="660" w:firstLine="645"/>
        <w:spacing w:after="0" w:line="316" w:lineRule="auto"/>
        <w:tabs>
          <w:tab w:leader="none" w:pos="17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30" w:lineRule="exact"/>
        <w:rPr>
          <w:rFonts w:ascii="Arial" w:cs="Arial" w:eastAsia="Arial" w:hAnsi="Arial"/>
          <w:sz w:val="18"/>
          <w:szCs w:val="18"/>
          <w:color w:val="auto"/>
        </w:rPr>
      </w:pPr>
    </w:p>
    <w:p>
      <w:pPr>
        <w:ind w:left="1720" w:hanging="415"/>
        <w:spacing w:after="0"/>
        <w:tabs>
          <w:tab w:leader="none" w:pos="1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15" w:lineRule="exact"/>
        <w:rPr>
          <w:rFonts w:ascii="Arial" w:cs="Arial" w:eastAsia="Arial" w:hAnsi="Arial"/>
          <w:sz w:val="20"/>
          <w:szCs w:val="20"/>
          <w:color w:val="auto"/>
        </w:rPr>
      </w:pPr>
    </w:p>
    <w:p>
      <w:pPr>
        <w:ind w:left="1680" w:hanging="375"/>
        <w:spacing w:after="0"/>
        <w:tabs>
          <w:tab w:leader="none" w:pos="16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15" w:lineRule="exact"/>
        <w:rPr>
          <w:rFonts w:ascii="Arial" w:cs="Arial" w:eastAsia="Arial" w:hAnsi="Arial"/>
          <w:sz w:val="20"/>
          <w:szCs w:val="20"/>
          <w:color w:val="auto"/>
        </w:rPr>
      </w:pPr>
    </w:p>
    <w:p>
      <w:pPr>
        <w:ind w:left="660" w:firstLine="645"/>
        <w:spacing w:after="0" w:line="260" w:lineRule="auto"/>
        <w:tabs>
          <w:tab w:leader="none" w:pos="1797" w:val="left"/>
        </w:tabs>
        <w:numPr>
          <w:ilvl w:val="0"/>
          <w:numId w:val="59"/>
        </w:numPr>
        <w:rPr>
          <w:rFonts w:ascii="Arial" w:cs="Arial" w:eastAsia="Arial" w:hAnsi="Arial"/>
          <w:sz w:val="20"/>
          <w:szCs w:val="20"/>
          <w:color w:val="auto"/>
        </w:rPr>
      </w:pPr>
      <w:r>
        <w:rPr>
          <w:rFonts w:ascii="Arial" w:cs="Arial" w:eastAsia="Arial" w:hAnsi="Arial"/>
          <w:sz w:val="20"/>
          <w:szCs w:val="20"/>
          <w:color w:val="auto"/>
        </w:rPr>
        <w:t>Establish, adopt or revise any rules, regulations, guidelines or procedures as it may deem necessary or advisable to administer the Plan;</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76" w:lineRule="exact"/>
        <w:rPr>
          <w:rFonts w:ascii="Arial" w:cs="Arial" w:eastAsia="Arial" w:hAnsi="Arial"/>
          <w:sz w:val="20"/>
          <w:szCs w:val="20"/>
          <w:color w:val="auto"/>
        </w:rPr>
      </w:pPr>
    </w:p>
    <w:p>
      <w:pPr>
        <w:ind w:left="1680" w:hanging="375"/>
        <w:spacing w:after="0"/>
        <w:tabs>
          <w:tab w:leader="none" w:pos="16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15" w:lineRule="exact"/>
        <w:rPr>
          <w:rFonts w:ascii="Arial" w:cs="Arial" w:eastAsia="Arial" w:hAnsi="Arial"/>
          <w:sz w:val="20"/>
          <w:szCs w:val="20"/>
          <w:color w:val="auto"/>
        </w:rPr>
      </w:pPr>
    </w:p>
    <w:p>
      <w:pPr>
        <w:jc w:val="both"/>
        <w:ind w:left="660" w:firstLine="645"/>
        <w:spacing w:after="0" w:line="291" w:lineRule="auto"/>
        <w:tabs>
          <w:tab w:leader="none" w:pos="18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Notwithstanding the above, the Board may, by resolution, expressly delegate to a special committee, consisting of one or more directors who are also officers of the Company, the authority, within specified parameters as to the number and terms of Awards, to</w:t>
      </w:r>
    </w:p>
    <w:p>
      <w:pPr>
        <w:spacing w:after="0" w:line="2" w:lineRule="exact"/>
        <w:rPr>
          <w:sz w:val="20"/>
          <w:szCs w:val="20"/>
          <w:color w:val="auto"/>
        </w:rPr>
      </w:pPr>
    </w:p>
    <w:p>
      <w:pPr>
        <w:jc w:val="both"/>
        <w:ind w:firstLine="8"/>
        <w:spacing w:after="0" w:line="272"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SHARES SUBJECT TO THE PLAN</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106,000,000 provided, however, that each Share issued under the Plan pursuant to a Full-Value Award that is settled in Stock shall reduce the number of available Shares by two (2) shares. The maximum number of Shares that may be issued upon exercise of Incentive Stock Options granted under the Plan shall be 2,000,000.</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the grant, but shall be added back to the Plan share reserve in accordance with Section 5.2.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582" w:right="239" w:bottom="1440" w:gutter="0" w:footer="0" w:header="0"/>
        </w:sectPr>
      </w:pPr>
    </w:p>
    <w:bookmarkStart w:id="53" w:name="page54"/>
    <w:bookmarkEnd w:id="53"/>
    <w:p>
      <w:pPr>
        <w:jc w:val="both"/>
        <w:ind w:left="660" w:right="20" w:firstLine="645"/>
        <w:spacing w:after="0" w:line="250" w:lineRule="auto"/>
        <w:tabs>
          <w:tab w:leader="none" w:pos="1708" w:val="left"/>
        </w:tabs>
        <w:numPr>
          <w:ilvl w:val="0"/>
          <w:numId w:val="61"/>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86" w:lineRule="exact"/>
        <w:rPr>
          <w:rFonts w:ascii="Arial" w:cs="Arial" w:eastAsia="Arial" w:hAnsi="Arial"/>
          <w:sz w:val="20"/>
          <w:szCs w:val="20"/>
          <w:color w:val="auto"/>
        </w:rPr>
      </w:pPr>
    </w:p>
    <w:p>
      <w:pPr>
        <w:ind w:left="660" w:firstLine="645"/>
        <w:spacing w:after="0" w:line="260" w:lineRule="auto"/>
        <w:tabs>
          <w:tab w:leader="none" w:pos="1746" w:val="left"/>
        </w:tabs>
        <w:numPr>
          <w:ilvl w:val="0"/>
          <w:numId w:val="61"/>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76" w:lineRule="exact"/>
        <w:rPr>
          <w:rFonts w:ascii="Arial" w:cs="Arial" w:eastAsia="Arial" w:hAnsi="Arial"/>
          <w:sz w:val="20"/>
          <w:szCs w:val="20"/>
          <w:color w:val="auto"/>
        </w:rPr>
      </w:pPr>
    </w:p>
    <w:p>
      <w:pPr>
        <w:ind w:left="660" w:firstLine="645"/>
        <w:spacing w:after="0" w:line="260" w:lineRule="auto"/>
        <w:tabs>
          <w:tab w:leader="none" w:pos="1722"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Substitute Awards granted pursuant to Section 14.15 of the Plan shall not count against the Shares otherwise available for issuance under the Plan under Section 5.1.</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71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77"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w:t>
      </w:r>
      <w:r>
        <w:rPr>
          <w:rFonts w:ascii="MS PGothic" w:cs="MS PGothic" w:eastAsia="MS PGothic" w:hAnsi="MS PGothic"/>
          <w:sz w:val="20"/>
          <w:szCs w:val="20"/>
          <w:color w:val="auto"/>
        </w:rPr>
        <w:t>‑</w:t>
      </w:r>
      <w:r>
        <w:rPr>
          <w:rFonts w:ascii="Arial" w:cs="Arial" w:eastAsia="Arial" w:hAnsi="Arial"/>
          <w:sz w:val="20"/>
          <w:szCs w:val="20"/>
          <w:color w:val="auto"/>
        </w:rPr>
        <w:t>Based Awards (other than Options or SARs) granted in any one calendar year to any one Participant shall be 5,000,000.</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14.15,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The Committee is authorized to grant Options to Participants on the following terms and conditions: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582" w:right="239" w:bottom="1440" w:gutter="0" w:footer="0" w:header="0"/>
        </w:sectPr>
      </w:pPr>
    </w:p>
    <w:bookmarkStart w:id="54" w:name="page55"/>
    <w:bookmarkEnd w:id="54"/>
    <w:p>
      <w:pPr>
        <w:ind w:left="660" w:right="20" w:firstLine="645"/>
        <w:spacing w:after="0" w:line="260" w:lineRule="auto"/>
        <w:tabs>
          <w:tab w:leader="none" w:pos="1749"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shall not be less than the Fair Market Value as of the Grant Date.</w:t>
      </w:r>
    </w:p>
    <w:p>
      <w:pPr>
        <w:spacing w:after="0" w:line="176" w:lineRule="exact"/>
        <w:rPr>
          <w:rFonts w:ascii="Arial" w:cs="Arial" w:eastAsia="Arial" w:hAnsi="Arial"/>
          <w:sz w:val="20"/>
          <w:szCs w:val="20"/>
          <w:color w:val="auto"/>
        </w:rPr>
      </w:pPr>
    </w:p>
    <w:p>
      <w:pPr>
        <w:jc w:val="both"/>
        <w:ind w:left="660" w:firstLine="645"/>
        <w:spacing w:after="0" w:line="278" w:lineRule="auto"/>
        <w:tabs>
          <w:tab w:leader="none" w:pos="17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5" w:lineRule="exact"/>
        <w:rPr>
          <w:rFonts w:ascii="Arial" w:cs="Arial" w:eastAsia="Arial" w:hAnsi="Arial"/>
          <w:sz w:val="18"/>
          <w:szCs w:val="18"/>
          <w:color w:val="auto"/>
        </w:rPr>
      </w:pPr>
    </w:p>
    <w:p>
      <w:pPr>
        <w:jc w:val="both"/>
        <w:ind w:left="660" w:firstLine="645"/>
        <w:spacing w:after="0" w:line="259" w:lineRule="auto"/>
        <w:tabs>
          <w:tab w:leader="none" w:pos="170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78" w:lineRule="exact"/>
        <w:rPr>
          <w:rFonts w:ascii="Arial" w:cs="Arial" w:eastAsia="Arial" w:hAnsi="Arial"/>
          <w:sz w:val="19"/>
          <w:szCs w:val="19"/>
          <w:color w:val="auto"/>
        </w:rPr>
      </w:pPr>
    </w:p>
    <w:p>
      <w:pPr>
        <w:jc w:val="both"/>
        <w:ind w:left="660" w:firstLine="645"/>
        <w:spacing w:after="0" w:line="276" w:lineRule="auto"/>
        <w:tabs>
          <w:tab w:leader="none" w:pos="17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65" w:lineRule="exact"/>
        <w:rPr>
          <w:rFonts w:ascii="Arial" w:cs="Arial" w:eastAsia="Arial" w:hAnsi="Arial"/>
          <w:sz w:val="18"/>
          <w:szCs w:val="18"/>
          <w:color w:val="auto"/>
        </w:rPr>
      </w:pPr>
    </w:p>
    <w:p>
      <w:pPr>
        <w:ind w:left="1700" w:hanging="395"/>
        <w:spacing w:after="0"/>
        <w:tabs>
          <w:tab w:leader="none" w:pos="17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EXERCISE TERM. In no event may any Option be exercisable for more than six years from the Grant Date.</w:t>
      </w:r>
    </w:p>
    <w:p>
      <w:pPr>
        <w:spacing w:after="0" w:line="215" w:lineRule="exact"/>
        <w:rPr>
          <w:rFonts w:ascii="Arial" w:cs="Arial" w:eastAsia="Arial" w:hAnsi="Arial"/>
          <w:sz w:val="20"/>
          <w:szCs w:val="20"/>
          <w:color w:val="auto"/>
        </w:rPr>
      </w:pPr>
    </w:p>
    <w:p>
      <w:pPr>
        <w:ind w:left="660" w:firstLine="645"/>
        <w:spacing w:after="0" w:line="260" w:lineRule="auto"/>
        <w:tabs>
          <w:tab w:leader="none" w:pos="1767"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DIVIDEND EQUIVALENTS. No Option shall provide for Dividend Equivalents.</w:t>
      </w:r>
    </w:p>
    <w:p>
      <w:pPr>
        <w:spacing w:after="0" w:line="215" w:lineRule="exact"/>
        <w:rPr>
          <w:rFonts w:ascii="Arial" w:cs="Arial" w:eastAsia="Arial" w:hAnsi="Arial"/>
          <w:sz w:val="20"/>
          <w:szCs w:val="20"/>
          <w:color w:val="auto"/>
        </w:rPr>
      </w:pPr>
    </w:p>
    <w:p>
      <w:pPr>
        <w:jc w:val="both"/>
        <w:ind w:left="660" w:firstLine="645"/>
        <w:spacing w:after="0" w:line="250" w:lineRule="auto"/>
        <w:tabs>
          <w:tab w:leader="none" w:pos="1746" w:val="left"/>
        </w:tabs>
        <w:numPr>
          <w:ilvl w:val="0"/>
          <w:numId w:val="62"/>
        </w:numPr>
        <w:rPr>
          <w:rFonts w:ascii="Arial" w:cs="Arial" w:eastAsia="Arial" w:hAnsi="Arial"/>
          <w:sz w:val="20"/>
          <w:szCs w:val="20"/>
          <w:color w:val="auto"/>
        </w:rPr>
      </w:pPr>
      <w:r>
        <w:rPr>
          <w:rFonts w:ascii="Arial" w:cs="Arial" w:eastAsia="Arial" w:hAnsi="Arial"/>
          <w:sz w:val="20"/>
          <w:szCs w:val="20"/>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following additional rules:</w:t>
      </w:r>
    </w:p>
    <w:p>
      <w:pPr>
        <w:spacing w:after="0" w:line="177" w:lineRule="exact"/>
        <w:rPr>
          <w:sz w:val="20"/>
          <w:szCs w:val="20"/>
          <w:color w:val="auto"/>
        </w:rPr>
      </w:pPr>
    </w:p>
    <w:p>
      <w:pPr>
        <w:ind w:left="1700" w:hanging="395"/>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EXERCISE PRICE. The exercise price of an Incentive Stock Option shall not be less than the Fair Market Value as of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Grant Date.</w:t>
      </w:r>
    </w:p>
    <w:p>
      <w:pPr>
        <w:spacing w:after="0" w:line="199" w:lineRule="exact"/>
        <w:rPr>
          <w:rFonts w:ascii="Arial" w:cs="Arial" w:eastAsia="Arial" w:hAnsi="Arial"/>
          <w:sz w:val="18"/>
          <w:szCs w:val="18"/>
          <w:color w:val="auto"/>
        </w:rPr>
      </w:pPr>
    </w:p>
    <w:p>
      <w:pPr>
        <w:jc w:val="both"/>
        <w:ind w:left="660" w:firstLine="645"/>
        <w:spacing w:after="0" w:line="260" w:lineRule="auto"/>
        <w:tabs>
          <w:tab w:leader="none" w:pos="1746" w:val="left"/>
        </w:tabs>
        <w:numPr>
          <w:ilvl w:val="0"/>
          <w:numId w:val="63"/>
        </w:numPr>
        <w:rPr>
          <w:rFonts w:ascii="Arial" w:cs="Arial" w:eastAsia="Arial" w:hAnsi="Arial"/>
          <w:sz w:val="19"/>
          <w:szCs w:val="19"/>
          <w:color w:val="auto"/>
        </w:rPr>
      </w:pPr>
      <w:r>
        <w:rPr>
          <w:rFonts w:ascii="Arial" w:cs="Arial" w:eastAsia="Arial" w:hAnsi="Arial"/>
          <w:sz w:val="19"/>
          <w:szCs w:val="19"/>
          <w:color w:val="auto"/>
        </w:rPr>
        <w:t>LAPSE OF OPTION.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582" w:right="239" w:bottom="1440" w:gutter="0" w:footer="0" w:header="0"/>
        </w:sectPr>
      </w:pPr>
    </w:p>
    <w:bookmarkStart w:id="55" w:name="page56"/>
    <w:bookmarkEnd w:id="55"/>
    <w:p>
      <w:pPr>
        <w:ind w:left="2360" w:hanging="407"/>
        <w:spacing w:after="0"/>
        <w:tabs>
          <w:tab w:leader="none" w:pos="2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expiration date set forth in the Award Certificate.</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sixth anniversary of the Grant Date.</w:t>
      </w:r>
    </w:p>
    <w:p>
      <w:pPr>
        <w:spacing w:after="0" w:line="215" w:lineRule="exact"/>
        <w:rPr>
          <w:rFonts w:ascii="Arial" w:cs="Arial" w:eastAsia="Arial" w:hAnsi="Arial"/>
          <w:sz w:val="20"/>
          <w:szCs w:val="20"/>
          <w:color w:val="auto"/>
        </w:rPr>
      </w:pPr>
    </w:p>
    <w:p>
      <w:pPr>
        <w:ind w:left="1300" w:right="20" w:firstLine="653"/>
        <w:spacing w:after="0" w:line="260" w:lineRule="auto"/>
        <w:tabs>
          <w:tab w:leader="none" w:pos="2413"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Three months after termination of the Participant's Continuous Status as a Participant for any reason other than the Participant's Disability or death.</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0"/>
          <w:numId w:val="64"/>
        </w:numPr>
        <w:rPr>
          <w:rFonts w:ascii="Arial" w:cs="Arial" w:eastAsia="Arial" w:hAnsi="Arial"/>
          <w:sz w:val="19"/>
          <w:szCs w:val="19"/>
          <w:color w:val="auto"/>
        </w:rPr>
      </w:pPr>
      <w:r>
        <w:rPr>
          <w:rFonts w:ascii="Arial" w:cs="Arial" w:eastAsia="Arial" w:hAnsi="Arial"/>
          <w:sz w:val="19"/>
          <w:szCs w:val="19"/>
          <w:color w:val="auto"/>
        </w:rPr>
        <w:t>One year after the Participant's Continuous Status as a Participant by reason of the Participant's Disability.</w:t>
      </w:r>
    </w:p>
    <w:p>
      <w:pPr>
        <w:spacing w:after="0" w:line="227" w:lineRule="exact"/>
        <w:rPr>
          <w:rFonts w:ascii="Arial" w:cs="Arial" w:eastAsia="Arial" w:hAnsi="Arial"/>
          <w:sz w:val="19"/>
          <w:szCs w:val="19"/>
          <w:color w:val="auto"/>
        </w:rPr>
      </w:pPr>
    </w:p>
    <w:p>
      <w:pPr>
        <w:jc w:val="both"/>
        <w:ind w:left="1300" w:firstLine="653"/>
        <w:spacing w:after="0" w:line="236" w:lineRule="exact"/>
        <w:tabs>
          <w:tab w:leader="none" w:pos="24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One year after the termination of the Participant's death if the Participant dies while employed, or during the three</w:t>
      </w:r>
      <w:r>
        <w:rPr>
          <w:rFonts w:ascii="MS PGothic" w:cs="MS PGothic" w:eastAsia="MS PGothic" w:hAnsi="MS PGothic"/>
          <w:sz w:val="20"/>
          <w:szCs w:val="20"/>
          <w:color w:val="auto"/>
        </w:rPr>
        <w:t>‑</w:t>
      </w:r>
      <w:r>
        <w:rPr>
          <w:rFonts w:ascii="Arial" w:cs="Arial" w:eastAsia="Arial" w:hAnsi="Arial"/>
          <w:sz w:val="20"/>
          <w:szCs w:val="20"/>
          <w:color w:val="auto"/>
        </w:rPr>
        <w:t>month period described in paragraph (3) or during the one-year period described in paragraph (4) and before the Option otherwise lapses.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92" w:lineRule="exact"/>
        <w:rPr>
          <w:sz w:val="20"/>
          <w:szCs w:val="20"/>
          <w:color w:val="auto"/>
        </w:rPr>
      </w:pPr>
    </w:p>
    <w:p>
      <w:pPr>
        <w:ind w:left="660" w:firstLine="645"/>
        <w:spacing w:after="0" w:line="316" w:lineRule="auto"/>
        <w:tabs>
          <w:tab w:leader="none" w:pos="17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INDIVIDUAL DOLLAR LIMITATION. The aggregate Fair Market Value (determined as of the Grant Date) of all Shares with respect to which Incentive Stock Options are first exercisable by a Participant in any calendar year may not exceed $100,000.00.</w:t>
      </w:r>
    </w:p>
    <w:p>
      <w:pPr>
        <w:spacing w:after="0" w:line="130" w:lineRule="exact"/>
        <w:rPr>
          <w:rFonts w:ascii="Arial" w:cs="Arial" w:eastAsia="Arial" w:hAnsi="Arial"/>
          <w:sz w:val="18"/>
          <w:szCs w:val="18"/>
          <w:color w:val="auto"/>
        </w:rPr>
      </w:pPr>
    </w:p>
    <w:p>
      <w:pPr>
        <w:jc w:val="both"/>
        <w:ind w:left="660" w:firstLine="645"/>
        <w:spacing w:after="0" w:line="246" w:lineRule="auto"/>
        <w:tabs>
          <w:tab w:leader="none" w:pos="1746" w:val="left"/>
        </w:tabs>
        <w:numPr>
          <w:ilvl w:val="0"/>
          <w:numId w:val="65"/>
        </w:numPr>
        <w:rPr>
          <w:rFonts w:ascii="Arial" w:cs="Arial" w:eastAsia="Arial" w:hAnsi="Arial"/>
          <w:sz w:val="20"/>
          <w:szCs w:val="20"/>
          <w:color w:val="auto"/>
        </w:rPr>
      </w:pPr>
      <w:r>
        <w:rPr>
          <w:rFonts w:ascii="Arial" w:cs="Arial" w:eastAsia="Arial" w:hAnsi="Arial"/>
          <w:sz w:val="20"/>
          <w:szCs w:val="20"/>
          <w:color w:val="auto"/>
        </w:rPr>
        <w:t>TEN PERCENT OWNERS.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91" w:lineRule="exact"/>
        <w:rPr>
          <w:rFonts w:ascii="Arial" w:cs="Arial" w:eastAsia="Arial" w:hAnsi="Arial"/>
          <w:sz w:val="20"/>
          <w:szCs w:val="20"/>
          <w:color w:val="auto"/>
        </w:rPr>
      </w:pPr>
    </w:p>
    <w:p>
      <w:pPr>
        <w:jc w:val="both"/>
        <w:ind w:left="660" w:firstLine="645"/>
        <w:spacing w:after="0" w:line="250" w:lineRule="auto"/>
        <w:tabs>
          <w:tab w:leader="none" w:pos="1816" w:val="left"/>
        </w:tabs>
        <w:numPr>
          <w:ilvl w:val="0"/>
          <w:numId w:val="65"/>
        </w:numPr>
        <w:rPr>
          <w:rFonts w:ascii="Arial" w:cs="Arial" w:eastAsia="Arial" w:hAnsi="Arial"/>
          <w:sz w:val="20"/>
          <w:szCs w:val="20"/>
          <w:color w:val="auto"/>
        </w:rPr>
      </w:pPr>
      <w:r>
        <w:rPr>
          <w:rFonts w:ascii="Arial" w:cs="Arial" w:eastAsia="Arial" w:hAnsi="Arial"/>
          <w:sz w:val="20"/>
          <w:szCs w:val="20"/>
          <w:color w:val="auto"/>
        </w:rPr>
        <w:t>EXPIRATION OF AUTHORITY TO GRANT INCENTIVE STOCK OPTIONS. No Incentive Stock Option may be granted pursuant to the Plan after the day immediately prior to the tenth anniversary of the date the Plan was adopted by the Board, or the termination of the Plan, if earlier.</w:t>
      </w:r>
    </w:p>
    <w:p>
      <w:pPr>
        <w:spacing w:after="0" w:line="186" w:lineRule="exact"/>
        <w:rPr>
          <w:rFonts w:ascii="Arial" w:cs="Arial" w:eastAsia="Arial" w:hAnsi="Arial"/>
          <w:sz w:val="20"/>
          <w:szCs w:val="20"/>
          <w:color w:val="auto"/>
        </w:rPr>
      </w:pPr>
    </w:p>
    <w:p>
      <w:pPr>
        <w:ind w:left="660" w:firstLine="645"/>
        <w:spacing w:after="0" w:line="260" w:lineRule="auto"/>
        <w:tabs>
          <w:tab w:leader="none" w:pos="1848" w:val="left"/>
        </w:tabs>
        <w:numPr>
          <w:ilvl w:val="0"/>
          <w:numId w:val="65"/>
        </w:numPr>
        <w:rPr>
          <w:rFonts w:ascii="Arial" w:cs="Arial" w:eastAsia="Arial" w:hAnsi="Arial"/>
          <w:sz w:val="20"/>
          <w:szCs w:val="20"/>
          <w:color w:val="auto"/>
        </w:rPr>
      </w:pPr>
      <w:r>
        <w:rPr>
          <w:rFonts w:ascii="Arial" w:cs="Arial" w:eastAsia="Arial" w:hAnsi="Arial"/>
          <w:sz w:val="20"/>
          <w:szCs w:val="20"/>
          <w:color w:val="auto"/>
        </w:rPr>
        <w:t>RIGHT TO EXERCISE. During a Participant's lifetime, an Incentive Stock Option may be exercised only by the Participant or, in the case of the Participant's Disability, by the Participant's guardian or legal representative.</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7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ELIGIBLE GRANTEES. The Committee may not grant an Incentive Stock Option to a person who is not at the Grant Date an employee of the Company or a Parent or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APPRECIATION RIGHTS</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 Participants on the following terms and conditions:</w:t>
      </w:r>
    </w:p>
    <w:p>
      <w:pPr>
        <w:spacing w:after="0" w:line="177" w:lineRule="exact"/>
        <w:rPr>
          <w:sz w:val="20"/>
          <w:szCs w:val="20"/>
          <w:color w:val="auto"/>
        </w:rPr>
      </w:pPr>
    </w:p>
    <w:p>
      <w:pPr>
        <w:ind w:left="660" w:right="20" w:firstLine="645"/>
        <w:spacing w:after="0" w:line="260" w:lineRule="auto"/>
        <w:tabs>
          <w:tab w:leader="none" w:pos="1708" w:val="left"/>
        </w:tabs>
        <w:numPr>
          <w:ilvl w:val="0"/>
          <w:numId w:val="66"/>
        </w:numPr>
        <w:rPr>
          <w:rFonts w:ascii="Arial" w:cs="Arial" w:eastAsia="Arial" w:hAnsi="Arial"/>
          <w:sz w:val="20"/>
          <w:szCs w:val="20"/>
          <w:color w:val="auto"/>
        </w:rPr>
      </w:pPr>
      <w:r>
        <w:rPr>
          <w:rFonts w:ascii="Arial" w:cs="Arial" w:eastAsia="Arial" w:hAnsi="Arial"/>
          <w:sz w:val="20"/>
          <w:szCs w:val="20"/>
          <w:color w:val="auto"/>
        </w:rPr>
        <w:t>RIGHT TO PAYMENT. Upon the exercise of a Stock Appreciation Right, the Participant has the right to receive, for each Share with respect to which the Stock Appreciation Right is being exercised, the excess, if any, of:</w:t>
      </w:r>
    </w:p>
    <w:p>
      <w:pPr>
        <w:spacing w:after="0" w:line="176" w:lineRule="exact"/>
        <w:rPr>
          <w:rFonts w:ascii="Arial" w:cs="Arial" w:eastAsia="Arial" w:hAnsi="Arial"/>
          <w:sz w:val="20"/>
          <w:szCs w:val="20"/>
          <w:color w:val="auto"/>
        </w:rPr>
      </w:pPr>
    </w:p>
    <w:p>
      <w:pPr>
        <w:ind w:left="2360" w:hanging="407"/>
        <w:spacing w:after="0"/>
        <w:tabs>
          <w:tab w:leader="none" w:pos="23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82" w:right="239" w:bottom="1440" w:gutter="0" w:footer="0" w:header="0"/>
        </w:sectPr>
      </w:pPr>
    </w:p>
    <w:bookmarkStart w:id="56" w:name="page57"/>
    <w:bookmarkEnd w:id="56"/>
    <w:p>
      <w:pPr>
        <w:ind w:left="1300" w:firstLine="653"/>
        <w:spacing w:after="0" w:line="260" w:lineRule="auto"/>
        <w:tabs>
          <w:tab w:leader="none" w:pos="2372"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76" w:lineRule="exact"/>
        <w:rPr>
          <w:rFonts w:ascii="Arial" w:cs="Arial" w:eastAsia="Arial" w:hAnsi="Arial"/>
          <w:sz w:val="20"/>
          <w:szCs w:val="20"/>
          <w:color w:val="auto"/>
        </w:rPr>
      </w:pPr>
    </w:p>
    <w:p>
      <w:pPr>
        <w:jc w:val="both"/>
        <w:ind w:left="660" w:firstLine="645"/>
        <w:spacing w:after="0" w:line="260" w:lineRule="auto"/>
        <w:tabs>
          <w:tab w:leader="none" w:pos="1732"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PROHIBITION ON REPRICING. Except as otherwise provided in Article 15, without the prior approval of stockholders of the Company: (i) the base price of a SAR may not be reduced, directly or indirectly, (ii) a SAR may not be cancelled in exchange for cash, other Awards, or Options or SARs with an exercise or base price that is less than the base price of the original SAR, or otherwise, and (iii) the Company may not repurchase a SAR for value (in cash or otherwise) from a Participant if the current Fair Market Value of the Shares underlying the SAR is lower than the base price per share of the SAR.</w:t>
      </w:r>
    </w:p>
    <w:p>
      <w:pPr>
        <w:spacing w:after="0" w:line="180" w:lineRule="exact"/>
        <w:rPr>
          <w:rFonts w:ascii="Arial" w:cs="Arial" w:eastAsia="Arial" w:hAnsi="Arial"/>
          <w:sz w:val="19"/>
          <w:szCs w:val="19"/>
          <w:color w:val="auto"/>
        </w:rPr>
      </w:pPr>
    </w:p>
    <w:p>
      <w:pPr>
        <w:ind w:left="660" w:firstLine="645"/>
        <w:spacing w:after="0" w:line="316" w:lineRule="auto"/>
        <w:tabs>
          <w:tab w:leader="none" w:pos="17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TIME AND CONDITIONS OF EXERCISE. The Committee shall determine the time or times at which a SAR may be exercised in whole or in part. No SAR granted under the Plan shall be exercisable for more than six years from the Grant Date.</w:t>
      </w:r>
    </w:p>
    <w:p>
      <w:pPr>
        <w:spacing w:after="0" w:line="130" w:lineRule="exact"/>
        <w:rPr>
          <w:rFonts w:ascii="Arial" w:cs="Arial" w:eastAsia="Arial" w:hAnsi="Arial"/>
          <w:sz w:val="18"/>
          <w:szCs w:val="18"/>
          <w:color w:val="auto"/>
        </w:rPr>
      </w:pPr>
    </w:p>
    <w:p>
      <w:pPr>
        <w:ind w:left="660" w:firstLine="645"/>
        <w:spacing w:after="0" w:line="260" w:lineRule="auto"/>
        <w:tabs>
          <w:tab w:leader="none" w:pos="1827"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76" w:lineRule="exact"/>
        <w:rPr>
          <w:rFonts w:ascii="Arial" w:cs="Arial" w:eastAsia="Arial" w:hAnsi="Arial"/>
          <w:sz w:val="20"/>
          <w:szCs w:val="20"/>
          <w:color w:val="auto"/>
        </w:rPr>
      </w:pPr>
    </w:p>
    <w:p>
      <w:pPr>
        <w:ind w:left="1760" w:hanging="455"/>
        <w:spacing w:after="0"/>
        <w:tabs>
          <w:tab w:leader="none" w:pos="17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15" w:lineRule="exact"/>
        <w:rPr>
          <w:rFonts w:ascii="Arial" w:cs="Arial" w:eastAsia="Arial" w:hAnsi="Arial"/>
          <w:sz w:val="20"/>
          <w:szCs w:val="20"/>
          <w:color w:val="auto"/>
        </w:rPr>
      </w:pPr>
    </w:p>
    <w:p>
      <w:pPr>
        <w:jc w:val="both"/>
        <w:ind w:left="660" w:firstLine="645"/>
        <w:spacing w:after="0" w:line="282" w:lineRule="auto"/>
        <w:tabs>
          <w:tab w:leader="none" w:pos="18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TERMS.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 In no event may any Stock Appreciation Rights be exercisable for more than six years from the Grant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SHARES</w:t>
      </w:r>
    </w:p>
    <w:p>
      <w:pPr>
        <w:spacing w:after="0" w:line="200"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34"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582" w:right="239" w:bottom="1440" w:gutter="0" w:footer="0" w:header="0"/>
        </w:sectPr>
      </w:pPr>
    </w:p>
    <w:bookmarkStart w:id="57" w:name="page58"/>
    <w:bookmarkEnd w:id="57"/>
    <w:p>
      <w:pPr>
        <w:jc w:val="both"/>
        <w:ind w:firstLine="648"/>
        <w:spacing w:after="0" w:line="24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RIGHT TO PAYMENT.</w:t>
      </w:r>
      <w:r>
        <w:rPr>
          <w:rFonts w:ascii="Arial" w:cs="Arial" w:eastAsia="Arial" w:hAnsi="Arial"/>
          <w:sz w:val="20"/>
          <w:szCs w:val="20"/>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i w:val="1"/>
          <w:iCs w:val="1"/>
          <w:color w:val="auto"/>
        </w:rPr>
        <w:t>GRANT OF RESTRICTED STOCK AND RESTRICTED STOCK UNITS.</w:t>
      </w:r>
      <w:r>
        <w:rPr>
          <w:rFonts w:ascii="Arial" w:cs="Arial" w:eastAsia="Arial" w:hAnsi="Arial"/>
          <w:sz w:val="19"/>
          <w:szCs w:val="19"/>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i w:val="1"/>
          <w:iCs w:val="1"/>
          <w:color w:val="auto"/>
        </w:rPr>
        <w:t>ISSUANCE AND RESTRICTIONS.</w:t>
      </w:r>
      <w:r>
        <w:rPr>
          <w:rFonts w:ascii="Arial" w:cs="Arial" w:eastAsia="Arial" w:hAnsi="Arial"/>
          <w:sz w:val="19"/>
          <w:szCs w:val="19"/>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i w:val="1"/>
          <w:iCs w:val="1"/>
          <w:color w:val="auto"/>
        </w:rPr>
        <w:t>DELIVERY OF RESTRICTED STOCK.</w:t>
      </w:r>
      <w:r>
        <w:rPr>
          <w:rFonts w:ascii="Arial" w:cs="Arial" w:eastAsia="Arial" w:hAnsi="Arial"/>
          <w:sz w:val="19"/>
          <w:szCs w:val="19"/>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798" w:right="239" w:bottom="1440" w:gutter="0" w:footer="0" w:header="0"/>
        </w:sectPr>
      </w:pPr>
    </w:p>
    <w:bookmarkStart w:id="58" w:name="page59"/>
    <w:bookmarkEnd w:id="58"/>
    <w:p>
      <w:pPr>
        <w:jc w:val="both"/>
        <w:spacing w:after="0" w:line="313" w:lineRule="auto"/>
        <w:rPr>
          <w:sz w:val="20"/>
          <w:szCs w:val="20"/>
          <w:color w:val="auto"/>
        </w:rPr>
      </w:pPr>
      <w:r>
        <w:rPr>
          <w:rFonts w:ascii="Arial" w:cs="Arial" w:eastAsia="Arial" w:hAnsi="Arial"/>
          <w:sz w:val="16"/>
          <w:szCs w:val="16"/>
          <w:color w:val="auto"/>
        </w:rPr>
        <w:t>paid to stockholders,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provisions of such Restricted Stock lapse.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STOCK UNITS</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DIVIDEND EQUIVALENTS</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15th day of the 3rd month following the later of (i) the calendar year in which the corresponding dividends were paid to stockholders,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provisions of the Performance Shares lapse.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b w:val="1"/>
          <w:bCs w:val="1"/>
          <w:color w:val="auto"/>
        </w:rPr>
        <w:t>STOCK OR OTHER STOCK</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BASED AWARDS</w:t>
      </w:r>
    </w:p>
    <w:p>
      <w:pPr>
        <w:spacing w:after="0" w:line="200" w:lineRule="exact"/>
        <w:rPr>
          <w:sz w:val="20"/>
          <w:szCs w:val="20"/>
          <w:color w:val="auto"/>
        </w:rPr>
      </w:pPr>
    </w:p>
    <w:p>
      <w:pPr>
        <w:jc w:val="both"/>
        <w:ind w:firstLine="648"/>
        <w:spacing w:after="0" w:line="234" w:lineRule="exact"/>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i w:val="1"/>
          <w:iCs w:val="1"/>
          <w:color w:val="auto"/>
        </w:rPr>
        <w:t>GRANT OF STOCK OR OTHER STOCK</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BASED AWARDS.</w:t>
      </w:r>
      <w:r>
        <w:rPr>
          <w:rFonts w:ascii="Arial" w:cs="Arial" w:eastAsia="Arial" w:hAnsi="Arial"/>
          <w:sz w:val="19"/>
          <w:szCs w:val="19"/>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58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PROVISIONS APPLICABLE TO AWARDS</w:t>
      </w:r>
    </w:p>
    <w:p>
      <w:pPr>
        <w:spacing w:after="0" w:line="200"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six (6) years from its Grant Date (or, if Section 7.2(d) applies, five years from its Grant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i w:val="1"/>
          <w:iCs w:val="1"/>
          <w:color w:val="auto"/>
        </w:rPr>
        <w:t>FORM OF PAYMENT FOR AWARDS.</w:t>
      </w:r>
      <w:r>
        <w:rPr>
          <w:rFonts w:ascii="Arial" w:cs="Arial" w:eastAsia="Arial" w:hAnsi="Arial"/>
          <w:sz w:val="19"/>
          <w:szCs w:val="19"/>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7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i w:val="1"/>
          <w:iCs w:val="1"/>
          <w:color w:val="auto"/>
        </w:rPr>
        <w:t>STOCK CERTIFICATES.</w:t>
      </w:r>
      <w:r>
        <w:rPr>
          <w:rFonts w:ascii="Arial" w:cs="Arial" w:eastAsia="Arial" w:hAnsi="Arial"/>
          <w:sz w:val="19"/>
          <w:szCs w:val="19"/>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i w:val="1"/>
          <w:iCs w:val="1"/>
          <w:color w:val="auto"/>
        </w:rPr>
        <w:t>ACCELERATION UPON A CHANGE IN CONTROL.</w:t>
      </w:r>
      <w:r>
        <w:rPr>
          <w:rFonts w:ascii="Arial" w:cs="Arial" w:eastAsia="Arial" w:hAnsi="Arial"/>
          <w:sz w:val="18"/>
          <w:szCs w:val="18"/>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576" w:right="239" w:bottom="1440" w:gutter="0" w:footer="0" w:header="0"/>
        </w:sectPr>
      </w:pPr>
    </w:p>
    <w:bookmarkStart w:id="60" w:name="page61"/>
    <w:bookmarkEnd w:id="60"/>
    <w:p>
      <w:pPr>
        <w:jc w:val="both"/>
        <w:ind w:right="20"/>
        <w:spacing w:after="0" w:line="234" w:lineRule="exact"/>
        <w:rPr>
          <w:sz w:val="20"/>
          <w:szCs w:val="20"/>
          <w:color w:val="auto"/>
        </w:rPr>
      </w:pPr>
      <w:r>
        <w:rPr>
          <w:rFonts w:ascii="Arial" w:cs="Arial" w:eastAsia="Arial" w:hAnsi="Arial"/>
          <w:sz w:val="19"/>
          <w:szCs w:val="19"/>
          <w:color w:val="auto"/>
        </w:rPr>
        <w:t>Control, the target payout opportunities attainable under all outstanding performance</w:t>
      </w:r>
      <w:r>
        <w:rPr>
          <w:rFonts w:ascii="MS PGothic" w:cs="MS PGothic" w:eastAsia="MS PGothic" w:hAnsi="MS PGothic"/>
          <w:sz w:val="19"/>
          <w:szCs w:val="19"/>
          <w:color w:val="auto"/>
        </w:rPr>
        <w:t>‑</w:t>
      </w:r>
      <w:r>
        <w:rPr>
          <w:rFonts w:ascii="Arial" w:cs="Arial" w:eastAsia="Arial" w:hAnsi="Arial"/>
          <w:sz w:val="19"/>
          <w:szCs w:val="19"/>
          <w:color w:val="auto"/>
        </w:rPr>
        <w:t>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payout to the Participant or his or her estate within thirty (30) days following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90"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18"/>
          <w:szCs w:val="18"/>
          <w:color w:val="auto"/>
        </w:rPr>
        <w:t>‑</w:t>
      </w:r>
      <w:r>
        <w:rPr>
          <w:rFonts w:ascii="Arial" w:cs="Arial" w:eastAsia="Arial" w:hAnsi="Arial"/>
          <w:sz w:val="18"/>
          <w:szCs w:val="18"/>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i w:val="1"/>
          <w:iCs w:val="1"/>
          <w:color w:val="auto"/>
        </w:rPr>
        <w:t>EFFECT OF ACCELERATION.</w:t>
      </w:r>
      <w:r>
        <w:rPr>
          <w:rFonts w:ascii="Arial" w:cs="Arial" w:eastAsia="Arial" w:hAnsi="Arial"/>
          <w:sz w:val="19"/>
          <w:szCs w:val="19"/>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04" w:lineRule="exact"/>
        <w:rPr>
          <w:sz w:val="20"/>
          <w:szCs w:val="20"/>
          <w:color w:val="auto"/>
        </w:rPr>
      </w:pPr>
    </w:p>
    <w:p>
      <w:pPr>
        <w:ind w:left="660"/>
        <w:spacing w:after="0" w:line="230" w:lineRule="exact"/>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i w:val="1"/>
          <w:iCs w:val="1"/>
          <w:color w:val="auto"/>
        </w:rPr>
        <w:t>QUALIFIED PERFORMANCE</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BASED AWARDS.</w:t>
      </w:r>
    </w:p>
    <w:p>
      <w:pPr>
        <w:spacing w:after="0" w:line="216" w:lineRule="exact"/>
        <w:rPr>
          <w:sz w:val="20"/>
          <w:szCs w:val="20"/>
          <w:color w:val="auto"/>
        </w:rPr>
      </w:pPr>
    </w:p>
    <w:p>
      <w:pPr>
        <w:jc w:val="both"/>
        <w:ind w:left="660" w:firstLine="645"/>
        <w:spacing w:after="0" w:line="250" w:lineRule="auto"/>
        <w:tabs>
          <w:tab w:leader="none" w:pos="170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6" w:lineRule="exact"/>
        <w:rPr>
          <w:rFonts w:ascii="Arial" w:cs="Arial" w:eastAsia="Arial" w:hAnsi="Arial"/>
          <w:sz w:val="20"/>
          <w:szCs w:val="20"/>
          <w:color w:val="auto"/>
        </w:rPr>
      </w:pPr>
    </w:p>
    <w:p>
      <w:pPr>
        <w:jc w:val="both"/>
        <w:ind w:left="660" w:firstLine="645"/>
        <w:spacing w:after="0" w:line="234" w:lineRule="exact"/>
        <w:tabs>
          <w:tab w:leader="none" w:pos="1787" w:val="left"/>
        </w:tabs>
        <w:numPr>
          <w:ilvl w:val="0"/>
          <w:numId w:val="69"/>
        </w:numPr>
        <w:rPr>
          <w:rFonts w:ascii="Arial" w:cs="Arial" w:eastAsia="Arial" w:hAnsi="Arial"/>
          <w:sz w:val="19"/>
          <w:szCs w:val="19"/>
          <w:color w:val="auto"/>
        </w:rPr>
      </w:pPr>
      <w:r>
        <w:rPr>
          <w:rFonts w:ascii="Arial" w:cs="Arial" w:eastAsia="Arial" w:hAnsi="Arial"/>
          <w:sz w:val="19"/>
          <w:szCs w:val="19"/>
          <w:color w:val="auto"/>
        </w:rPr>
        <w:t>When granting any other Award, the Committee may designate such Award as a Qualified Performance</w:t>
      </w:r>
      <w:r>
        <w:rPr>
          <w:rFonts w:ascii="MS PGothic" w:cs="MS PGothic" w:eastAsia="MS PGothic" w:hAnsi="MS PGothic"/>
          <w:sz w:val="19"/>
          <w:szCs w:val="19"/>
          <w:color w:val="auto"/>
        </w:rPr>
        <w:t>‑</w:t>
      </w:r>
      <w:r>
        <w:rPr>
          <w:rFonts w:ascii="Arial" w:cs="Arial" w:eastAsia="Arial" w:hAnsi="Arial"/>
          <w:sz w:val="19"/>
          <w:szCs w:val="19"/>
          <w:color w:val="auto"/>
        </w:rPr>
        <w:t>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58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objectives that relate to the performance of an Affiliate or a unit, division, region, department or function within the Company or an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Affiliate:</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Gross and/or net revenue (including whether in the aggregate or attributable to specific products)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Cost of Goods Sold and Gross Margin</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Costs and expenses, including Research &amp; Development and Selling, General &amp; Administrative</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Income (gross, operating, net, etc.)</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Earnings, including before interest, taxes, depreciation and amortization (whether in the aggregate or on a per share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basis</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Cash flows and share price</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Return on assets, investment, capital, equity</w:t>
      </w:r>
    </w:p>
    <w:p>
      <w:pPr>
        <w:spacing w:after="0" w:line="216" w:lineRule="exact"/>
        <w:rPr>
          <w:sz w:val="20"/>
          <w:szCs w:val="20"/>
          <w:color w:val="auto"/>
        </w:rPr>
      </w:pPr>
    </w:p>
    <w:p>
      <w:pPr>
        <w:jc w:val="both"/>
        <w:ind w:left="960" w:firstLine="648"/>
        <w:spacing w:after="0" w:line="260" w:lineRule="auto"/>
        <w:rPr>
          <w:sz w:val="20"/>
          <w:szCs w:val="20"/>
          <w:color w:val="auto"/>
        </w:rPr>
      </w:pPr>
      <w:r>
        <w:rPr>
          <w:rFonts w:ascii="Arial" w:cs="Arial" w:eastAsia="Arial" w:hAnsi="Arial"/>
          <w:sz w:val="20"/>
          <w:szCs w:val="20"/>
          <w:color w:val="auto"/>
        </w:rPr>
        <w:t>Manufacturing efficiency (including yield enhancement and cycle time reductions), quality improvements and customer satisfaction</w:t>
      </w:r>
    </w:p>
    <w:p>
      <w:pPr>
        <w:spacing w:after="0" w:line="177" w:lineRule="exact"/>
        <w:rPr>
          <w:sz w:val="20"/>
          <w:szCs w:val="20"/>
          <w:color w:val="auto"/>
        </w:rPr>
      </w:pPr>
    </w:p>
    <w:p>
      <w:pPr>
        <w:jc w:val="both"/>
        <w:ind w:left="960" w:right="20" w:firstLine="648"/>
        <w:spacing w:after="0" w:line="260" w:lineRule="auto"/>
        <w:rPr>
          <w:sz w:val="20"/>
          <w:szCs w:val="20"/>
          <w:color w:val="auto"/>
        </w:rPr>
      </w:pPr>
      <w:r>
        <w:rPr>
          <w:rFonts w:ascii="Arial" w:cs="Arial" w:eastAsia="Arial" w:hAnsi="Arial"/>
          <w:sz w:val="20"/>
          <w:szCs w:val="20"/>
          <w:color w:val="auto"/>
        </w:rPr>
        <w:t>Product life cycle management (including product and technology design, development, transfer, manufacturing introduction, and sales price optimization and management)</w:t>
      </w:r>
    </w:p>
    <w:p>
      <w:pPr>
        <w:spacing w:after="0" w:line="177"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Economic profit or loss</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Market share</w:t>
      </w:r>
    </w:p>
    <w:p>
      <w:pPr>
        <w:spacing w:after="0" w:line="216"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Employee retention, compensation, training and development, including succession planning</w:t>
      </w:r>
    </w:p>
    <w:p>
      <w:pPr>
        <w:spacing w:after="0" w:line="216" w:lineRule="exact"/>
        <w:rPr>
          <w:sz w:val="20"/>
          <w:szCs w:val="20"/>
          <w:color w:val="auto"/>
        </w:rPr>
      </w:pPr>
    </w:p>
    <w:p>
      <w:pPr>
        <w:jc w:val="both"/>
        <w:ind w:left="960" w:firstLine="648"/>
        <w:spacing w:after="0" w:line="250" w:lineRule="auto"/>
        <w:rPr>
          <w:sz w:val="20"/>
          <w:szCs w:val="20"/>
          <w:color w:val="auto"/>
        </w:rPr>
      </w:pPr>
      <w:r>
        <w:rPr>
          <w:rFonts w:ascii="Arial" w:cs="Arial" w:eastAsia="Arial" w:hAnsi="Arial"/>
          <w:sz w:val="20"/>
          <w:szCs w:val="20"/>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8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w:t>
      </w:r>
      <w:r>
        <w:rPr>
          <w:rFonts w:ascii="MS PGothic" w:cs="MS PGothic" w:eastAsia="MS PGothic" w:hAnsi="MS PGothic"/>
          <w:sz w:val="19"/>
          <w:szCs w:val="19"/>
          <w:color w:val="auto"/>
        </w:rPr>
        <w:t>‑</w:t>
      </w:r>
      <w:r>
        <w:rPr>
          <w:rFonts w:ascii="Arial" w:cs="Arial" w:eastAsia="Arial" w:hAnsi="Arial"/>
          <w:sz w:val="19"/>
          <w:szCs w:val="19"/>
          <w:color w:val="auto"/>
        </w:rPr>
        <w:t xml:space="preserve"> 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8" w:lineRule="exact"/>
        <w:rPr>
          <w:sz w:val="20"/>
          <w:szCs w:val="20"/>
          <w:color w:val="auto"/>
        </w:rPr>
      </w:pPr>
    </w:p>
    <w:p>
      <w:pPr>
        <w:jc w:val="both"/>
        <w:ind w:firstLine="645"/>
        <w:spacing w:after="0" w:line="232" w:lineRule="exact"/>
        <w:tabs>
          <w:tab w:leader="none" w:pos="1197" w:val="left"/>
        </w:tabs>
        <w:numPr>
          <w:ilvl w:val="0"/>
          <w:numId w:val="70"/>
        </w:numPr>
        <w:rPr>
          <w:rFonts w:ascii="Arial" w:cs="Arial" w:eastAsia="Arial" w:hAnsi="Arial"/>
          <w:sz w:val="20"/>
          <w:szCs w:val="20"/>
          <w:color w:val="auto"/>
        </w:rPr>
      </w:pPr>
      <w:r>
        <w:rPr>
          <w:rFonts w:ascii="Arial" w:cs="Arial" w:eastAsia="Arial" w:hAnsi="Arial"/>
          <w:sz w:val="20"/>
          <w:szCs w:val="20"/>
          <w:color w:val="auto"/>
        </w:rPr>
        <w:t>Each 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 may be as short as ninety (90) days and may be any longer period. In addition,</w:t>
      </w: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760"/>
          </w:cols>
          <w:pgMar w:left="900" w:top="582" w:right="239" w:bottom="1440" w:gutter="0" w:footer="0" w:header="0"/>
        </w:sectPr>
      </w:pPr>
    </w:p>
    <w:bookmarkStart w:id="62" w:name="page63"/>
    <w:bookmarkEnd w:id="62"/>
    <w:p>
      <w:pPr>
        <w:jc w:val="both"/>
        <w:ind w:left="660"/>
        <w:spacing w:after="0" w:line="269" w:lineRule="auto"/>
        <w:rPr>
          <w:sz w:val="20"/>
          <w:szCs w:val="20"/>
          <w:color w:val="auto"/>
        </w:rPr>
      </w:pPr>
      <w:r>
        <w:rPr>
          <w:rFonts w:ascii="Arial" w:cs="Arial" w:eastAsia="Arial" w:hAnsi="Arial"/>
          <w:sz w:val="19"/>
          <w:szCs w:val="19"/>
          <w:color w:val="auto"/>
        </w:rPr>
        <w:t>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170" w:lineRule="exact"/>
        <w:rPr>
          <w:sz w:val="20"/>
          <w:szCs w:val="20"/>
          <w:color w:val="auto"/>
        </w:rPr>
      </w:pPr>
    </w:p>
    <w:p>
      <w:pPr>
        <w:jc w:val="both"/>
        <w:ind w:left="660" w:firstLine="645"/>
        <w:spacing w:after="0" w:line="235" w:lineRule="exact"/>
        <w:tabs>
          <w:tab w:leader="none" w:pos="189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w:t>
      </w:r>
      <w:r>
        <w:rPr>
          <w:rFonts w:ascii="MS PGothic" w:cs="MS PGothic" w:eastAsia="MS PGothic" w:hAnsi="MS PGothic"/>
          <w:sz w:val="18"/>
          <w:szCs w:val="18"/>
          <w:color w:val="auto"/>
        </w:rPr>
        <w:t>‑</w:t>
      </w:r>
      <w:r>
        <w:rPr>
          <w:rFonts w:ascii="Arial" w:cs="Arial" w:eastAsia="Arial" w:hAnsi="Arial"/>
          <w:sz w:val="18"/>
          <w:szCs w:val="18"/>
          <w:color w:val="auto"/>
        </w:rPr>
        <w:t>downs or impairment charges;</w:t>
      </w:r>
    </w:p>
    <w:p>
      <w:pPr>
        <w:spacing w:after="0" w:line="1" w:lineRule="exact"/>
        <w:rPr>
          <w:rFonts w:ascii="Arial" w:cs="Arial" w:eastAsia="Arial" w:hAnsi="Arial"/>
          <w:sz w:val="18"/>
          <w:szCs w:val="18"/>
          <w:color w:val="auto"/>
        </w:rPr>
      </w:pPr>
    </w:p>
    <w:p>
      <w:pPr>
        <w:jc w:val="both"/>
        <w:ind w:left="660" w:hanging="4"/>
        <w:spacing w:after="0" w:line="272" w:lineRule="auto"/>
        <w:tabs>
          <w:tab w:leader="none" w:pos="9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 principles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0" w:lineRule="exact"/>
        <w:rPr>
          <w:rFonts w:ascii="Arial" w:cs="Arial" w:eastAsia="Arial" w:hAnsi="Arial"/>
          <w:sz w:val="18"/>
          <w:szCs w:val="18"/>
          <w:color w:val="auto"/>
        </w:rPr>
      </w:pPr>
    </w:p>
    <w:p>
      <w:pPr>
        <w:jc w:val="both"/>
        <w:ind w:left="660" w:firstLine="645"/>
        <w:spacing w:after="0" w:line="232" w:lineRule="exact"/>
        <w:tabs>
          <w:tab w:leader="none" w:pos="173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under the Plan, in any manner to waive the achievement of the applicable performance goal based on Qualified Business Criteria or to increase the amount payable pursuant thereto or the value thereof, or otherwise in a manner that would cause the Qualified Performance</w:t>
      </w:r>
      <w:r>
        <w:rPr>
          <w:rFonts w:ascii="MS PGothic" w:cs="MS PGothic" w:eastAsia="MS PGothic" w:hAnsi="MS PGothic"/>
          <w:sz w:val="18"/>
          <w:szCs w:val="18"/>
          <w:color w:val="auto"/>
        </w:rPr>
        <w:t>‑</w:t>
      </w:r>
      <w:r>
        <w:rPr>
          <w:rFonts w:ascii="Arial" w:cs="Arial" w:eastAsia="Arial" w:hAnsi="Arial"/>
          <w:sz w:val="18"/>
          <w:szCs w:val="18"/>
          <w:color w:val="auto"/>
        </w:rPr>
        <w:t xml:space="preserve"> Based Award to cease to qualify for the Section 162(m) Exemption.</w:t>
      </w:r>
    </w:p>
    <w:p>
      <w:pPr>
        <w:spacing w:after="0" w:line="197" w:lineRule="exact"/>
        <w:rPr>
          <w:rFonts w:ascii="Arial" w:cs="Arial" w:eastAsia="Arial" w:hAnsi="Arial"/>
          <w:sz w:val="18"/>
          <w:szCs w:val="18"/>
          <w:color w:val="auto"/>
        </w:rPr>
      </w:pPr>
    </w:p>
    <w:p>
      <w:pPr>
        <w:ind w:left="660" w:firstLine="645"/>
        <w:spacing w:after="0" w:line="240" w:lineRule="exact"/>
        <w:tabs>
          <w:tab w:leader="none" w:pos="1754" w:val="left"/>
        </w:tabs>
        <w:numPr>
          <w:ilvl w:val="1"/>
          <w:numId w:val="72"/>
        </w:numPr>
        <w:rPr>
          <w:rFonts w:ascii="Arial" w:cs="Arial" w:eastAsia="Arial" w:hAnsi="Arial"/>
          <w:sz w:val="20"/>
          <w:szCs w:val="20"/>
          <w:color w:val="auto"/>
        </w:rPr>
      </w:pPr>
      <w:r>
        <w:rPr>
          <w:rFonts w:ascii="Arial" w:cs="Arial" w:eastAsia="Arial" w:hAnsi="Arial"/>
          <w:sz w:val="20"/>
          <w:szCs w:val="20"/>
          <w:color w:val="auto"/>
        </w:rPr>
        <w:t>Section 5.4 sets forth the maximum number of Shares or dollar value that may be granted in any one-year period to a Participant in designated forms of Qualified Performance</w:t>
      </w:r>
      <w:r>
        <w:rPr>
          <w:rFonts w:ascii="MS PGothic" w:cs="MS PGothic" w:eastAsia="MS PGothic" w:hAnsi="MS PGothic"/>
          <w:sz w:val="20"/>
          <w:szCs w:val="20"/>
          <w:color w:val="auto"/>
        </w:rPr>
        <w:t>‑</w:t>
      </w:r>
      <w:r>
        <w:rPr>
          <w:rFonts w:ascii="Arial" w:cs="Arial" w:eastAsia="Arial" w:hAnsi="Arial"/>
          <w:sz w:val="20"/>
          <w:szCs w:val="20"/>
          <w:color w:val="auto"/>
        </w:rPr>
        <w:t>Based Awards.</w:t>
      </w:r>
    </w:p>
    <w:p>
      <w:pPr>
        <w:spacing w:after="0" w:line="196" w:lineRule="exact"/>
        <w:rPr>
          <w:rFonts w:ascii="Arial" w:cs="Arial" w:eastAsia="Arial" w:hAnsi="Arial"/>
          <w:sz w:val="20"/>
          <w:szCs w:val="20"/>
          <w:color w:val="auto"/>
        </w:rPr>
      </w:pPr>
    </w:p>
    <w:p>
      <w:pPr>
        <w:jc w:val="both"/>
        <w:ind w:left="660" w:firstLine="645"/>
        <w:spacing w:after="0" w:line="232" w:lineRule="exact"/>
        <w:tabs>
          <w:tab w:leader="none" w:pos="1773"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 respect to a Participant who is an officer of the Company, any payment of a Qualified Performance</w:t>
      </w:r>
      <w:r>
        <w:rPr>
          <w:rFonts w:ascii="MS PGothic" w:cs="MS PGothic" w:eastAsia="MS PGothic" w:hAnsi="MS PGothic"/>
          <w:sz w:val="18"/>
          <w:szCs w:val="18"/>
          <w:color w:val="auto"/>
        </w:rPr>
        <w:t>‑</w:t>
      </w:r>
      <w:r>
        <w:rPr>
          <w:rFonts w:ascii="Arial" w:cs="Arial" w:eastAsia="Arial" w:hAnsi="Arial"/>
          <w:sz w:val="18"/>
          <w:szCs w:val="18"/>
          <w:color w:val="auto"/>
        </w:rPr>
        <w:t>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i w:val="1"/>
          <w:iCs w:val="1"/>
          <w:color w:val="auto"/>
        </w:rPr>
        <w:t>TERMINATION OF EMPLOYMENT.</w:t>
      </w:r>
      <w:r>
        <w:rPr>
          <w:rFonts w:ascii="Arial" w:cs="Arial" w:eastAsia="Arial" w:hAnsi="Arial"/>
          <w:sz w:val="20"/>
          <w:szCs w:val="20"/>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582" w:right="239" w:bottom="1440" w:gutter="0" w:footer="0" w:header="0"/>
        </w:sectPr>
      </w:pPr>
    </w:p>
    <w:bookmarkStart w:id="63" w:name="page64"/>
    <w:bookmarkEnd w:id="63"/>
    <w:p>
      <w:pPr>
        <w:jc w:val="both"/>
        <w:spacing w:after="0" w:line="260" w:lineRule="auto"/>
        <w:rPr>
          <w:sz w:val="20"/>
          <w:szCs w:val="20"/>
          <w:color w:val="auto"/>
        </w:rPr>
      </w:pPr>
      <w:r>
        <w:rPr>
          <w:rFonts w:ascii="Arial" w:cs="Arial" w:eastAsia="Arial" w:hAnsi="Arial"/>
          <w:sz w:val="19"/>
          <w:szCs w:val="19"/>
          <w:color w:val="auto"/>
        </w:rPr>
        <w:t>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81"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i w:val="1"/>
          <w:iCs w:val="1"/>
          <w:color w:val="auto"/>
        </w:rPr>
        <w:t>DEFERRAL.</w:t>
      </w:r>
      <w:r>
        <w:rPr>
          <w:rFonts w:ascii="Arial" w:cs="Arial" w:eastAsia="Arial" w:hAnsi="Arial"/>
          <w:sz w:val="20"/>
          <w:szCs w:val="20"/>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w:t>
      </w:r>
      <w:r>
        <w:rPr>
          <w:rFonts w:ascii="MS PGothic" w:cs="MS PGothic" w:eastAsia="MS PGothic" w:hAnsi="MS PGothic"/>
          <w:sz w:val="20"/>
          <w:szCs w:val="20"/>
          <w:color w:val="auto"/>
        </w:rPr>
        <w:t>‑</w:t>
      </w:r>
      <w:r>
        <w:rPr>
          <w:rFonts w:ascii="Arial" w:cs="Arial" w:eastAsia="Arial" w:hAnsi="Arial"/>
          <w:sz w:val="20"/>
          <w:szCs w:val="20"/>
          <w:color w:val="auto"/>
        </w:rPr>
        <w:t xml:space="preserve"> Based Awards. If any such deferral election is required or permitted, the Board shall, in its sole discretion, establish rules and procedures for such payment deferrals in compliance with Section 409A of the Code and other applicable law.</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i w:val="1"/>
          <w:iCs w:val="1"/>
          <w:color w:val="auto"/>
        </w:rPr>
        <w:t>FORFEITURE EVENTS.</w:t>
      </w:r>
      <w:r>
        <w:rPr>
          <w:rFonts w:ascii="Arial" w:cs="Arial" w:eastAsia="Arial" w:hAnsi="Arial"/>
          <w:sz w:val="18"/>
          <w:szCs w:val="18"/>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71"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 xml:space="preserve">14.15.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 stock</w:t>
      </w:r>
      <w:r>
        <w:rPr>
          <w:rFonts w:ascii="MS PGothic" w:cs="MS PGothic" w:eastAsia="MS PGothic" w:hAnsi="MS PGothic"/>
          <w:sz w:val="20"/>
          <w:szCs w:val="20"/>
          <w:color w:val="auto"/>
        </w:rPr>
        <w:t>‑</w:t>
      </w:r>
      <w:r>
        <w:rPr>
          <w:rFonts w:ascii="Arial" w:cs="Arial" w:eastAsia="Arial" w:hAnsi="Arial"/>
          <w:sz w:val="20"/>
          <w:szCs w:val="20"/>
          <w:color w:val="auto"/>
        </w:rPr>
        <w:t>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CHANGES IN CAPITAL STRUCTURE</w:t>
      </w:r>
    </w:p>
    <w:p>
      <w:pPr>
        <w:spacing w:after="0" w:line="200"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i w:val="1"/>
          <w:iCs w:val="1"/>
          <w:color w:val="auto"/>
        </w:rPr>
        <w:t>MANDATORY ADJUSTMENTS.</w:t>
      </w:r>
      <w:r>
        <w:rPr>
          <w:rFonts w:ascii="Arial" w:cs="Arial" w:eastAsia="Arial" w:hAnsi="Arial"/>
          <w:sz w:val="19"/>
          <w:szCs w:val="19"/>
          <w:color w:val="auto"/>
        </w:rPr>
        <w:t xml:space="preserve"> Subject to any required action by the stockholders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w:t>
      </w:r>
      <w:r>
        <w:rPr>
          <w:rFonts w:ascii="MS PGothic" w:cs="MS PGothic" w:eastAsia="MS PGothic" w:hAnsi="MS PGothic"/>
          <w:sz w:val="19"/>
          <w:szCs w:val="19"/>
          <w:color w:val="auto"/>
        </w:rPr>
        <w:t>‑</w:t>
      </w:r>
      <w:r>
        <w:rPr>
          <w:rFonts w:ascii="Arial" w:cs="Arial" w:eastAsia="Arial" w:hAnsi="Arial"/>
          <w:sz w:val="19"/>
          <w:szCs w:val="19"/>
          <w:color w:val="auto"/>
        </w:rPr>
        <w:t>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582" w:right="2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9"/>
          <w:szCs w:val="19"/>
          <w:color w:val="auto"/>
        </w:rPr>
        <w:t>Article 15 cause Incentive Stock Options to cease to qualify as Incentive Stock Options, such Options shall be deemed to be Nonstatutory Stock Options. Notwithstanding the foregoing, the Committee shall not make any adjustments to outstanding Options or SARs that would constitute a modification or substitution of the stock right under Treas. Reg. Sections 1.409A-1(b)(5)(v) that would be treated as the grant of a new stock right or change in the form of payment for purposes of Code Section 409A.</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w:t>
      </w:r>
    </w:p>
    <w:p>
      <w:pPr>
        <w:spacing w:after="0" w:line="3" w:lineRule="exact"/>
        <w:rPr>
          <w:sz w:val="20"/>
          <w:szCs w:val="20"/>
          <w:color w:val="auto"/>
        </w:rPr>
      </w:pPr>
    </w:p>
    <w:p>
      <w:pPr>
        <w:jc w:val="both"/>
        <w:ind w:firstLine="8"/>
        <w:spacing w:after="0" w:line="255" w:lineRule="auto"/>
        <w:tabs>
          <w:tab w:leader="none" w:pos="357"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77" w:lineRule="exact"/>
        <w:rPr>
          <w:sz w:val="20"/>
          <w:szCs w:val="20"/>
          <w:color w:val="auto"/>
        </w:rPr>
      </w:pPr>
    </w:p>
    <w:p>
      <w:pPr>
        <w:jc w:val="both"/>
        <w:ind w:left="660" w:firstLine="645"/>
        <w:spacing w:after="0" w:line="246" w:lineRule="auto"/>
        <w:tabs>
          <w:tab w:leader="none" w:pos="1735" w:val="left"/>
        </w:tabs>
        <w:numPr>
          <w:ilvl w:val="0"/>
          <w:numId w:val="74"/>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582" w:right="239" w:bottom="1440" w:gutter="0" w:footer="0" w:header="0"/>
        </w:sectPr>
      </w:pPr>
    </w:p>
    <w:bookmarkStart w:id="65" w:name="page66"/>
    <w:bookmarkEnd w:id="65"/>
    <w:p>
      <w:pPr>
        <w:ind w:left="660"/>
        <w:spacing w:after="0" w:line="260" w:lineRule="auto"/>
        <w:rPr>
          <w:sz w:val="20"/>
          <w:szCs w:val="20"/>
          <w:color w:val="auto"/>
        </w:rPr>
      </w:pPr>
      <w:r>
        <w:rPr>
          <w:rFonts w:ascii="Arial" w:cs="Arial" w:eastAsia="Arial" w:hAnsi="Arial"/>
          <w:sz w:val="20"/>
          <w:szCs w:val="20"/>
          <w:color w:val="auto"/>
        </w:rPr>
        <w:t>calculated as the excess, if any, of the Fair Market Value as of the date of such amendment or termination over the exercise or base price of such Award);</w:t>
      </w:r>
    </w:p>
    <w:p>
      <w:pPr>
        <w:spacing w:after="0" w:line="177" w:lineRule="exact"/>
        <w:rPr>
          <w:sz w:val="20"/>
          <w:szCs w:val="20"/>
          <w:color w:val="auto"/>
        </w:rPr>
      </w:pPr>
    </w:p>
    <w:p>
      <w:pPr>
        <w:ind w:left="1720" w:hanging="415"/>
        <w:spacing w:after="0"/>
        <w:tabs>
          <w:tab w:leader="none" w:pos="17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original term of an Option may not be extended without the prior approval of the stockholders of the Company;</w:t>
      </w:r>
    </w:p>
    <w:p>
      <w:pPr>
        <w:spacing w:after="0" w:line="227" w:lineRule="exact"/>
        <w:rPr>
          <w:rFonts w:ascii="Arial" w:cs="Arial" w:eastAsia="Arial" w:hAnsi="Arial"/>
          <w:sz w:val="19"/>
          <w:szCs w:val="19"/>
          <w:color w:val="auto"/>
        </w:rPr>
      </w:pPr>
    </w:p>
    <w:p>
      <w:pPr>
        <w:jc w:val="both"/>
        <w:ind w:left="660" w:firstLine="645"/>
        <w:spacing w:after="0" w:line="243" w:lineRule="auto"/>
        <w:tabs>
          <w:tab w:leader="none" w:pos="1830" w:val="left"/>
        </w:tabs>
        <w:numPr>
          <w:ilvl w:val="0"/>
          <w:numId w:val="75"/>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stockholders of the Company: (i) the exercise price or base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w:t>
      </w:r>
    </w:p>
    <w:p>
      <w:pPr>
        <w:spacing w:after="0" w:line="196" w:lineRule="exact"/>
        <w:rPr>
          <w:rFonts w:ascii="Arial" w:cs="Arial" w:eastAsia="Arial" w:hAnsi="Arial"/>
          <w:sz w:val="20"/>
          <w:szCs w:val="20"/>
          <w:color w:val="auto"/>
        </w:rPr>
      </w:pPr>
    </w:p>
    <w:p>
      <w:pPr>
        <w:jc w:val="both"/>
        <w:ind w:left="660" w:firstLine="645"/>
        <w:spacing w:after="0" w:line="259" w:lineRule="auto"/>
        <w:tabs>
          <w:tab w:leader="none" w:pos="1773"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i w:val="1"/>
          <w:iCs w:val="1"/>
          <w:color w:val="auto"/>
        </w:rPr>
        <w:t>NO RIGHTS TO AWARDS; NON-UNIFORM DETERMINATIONS.</w:t>
      </w:r>
      <w:r>
        <w:rPr>
          <w:rFonts w:ascii="Arial" w:cs="Arial" w:eastAsia="Arial" w:hAnsi="Arial"/>
          <w:sz w:val="19"/>
          <w:szCs w:val="19"/>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STOCKHOLDER RIGHTS.</w:t>
      </w:r>
      <w:r>
        <w:rPr>
          <w:rFonts w:ascii="Arial" w:cs="Arial" w:eastAsia="Arial" w:hAnsi="Arial"/>
          <w:sz w:val="20"/>
          <w:szCs w:val="20"/>
          <w:color w:val="auto"/>
        </w:rPr>
        <w:t xml:space="preserve"> No Award gives a Participant any of the rights of a stockholder of the Company unless and until Shares are in fact issued to such person in connection with such Award.</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SPECIAL PROVISIONS RELATED TO SECTION 409A OF THE CODE</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5"/>
        <w:spacing w:after="0" w:line="259" w:lineRule="auto"/>
        <w:tabs>
          <w:tab w:leader="none" w:pos="1789" w:val="left"/>
        </w:tabs>
        <w:numPr>
          <w:ilvl w:val="0"/>
          <w:numId w:val="76"/>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582" w:right="239" w:bottom="1440" w:gutter="0" w:footer="0" w:header="0"/>
        </w:sectPr>
      </w:pPr>
    </w:p>
    <w:bookmarkStart w:id="66" w:name="page67"/>
    <w:bookmarkEnd w:id="66"/>
    <w:p>
      <w:pPr>
        <w:jc w:val="both"/>
        <w:ind w:left="-540" w:firstLine="645"/>
        <w:spacing w:after="0" w:line="255" w:lineRule="auto"/>
        <w:tabs>
          <w:tab w:leader="none" w:pos="5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to the extent that any amount or benefit that would constitute non-exempt “deferred compensation” for purposes of Section 409A of the Code (“Non-Exempt Deferred Compensation”)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2" w:lineRule="exact"/>
        <w:rPr>
          <w:rFonts w:ascii="Arial" w:cs="Arial" w:eastAsia="Arial" w:hAnsi="Arial"/>
          <w:sz w:val="19"/>
          <w:szCs w:val="19"/>
          <w:color w:val="auto"/>
        </w:rPr>
      </w:pPr>
    </w:p>
    <w:p>
      <w:pPr>
        <w:jc w:val="both"/>
        <w:ind w:left="-540" w:firstLine="645"/>
        <w:spacing w:after="0" w:line="246" w:lineRule="auto"/>
        <w:tabs>
          <w:tab w:leader="none" w:pos="63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91" w:lineRule="exact"/>
        <w:rPr>
          <w:rFonts w:ascii="Arial" w:cs="Arial" w:eastAsia="Arial" w:hAnsi="Arial"/>
          <w:sz w:val="20"/>
          <w:szCs w:val="20"/>
          <w:color w:val="auto"/>
        </w:rPr>
      </w:pPr>
    </w:p>
    <w:p>
      <w:pPr>
        <w:jc w:val="both"/>
        <w:ind w:left="-540" w:firstLine="645"/>
        <w:spacing w:after="0" w:line="260" w:lineRule="auto"/>
        <w:tabs>
          <w:tab w:leader="none" w:pos="587" w:val="left"/>
        </w:tabs>
        <w:numPr>
          <w:ilvl w:val="0"/>
          <w:numId w:val="77"/>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80" w:lineRule="exact"/>
        <w:rPr>
          <w:rFonts w:ascii="Arial" w:cs="Arial" w:eastAsia="Arial" w:hAnsi="Arial"/>
          <w:sz w:val="19"/>
          <w:szCs w:val="19"/>
          <w:color w:val="auto"/>
        </w:rPr>
      </w:pPr>
    </w:p>
    <w:p>
      <w:pPr>
        <w:jc w:val="both"/>
        <w:ind w:left="100" w:firstLine="653"/>
        <w:spacing w:after="0" w:line="250" w:lineRule="auto"/>
        <w:tabs>
          <w:tab w:leader="none" w:pos="1115" w:val="left"/>
        </w:tabs>
        <w:numPr>
          <w:ilvl w:val="1"/>
          <w:numId w:val="77"/>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6" w:lineRule="exact"/>
        <w:rPr>
          <w:rFonts w:ascii="Arial" w:cs="Arial" w:eastAsia="Arial" w:hAnsi="Arial"/>
          <w:sz w:val="20"/>
          <w:szCs w:val="20"/>
          <w:color w:val="auto"/>
        </w:rPr>
      </w:pPr>
    </w:p>
    <w:p>
      <w:pPr>
        <w:jc w:val="both"/>
        <w:ind w:left="100" w:firstLine="653"/>
        <w:spacing w:after="0" w:line="255" w:lineRule="auto"/>
        <w:tabs>
          <w:tab w:leader="none" w:pos="1183" w:val="left"/>
        </w:tabs>
        <w:numPr>
          <w:ilvl w:val="1"/>
          <w:numId w:val="77"/>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 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7" w:lineRule="exact"/>
        <w:rPr>
          <w:rFonts w:ascii="Arial" w:cs="Arial" w:eastAsia="Arial" w:hAnsi="Arial"/>
          <w:sz w:val="19"/>
          <w:szCs w:val="19"/>
          <w:color w:val="auto"/>
        </w:rPr>
      </w:pPr>
    </w:p>
    <w:p>
      <w:pPr>
        <w:ind w:left="-540" w:firstLine="645"/>
        <w:spacing w:after="0" w:line="260" w:lineRule="auto"/>
        <w:tabs>
          <w:tab w:leader="none" w:pos="535" w:val="left"/>
        </w:tabs>
        <w:numPr>
          <w:ilvl w:val="0"/>
          <w:numId w:val="77"/>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w:t>
      </w: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220"/>
          </w:cols>
          <w:pgMar w:left="1440" w:top="582" w:right="239" w:bottom="1440" w:gutter="0" w:footer="0" w:header="0"/>
        </w:sectPr>
      </w:pPr>
    </w:p>
    <w:bookmarkStart w:id="67" w:name="page68"/>
    <w:bookmarkEnd w:id="67"/>
    <w:p>
      <w:pPr>
        <w:ind w:left="660"/>
        <w:spacing w:after="0" w:line="260" w:lineRule="auto"/>
        <w:rPr>
          <w:sz w:val="20"/>
          <w:szCs w:val="20"/>
          <w:color w:val="auto"/>
        </w:rPr>
      </w:pPr>
      <w:r>
        <w:rPr>
          <w:rFonts w:ascii="Arial" w:cs="Arial" w:eastAsia="Arial" w:hAnsi="Arial"/>
          <w:sz w:val="20"/>
          <w:szCs w:val="20"/>
          <w:color w:val="auto"/>
        </w:rPr>
        <w:t>payments and not to a single payment. For purposes of the preceding sentence, the term “series of installment payments” has the meaning provided in Treas. Reg. Section 1.409A-2(b)(2)(iii) (or any successor thereto).</w:t>
      </w:r>
    </w:p>
    <w:p>
      <w:pPr>
        <w:spacing w:after="0" w:line="177" w:lineRule="exact"/>
        <w:rPr>
          <w:sz w:val="20"/>
          <w:szCs w:val="20"/>
          <w:color w:val="auto"/>
        </w:rPr>
      </w:pPr>
    </w:p>
    <w:p>
      <w:pPr>
        <w:jc w:val="both"/>
        <w:ind w:left="660" w:firstLine="645"/>
        <w:spacing w:after="0" w:line="275" w:lineRule="auto"/>
        <w:tabs>
          <w:tab w:leader="none" w:pos="17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have the sole authority to make any accelerated distribution permissible under Treas. Reg. Section 1.409A-3(j)(4) to Participants of deferred amounts, provided that such distribution(s) meets the requirements of Treas. Reg. Section</w:t>
      </w:r>
    </w:p>
    <w:p>
      <w:pPr>
        <w:ind w:left="660"/>
        <w:spacing w:after="0"/>
        <w:rPr>
          <w:rFonts w:ascii="Arial" w:cs="Arial" w:eastAsia="Arial" w:hAnsi="Arial"/>
          <w:sz w:val="18"/>
          <w:szCs w:val="18"/>
          <w:color w:val="auto"/>
        </w:rPr>
      </w:pPr>
      <w:r>
        <w:rPr>
          <w:rFonts w:ascii="Arial" w:cs="Arial" w:eastAsia="Arial" w:hAnsi="Arial"/>
          <w:sz w:val="20"/>
          <w:szCs w:val="20"/>
          <w:color w:val="auto"/>
        </w:rPr>
        <w:t>1.409A-3(j)(4).</w:t>
      </w:r>
    </w:p>
    <w:p>
      <w:pPr>
        <w:spacing w:after="0" w:line="199" w:lineRule="exact"/>
        <w:rPr>
          <w:rFonts w:ascii="Arial" w:cs="Arial" w:eastAsia="Arial" w:hAnsi="Arial"/>
          <w:sz w:val="18"/>
          <w:szCs w:val="18"/>
          <w:color w:val="auto"/>
        </w:rPr>
      </w:pPr>
    </w:p>
    <w:p>
      <w:pPr>
        <w:jc w:val="both"/>
        <w:ind w:left="660" w:firstLine="645"/>
        <w:spacing w:after="0" w:line="272" w:lineRule="auto"/>
        <w:tabs>
          <w:tab w:leader="none" w:pos="17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i w:val="1"/>
          <w:iCs w:val="1"/>
          <w:color w:val="auto"/>
        </w:rPr>
        <w:t>WITHHOLDING.</w:t>
      </w:r>
      <w:r>
        <w:rPr>
          <w:rFonts w:ascii="Arial" w:cs="Arial" w:eastAsia="Arial" w:hAnsi="Arial"/>
          <w:sz w:val="19"/>
          <w:szCs w:val="19"/>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NO RIGHT TO CONTINUED SERVICE.</w:t>
      </w:r>
      <w:r>
        <w:rPr>
          <w:rFonts w:ascii="Arial" w:cs="Arial" w:eastAsia="Arial" w:hAnsi="Arial"/>
          <w:sz w:val="18"/>
          <w:szCs w:val="18"/>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17.8. </w:t>
      </w:r>
      <w:r>
        <w:rPr>
          <w:rFonts w:ascii="Arial" w:cs="Arial" w:eastAsia="Arial" w:hAnsi="Arial"/>
          <w:sz w:val="20"/>
          <w:szCs w:val="20"/>
          <w:i w:val="1"/>
          <w:iCs w:val="1"/>
          <w:color w:val="auto"/>
        </w:rPr>
        <w:t>EXPENSES.</w:t>
      </w:r>
      <w:r>
        <w:rPr>
          <w:rFonts w:ascii="Arial" w:cs="Arial" w:eastAsia="Arial" w:hAnsi="Arial"/>
          <w:sz w:val="20"/>
          <w:szCs w:val="20"/>
          <w:color w:val="auto"/>
        </w:rPr>
        <w:t xml:space="preserve"> The expenses of administering the Plan shall be borne by the Company and its Affiliates.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582" w:right="239" w:bottom="1440" w:gutter="0" w:footer="0" w:header="0"/>
        </w:sectPr>
      </w:pPr>
    </w:p>
    <w:bookmarkStart w:id="68" w:name="page69"/>
    <w:bookmarkEnd w:id="68"/>
    <w:p>
      <w:pPr>
        <w:ind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77"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17.11. </w:t>
      </w:r>
      <w:r>
        <w:rPr>
          <w:rFonts w:ascii="Arial" w:cs="Arial" w:eastAsia="Arial" w:hAnsi="Arial"/>
          <w:sz w:val="19"/>
          <w:szCs w:val="19"/>
          <w:i w:val="1"/>
          <w:iCs w:val="1"/>
          <w:color w:val="auto"/>
        </w:rPr>
        <w:t>FRACTIONAL SHARES.</w:t>
      </w:r>
      <w:r>
        <w:rPr>
          <w:rFonts w:ascii="Arial" w:cs="Arial" w:eastAsia="Arial" w:hAnsi="Arial"/>
          <w:sz w:val="19"/>
          <w:szCs w:val="19"/>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17.12. </w:t>
      </w:r>
      <w:r>
        <w:rPr>
          <w:rFonts w:ascii="Arial" w:cs="Arial" w:eastAsia="Arial" w:hAnsi="Arial"/>
          <w:sz w:val="20"/>
          <w:szCs w:val="20"/>
          <w:i w:val="1"/>
          <w:iCs w:val="1"/>
          <w:color w:val="auto"/>
        </w:rPr>
        <w:t>GOVERNMENT AND OTHER REGULATIONS.</w:t>
      </w:r>
    </w:p>
    <w:p>
      <w:pPr>
        <w:spacing w:after="0" w:line="216" w:lineRule="exact"/>
        <w:rPr>
          <w:sz w:val="20"/>
          <w:szCs w:val="20"/>
          <w:color w:val="auto"/>
        </w:rPr>
      </w:pPr>
    </w:p>
    <w:p>
      <w:pPr>
        <w:jc w:val="both"/>
        <w:ind w:left="660" w:firstLine="645"/>
        <w:spacing w:after="0" w:line="278" w:lineRule="auto"/>
        <w:tabs>
          <w:tab w:leader="none" w:pos="170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65" w:lineRule="exact"/>
        <w:rPr>
          <w:rFonts w:ascii="Arial" w:cs="Arial" w:eastAsia="Arial" w:hAnsi="Arial"/>
          <w:sz w:val="18"/>
          <w:szCs w:val="18"/>
          <w:color w:val="auto"/>
        </w:rPr>
      </w:pPr>
    </w:p>
    <w:p>
      <w:pPr>
        <w:jc w:val="both"/>
        <w:ind w:left="660" w:firstLine="645"/>
        <w:spacing w:after="0" w:line="271" w:lineRule="auto"/>
        <w:tabs>
          <w:tab w:leader="none" w:pos="17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17.14. </w:t>
      </w:r>
      <w:r>
        <w:rPr>
          <w:rFonts w:ascii="Arial" w:cs="Arial" w:eastAsia="Arial" w:hAnsi="Arial"/>
          <w:sz w:val="20"/>
          <w:szCs w:val="20"/>
          <w:i w:val="1"/>
          <w:iCs w:val="1"/>
          <w:color w:val="auto"/>
        </w:rPr>
        <w:t>ADDITIONAL PROVISIONS.</w:t>
      </w:r>
      <w:r>
        <w:rPr>
          <w:rFonts w:ascii="Arial" w:cs="Arial" w:eastAsia="Arial" w:hAnsi="Arial"/>
          <w:sz w:val="20"/>
          <w:szCs w:val="20"/>
          <w:color w:val="auto"/>
        </w:rPr>
        <w:t xml:space="preserve"> Each Award Certificate may contain such other terms and conditions as the Committee may determine; provided that such other terms and conditions are not inconsistent with the provisions of the Plan.</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i w:val="1"/>
          <w:iCs w:val="1"/>
          <w:color w:val="auto"/>
        </w:rPr>
        <w:t>NO LIMITATIONS ON RIGHTS OF COMPANY.</w:t>
      </w:r>
      <w:r>
        <w:rPr>
          <w:rFonts w:ascii="Arial" w:cs="Arial" w:eastAsia="Arial" w:hAnsi="Arial"/>
          <w:sz w:val="19"/>
          <w:szCs w:val="19"/>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582" w:right="239" w:bottom="1440" w:gutter="0" w:footer="0" w:header="0"/>
        </w:sectPr>
      </w:pPr>
    </w:p>
    <w:bookmarkStart w:id="69" w:name="page70"/>
    <w:bookmarkEnd w:id="69"/>
    <w:p>
      <w:pPr>
        <w:jc w:val="both"/>
        <w:ind w:firstLine="648"/>
        <w:spacing w:after="0" w:line="25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582" w:right="239" w:bottom="1440"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6174740" cy="4768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768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o"/>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o"/>
      <w:numFmt w:val="bullet"/>
      <w:start w:val="1"/>
    </w:lvl>
    <w:lvl w:ilvl="1">
      <w:lvlJc w:val="left"/>
      <w:lvlText w:val="(%2)"/>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2"/>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5"/>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lvl w:ilvl="1">
      <w:lvlJc w:val="left"/>
      <w:lvlText w:val="◦"/>
      <w:numFmt w:val="bullet"/>
      <w:start w:val="1"/>
    </w:lvl>
  </w:abstractNum>
  <w:abstractNum w:abstractNumId="18">
    <w:nsid w:val="684A481A"/>
    <w:multiLevelType w:val="hybridMultilevel"/>
    <w:lvl w:ilvl="0">
      <w:lvlJc w:val="left"/>
      <w:lvlText w:val="•"/>
      <w:numFmt w:val="bullet"/>
      <w:start w:val="1"/>
    </w:lvl>
    <w:lvl w:ilvl="1">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1)"/>
      <w:numFmt w:val="lowerLetter"/>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2"/>
    </w:lvl>
    <w:lvl w:ilvl="1">
      <w:lvlJc w:val="left"/>
      <w:lvlText w:val="•"/>
      <w:numFmt w:val="bullet"/>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1)"/>
      <w:numFmt w:val="decimal"/>
      <w:start w:val="6"/>
    </w:lvl>
  </w:abstractNum>
  <w:abstractNum w:abstractNumId="33">
    <w:nsid w:val="39386575"/>
    <w:multiLevelType w:val="hybridMultilevel"/>
    <w:lvl w:ilvl="0">
      <w:lvlJc w:val="left"/>
      <w:lvlText w:val="%1."/>
      <w:numFmt w:val="decimal"/>
      <w:start w:val="718"/>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decimal"/>
      <w:start w:val="7"/>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3"/>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lowerRoman"/>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lowerLetter"/>
      <w:start w:val="1"/>
    </w:lvl>
    <w:lvl w:ilvl="1">
      <w:lvlJc w:val="left"/>
      <w:lvlText w:val="(%2)"/>
      <w:numFmt w:val="lowerLetter"/>
      <w:start w:val="9"/>
    </w:lvl>
  </w:abstractNum>
  <w:abstractNum w:abstractNumId="50">
    <w:nsid w:val="2F305DEF"/>
    <w:multiLevelType w:val="hybridMultilevel"/>
    <w:lvl w:ilvl="0">
      <w:lvlJc w:val="left"/>
      <w:lvlText w:val="%1"/>
      <w:numFmt w:val="upperLetter"/>
      <w:start w:val="1"/>
    </w:lvl>
    <w:lvl w:ilvl="1">
      <w:lvlJc w:val="left"/>
      <w:lvlText w:val="(%2)"/>
      <w:numFmt w:val="lowerRoman"/>
      <w:start w:val="2"/>
    </w:lvl>
  </w:abstractNum>
  <w:abstractNum w:abstractNumId="51">
    <w:nsid w:val="25A70BF7"/>
    <w:multiLevelType w:val="hybridMultilevel"/>
    <w:lvl w:ilvl="0">
      <w:lvlJc w:val="left"/>
      <w:lvlText w:val="(%1)"/>
      <w:numFmt w:val="upperLetter"/>
      <w:start w:val="2"/>
    </w:lvl>
    <w:lvl w:ilvl="1">
      <w:lvlJc w:val="left"/>
      <w:lvlText w:val="(%2)"/>
      <w:numFmt w:val="lowerRoman"/>
      <w:start w:val="4"/>
    </w:lvl>
  </w:abstractNum>
  <w:abstractNum w:abstractNumId="52">
    <w:nsid w:val="1DBABF00"/>
    <w:multiLevelType w:val="hybridMultilevel"/>
    <w:lvl w:ilvl="0">
      <w:lvlJc w:val="left"/>
      <w:lvlText w:val="(%1)"/>
      <w:numFmt w:val="lowerLetter"/>
      <w:start w:val="6"/>
    </w:lvl>
  </w:abstractNum>
  <w:abstractNum w:abstractNumId="53">
    <w:nsid w:val="4AD084E9"/>
    <w:multiLevelType w:val="hybridMultilevel"/>
    <w:lvl w:ilvl="0">
      <w:lvlJc w:val="left"/>
      <w:lvlText w:val="(%1)"/>
      <w:numFmt w:val="lowerLetter"/>
      <w:start w:val="8"/>
    </w:lvl>
  </w:abstractNum>
  <w:abstractNum w:abstractNumId="54">
    <w:nsid w:val="1F48EAA1"/>
    <w:multiLevelType w:val="hybridMultilevel"/>
    <w:lvl w:ilvl="0">
      <w:lvlJc w:val="left"/>
      <w:lvlText w:val="(%1)"/>
      <w:numFmt w:val="lowerLetter"/>
      <w:start w:val="18"/>
    </w:lvl>
  </w:abstractNum>
  <w:abstractNum w:abstractNumId="55">
    <w:nsid w:val="1381823A"/>
    <w:multiLevelType w:val="hybridMultilevel"/>
    <w:lvl w:ilvl="0">
      <w:lvlJc w:val="left"/>
      <w:lvlText w:val="(%1)"/>
      <w:numFmt w:val="lowerLetter"/>
      <w:start w:val="27"/>
    </w:lvl>
  </w:abstractNum>
  <w:abstractNum w:abstractNumId="56">
    <w:nsid w:val="5DB70AE5"/>
    <w:multiLevelType w:val="hybridMultilevel"/>
    <w:lvl w:ilvl="0">
      <w:lvlJc w:val="left"/>
      <w:lvlText w:val="(%1)"/>
      <w:numFmt w:val="lowerLetter"/>
      <w:start w:val="3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7"/>
    </w:lvl>
  </w:abstractNum>
  <w:abstractNum w:abstractNumId="59">
    <w:nsid w:val="15014ACB"/>
    <w:multiLevelType w:val="hybridMultilevel"/>
    <w:lvl w:ilvl="0">
      <w:lvlJc w:val="left"/>
      <w:lvlText w:val="(%1)"/>
      <w:numFmt w:val="lowerRoman"/>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lowerLetter"/>
      <w:start w:val="3"/>
    </w:lvl>
  </w:abstractNum>
  <w:abstractNum w:abstractNumId="65">
    <w:nsid w:val="168E121F"/>
    <w:multiLevelType w:val="hybridMultilevel"/>
    <w:lvl w:ilvl="0">
      <w:lvlJc w:val="left"/>
      <w:lvlText w:val="(%1)"/>
      <w:numFmt w:val="lowerLetter"/>
      <w:start w:val="1"/>
    </w:lvl>
    <w:lvl w:ilvl="1">
      <w:lvlJc w:val="left"/>
      <w:lvlText w:val="(%2)"/>
      <w:numFmt w:val="decimal"/>
      <w:start w:val="1"/>
    </w:lvl>
  </w:abstractNum>
  <w:abstractNum w:abstractNumId="66">
    <w:nsid w:val="1EBA5D23"/>
    <w:multiLevelType w:val="hybridMultilevel"/>
    <w:lvl w:ilvl="0">
      <w:lvlJc w:val="left"/>
      <w:lvlText w:val="%1"/>
      <w:numFmt w:val="lowerLetter"/>
      <w:start w:val="1"/>
    </w:lvl>
    <w:lvl w:ilvl="1">
      <w:lvlJc w:val="left"/>
      <w:lvlText w:val="(%2)"/>
      <w:numFmt w:val="decimal"/>
      <w:start w:val="2"/>
    </w:lvl>
  </w:abstractNum>
  <w:abstractNum w:abstractNumId="67">
    <w:nsid w:val="661E3F1E"/>
    <w:multiLevelType w:val="hybridMultilevel"/>
    <w:lvl w:ilvl="0">
      <w:lvlJc w:val="left"/>
      <w:lvlText w:val="(%1)"/>
      <w:numFmt w:val="lowerLetter"/>
      <w:start w:val="2"/>
    </w:lvl>
    <w:lvl w:ilvl="1">
      <w:lvlJc w:val="left"/>
      <w:lvlText w:val="%2"/>
      <w:numFmt w:val="decimal"/>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3"/>
    </w:lvl>
  </w:abstractNum>
  <w:abstractNum w:abstractNumId="70">
    <w:nsid w:val="7BD3EE7B"/>
    <w:multiLevelType w:val="hybridMultilevel"/>
    <w:lvl w:ilvl="0">
      <w:lvlJc w:val="left"/>
      <w:lvlText w:val="%1"/>
      <w:numFmt w:val="lowerLetter"/>
      <w:start w:val="1"/>
    </w:lvl>
    <w:lvl w:ilvl="1">
      <w:lvlJc w:val="left"/>
      <w:lvlText w:val="(%2)"/>
      <w:numFmt w:val="lowerLetter"/>
      <w:start w:val="4"/>
    </w:lvl>
  </w:abstractNum>
  <w:abstractNum w:abstractNumId="71">
    <w:nsid w:val="51D9C564"/>
    <w:multiLevelType w:val="hybridMultilevel"/>
    <w:lvl w:ilvl="0">
      <w:lvlJc w:val="left"/>
      <w:lvlText w:val="(%1)"/>
      <w:numFmt w:val="lowerLetter"/>
      <w:start w:val="2"/>
    </w:lvl>
    <w:lvl w:ilvl="1">
      <w:lvlJc w:val="left"/>
      <w:lvlText w:val="(%2)"/>
      <w:numFmt w:val="lowerLetter"/>
      <w:start w:val="5"/>
    </w:lvl>
  </w:abstractNum>
  <w:abstractNum w:abstractNumId="72">
    <w:nsid w:val="613EFDC5"/>
    <w:multiLevelType w:val="hybridMultilevel"/>
    <w:lvl w:ilvl="0">
      <w:lvlJc w:val="left"/>
      <w:lvlText w:val="(%1)"/>
      <w:numFmt w:val="lowerRoman"/>
      <w:start w:val="3"/>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2"/>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2"/>
    </w:lvl>
    <w:lvl w:ilvl="1">
      <w:lvlJc w:val="left"/>
      <w:lvlText w:val="(%2)"/>
      <w:numFmt w:val="lowerRoman"/>
      <w:start w:val="1"/>
    </w:lvl>
  </w:abstractNum>
  <w:abstractNum w:abstractNumId="77">
    <w:nsid w:val="8F2B15E"/>
    <w:multiLevelType w:val="hybridMultilevel"/>
    <w:lvl w:ilvl="0">
      <w:lvlJc w:val="left"/>
      <w:lvlText w:val="(%1)"/>
      <w:numFmt w:val="lowerLetter"/>
      <w:start w:val="6"/>
    </w:lvl>
  </w:abstractNum>
  <w:abstractNum w:abstractNumId="78">
    <w:nsid w:val="1A32234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2019-12-09T08:39:39Z</dcterms:created>
  <dcterms:modified xsi:type="dcterms:W3CDTF">2019-12-09T08:39:39Z</dcterms:modified>
</cp:coreProperties>
</file>