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3"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March 29, 2022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117475</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9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2"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March 29, 2022, we announced the financial results for our second quarter of fiscal 2022 ended March 3, 2022. The full text of the press release issued in connection with the announcement is attached as Exhibit 99.1 to this Current Report on Form 8-K.</w:t>
      </w:r>
    </w:p>
    <w:p>
      <w:pPr>
        <w:spacing w:after="0" w:line="3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80" w:type="dxa"/>
            <w:vAlign w:val="bottom"/>
            <w:gridSpan w:val="5"/>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160" w:type="dxa"/>
            <w:vAlign w:val="bottom"/>
          </w:tcPr>
          <w:p>
            <w:pPr>
              <w:spacing w:after="0"/>
              <w:rPr>
                <w:sz w:val="24"/>
                <w:szCs w:val="24"/>
                <w:color w:val="auto"/>
              </w:rPr>
            </w:pPr>
          </w:p>
        </w:tc>
        <w:tc>
          <w:tcPr>
            <w:tcW w:w="1008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r>
      <w:tr>
        <w:trPr>
          <w:trHeight w:val="688"/>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183"/>
        </w:trPr>
        <w:tc>
          <w:tcPr>
            <w:tcW w:w="116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3"/>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issued on March 29, 2022</w:t>
              </w:r>
            </w:hyperlink>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5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51"/>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400" w:type="dxa"/>
            <w:vAlign w:val="bottom"/>
          </w:tcPr>
          <w:p>
            <w:pPr>
              <w:spacing w:after="0"/>
              <w:rPr>
                <w:sz w:val="20"/>
                <w:szCs w:val="20"/>
                <w:color w:val="auto"/>
              </w:rPr>
            </w:pPr>
          </w:p>
        </w:tc>
        <w:tc>
          <w:tcPr>
            <w:tcW w:w="7760" w:type="dxa"/>
            <w:vAlign w:val="bottom"/>
            <w:gridSpan w:val="2"/>
          </w:tcPr>
          <w:p>
            <w:pPr>
              <w:ind w:left="140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400" w:type="dxa"/>
            <w:vAlign w:val="bottom"/>
          </w:tcPr>
          <w:p>
            <w:pPr>
              <w:spacing w:after="0"/>
              <w:rPr>
                <w:sz w:val="20"/>
                <w:szCs w:val="20"/>
                <w:color w:val="auto"/>
              </w:rPr>
            </w:pPr>
            <w:r>
              <w:rPr>
                <w:rFonts w:ascii="Arial" w:cs="Arial" w:eastAsia="Arial" w:hAnsi="Arial"/>
                <w:sz w:val="18"/>
                <w:szCs w:val="18"/>
                <w:color w:val="auto"/>
              </w:rPr>
              <w:t>Date:   March 29, 2022</w:t>
            </w:r>
          </w:p>
        </w:tc>
        <w:tc>
          <w:tcPr>
            <w:tcW w:w="2320" w:type="dxa"/>
            <w:vAlign w:val="bottom"/>
          </w:tcPr>
          <w:p>
            <w:pPr>
              <w:ind w:left="140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Sumit Sadana</w:t>
            </w:r>
          </w:p>
        </w:tc>
      </w:tr>
      <w:tr>
        <w:trPr>
          <w:trHeight w:val="223"/>
        </w:trPr>
        <w:tc>
          <w:tcPr>
            <w:tcW w:w="3400" w:type="dxa"/>
            <w:vAlign w:val="bottom"/>
          </w:tcPr>
          <w:p>
            <w:pPr>
              <w:spacing w:after="0"/>
              <w:rPr>
                <w:sz w:val="19"/>
                <w:szCs w:val="19"/>
                <w:color w:val="auto"/>
              </w:rPr>
            </w:pPr>
          </w:p>
        </w:tc>
        <w:tc>
          <w:tcPr>
            <w:tcW w:w="2320" w:type="dxa"/>
            <w:vAlign w:val="bottom"/>
          </w:tcPr>
          <w:p>
            <w:pPr>
              <w:ind w:left="1400"/>
              <w:spacing w:after="0"/>
              <w:rPr>
                <w:sz w:val="20"/>
                <w:szCs w:val="20"/>
                <w:color w:val="auto"/>
              </w:rPr>
            </w:pPr>
            <w:r>
              <w:rPr>
                <w:rFonts w:ascii="Arial" w:cs="Arial" w:eastAsia="Arial" w:hAnsi="Arial"/>
                <w:sz w:val="18"/>
                <w:szCs w:val="18"/>
                <w:color w:val="auto"/>
              </w:rPr>
              <w:t>Name:</w:t>
            </w:r>
          </w:p>
        </w:tc>
        <w:tc>
          <w:tcPr>
            <w:tcW w:w="5440" w:type="dxa"/>
            <w:vAlign w:val="bottom"/>
          </w:tcPr>
          <w:p>
            <w:pPr>
              <w:ind w:left="20"/>
              <w:spacing w:after="0"/>
              <w:rPr>
                <w:sz w:val="20"/>
                <w:szCs w:val="20"/>
                <w:color w:val="auto"/>
              </w:rPr>
            </w:pPr>
            <w:r>
              <w:rPr>
                <w:rFonts w:ascii="Arial" w:cs="Arial" w:eastAsia="Arial" w:hAnsi="Arial"/>
                <w:sz w:val="18"/>
                <w:szCs w:val="18"/>
                <w:color w:val="auto"/>
              </w:rPr>
              <w:t>Sumit Sadana</w:t>
            </w:r>
          </w:p>
        </w:tc>
      </w:tr>
      <w:tr>
        <w:trPr>
          <w:trHeight w:val="242"/>
        </w:trPr>
        <w:tc>
          <w:tcPr>
            <w:tcW w:w="3400" w:type="dxa"/>
            <w:vAlign w:val="bottom"/>
          </w:tcPr>
          <w:p>
            <w:pPr>
              <w:spacing w:after="0"/>
              <w:rPr>
                <w:sz w:val="21"/>
                <w:szCs w:val="21"/>
                <w:color w:val="auto"/>
              </w:rPr>
            </w:pPr>
          </w:p>
        </w:tc>
        <w:tc>
          <w:tcPr>
            <w:tcW w:w="2320" w:type="dxa"/>
            <w:vAlign w:val="bottom"/>
          </w:tcPr>
          <w:p>
            <w:pPr>
              <w:ind w:left="1400"/>
              <w:spacing w:after="0"/>
              <w:rPr>
                <w:sz w:val="20"/>
                <w:szCs w:val="20"/>
                <w:color w:val="auto"/>
              </w:rPr>
            </w:pPr>
            <w:r>
              <w:rPr>
                <w:rFonts w:ascii="Arial" w:cs="Arial" w:eastAsia="Arial" w:hAnsi="Arial"/>
                <w:sz w:val="18"/>
                <w:szCs w:val="18"/>
                <w:color w:val="auto"/>
              </w:rPr>
              <w:t>Title:</w:t>
            </w: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Chief Business Officer and Interim Chief</w:t>
            </w:r>
          </w:p>
        </w:tc>
      </w:tr>
      <w:tr>
        <w:trPr>
          <w:trHeight w:val="217"/>
        </w:trPr>
        <w:tc>
          <w:tcPr>
            <w:tcW w:w="3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200"/>
          </w:cols>
          <w:pgMar w:left="320" w:top="112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89"/>
        </w:trPr>
        <w:tc>
          <w:tcPr>
            <w:tcW w:w="150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89" w:lineRule="exact"/>
              <w:rPr>
                <w:sz w:val="20"/>
                <w:szCs w:val="20"/>
                <w:color w:val="auto"/>
              </w:rPr>
            </w:pPr>
            <w:r>
              <w:rPr>
                <w:rFonts w:ascii="Arial" w:cs="Arial" w:eastAsia="Arial" w:hAnsi="Arial"/>
                <w:sz w:val="18"/>
                <w:szCs w:val="18"/>
                <w:color w:val="0090DA"/>
              </w:rPr>
              <w:t>epompen@micron.com</w:t>
            </w:r>
          </w:p>
        </w:tc>
      </w:tr>
      <w:tr>
        <w:trPr>
          <w:trHeight w:val="250"/>
        </w:trPr>
        <w:tc>
          <w:tcPr>
            <w:tcW w:w="1500" w:type="dxa"/>
            <w:vAlign w:val="bottom"/>
          </w:tcPr>
          <w:p>
            <w:pPr>
              <w:spacing w:after="0"/>
              <w:rPr>
                <w:sz w:val="21"/>
                <w:szCs w:val="21"/>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1"/>
                <w:szCs w:val="21"/>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OF FISCAL 2022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Delivers strong profitability and over $1 billion in free cash flow</w:t>
      </w:r>
    </w:p>
    <w:p>
      <w:pPr>
        <w:spacing w:after="0" w:line="23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March 29, 2022 – Micron Technology, Inc. (Nasdaq: MU) today announced results for its second quarter of fiscal 2022,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 2022.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Q2 2022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$7.79 billion versus $7.69 billion for the prior quarter and $6.24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$2.26 billion, or $2.00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$2.44 billion, or $2.14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$3.63 billion versus $3.94 billion for the prior quarter and $3.06 billion for the same period last year</w:t>
      </w:r>
    </w:p>
    <w:p>
      <w:pPr>
        <w:spacing w:after="0" w:line="239"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“Micron’s excellent second quarter results exceeded the high end of our guidance for both revenue and margin, reflecting our strong execution,” said Micron Technology President and CEO Sanjay Mehrotra. “We’re leading the industry in technology across DRAM and NAND, and our product portfolio momentum is accelerating. With outstanding first half results, Micron is on track to deliver record revenue and robust profitability in fiscal 2022.”</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14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FQ2-22</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FQ1-22</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FQ2-21</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FQ2-22</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FQ1-22</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FQ2-21</w:t>
            </w:r>
          </w:p>
        </w:tc>
      </w:tr>
      <w:tr>
        <w:trPr>
          <w:trHeight w:val="34"/>
        </w:trPr>
        <w:tc>
          <w:tcPr>
            <w:tcW w:w="42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7,786</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7,687</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6,236</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7,786</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7,687</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6,236</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3,676</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3,565</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3,724</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3,616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2,054</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47.2 %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46.4 %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26.4 %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47.8 %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47.0 %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32.9 %</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934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797</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2,546</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2,631</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2,750</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1,257</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32.7 %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34.2 %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10.6 %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35.3 %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35.4 %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20.2 %</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2,263</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2,306</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2,444</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1,128</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0.98</w:t>
            </w:r>
          </w:p>
        </w:tc>
      </w:tr>
    </w:tbl>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Investments in capital expenditures, net</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were $2.60 billion for the second quarter of 2022, which resulted in adjusted free cash flow</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$1.03 billion. Micron repurchased approximately 4.8 million shares of its common stock for $408 million during the second quarter of fiscal 2022 and ended the quarter with cash, marketable investments, and restricted cash of $11.95 billion, for a net cash</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position of $4.87 billion.</w:t>
      </w:r>
    </w:p>
    <w:p>
      <w:pPr>
        <w:spacing w:after="0" w:line="146"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On March 29, 2022, our Board of Directors declared a quarterly dividend of $0.10 per share, payable in cash on April 26, 2022, to shareholders of record as of the close of business on April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59"/>
        </w:trPr>
        <w:tc>
          <w:tcPr>
            <w:tcW w:w="636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third quarter of 2022:</w:t>
            </w:r>
          </w:p>
        </w:tc>
        <w:tc>
          <w:tcPr>
            <w:tcW w:w="26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6"/>
        </w:trPr>
        <w:tc>
          <w:tcPr>
            <w:tcW w:w="6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FQ3-22</w:t>
            </w:r>
          </w:p>
        </w:tc>
        <w:tc>
          <w:tcPr>
            <w:tcW w:w="2600" w:type="dxa"/>
            <w:vAlign w:val="bottom"/>
            <w:tcBorders>
              <w:bottom w:val="single" w:sz="8" w:color="0090DA"/>
            </w:tcBorders>
          </w:tcPr>
          <w:p>
            <w:pPr>
              <w:jc w:val="right"/>
              <w:ind w:right="150"/>
              <w:spacing w:after="0" w:line="256"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80" w:type="dxa"/>
            <w:vAlign w:val="bottom"/>
            <w:tcBorders>
              <w:bottom w:val="single" w:sz="8" w:color="0090DA"/>
            </w:tcBorders>
          </w:tcPr>
          <w:p>
            <w:pPr>
              <w:jc w:val="right"/>
              <w:spacing w:after="0" w:line="256"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3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0"/>
        </w:trPr>
        <w:tc>
          <w:tcPr>
            <w:tcW w:w="63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6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$8.7 billion ± $200 million</w:t>
            </w:r>
          </w:p>
        </w:tc>
        <w:tc>
          <w:tcPr>
            <w:tcW w:w="2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$8.7 billion ± $200 million</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00" w:type="dxa"/>
            <w:vAlign w:val="bottom"/>
          </w:tcPr>
          <w:p>
            <w:pPr>
              <w:jc w:val="right"/>
              <w:ind w:right="150"/>
              <w:spacing w:after="0"/>
              <w:rPr>
                <w:sz w:val="20"/>
                <w:szCs w:val="20"/>
                <w:color w:val="auto"/>
              </w:rPr>
            </w:pPr>
            <w:r>
              <w:rPr>
                <w:rFonts w:ascii="Arial" w:cs="Arial" w:eastAsia="Arial" w:hAnsi="Arial"/>
                <w:sz w:val="18"/>
                <w:szCs w:val="18"/>
                <w:color w:val="auto"/>
              </w:rPr>
              <w:t>47.0% ± 1%</w:t>
            </w:r>
          </w:p>
        </w:tc>
        <w:tc>
          <w:tcPr>
            <w:tcW w:w="2280" w:type="dxa"/>
            <w:vAlign w:val="bottom"/>
          </w:tcPr>
          <w:p>
            <w:pPr>
              <w:jc w:val="right"/>
              <w:spacing w:after="0"/>
              <w:rPr>
                <w:sz w:val="20"/>
                <w:szCs w:val="20"/>
                <w:color w:val="auto"/>
              </w:rPr>
            </w:pPr>
            <w:r>
              <w:rPr>
                <w:rFonts w:ascii="Arial" w:cs="Arial" w:eastAsia="Arial" w:hAnsi="Arial"/>
                <w:sz w:val="18"/>
                <w:szCs w:val="18"/>
                <w:color w:val="auto"/>
              </w:rPr>
              <w:t>48.0% ± 1%</w:t>
            </w:r>
          </w:p>
        </w:tc>
      </w:tr>
      <w:tr>
        <w:trPr>
          <w:trHeight w:val="229"/>
        </w:trPr>
        <w:tc>
          <w:tcPr>
            <w:tcW w:w="63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$1.13 billion ± $25 million</w:t>
            </w:r>
          </w:p>
        </w:tc>
        <w:tc>
          <w:tcPr>
            <w:tcW w:w="2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$1.05 billion ± $25 million</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00" w:type="dxa"/>
            <w:vAlign w:val="bottom"/>
          </w:tcPr>
          <w:p>
            <w:pPr>
              <w:jc w:val="right"/>
              <w:ind w:right="150"/>
              <w:spacing w:after="0"/>
              <w:rPr>
                <w:sz w:val="20"/>
                <w:szCs w:val="20"/>
                <w:color w:val="auto"/>
              </w:rPr>
            </w:pPr>
            <w:r>
              <w:rPr>
                <w:rFonts w:ascii="Arial" w:cs="Arial" w:eastAsia="Arial" w:hAnsi="Arial"/>
                <w:sz w:val="18"/>
                <w:szCs w:val="18"/>
                <w:color w:val="auto"/>
              </w:rPr>
              <w:t>$2.33 ± $0.10</w:t>
            </w:r>
          </w:p>
        </w:tc>
        <w:tc>
          <w:tcPr>
            <w:tcW w:w="2280" w:type="dxa"/>
            <w:vAlign w:val="bottom"/>
          </w:tcPr>
          <w:p>
            <w:pPr>
              <w:jc w:val="right"/>
              <w:spacing w:after="0"/>
              <w:rPr>
                <w:sz w:val="20"/>
                <w:szCs w:val="20"/>
                <w:color w:val="auto"/>
              </w:rPr>
            </w:pPr>
            <w:r>
              <w:rPr>
                <w:rFonts w:ascii="Arial" w:cs="Arial" w:eastAsia="Arial" w:hAnsi="Arial"/>
                <w:sz w:val="18"/>
                <w:szCs w:val="18"/>
                <w:color w:val="auto"/>
              </w:rPr>
              <w:t>$2.46 ± $0.10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 xml:space="preserve">Micron will host a conference call on Tuesday, March 29, 2022 at 2:30 p.m. Mountain time to discuss its second quarter financial results and provide forward-looking guidance for its third quarter. A live webcast of the call will be available online at </w:t>
      </w:r>
      <w:r>
        <w:rPr>
          <w:rFonts w:ascii="Arial" w:cs="Arial" w:eastAsia="Arial" w:hAnsi="Arial"/>
          <w:sz w:val="17"/>
          <w:szCs w:val="17"/>
          <w:u w:val="single" w:color="auto"/>
          <w:color w:val="0090DA"/>
        </w:rPr>
        <w:t>investors.micron.com</w:t>
      </w:r>
      <w:r>
        <w:rPr>
          <w:rFonts w:ascii="Arial" w:cs="Arial" w:eastAsia="Arial" w:hAnsi="Arial"/>
          <w:sz w:val="17"/>
          <w:szCs w:val="17"/>
          <w:color w:val="auto"/>
        </w:rPr>
        <w:t>. A webcast replay will be available for one year after the call. For Investor Relations and other company updates, follow @MicronTech on Twitter at</w:t>
      </w:r>
    </w:p>
    <w:p>
      <w:pPr>
        <w:spacing w:after="0"/>
        <w:rPr>
          <w:sz w:val="20"/>
          <w:szCs w:val="20"/>
          <w:color w:val="auto"/>
        </w:rPr>
      </w:pP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Day 2022</w:t>
      </w:r>
    </w:p>
    <w:p>
      <w:pPr>
        <w:spacing w:after="0" w:line="247"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 xml:space="preserve">Micron will host an Investor Day on Thursday, May 12, 2022, from 8:30 a.m. – 12:30 p.m. Pacific time in San Francisco. For details and to complete registration, please visit </w:t>
      </w:r>
      <w:r>
        <w:rPr>
          <w:rFonts w:ascii="Arial" w:cs="Arial" w:eastAsia="Arial" w:hAnsi="Arial"/>
          <w:sz w:val="18"/>
          <w:szCs w:val="18"/>
          <w:u w:val="single" w:color="auto"/>
          <w:color w:val="0090DA"/>
        </w:rPr>
        <w:t>investorday.micron.com</w:t>
      </w:r>
      <w:r>
        <w:rPr>
          <w:rFonts w:ascii="Arial" w:cs="Arial" w:eastAsia="Arial" w:hAnsi="Arial"/>
          <w:sz w:val="18"/>
          <w:szCs w:val="18"/>
          <w:color w:val="auto"/>
        </w:rPr>
        <w:t>. Please note, due to limited seating, registration for in-person attendance will be subject to confirmation.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Live webcast and subsequent replays of presentations will be accessible from Micron’s Investor Relations website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67"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2022 Micron Technology, Inc. All rights reserved. Micron, the Micron logo, and all other Micron trademarks are the property of Micron Technology, Inc. All other trademarks are the property of their respective owners.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86" w:right="339" w:bottom="1440" w:gutter="0" w:footer="0" w:header="0"/>
          <w:type w:val="continuous"/>
        </w:sectPr>
      </w:pPr>
    </w:p>
    <w:bookmarkStart w:id="5" w:name="page6"/>
    <w:bookmarkEnd w:id="5"/>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4"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6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1st Qtr.</w:t>
            </w: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2nd Qtr.</w:t>
            </w:r>
          </w:p>
        </w:tc>
        <w:tc>
          <w:tcPr>
            <w:tcW w:w="220" w:type="dxa"/>
            <w:vAlign w:val="bottom"/>
          </w:tcPr>
          <w:p>
            <w:pPr>
              <w:spacing w:after="0"/>
              <w:rPr>
                <w:sz w:val="19"/>
                <w:szCs w:val="19"/>
                <w:color w:val="auto"/>
              </w:rPr>
            </w:pPr>
          </w:p>
        </w:tc>
        <w:tc>
          <w:tcPr>
            <w:tcW w:w="24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185"/>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rPr>
              <w:t>March 3,</w:t>
            </w:r>
          </w:p>
        </w:tc>
        <w:tc>
          <w:tcPr>
            <w:tcW w:w="14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2,</w:t>
            </w:r>
          </w:p>
        </w:tc>
        <w:tc>
          <w:tcPr>
            <w:tcW w:w="220" w:type="dxa"/>
            <w:vAlign w:val="bottom"/>
          </w:tcPr>
          <w:p>
            <w:pPr>
              <w:spacing w:after="0"/>
              <w:rPr>
                <w:sz w:val="16"/>
                <w:szCs w:val="16"/>
                <w:color w:val="auto"/>
              </w:rPr>
            </w:pPr>
          </w:p>
        </w:tc>
        <w:tc>
          <w:tcPr>
            <w:tcW w:w="110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rPr>
              <w:t>March 4,</w:t>
            </w:r>
          </w:p>
        </w:tc>
        <w:tc>
          <w:tcPr>
            <w:tcW w:w="220" w:type="dxa"/>
            <w:vAlign w:val="bottom"/>
          </w:tcPr>
          <w:p>
            <w:pPr>
              <w:spacing w:after="0"/>
              <w:rPr>
                <w:sz w:val="16"/>
                <w:szCs w:val="16"/>
                <w:color w:val="auto"/>
              </w:rPr>
            </w:pPr>
          </w:p>
        </w:tc>
        <w:tc>
          <w:tcPr>
            <w:tcW w:w="112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rPr>
              <w:t>March 3,</w:t>
            </w:r>
          </w:p>
        </w:tc>
        <w:tc>
          <w:tcPr>
            <w:tcW w:w="220" w:type="dxa"/>
            <w:vAlign w:val="bottom"/>
          </w:tcPr>
          <w:p>
            <w:pPr>
              <w:spacing w:after="0"/>
              <w:rPr>
                <w:sz w:val="16"/>
                <w:szCs w:val="16"/>
                <w:color w:val="auto"/>
              </w:rPr>
            </w:pPr>
          </w:p>
        </w:tc>
        <w:tc>
          <w:tcPr>
            <w:tcW w:w="112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rPr>
              <w:t>March 4,</w:t>
            </w:r>
          </w:p>
        </w:tc>
      </w:tr>
      <w:tr>
        <w:trPr>
          <w:trHeight w:val="229"/>
        </w:trPr>
        <w:tc>
          <w:tcPr>
            <w:tcW w:w="458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34"/>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7,687</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15,473</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12,009</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3,565</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7,241</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3,385</w:t>
            </w:r>
          </w:p>
        </w:tc>
      </w:tr>
      <w:tr>
        <w:trPr>
          <w:trHeight w:val="256"/>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1,504</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2,631</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5,177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1,529</w:t>
            </w:r>
          </w:p>
        </w:tc>
      </w:tr>
      <w:tr>
        <w:trPr>
          <w:trHeight w:val="257"/>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57"/>
        </w:trPr>
        <w:tc>
          <w:tcPr>
            <w:tcW w:w="45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56"/>
        </w:trPr>
        <w:tc>
          <w:tcPr>
            <w:tcW w:w="45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1,118</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2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w:t>
            </w:r>
          </w:p>
        </w:tc>
        <w:tc>
          <w:tcPr>
            <w:tcW w:w="1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2,</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2,</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0090DA"/>
            </w:tcBorders>
            <w:vMerge w:val="continue"/>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8,680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5,383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4,827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21,502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20,191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36,171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35,155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1,315</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5,650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5,470</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924</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6,953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6,904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15,851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15,338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Additional capital</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9,564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43,407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41,267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Treasury stock</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(5,362)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(4,954)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47,845</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45,908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w:t>
            </w:r>
          </w:p>
        </w:tc>
        <w:tc>
          <w:tcPr>
            <w:tcW w:w="240" w:type="dxa"/>
            <w:vAlign w:val="bottom"/>
          </w:tcPr>
          <w:p>
            <w:pPr>
              <w:spacing w:after="0"/>
              <w:rPr>
                <w:sz w:val="17"/>
                <w:szCs w:val="17"/>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4,569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repurchases and conversions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(5,876)</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(1,981)</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Lehi, Utah Fab and 3D XPoint</w:t>
      </w:r>
    </w:p>
    <w:p>
      <w:pPr>
        <w:spacing w:after="0" w:line="26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that was dedicated to 3D XPoint production. As a result, we classified the property, plant, and equipment as held for sale and ceased depreciating the assets. On June 30, 2021, we announced a definitive agreement to sell our Lehi facility to Texas Instruments Incorporated (“TI”) and closed the sale on October 22, 2021.</w:t>
      </w:r>
    </w:p>
    <w:p>
      <w:pPr>
        <w:spacing w:after="0" w:line="232"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we recognized a loss of $23 million included in restructure and asset impairments in the first quarter of 2022.</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In the second quarter of 2021, we also recognized a charge of $49 million in cost of goods sold to write down 3D XPoint inventory in connection with our decision to cease further development of this technology.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November 1, 2021, we issued in a public offering $ 1.00 billion in principal amount of 2.703% senior notes due 2032 (green bonds), $500 million in principal amount of 3.366% senior notes due 2041, and $500 million in principal amount of 3.477% senior notes due 2051, and received aggregate net proceeds of $1.99 billion.</w:t>
      </w:r>
    </w:p>
    <w:p>
      <w:pPr>
        <w:spacing w:after="0" w:line="22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On November 17, 2021, we redeemed $1.25 billion in principal amount of our 2.497% senior notes due 2023 and $600 million in principal amount of our 4.640% senior notes due 2024 for $1.93 billion in cash and recognized a non-operating loss of $83 million.</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6" w:right="339" w:bottom="1440" w:gutter="0" w:footer="0" w:header="0"/>
        </w:sectPr>
      </w:pPr>
    </w:p>
    <w:bookmarkStart w:id="10" w:name="page11"/>
    <w:bookmarkEnd w:id="10"/>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1st Qtr.</w:t>
            </w:r>
          </w:p>
        </w:tc>
        <w:tc>
          <w:tcPr>
            <w:tcW w:w="22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r>
      <w:tr>
        <w:trPr>
          <w:trHeight w:val="185"/>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w w:val="98"/>
              </w:rPr>
              <w:t>March 3,</w:t>
            </w:r>
          </w:p>
        </w:tc>
        <w:tc>
          <w:tcPr>
            <w:tcW w:w="14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2,</w:t>
            </w:r>
          </w:p>
        </w:tc>
        <w:tc>
          <w:tcPr>
            <w:tcW w:w="220" w:type="dxa"/>
            <w:vAlign w:val="bottom"/>
          </w:tcPr>
          <w:p>
            <w:pPr>
              <w:spacing w:after="0"/>
              <w:rPr>
                <w:sz w:val="16"/>
                <w:szCs w:val="16"/>
                <w:color w:val="auto"/>
              </w:rPr>
            </w:pPr>
          </w:p>
        </w:tc>
        <w:tc>
          <w:tcPr>
            <w:tcW w:w="112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rPr>
              <w:t>March 4,</w:t>
            </w:r>
          </w:p>
        </w:tc>
      </w:tr>
      <w:tr>
        <w:trPr>
          <w:trHeight w:val="229"/>
        </w:trPr>
        <w:tc>
          <w:tcPr>
            <w:tcW w:w="724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r>
      <w:tr>
        <w:trPr>
          <w:trHeight w:val="34"/>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3,565</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3,724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3,616</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2,054</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986</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GAAP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Amortization of debt discount and other costs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(Gain) loss on debt repurchases and conversions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net income</w:t>
            </w:r>
          </w:p>
        </w:tc>
        <w:tc>
          <w:tcPr>
            <w:tcW w:w="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2,444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2,471</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1,128</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1,144</w:t>
            </w:r>
          </w:p>
        </w:tc>
      </w:tr>
      <w:tr>
        <w:trPr>
          <w:trHeight w:val="230"/>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Adjustment for stock-based compensation</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0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22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1,154</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0.53</w:t>
            </w:r>
          </w:p>
        </w:tc>
      </w:tr>
      <w:tr>
        <w:trPr>
          <w:trHeight w:val="230"/>
        </w:trPr>
        <w:tc>
          <w:tcPr>
            <w:tcW w:w="724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Effects of the above adjustments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r>
      <w:tr>
        <w:trPr>
          <w:trHeight w:val="248"/>
        </w:trPr>
        <w:tc>
          <w:tcPr>
            <w:tcW w:w="72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0.98</w:t>
            </w: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886"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8700" w:type="dxa"/>
            <w:vAlign w:val="bottom"/>
            <w:gridSpan w:val="4"/>
          </w:tcPr>
          <w:p>
            <w:pPr>
              <w:jc w:val="right"/>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7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Pr>
          <w:p>
            <w:pPr>
              <w:spacing w:after="0"/>
              <w:rPr>
                <w:sz w:val="24"/>
                <w:szCs w:val="24"/>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1st Qtr.</w:t>
            </w:r>
          </w:p>
        </w:tc>
        <w:tc>
          <w:tcPr>
            <w:tcW w:w="22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c>
          <w:tcPr>
            <w:tcW w:w="0" w:type="dxa"/>
            <w:vAlign w:val="bottom"/>
          </w:tcPr>
          <w:p>
            <w:pPr>
              <w:spacing w:after="0"/>
              <w:rPr>
                <w:sz w:val="1"/>
                <w:szCs w:val="1"/>
                <w:color w:val="auto"/>
              </w:rPr>
            </w:pPr>
          </w:p>
        </w:tc>
      </w:tr>
      <w:tr>
        <w:trPr>
          <w:trHeight w:val="185"/>
        </w:trPr>
        <w:tc>
          <w:tcPr>
            <w:tcW w:w="7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w w:val="98"/>
              </w:rPr>
              <w:t>March 3,</w:t>
            </w:r>
          </w:p>
        </w:tc>
        <w:tc>
          <w:tcPr>
            <w:tcW w:w="14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2,</w:t>
            </w:r>
          </w:p>
        </w:tc>
        <w:tc>
          <w:tcPr>
            <w:tcW w:w="220" w:type="dxa"/>
            <w:vAlign w:val="bottom"/>
          </w:tcPr>
          <w:p>
            <w:pPr>
              <w:spacing w:after="0"/>
              <w:rPr>
                <w:sz w:val="16"/>
                <w:szCs w:val="16"/>
                <w:color w:val="auto"/>
              </w:rPr>
            </w:pPr>
          </w:p>
        </w:tc>
        <w:tc>
          <w:tcPr>
            <w:tcW w:w="112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rPr>
              <w:t>March 4,</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3,628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3,938</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57"/>
        </w:trPr>
        <w:tc>
          <w:tcPr>
            <w:tcW w:w="7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(2,611)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(3,265)</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Amounts funded by partners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(3,267)</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March 3,</w:t>
            </w:r>
          </w:p>
        </w:tc>
        <w:tc>
          <w:tcPr>
            <w:tcW w:w="14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rPr>
              <w:t>December 2,</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2,</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0090DA"/>
            </w:tcBorders>
            <w:vMerge w:val="continue"/>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short-term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and noncurrent restricted cash</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marketable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and long-term debt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10,122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8,633</w:t>
            </w:r>
          </w:p>
        </w:tc>
      </w:tr>
      <w:tr>
        <w:trPr>
          <w:trHeight w:val="230"/>
        </w:trPr>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29"/>
        </w:trPr>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-479425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-187960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000"/>
          </w:cols>
          <w:pgMar w:left="320" w:top="886" w:right="339" w:bottom="1440" w:gutter="0" w:footer="0" w:header="0"/>
          <w:type w:val="continuous"/>
        </w:sectPr>
      </w:pPr>
    </w:p>
    <w:p>
      <w:pPr>
        <w:spacing w:after="0" w:line="12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 and patent license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Initial impact of inventory accounting policy change to FIFO and change in inventory cost absorption in the second quarter of 2021; and</w:t>
      </w:r>
    </w:p>
    <w:p>
      <w:pPr>
        <w:ind w:left="660" w:right="5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6"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FQ3-22</w:t>
            </w:r>
          </w:p>
        </w:tc>
        <w:tc>
          <w:tcPr>
            <w:tcW w:w="2240" w:type="dxa"/>
            <w:vAlign w:val="bottom"/>
            <w:gridSpan w:val="2"/>
          </w:tcPr>
          <w:p>
            <w:pPr>
              <w:ind w:left="360"/>
              <w:spacing w:after="0"/>
              <w:rPr>
                <w:sz w:val="20"/>
                <w:szCs w:val="20"/>
                <w:color w:val="auto"/>
              </w:rPr>
            </w:pPr>
            <w:r>
              <w:rPr>
                <w:rFonts w:ascii="Arial" w:cs="Arial" w:eastAsia="Arial" w:hAnsi="Arial"/>
                <w:sz w:val="18"/>
                <w:szCs w:val="18"/>
                <w:b w:val="1"/>
                <w:bCs w:val="1"/>
                <w:color w:val="auto"/>
              </w:rPr>
              <w:t>GAAP Outlook</w:t>
            </w:r>
          </w:p>
        </w:tc>
        <w:tc>
          <w:tcPr>
            <w:tcW w:w="260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280" w:type="dxa"/>
            <w:vAlign w:val="bottom"/>
            <w:tcBorders>
              <w:top w:val="single" w:sz="8" w:color="0090DA"/>
            </w:tcBorders>
          </w:tcPr>
          <w:p>
            <w:pPr>
              <w:spacing w:after="0"/>
              <w:rPr>
                <w:sz w:val="2"/>
                <w:szCs w:val="2"/>
                <w:color w:val="auto"/>
              </w:rPr>
            </w:pPr>
          </w:p>
        </w:tc>
        <w:tc>
          <w:tcPr>
            <w:tcW w:w="21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2120" w:type="dxa"/>
            <w:vAlign w:val="bottom"/>
            <w:tcBorders>
              <w:top w:val="single" w:sz="8" w:color="0090DA"/>
            </w:tcBorders>
          </w:tcPr>
          <w:p>
            <w:pPr>
              <w:spacing w:after="0"/>
              <w:rPr>
                <w:sz w:val="2"/>
                <w:szCs w:val="2"/>
                <w:color w:val="auto"/>
              </w:rPr>
            </w:pP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40" w:type="dxa"/>
            <w:vAlign w:val="bottom"/>
            <w:gridSpan w:val="2"/>
            <w:shd w:val="clear" w:color="auto" w:fill="D1D2D4"/>
          </w:tcPr>
          <w:p>
            <w:pPr>
              <w:ind w:left="100"/>
              <w:spacing w:after="0"/>
              <w:rPr>
                <w:sz w:val="20"/>
                <w:szCs w:val="20"/>
                <w:color w:val="auto"/>
              </w:rPr>
            </w:pPr>
            <w:r>
              <w:rPr>
                <w:rFonts w:ascii="Arial" w:cs="Arial" w:eastAsia="Arial" w:hAnsi="Arial"/>
                <w:sz w:val="18"/>
                <w:szCs w:val="18"/>
                <w:color w:val="auto"/>
              </w:rPr>
              <w:t>$8.7 billion ± $200 million</w:t>
            </w:r>
          </w:p>
        </w:tc>
        <w:tc>
          <w:tcPr>
            <w:tcW w:w="2600" w:type="dxa"/>
            <w:vAlign w:val="bottom"/>
            <w:gridSpan w:val="3"/>
            <w:shd w:val="clear" w:color="auto" w:fill="D1D2D4"/>
          </w:tcPr>
          <w:p>
            <w:pPr>
              <w:jc w:val="right"/>
              <w:ind w:right="13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 billion ± $200 million</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140" w:type="dxa"/>
            <w:vAlign w:val="bottom"/>
          </w:tcPr>
          <w:p>
            <w:pPr>
              <w:jc w:val="right"/>
              <w:spacing w:after="0"/>
              <w:rPr>
                <w:sz w:val="20"/>
                <w:szCs w:val="20"/>
                <w:color w:val="auto"/>
              </w:rPr>
            </w:pPr>
            <w:r>
              <w:rPr>
                <w:rFonts w:ascii="Arial" w:cs="Arial" w:eastAsia="Arial" w:hAnsi="Arial"/>
                <w:sz w:val="18"/>
                <w:szCs w:val="18"/>
                <w:color w:val="auto"/>
              </w:rPr>
              <w:t>47.0% ± 1%</w:t>
            </w:r>
          </w:p>
        </w:tc>
        <w:tc>
          <w:tcPr>
            <w:tcW w:w="100" w:type="dxa"/>
            <w:vAlign w:val="bottom"/>
          </w:tcPr>
          <w:p>
            <w:pPr>
              <w:spacing w:after="0"/>
              <w:rPr>
                <w:sz w:val="19"/>
                <w:szCs w:val="19"/>
                <w:color w:val="auto"/>
              </w:rPr>
            </w:pPr>
          </w:p>
        </w:tc>
        <w:tc>
          <w:tcPr>
            <w:tcW w:w="2600" w:type="dxa"/>
            <w:vAlign w:val="bottom"/>
            <w:gridSpan w:val="3"/>
          </w:tcPr>
          <w:p>
            <w:pPr>
              <w:jc w:val="right"/>
              <w:ind w:right="1140"/>
              <w:spacing w:after="0"/>
              <w:rPr>
                <w:sz w:val="20"/>
                <w:szCs w:val="20"/>
                <w:color w:val="auto"/>
              </w:rPr>
            </w:pPr>
            <w:r>
              <w:rPr>
                <w:rFonts w:ascii="Arial" w:cs="Arial" w:eastAsia="Arial" w:hAnsi="Arial"/>
                <w:sz w:val="18"/>
                <w:szCs w:val="18"/>
                <w:color w:val="auto"/>
              </w:rPr>
              <w:t>1% A</w:t>
            </w:r>
          </w:p>
        </w:tc>
        <w:tc>
          <w:tcPr>
            <w:tcW w:w="2120" w:type="dxa"/>
            <w:vAlign w:val="bottom"/>
          </w:tcPr>
          <w:p>
            <w:pPr>
              <w:jc w:val="right"/>
              <w:spacing w:after="0"/>
              <w:rPr>
                <w:sz w:val="20"/>
                <w:szCs w:val="20"/>
                <w:color w:val="auto"/>
              </w:rPr>
            </w:pPr>
            <w:r>
              <w:rPr>
                <w:rFonts w:ascii="Arial" w:cs="Arial" w:eastAsia="Arial" w:hAnsi="Arial"/>
                <w:sz w:val="18"/>
                <w:szCs w:val="18"/>
                <w:color w:val="auto"/>
              </w:rPr>
              <w:t>48.0% ± 1%</w:t>
            </w:r>
          </w:p>
        </w:tc>
      </w:tr>
      <w:tr>
        <w:trPr>
          <w:trHeight w:val="230"/>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240" w:type="dxa"/>
            <w:vAlign w:val="bottom"/>
            <w:gridSpan w:val="2"/>
            <w:shd w:val="clear" w:color="auto" w:fill="D1D2D4"/>
          </w:tcPr>
          <w:p>
            <w:pPr>
              <w:ind w:left="100"/>
              <w:spacing w:after="0"/>
              <w:rPr>
                <w:sz w:val="20"/>
                <w:szCs w:val="20"/>
                <w:color w:val="auto"/>
              </w:rPr>
            </w:pPr>
            <w:r>
              <w:rPr>
                <w:rFonts w:ascii="Arial" w:cs="Arial" w:eastAsia="Arial" w:hAnsi="Arial"/>
                <w:sz w:val="18"/>
                <w:szCs w:val="18"/>
                <w:color w:val="auto"/>
              </w:rPr>
              <w:t>$1.13 billion ± $25 million</w:t>
            </w:r>
          </w:p>
        </w:tc>
        <w:tc>
          <w:tcPr>
            <w:tcW w:w="2600" w:type="dxa"/>
            <w:vAlign w:val="bottom"/>
            <w:gridSpan w:val="3"/>
            <w:shd w:val="clear" w:color="auto" w:fill="D1D2D4"/>
          </w:tcPr>
          <w:p>
            <w:pPr>
              <w:jc w:val="right"/>
              <w:ind w:right="1140"/>
              <w:spacing w:after="0"/>
              <w:rPr>
                <w:sz w:val="20"/>
                <w:szCs w:val="20"/>
                <w:color w:val="auto"/>
              </w:rPr>
            </w:pPr>
            <w:r>
              <w:rPr>
                <w:rFonts w:ascii="Arial" w:cs="Arial" w:eastAsia="Arial" w:hAnsi="Arial"/>
                <w:sz w:val="18"/>
                <w:szCs w:val="18"/>
                <w:color w:val="auto"/>
              </w:rPr>
              <w:t>$80 million B</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 billion ± $25 million</w:t>
            </w:r>
          </w:p>
        </w:tc>
      </w:tr>
      <w:tr>
        <w:trPr>
          <w:trHeight w:val="301"/>
        </w:trPr>
        <w:tc>
          <w:tcPr>
            <w:tcW w:w="428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140" w:type="dxa"/>
            <w:vAlign w:val="bottom"/>
          </w:tcPr>
          <w:p>
            <w:pPr>
              <w:jc w:val="right"/>
              <w:spacing w:after="0"/>
              <w:rPr>
                <w:sz w:val="20"/>
                <w:szCs w:val="20"/>
                <w:color w:val="auto"/>
              </w:rPr>
            </w:pPr>
            <w:r>
              <w:rPr>
                <w:rFonts w:ascii="Arial" w:cs="Arial" w:eastAsia="Arial" w:hAnsi="Arial"/>
                <w:sz w:val="18"/>
                <w:szCs w:val="18"/>
                <w:color w:val="auto"/>
              </w:rPr>
              <w:t>$2.33 ± $0.10</w:t>
            </w:r>
          </w:p>
        </w:tc>
        <w:tc>
          <w:tcPr>
            <w:tcW w:w="100" w:type="dxa"/>
            <w:vAlign w:val="bottom"/>
          </w:tcPr>
          <w:p>
            <w:pPr>
              <w:spacing w:after="0"/>
              <w:rPr>
                <w:sz w:val="24"/>
                <w:szCs w:val="24"/>
                <w:color w:val="auto"/>
              </w:rPr>
            </w:pPr>
          </w:p>
        </w:tc>
        <w:tc>
          <w:tcPr>
            <w:tcW w:w="2600" w:type="dxa"/>
            <w:vAlign w:val="bottom"/>
            <w:gridSpan w:val="3"/>
          </w:tcPr>
          <w:p>
            <w:pPr>
              <w:jc w:val="right"/>
              <w:ind w:right="680"/>
              <w:spacing w:after="0"/>
              <w:rPr>
                <w:sz w:val="20"/>
                <w:szCs w:val="20"/>
                <w:color w:val="auto"/>
              </w:rPr>
            </w:pPr>
            <w:r>
              <w:rPr>
                <w:rFonts w:ascii="Arial" w:cs="Arial" w:eastAsia="Arial" w:hAnsi="Arial"/>
                <w:sz w:val="18"/>
                <w:szCs w:val="18"/>
                <w:color w:val="auto"/>
              </w:rPr>
              <w:t>$0.13 A, B, C</w:t>
            </w:r>
          </w:p>
        </w:tc>
        <w:tc>
          <w:tcPr>
            <w:tcW w:w="2120" w:type="dxa"/>
            <w:vAlign w:val="bottom"/>
          </w:tcPr>
          <w:p>
            <w:pPr>
              <w:jc w:val="right"/>
              <w:spacing w:after="0"/>
              <w:rPr>
                <w:sz w:val="20"/>
                <w:szCs w:val="20"/>
                <w:color w:val="auto"/>
              </w:rPr>
            </w:pPr>
            <w:r>
              <w:rPr>
                <w:rFonts w:ascii="Arial" w:cs="Arial" w:eastAsia="Arial" w:hAnsi="Arial"/>
                <w:sz w:val="18"/>
                <w:szCs w:val="18"/>
                <w:color w:val="auto"/>
              </w:rPr>
              <w:t>$2.46 ± $0.10</w:t>
            </w:r>
          </w:p>
        </w:tc>
      </w:tr>
      <w:tr>
        <w:trPr>
          <w:trHeight w:val="226"/>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9"/>
        </w:trPr>
        <w:tc>
          <w:tcPr>
            <w:tcW w:w="42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232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2120" w:type="dxa"/>
            <w:vAlign w:val="bottom"/>
            <w:tcBorders>
              <w:bottom w:val="single" w:sz="8" w:color="0090DA"/>
            </w:tcBorders>
          </w:tcPr>
          <w:p>
            <w:pPr>
              <w:spacing w:after="0"/>
              <w:rPr>
                <w:sz w:val="19"/>
                <w:szCs w:val="19"/>
                <w:color w:val="auto"/>
              </w:rPr>
            </w:pPr>
          </w:p>
        </w:tc>
      </w:tr>
      <w:tr>
        <w:trPr>
          <w:trHeight w:val="34"/>
        </w:trPr>
        <w:tc>
          <w:tcPr>
            <w:tcW w:w="4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1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520" w:type="dxa"/>
            <w:vAlign w:val="bottom"/>
            <w:gridSpan w:val="3"/>
            <w:shd w:val="clear" w:color="auto" w:fill="D1D2D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2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520" w:type="dxa"/>
            <w:vAlign w:val="bottom"/>
            <w:gridSpan w:val="3"/>
            <w:shd w:val="clear" w:color="auto" w:fill="D1D2D4"/>
          </w:tcPr>
          <w:p>
            <w:pPr>
              <w:ind w:left="20"/>
              <w:spacing w:after="0"/>
              <w:rPr>
                <w:sz w:val="20"/>
                <w:szCs w:val="20"/>
                <w:color w:val="auto"/>
              </w:rPr>
            </w:pPr>
            <w:r>
              <w:rPr>
                <w:rFonts w:ascii="Arial" w:cs="Arial" w:eastAsia="Arial" w:hAnsi="Arial"/>
                <w:sz w:val="18"/>
                <w:szCs w:val="18"/>
                <w:color w:val="auto"/>
              </w:rPr>
              <w:t>C  Tax effects of the above items and other tax adjustments</w:t>
            </w:r>
          </w:p>
        </w:tc>
        <w:tc>
          <w:tcPr>
            <w:tcW w:w="2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2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
        </w:trPr>
        <w:tc>
          <w:tcPr>
            <w:tcW w:w="4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60" w:hanging="332"/>
        <w:spacing w:after="0" w:line="220"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1.14 billion diluted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2022-03-29T15:19:20Z</dcterms:created>
  <dcterms:modified xsi:type="dcterms:W3CDTF">2022-03-29T15:19:20Z</dcterms:modified>
</cp:coreProperties>
</file>