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985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985635"/>
                    </a:xfrm>
                    <a:prstGeom prst="rect">
                      <a:avLst/>
                    </a:prstGeom>
                    <a:noFill/>
                  </pic:spPr>
                </pic:pic>
              </a:graphicData>
            </a:graphic>
          </wp:anchor>
        </w:drawing>
      </w:r>
    </w:p>
    <w:p>
      <w:pPr>
        <w:spacing w:after="0" w:line="101" w:lineRule="exact"/>
        <w:rPr>
          <w:sz w:val="24"/>
          <w:szCs w:val="24"/>
          <w:color w:val="auto"/>
        </w:rPr>
      </w:pPr>
    </w:p>
    <w:p>
      <w:pPr>
        <w:sectPr>
          <w:pgSz w:w="11900" w:h="16847"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47"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03/08/2024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818,557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03/08/2024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45,000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773,557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03/12/2024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ind w:right="9"/>
              <w:spacing w:after="0"/>
              <w:rPr>
                <w:sz w:val="20"/>
                <w:szCs w:val="20"/>
                <w:color w:val="auto"/>
              </w:rPr>
            </w:pPr>
            <w:r>
              <w:rPr>
                <w:rFonts w:ascii="Times New Roman" w:cs="Times New Roman" w:eastAsia="Times New Roman" w:hAnsi="Times New Roman"/>
                <w:sz w:val="17"/>
                <w:szCs w:val="17"/>
                <w:color w:val="0000FF"/>
              </w:rPr>
              <w:t>7,000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780,557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03/12/2024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ind w:right="9"/>
              <w:spacing w:after="0"/>
              <w:rPr>
                <w:sz w:val="20"/>
                <w:szCs w:val="20"/>
                <w:color w:val="auto"/>
              </w:rPr>
            </w:pPr>
            <w:r>
              <w:rPr>
                <w:rFonts w:ascii="Times New Roman" w:cs="Times New Roman" w:eastAsia="Times New Roman" w:hAnsi="Times New Roman"/>
                <w:sz w:val="17"/>
                <w:szCs w:val="17"/>
                <w:color w:val="0000FF"/>
              </w:rPr>
              <w:t>1,316</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94.58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779,241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03/12/2024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ind w:right="9"/>
              <w:spacing w:after="0"/>
              <w:rPr>
                <w:sz w:val="20"/>
                <w:szCs w:val="20"/>
                <w:color w:val="auto"/>
              </w:rPr>
            </w:pPr>
            <w:r>
              <w:rPr>
                <w:rFonts w:ascii="Times New Roman" w:cs="Times New Roman" w:eastAsia="Times New Roman" w:hAnsi="Times New Roman"/>
                <w:sz w:val="17"/>
                <w:szCs w:val="17"/>
                <w:color w:val="0000FF"/>
              </w:rPr>
              <w:t>4,573</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95.71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774,668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8"/>
              <w:spacing w:after="0"/>
              <w:rPr>
                <w:sz w:val="20"/>
                <w:szCs w:val="20"/>
                <w:color w:val="auto"/>
              </w:rPr>
            </w:pPr>
            <w:r>
              <w:rPr>
                <w:rFonts w:ascii="Times New Roman" w:cs="Times New Roman" w:eastAsia="Times New Roman" w:hAnsi="Times New Roman"/>
                <w:sz w:val="17"/>
                <w:szCs w:val="17"/>
                <w:color w:val="0000FF"/>
                <w:w w:val="98"/>
              </w:rPr>
              <w:t>03/12/2024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ind w:right="9"/>
              <w:spacing w:after="0"/>
              <w:rPr>
                <w:sz w:val="20"/>
                <w:szCs w:val="20"/>
                <w:color w:val="auto"/>
              </w:rPr>
            </w:pPr>
            <w:r>
              <w:rPr>
                <w:rFonts w:ascii="Times New Roman" w:cs="Times New Roman" w:eastAsia="Times New Roman" w:hAnsi="Times New Roman"/>
                <w:sz w:val="17"/>
                <w:szCs w:val="17"/>
                <w:color w:val="0000FF"/>
              </w:rPr>
              <w:t>1,111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96.58</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773,557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371,629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03/08/2024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7"/>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252,284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3"/>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03/12/2024</w:t>
            </w:r>
          </w:p>
        </w:tc>
        <w:tc>
          <w:tcPr>
            <w:tcW w:w="1140" w:type="dxa"/>
            <w:vAlign w:val="bottom"/>
          </w:tcPr>
          <w:p>
            <w:pPr>
              <w:spacing w:after="0"/>
              <w:rPr>
                <w:sz w:val="12"/>
                <w:szCs w:val="12"/>
                <w:color w:val="auto"/>
              </w:rPr>
            </w:pPr>
          </w:p>
        </w:tc>
        <w:tc>
          <w:tcPr>
            <w:tcW w:w="6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245,284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exercises and stock sales reported on this Form 4 were effected automatically pursuant to a Rule 10b5-1 trading plan adopted by the Reporting Person on May 15, 2023.</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$94.35 to $95.33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$95.43 to $96.18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$96.44 to $96.68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03/12/2024</w:t>
            </w:r>
          </w:p>
        </w:tc>
      </w:tr>
      <w:tr>
        <w:trPr>
          <w:trHeight w:val="226"/>
        </w:trPr>
        <w:tc>
          <w:tcPr>
            <w:tcW w:w="656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r>
      <w:tr>
        <w:trPr>
          <w:trHeight w:val="193"/>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r>
    </w:tbl>
    <w:p>
      <w:pPr>
        <w:sectPr>
          <w:pgSz w:w="11900" w:h="1684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2024-03-12T19:10:01Z</dcterms:created>
  <dcterms:modified xsi:type="dcterms:W3CDTF">2024-03-12T19:10:01Z</dcterms:modified>
</cp:coreProperties>
</file>