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360" w:right="380"/>
        <w:spacing w:after="0" w:line="247" w:lineRule="auto"/>
        <w:rPr>
          <w:sz w:val="20"/>
          <w:szCs w:val="20"/>
          <w:color w:val="auto"/>
        </w:rPr>
      </w:pPr>
      <w:r>
        <w:rPr>
          <w:rFonts w:ascii="Arial" w:cs="Arial" w:eastAsia="Arial" w:hAnsi="Arial"/>
          <w:sz w:val="32"/>
          <w:szCs w:val="32"/>
          <w:b w:val="1"/>
          <w:bCs w:val="1"/>
          <w:color w:val="auto"/>
        </w:rPr>
        <w:t>UNITED STATES SECURITIES AND EXCHANGE COMMISSION</w:t>
      </w:r>
    </w:p>
    <w:p>
      <w:pPr>
        <w:spacing w:after="0" w:line="1"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ind w:left="4500"/>
        <w:spacing w:after="0"/>
        <w:rPr>
          <w:sz w:val="20"/>
          <w:szCs w:val="20"/>
          <w:color w:val="auto"/>
        </w:rPr>
      </w:pPr>
      <w:r>
        <w:rPr>
          <w:rFonts w:ascii="Arial" w:cs="Arial" w:eastAsia="Arial" w:hAnsi="Arial"/>
          <w:sz w:val="32"/>
          <w:szCs w:val="32"/>
          <w:b w:val="1"/>
          <w:bCs w:val="1"/>
          <w:color w:val="auto"/>
        </w:rPr>
        <w:t>SCHEDULE 13G</w:t>
      </w:r>
    </w:p>
    <w:p>
      <w:pPr>
        <w:spacing w:after="0" w:line="330"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(Amendment No. 6)*</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-215900</wp:posOffset>
            </wp:positionV>
            <wp:extent cx="1449070" cy="1269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126936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OMB Number: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3235-0145</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Expires: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December 31, 2005</w:t>
      </w:r>
    </w:p>
    <w:p>
      <w:pPr>
        <w:spacing w:after="0" w:line="9" w:lineRule="exact"/>
        <w:rPr>
          <w:sz w:val="24"/>
          <w:szCs w:val="24"/>
          <w:color w:val="auto"/>
        </w:rPr>
      </w:pPr>
    </w:p>
    <w:p>
      <w:pPr>
        <w:ind w:right="380"/>
        <w:spacing w:after="0" w:line="341" w:lineRule="auto"/>
        <w:rPr>
          <w:sz w:val="20"/>
          <w:szCs w:val="20"/>
          <w:color w:val="auto"/>
        </w:rPr>
      </w:pPr>
      <w:r>
        <w:rPr>
          <w:rFonts w:ascii="Arial" w:cs="Arial" w:eastAsia="Arial" w:hAnsi="Arial"/>
          <w:sz w:val="16"/>
          <w:szCs w:val="16"/>
          <w:color w:val="auto"/>
        </w:rPr>
        <w:t>Estimated average burden hours per response. . 11</w:t>
      </w:r>
    </w:p>
    <w:p>
      <w:pPr>
        <w:spacing w:after="0" w:line="759" w:lineRule="exact"/>
        <w:rPr>
          <w:sz w:val="24"/>
          <w:szCs w:val="24"/>
          <w:color w:val="auto"/>
        </w:rPr>
      </w:pPr>
    </w:p>
    <w:p>
      <w:pPr>
        <w:sectPr>
          <w:pgSz w:w="11900" w:h="16838" w:orient="portrait"/>
          <w:cols w:equalWidth="0" w:num="2">
            <w:col w:w="8440" w:space="720"/>
            <w:col w:w="2260"/>
          </w:cols>
          <w:pgMar w:left="240" w:top="422" w:right="239" w:bottom="0" w:gutter="0" w:footer="0" w:header="0"/>
        </w:sect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595112103</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7" w:lineRule="exact"/>
        <w:rPr>
          <w:sz w:val="24"/>
          <w:szCs w:val="24"/>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PRIMECAP Management Company 95-3868081</w:t>
      </w:r>
    </w:p>
    <w:p>
      <w:pPr>
        <w:spacing w:after="0" w:line="389"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6,053,752</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0" w:gutter="0" w:footer="0" w:header="0"/>
          <w:type w:val="continuous"/>
        </w:sectPr>
      </w:pPr>
    </w:p>
    <w:bookmarkStart w:id="1" w:name="page2"/>
    <w:bookmarkEnd w:id="1"/>
    <w:p>
      <w:pPr>
        <w:ind w:left="2700" w:right="6800" w:hanging="1091"/>
        <w:spacing w:after="0" w:line="275"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60,019,343</w:t>
      </w:r>
    </w:p>
    <w:p>
      <w:pPr>
        <w:spacing w:after="0" w:line="389" w:lineRule="exact"/>
        <w:rPr>
          <w:rFonts w:ascii="Arial" w:cs="Arial" w:eastAsia="Arial" w:hAnsi="Arial"/>
          <w:sz w:val="18"/>
          <w:szCs w:val="18"/>
          <w:color w:val="auto"/>
        </w:rPr>
      </w:pPr>
    </w:p>
    <w:p>
      <w:pPr>
        <w:ind w:left="2700" w:right="6620" w:hanging="1091"/>
        <w:spacing w:after="0" w:line="275"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right="540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60,019,343</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40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9.76%</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186690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-164465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186690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-164465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-516255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-868045</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-1219200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93"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80010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300" w:top="193" w:right="399" w:bottom="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83" w:lineRule="exact"/>
        <w:rPr>
          <w:sz w:val="20"/>
          <w:szCs w:val="20"/>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53"/>
        <w:spacing w:after="0"/>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78"/>
        <w:spacing w:after="0"/>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503"/>
        <w:spacing w:after="0"/>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hanging="498"/>
        <w:spacing w:after="0"/>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-198755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 w:right="2900"/>
        <w:spacing w:after="0" w:line="277" w:lineRule="auto"/>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§240.l3d-3(d)(1).</w:t>
      </w:r>
    </w:p>
    <w:p>
      <w:pPr>
        <w:spacing w:after="0" w:line="3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ind w:left="1120" w:right="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13d-l(c) or Rule 13d-l(d),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If a group has filed this schedule pursuant to §240-13d-l(b)(l)(ii)(J), so indicate under Item 3(j) and attach an exhibit stating the identity and Item 3 classification of each member of the group. If a group has filed this schedule pursuant to §240.13d-l(c) or §240.13d-l(d),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3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The following certification shall be included if the statement is filed pursuant to §240.13d-l(b):</w:t>
      </w:r>
    </w:p>
    <w:p>
      <w:pPr>
        <w:spacing w:after="0" w:line="225" w:lineRule="exact"/>
        <w:rPr>
          <w:sz w:val="20"/>
          <w:szCs w:val="20"/>
          <w:color w:val="auto"/>
        </w:rPr>
      </w:pPr>
    </w:p>
    <w:p>
      <w:pPr>
        <w:ind w:left="980" w:right="120"/>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w:t>
      </w:r>
    </w:p>
    <w:p>
      <w:pPr>
        <w:sectPr>
          <w:pgSz w:w="11900" w:h="16838" w:orient="portrait"/>
          <w:cols w:equalWidth="0" w:num="1">
            <w:col w:w="11300"/>
          </w:cols>
          <w:pgMar w:left="300" w:top="634" w:right="299" w:bottom="0" w:gutter="0" w:footer="0" w:header="0"/>
        </w:sectPr>
      </w:pPr>
    </w:p>
    <w:bookmarkStart w:id="3" w:name="page4"/>
    <w:bookmarkEnd w:id="3"/>
    <w:p>
      <w:pPr>
        <w:ind w:left="1040" w:right="560"/>
        <w:spacing w:after="0" w:line="277" w:lineRule="auto"/>
        <w:rPr>
          <w:sz w:val="20"/>
          <w:szCs w:val="20"/>
          <w:color w:val="auto"/>
        </w:rPr>
      </w:pPr>
      <w:r>
        <w:rPr>
          <w:rFonts w:ascii="Arial" w:cs="Arial" w:eastAsia="Arial" w:hAnsi="Arial"/>
          <w:sz w:val="18"/>
          <w:szCs w:val="18"/>
          <w:color w:val="auto"/>
        </w:rPr>
        <w:t>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The following certification shall be included if the statement is filed pursuant to §240.13d-l(c):</w:t>
      </w:r>
    </w:p>
    <w:p>
      <w:pPr>
        <w:spacing w:after="0" w:line="225" w:lineRule="exact"/>
        <w:rPr>
          <w:sz w:val="20"/>
          <w:szCs w:val="20"/>
          <w:color w:val="auto"/>
        </w:rPr>
      </w:pPr>
    </w:p>
    <w:p>
      <w:pPr>
        <w:jc w:val="both"/>
        <w:ind w:left="1040" w:right="1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Signature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July 6, 2005</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1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Chen/CCO</w:t>
      </w:r>
    </w:p>
    <w:p>
      <w:pPr>
        <w:spacing w:after="0" w:line="17"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1"/>
    </w:lvl>
    <w:lvl w:ilvl="1">
      <w:lvlJc w:val="left"/>
      <w:lvlText w:val="%2."/>
      <w:numFmt w:val="decimal"/>
      <w:start w:val="7"/>
    </w:lvl>
  </w:abstractNum>
  <w:abstractNum w:abstractNumId="3">
    <w:nsid w:val="79E2A9E3"/>
    <w:multiLevelType w:val="hybridMultilevel"/>
    <w:lvl w:ilvl="0">
      <w:lvlJc w:val="left"/>
      <w:lvlText w:val="%1."/>
      <w:numFmt w:val="decimal"/>
      <w:start w:val="9"/>
    </w:lvl>
    <w:lvl w:ilvl="1">
      <w:lvlJc w:val="left"/>
      <w:lvlText w:val="%2"/>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2019-12-13T13:17:48Z</dcterms:created>
  <dcterms:modified xsi:type="dcterms:W3CDTF">2019-12-13T13:17:48Z</dcterms:modified>
</cp:coreProperties>
</file>