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1700" w:hanging="929"/>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29, 2025</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1"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98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1-10658</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8"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5440" w:type="dxa"/>
            <w:vAlign w:val="bottom"/>
          </w:tcPr>
          <w:p>
            <w:pPr>
              <w:jc w:val="center"/>
              <w:ind w:right="1155"/>
              <w:spacing w:after="0"/>
              <w:rPr>
                <w:sz w:val="20"/>
                <w:szCs w:val="20"/>
                <w:color w:val="auto"/>
              </w:rPr>
            </w:pPr>
            <w:r>
              <w:rPr>
                <w:rFonts w:ascii="Arial" w:cs="Arial" w:eastAsia="Arial" w:hAnsi="Arial"/>
                <w:sz w:val="18"/>
                <w:szCs w:val="18"/>
                <w:b w:val="1"/>
                <w:bCs w:val="1"/>
                <w:color w:val="auto"/>
              </w:rPr>
              <w:t>Delaware</w:t>
            </w:r>
          </w:p>
        </w:tc>
        <w:tc>
          <w:tcPr>
            <w:tcW w:w="4960" w:type="dxa"/>
            <w:vAlign w:val="bottom"/>
          </w:tcPr>
          <w:p>
            <w:pPr>
              <w:jc w:val="right"/>
              <w:ind w:right="1275"/>
              <w:spacing w:after="0"/>
              <w:rPr>
                <w:sz w:val="20"/>
                <w:szCs w:val="20"/>
                <w:color w:val="auto"/>
              </w:rPr>
            </w:pPr>
            <w:r>
              <w:rPr>
                <w:rFonts w:ascii="Arial" w:cs="Arial" w:eastAsia="Arial" w:hAnsi="Arial"/>
                <w:sz w:val="18"/>
                <w:szCs w:val="18"/>
                <w:b w:val="1"/>
                <w:bCs w:val="1"/>
                <w:color w:val="auto"/>
              </w:rPr>
              <w:t>75-1618004</w:t>
            </w:r>
          </w:p>
        </w:tc>
      </w:tr>
      <w:tr>
        <w:trPr>
          <w:trHeight w:val="211"/>
        </w:trPr>
        <w:tc>
          <w:tcPr>
            <w:tcW w:w="5440" w:type="dxa"/>
            <w:vAlign w:val="bottom"/>
          </w:tcPr>
          <w:p>
            <w:pPr>
              <w:jc w:val="center"/>
              <w:ind w:right="1175"/>
              <w:spacing w:after="0"/>
              <w:rPr>
                <w:sz w:val="20"/>
                <w:szCs w:val="20"/>
                <w:color w:val="auto"/>
              </w:rPr>
            </w:pPr>
            <w:r>
              <w:rPr>
                <w:rFonts w:ascii="Arial" w:cs="Arial" w:eastAsia="Arial" w:hAnsi="Arial"/>
                <w:sz w:val="16"/>
                <w:szCs w:val="16"/>
                <w:color w:val="auto"/>
              </w:rPr>
              <w:t>(State or other jurisdiction of incorporation or organization)</w:t>
            </w:r>
          </w:p>
        </w:tc>
        <w:tc>
          <w:tcPr>
            <w:tcW w:w="4960" w:type="dxa"/>
            <w:vAlign w:val="bottom"/>
          </w:tcPr>
          <w:p>
            <w:pPr>
              <w:jc w:val="center"/>
              <w:ind w:left="1195"/>
              <w:spacing w:after="0"/>
              <w:rPr>
                <w:sz w:val="20"/>
                <w:szCs w:val="20"/>
                <w:color w:val="auto"/>
              </w:rPr>
            </w:pPr>
            <w:r>
              <w:rPr>
                <w:rFonts w:ascii="Arial" w:cs="Arial" w:eastAsia="Arial" w:hAnsi="Arial"/>
                <w:sz w:val="16"/>
                <w:szCs w:val="16"/>
                <w:color w:val="auto"/>
              </w:rPr>
              <w:t>(IRS Employer Identification No.)</w:t>
            </w:r>
          </w:p>
        </w:tc>
      </w:tr>
      <w:tr>
        <w:trPr>
          <w:trHeight w:val="234"/>
        </w:trPr>
        <w:tc>
          <w:tcPr>
            <w:tcW w:w="5440" w:type="dxa"/>
            <w:vAlign w:val="bottom"/>
          </w:tcPr>
          <w:p>
            <w:pPr>
              <w:jc w:val="center"/>
              <w:ind w:right="1155"/>
              <w:spacing w:after="0"/>
              <w:rPr>
                <w:sz w:val="20"/>
                <w:szCs w:val="20"/>
                <w:color w:val="auto"/>
              </w:rPr>
            </w:pPr>
            <w:r>
              <w:rPr>
                <w:rFonts w:ascii="Arial" w:cs="Arial" w:eastAsia="Arial" w:hAnsi="Arial"/>
                <w:sz w:val="18"/>
                <w:szCs w:val="18"/>
                <w:b w:val="1"/>
                <w:bCs w:val="1"/>
                <w:color w:val="auto"/>
                <w:w w:val="99"/>
              </w:rPr>
              <w:t>8000 S. Federal Way, Boise, Idaho 83716-9632</w:t>
            </w:r>
          </w:p>
        </w:tc>
        <w:tc>
          <w:tcPr>
            <w:tcW w:w="4960" w:type="dxa"/>
            <w:vAlign w:val="bottom"/>
          </w:tcPr>
          <w:p>
            <w:pPr>
              <w:jc w:val="right"/>
              <w:ind w:right="1135"/>
              <w:spacing w:after="0"/>
              <w:rPr>
                <w:sz w:val="20"/>
                <w:szCs w:val="20"/>
                <w:color w:val="auto"/>
              </w:rPr>
            </w:pPr>
            <w:r>
              <w:rPr>
                <w:rFonts w:ascii="Arial" w:cs="Arial" w:eastAsia="Arial" w:hAnsi="Arial"/>
                <w:sz w:val="18"/>
                <w:szCs w:val="18"/>
                <w:b w:val="1"/>
                <w:bCs w:val="1"/>
                <w:color w:val="auto"/>
              </w:rPr>
              <w:t>(208) 368-4000</w:t>
            </w:r>
          </w:p>
        </w:tc>
      </w:tr>
      <w:tr>
        <w:trPr>
          <w:trHeight w:val="215"/>
        </w:trPr>
        <w:tc>
          <w:tcPr>
            <w:tcW w:w="5440" w:type="dxa"/>
            <w:vAlign w:val="bottom"/>
          </w:tcPr>
          <w:p>
            <w:pPr>
              <w:jc w:val="center"/>
              <w:ind w:right="1155"/>
              <w:spacing w:after="0"/>
              <w:rPr>
                <w:sz w:val="20"/>
                <w:szCs w:val="20"/>
                <w:color w:val="auto"/>
              </w:rPr>
            </w:pPr>
            <w:r>
              <w:rPr>
                <w:rFonts w:ascii="Arial" w:cs="Arial" w:eastAsia="Arial" w:hAnsi="Arial"/>
                <w:sz w:val="16"/>
                <w:szCs w:val="16"/>
                <w:color w:val="auto"/>
              </w:rPr>
              <w:t>Address of principal executive offices, including zip code</w:t>
            </w:r>
          </w:p>
        </w:tc>
        <w:tc>
          <w:tcPr>
            <w:tcW w:w="4960" w:type="dxa"/>
            <w:vAlign w:val="bottom"/>
          </w:tcPr>
          <w:p>
            <w:pPr>
              <w:jc w:val="center"/>
              <w:ind w:left="1195"/>
              <w:spacing w:after="0"/>
              <w:rPr>
                <w:sz w:val="20"/>
                <w:szCs w:val="20"/>
                <w:color w:val="auto"/>
              </w:rPr>
            </w:pPr>
            <w:r>
              <w:rPr>
                <w:rFonts w:ascii="Arial" w:cs="Arial" w:eastAsia="Arial" w:hAnsi="Arial"/>
                <w:sz w:val="16"/>
                <w:szCs w:val="16"/>
                <w:color w:val="auto"/>
              </w:rPr>
              <w:t>Registrant’s telephone number, including area code</w:t>
            </w:r>
          </w:p>
        </w:tc>
      </w:tr>
    </w:tbl>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25"/>
        </w:trPr>
        <w:tc>
          <w:tcPr>
            <w:tcW w:w="4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Title of each class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Trading Symbol</w:t>
            </w:r>
          </w:p>
        </w:tc>
        <w:tc>
          <w:tcPr>
            <w:tcW w:w="46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47" w:lineRule="exact"/>
        <w:rPr>
          <w:sz w:val="24"/>
          <w:szCs w:val="24"/>
          <w:color w:val="auto"/>
        </w:rPr>
      </w:pPr>
    </w:p>
    <w:p>
      <w:pPr>
        <w:sectPr>
          <w:pgSz w:w="11900" w:h="16838" w:orient="portrait"/>
          <w:cols w:equalWidth="0" w:num="1">
            <w:col w:w="11220"/>
          </w:cols>
          <w:pgMar w:left="320" w:top="1033" w:right="359" w:bottom="1440" w:gutter="0" w:footer="0" w:header="0"/>
        </w:sectPr>
      </w:pPr>
    </w:p>
    <w:p>
      <w:pPr>
        <w:ind w:lef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w:t>
      </w:r>
    </w:p>
    <w:p>
      <w:pPr>
        <w:spacing w:after="0" w:line="12" w:lineRule="exact"/>
        <w:rPr>
          <w:sz w:val="24"/>
          <w:szCs w:val="24"/>
          <w:color w:val="auto"/>
        </w:rPr>
      </w:pPr>
    </w:p>
    <w:p>
      <w:pPr>
        <w:ind w:left="20" w:right="200"/>
        <w:spacing w:after="0" w:line="229" w:lineRule="auto"/>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 required to file such reports), and (2) has been subject to such filing requirements for the past 90 days.</w:t>
      </w:r>
    </w:p>
    <w:p>
      <w:pPr>
        <w:spacing w:after="0" w:line="222" w:lineRule="exact"/>
        <w:rPr>
          <w:sz w:val="24"/>
          <w:szCs w:val="24"/>
          <w:color w:val="auto"/>
        </w:rPr>
      </w:pPr>
    </w:p>
    <w:p>
      <w:pPr>
        <w:jc w:val="both"/>
        <w:ind w:left="20" w:right="100"/>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340" w:space="440"/>
            <w:col w:w="1440"/>
          </w:cols>
          <w:pgMar w:left="320" w:top="1033" w:right="359" w:bottom="1440" w:gutter="0" w:footer="0" w:header="0"/>
          <w:type w:val="continuous"/>
        </w:sectPr>
      </w:pPr>
    </w:p>
    <w:p>
      <w:pPr>
        <w:spacing w:after="0" w:line="92" w:lineRule="exact"/>
        <w:rPr>
          <w:sz w:val="24"/>
          <w:szCs w:val="24"/>
          <w:color w:val="auto"/>
        </w:rPr>
      </w:pPr>
    </w:p>
    <w:p>
      <w:pPr>
        <w:ind w:left="20"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300" w:type="dxa"/>
        <w:tblCellMar>
          <w:top w:w="0" w:type="dxa"/>
          <w:left w:w="0" w:type="dxa"/>
          <w:bottom w:w="0" w:type="dxa"/>
          <w:right w:w="0" w:type="dxa"/>
        </w:tblCellMar>
      </w:tblPr>
      <w:tr>
        <w:trPr>
          <w:trHeight w:val="198"/>
        </w:trPr>
        <w:tc>
          <w:tcPr>
            <w:tcW w:w="2080" w:type="dxa"/>
            <w:vAlign w:val="bottom"/>
          </w:tcPr>
          <w:p>
            <w:pPr>
              <w:jc w:val="center"/>
              <w:ind w:right="315"/>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40" w:type="dxa"/>
            <w:vAlign w:val="bottom"/>
          </w:tcPr>
          <w:p>
            <w:pPr>
              <w:jc w:val="center"/>
              <w:ind w:left="135"/>
              <w:spacing w:after="0"/>
              <w:rPr>
                <w:sz w:val="20"/>
                <w:szCs w:val="20"/>
                <w:color w:val="auto"/>
              </w:rPr>
            </w:pPr>
            <w:r>
              <w:rPr>
                <w:rFonts w:ascii="Arial" w:cs="Arial" w:eastAsia="Arial" w:hAnsi="Arial"/>
                <w:sz w:val="16"/>
                <w:szCs w:val="16"/>
                <w:color w:val="auto"/>
              </w:rPr>
              <w:t>Non-Accelerated Filer</w:t>
            </w:r>
          </w:p>
        </w:tc>
        <w:tc>
          <w:tcPr>
            <w:tcW w:w="2380" w:type="dxa"/>
            <w:vAlign w:val="bottom"/>
          </w:tcPr>
          <w:p>
            <w:pPr>
              <w:jc w:val="center"/>
              <w:ind w:left="55"/>
              <w:spacing w:after="0"/>
              <w:rPr>
                <w:sz w:val="20"/>
                <w:szCs w:val="20"/>
                <w:color w:val="auto"/>
              </w:rPr>
            </w:pPr>
            <w:r>
              <w:rPr>
                <w:rFonts w:ascii="Arial" w:cs="Arial" w:eastAsia="Arial" w:hAnsi="Arial"/>
                <w:sz w:val="16"/>
                <w:szCs w:val="16"/>
                <w:color w:val="auto"/>
              </w:rPr>
              <w:t>Smaller Reporting Company</w:t>
            </w:r>
          </w:p>
        </w:tc>
        <w:tc>
          <w:tcPr>
            <w:tcW w:w="2100" w:type="dxa"/>
            <w:vAlign w:val="bottom"/>
          </w:tcPr>
          <w:p>
            <w:pPr>
              <w:jc w:val="center"/>
              <w:ind w:left="15"/>
              <w:spacing w:after="0"/>
              <w:rPr>
                <w:sz w:val="20"/>
                <w:szCs w:val="20"/>
                <w:color w:val="auto"/>
              </w:rPr>
            </w:pPr>
            <w:r>
              <w:rPr>
                <w:rFonts w:ascii="Arial" w:cs="Arial" w:eastAsia="Arial" w:hAnsi="Arial"/>
                <w:sz w:val="16"/>
                <w:szCs w:val="16"/>
                <w:color w:val="auto"/>
              </w:rPr>
              <w:t>Emerging Growth Company</w:t>
            </w:r>
          </w:p>
        </w:tc>
      </w:tr>
      <w:tr>
        <w:trPr>
          <w:trHeight w:val="303"/>
        </w:trPr>
        <w:tc>
          <w:tcPr>
            <w:tcW w:w="2080" w:type="dxa"/>
            <w:vAlign w:val="bottom"/>
          </w:tcPr>
          <w:p>
            <w:pPr>
              <w:jc w:val="center"/>
              <w:ind w:right="315"/>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40" w:type="dxa"/>
            <w:vAlign w:val="bottom"/>
          </w:tcPr>
          <w:p>
            <w:pPr>
              <w:jc w:val="center"/>
              <w:ind w:left="155"/>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9" w:lineRule="exact"/>
        <w:rPr>
          <w:sz w:val="24"/>
          <w:szCs w:val="24"/>
          <w:color w:val="auto"/>
        </w:rPr>
      </w:pPr>
    </w:p>
    <w:p>
      <w:pPr>
        <w:ind w:left="20" w:right="1020"/>
        <w:spacing w:after="0" w:line="21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0900"/>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1">
            <w:col w:w="11220"/>
          </w:cols>
          <w:pgMar w:left="320" w:top="1033" w:right="359" w:bottom="1440" w:gutter="0" w:footer="0" w:header="0"/>
          <w:type w:val="continuous"/>
        </w:sectPr>
      </w:pPr>
    </w:p>
    <w:p>
      <w:pPr>
        <w:spacing w:after="0" w:line="26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June 18, 2025 was 1,119,125,101.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3">
            <w:col w:w="9060" w:space="720"/>
            <w:col w:w="500" w:space="360"/>
            <w:col w:w="580"/>
          </w:cols>
          <w:pgMar w:left="320" w:top="10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856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Pr>
          <w:p>
            <w:pPr>
              <w:spacing w:after="0"/>
              <w:rPr>
                <w:sz w:val="19"/>
                <w:szCs w:val="19"/>
                <w:color w:val="auto"/>
              </w:rPr>
            </w:pP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Financial Statements: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Statements of Operations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Consolidated Statements of Comprehensive Income (Loss)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Balance Sheets</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Consolidated Statements of Changes in Equity</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Statements of Cash Flows</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Notes to Consolidated Financial Statements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Results of Operations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Liquidity and Capital Resources</w:t>
            </w: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3.</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4.</w:t>
            </w:r>
          </w:p>
        </w:tc>
        <w:tc>
          <w:tcPr>
            <w:tcW w:w="8560" w:type="dxa"/>
            <w:vAlign w:val="bottom"/>
          </w:tcPr>
          <w:p>
            <w:pPr>
              <w:ind w:left="280"/>
              <w:spacing w:after="0"/>
              <w:rPr>
                <w:sz w:val="20"/>
                <w:szCs w:val="20"/>
                <w:color w:val="auto"/>
              </w:rPr>
            </w:pPr>
            <w:r>
              <w:rPr>
                <w:rFonts w:ascii="Arial" w:cs="Arial" w:eastAsia="Arial" w:hAnsi="Arial"/>
                <w:sz w:val="18"/>
                <w:szCs w:val="18"/>
                <w:color w:val="auto"/>
              </w:rPr>
              <w:t>Controls and Procedures</w:t>
            </w: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980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440" w:type="dxa"/>
            <w:vAlign w:val="bottom"/>
            <w:shd w:val="clear" w:color="auto" w:fill="D1D2D4"/>
          </w:tcPr>
          <w:p>
            <w:pPr>
              <w:spacing w:after="0"/>
              <w:rPr>
                <w:sz w:val="19"/>
                <w:szCs w:val="19"/>
                <w:color w:val="auto"/>
              </w:rPr>
            </w:pP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1A.</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Risk Factors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280"/>
              <w:spacing w:after="0"/>
              <w:rPr>
                <w:sz w:val="20"/>
                <w:szCs w:val="20"/>
                <w:color w:val="auto"/>
              </w:rPr>
            </w:pPr>
            <w:r>
              <w:rPr>
                <w:rFonts w:ascii="Arial" w:cs="Arial" w:eastAsia="Arial" w:hAnsi="Arial"/>
                <w:sz w:val="18"/>
                <w:szCs w:val="18"/>
                <w:color w:val="auto"/>
              </w:rPr>
              <w:t>Unregistered Sales of Equity Securities and Use of Proceeds</w:t>
            </w:r>
          </w:p>
        </w:tc>
        <w:tc>
          <w:tcPr>
            <w:tcW w:w="1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5.</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Other Information</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6.</w:t>
            </w:r>
          </w:p>
        </w:tc>
        <w:tc>
          <w:tcPr>
            <w:tcW w:w="8560" w:type="dxa"/>
            <w:vAlign w:val="bottom"/>
          </w:tcPr>
          <w:p>
            <w:pPr>
              <w:ind w:left="280"/>
              <w:spacing w:after="0"/>
              <w:rPr>
                <w:sz w:val="20"/>
                <w:szCs w:val="20"/>
                <w:color w:val="auto"/>
              </w:rPr>
            </w:pPr>
            <w:r>
              <w:rPr>
                <w:rFonts w:ascii="Arial" w:cs="Arial" w:eastAsia="Arial" w:hAnsi="Arial"/>
                <w:sz w:val="18"/>
                <w:szCs w:val="18"/>
                <w:color w:val="auto"/>
              </w:rPr>
              <w:t>Exhibits</w:t>
            </w: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Signatures</w:t>
            </w:r>
          </w:p>
        </w:tc>
        <w:tc>
          <w:tcPr>
            <w:tcW w:w="856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w:t>
            </w:r>
          </w:p>
        </w:tc>
      </w:tr>
      <w:tr>
        <w:trPr>
          <w:trHeight w:val="911"/>
        </w:trPr>
        <w:tc>
          <w:tcPr>
            <w:tcW w:w="124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w:t>
            </w:r>
          </w:p>
        </w:tc>
      </w:tr>
      <w:tr>
        <w:trPr>
          <w:trHeight w:val="109"/>
        </w:trPr>
        <w:tc>
          <w:tcPr>
            <w:tcW w:w="1240" w:type="dxa"/>
            <w:vAlign w:val="bottom"/>
            <w:tcBorders>
              <w:bottom w:val="single" w:sz="8" w:color="9A9A9A"/>
            </w:tcBorders>
          </w:tcPr>
          <w:p>
            <w:pPr>
              <w:spacing w:after="0"/>
              <w:rPr>
                <w:sz w:val="9"/>
                <w:szCs w:val="9"/>
                <w:color w:val="auto"/>
              </w:rPr>
            </w:pPr>
          </w:p>
        </w:tc>
        <w:tc>
          <w:tcPr>
            <w:tcW w:w="85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-307975</wp:posOffset>
            </wp:positionV>
            <wp:extent cx="779780" cy="16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9780" cy="16256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57"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All period references are to our fiscal periods unless otherwise indicated. Abbreviations, terms, or acronyms are commonly used or found in multiple locations throughout this report and include the following:</w:t>
      </w:r>
    </w:p>
    <w:tbl>
      <w:tblPr>
        <w:tblLayout w:type="fixed"/>
        <w:tblInd w:w="0" w:type="dxa"/>
        <w:tblCellMar>
          <w:top w:w="0" w:type="dxa"/>
          <w:left w:w="0" w:type="dxa"/>
          <w:bottom w:w="0" w:type="dxa"/>
          <w:right w:w="0" w:type="dxa"/>
        </w:tblCellMar>
      </w:tblPr>
      <w:tr>
        <w:trPr>
          <w:trHeight w:val="235"/>
        </w:trPr>
        <w:tc>
          <w:tcPr>
            <w:tcW w:w="460" w:type="dxa"/>
            <w:vAlign w:val="bottom"/>
          </w:tcPr>
          <w:p>
            <w:pPr>
              <w:spacing w:after="0"/>
              <w:rPr>
                <w:sz w:val="20"/>
                <w:szCs w:val="20"/>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Term</w:t>
            </w:r>
          </w:p>
        </w:tc>
        <w:tc>
          <w:tcPr>
            <w:tcW w:w="760" w:type="dxa"/>
            <w:vAlign w:val="bottom"/>
          </w:tcPr>
          <w:p>
            <w:pPr>
              <w:spacing w:after="0"/>
              <w:rPr>
                <w:sz w:val="20"/>
                <w:szCs w:val="20"/>
                <w:color w:val="auto"/>
              </w:rPr>
            </w:pPr>
          </w:p>
        </w:tc>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Definition</w:t>
            </w:r>
          </w:p>
        </w:tc>
        <w:tc>
          <w:tcPr>
            <w:tcW w:w="1560" w:type="dxa"/>
            <w:vAlign w:val="bottom"/>
          </w:tcPr>
          <w:p>
            <w:pPr>
              <w:ind w:left="680"/>
              <w:spacing w:after="0"/>
              <w:rPr>
                <w:sz w:val="20"/>
                <w:szCs w:val="20"/>
                <w:color w:val="auto"/>
              </w:rPr>
            </w:pPr>
            <w:r>
              <w:rPr>
                <w:rFonts w:ascii="Arial" w:cs="Arial" w:eastAsia="Arial" w:hAnsi="Arial"/>
                <w:sz w:val="18"/>
                <w:szCs w:val="18"/>
                <w:b w:val="1"/>
                <w:bCs w:val="1"/>
                <w:color w:val="auto"/>
              </w:rPr>
              <w:t>Term</w:t>
            </w:r>
          </w:p>
        </w:tc>
        <w:tc>
          <w:tcPr>
            <w:tcW w:w="4060" w:type="dxa"/>
            <w:vAlign w:val="bottom"/>
          </w:tcPr>
          <w:p>
            <w:pPr>
              <w:ind w:left="172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4060" w:type="dxa"/>
            <w:vAlign w:val="bottom"/>
            <w:tcBorders>
              <w:top w:val="single" w:sz="8" w:color="auto"/>
            </w:tcBorders>
          </w:tcPr>
          <w:p>
            <w:pPr>
              <w:spacing w:after="0"/>
              <w:rPr>
                <w:sz w:val="2"/>
                <w:szCs w:val="2"/>
                <w:color w:val="auto"/>
              </w:rPr>
            </w:pPr>
          </w:p>
        </w:tc>
      </w:tr>
      <w:tr>
        <w:trPr>
          <w:trHeight w:val="175"/>
        </w:trPr>
        <w:tc>
          <w:tcPr>
            <w:tcW w:w="460" w:type="dxa"/>
            <w:vAlign w:val="bottom"/>
            <w:shd w:val="clear" w:color="auto" w:fill="DBDBDB"/>
          </w:tcPr>
          <w:p>
            <w:pPr>
              <w:jc w:val="right"/>
              <w:spacing w:after="0" w:line="176" w:lineRule="exact"/>
              <w:rPr>
                <w:sz w:val="20"/>
                <w:szCs w:val="20"/>
                <w:color w:val="auto"/>
              </w:rPr>
            </w:pPr>
            <w:r>
              <w:rPr>
                <w:rFonts w:ascii="Arial" w:cs="Arial" w:eastAsia="Arial" w:hAnsi="Arial"/>
                <w:sz w:val="18"/>
                <w:szCs w:val="18"/>
                <w:color w:val="auto"/>
                <w:w w:val="99"/>
              </w:rPr>
              <w:t>2024</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line="176" w:lineRule="exact"/>
              <w:rPr>
                <w:sz w:val="20"/>
                <w:szCs w:val="20"/>
                <w:color w:val="auto"/>
              </w:rPr>
            </w:pPr>
            <w:r>
              <w:rPr>
                <w:rFonts w:ascii="Arial" w:cs="Arial" w:eastAsia="Arial" w:hAnsi="Arial"/>
                <w:sz w:val="18"/>
                <w:szCs w:val="18"/>
                <w:color w:val="auto"/>
              </w:rPr>
              <w:t>Senior Term Loan A due October 2024, repaid</w:t>
            </w:r>
          </w:p>
        </w:tc>
        <w:tc>
          <w:tcPr>
            <w:tcW w:w="156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2035 A Notes</w:t>
            </w:r>
          </w:p>
        </w:tc>
        <w:tc>
          <w:tcPr>
            <w:tcW w:w="406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5.800% Senior Notes due January 2035</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January 2024</w:t>
            </w: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spacing w:after="0"/>
              <w:rPr>
                <w:sz w:val="21"/>
                <w:szCs w:val="21"/>
                <w:color w:val="auto"/>
              </w:rPr>
            </w:pP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2025</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Senior Term Loan A due November 2025,</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2035 B Notes</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6.050% Senior Notes due November 2035</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repaid May 2024</w:t>
            </w: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178"/>
        </w:trPr>
        <w:tc>
          <w:tcPr>
            <w:tcW w:w="460" w:type="dxa"/>
            <w:vAlign w:val="bottom"/>
            <w:shd w:val="clear" w:color="auto" w:fill="DBDBDB"/>
          </w:tcPr>
          <w:p>
            <w:pPr>
              <w:jc w:val="right"/>
              <w:spacing w:after="0" w:line="177" w:lineRule="exact"/>
              <w:rPr>
                <w:sz w:val="20"/>
                <w:szCs w:val="20"/>
                <w:color w:val="auto"/>
              </w:rPr>
            </w:pPr>
            <w:r>
              <w:rPr>
                <w:rFonts w:ascii="Arial" w:cs="Arial" w:eastAsia="Arial" w:hAnsi="Arial"/>
                <w:sz w:val="18"/>
                <w:szCs w:val="18"/>
                <w:color w:val="auto"/>
                <w:w w:val="99"/>
              </w:rPr>
              <w:t>2026</w:t>
            </w:r>
          </w:p>
        </w:tc>
        <w:tc>
          <w:tcPr>
            <w:tcW w:w="1200" w:type="dxa"/>
            <w:vAlign w:val="bottom"/>
            <w:shd w:val="clear" w:color="auto" w:fill="DBDBDB"/>
          </w:tcPr>
          <w:p>
            <w:pPr>
              <w:ind w:left="20"/>
              <w:spacing w:after="0" w:line="177" w:lineRule="exact"/>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line="177" w:lineRule="exact"/>
              <w:rPr>
                <w:sz w:val="20"/>
                <w:szCs w:val="20"/>
                <w:color w:val="auto"/>
              </w:rPr>
            </w:pPr>
            <w:r>
              <w:rPr>
                <w:rFonts w:ascii="Arial" w:cs="Arial" w:eastAsia="Arial" w:hAnsi="Arial"/>
                <w:sz w:val="18"/>
                <w:szCs w:val="18"/>
                <w:color w:val="auto"/>
              </w:rPr>
              <w:t>Senior Term Loan A due November 2026,</w:t>
            </w:r>
          </w:p>
        </w:tc>
        <w:tc>
          <w:tcPr>
            <w:tcW w:w="1560" w:type="dxa"/>
            <w:vAlign w:val="bottom"/>
            <w:shd w:val="clear" w:color="auto" w:fill="DBDBDB"/>
          </w:tcPr>
          <w:p>
            <w:pPr>
              <w:spacing w:after="0" w:line="177" w:lineRule="exact"/>
              <w:rPr>
                <w:sz w:val="20"/>
                <w:szCs w:val="20"/>
                <w:color w:val="auto"/>
              </w:rPr>
            </w:pPr>
            <w:r>
              <w:rPr>
                <w:rFonts w:ascii="Arial" w:cs="Arial" w:eastAsia="Arial" w:hAnsi="Arial"/>
                <w:sz w:val="18"/>
                <w:szCs w:val="18"/>
                <w:color w:val="auto"/>
              </w:rPr>
              <w:t>2041 Notes</w:t>
            </w:r>
          </w:p>
        </w:tc>
        <w:tc>
          <w:tcPr>
            <w:tcW w:w="4060" w:type="dxa"/>
            <w:vAlign w:val="bottom"/>
            <w:shd w:val="clear" w:color="auto" w:fill="DBDBDB"/>
          </w:tcPr>
          <w:p>
            <w:pPr>
              <w:ind w:left="240"/>
              <w:spacing w:after="0" w:line="177" w:lineRule="exact"/>
              <w:rPr>
                <w:sz w:val="20"/>
                <w:szCs w:val="20"/>
                <w:color w:val="auto"/>
              </w:rPr>
            </w:pPr>
            <w:r>
              <w:rPr>
                <w:rFonts w:ascii="Arial" w:cs="Arial" w:eastAsia="Arial" w:hAnsi="Arial"/>
                <w:sz w:val="18"/>
                <w:szCs w:val="18"/>
                <w:color w:val="auto"/>
              </w:rPr>
              <w:t>3.366% Senior Notes due November 2041</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repaid January 2025</w:t>
            </w: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spacing w:after="0"/>
              <w:rPr>
                <w:sz w:val="21"/>
                <w:szCs w:val="21"/>
                <w:color w:val="auto"/>
              </w:rPr>
            </w:pP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2027</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Senior Term Loan A due November 2027,</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2051 Notes</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3.477% Senior Notes due November 2051</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repaid January 2025</w:t>
            </w: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178"/>
        </w:trPr>
        <w:tc>
          <w:tcPr>
            <w:tcW w:w="460" w:type="dxa"/>
            <w:vAlign w:val="bottom"/>
            <w:shd w:val="clear" w:color="auto" w:fill="DBDBDB"/>
          </w:tcPr>
          <w:p>
            <w:pPr>
              <w:jc w:val="right"/>
              <w:spacing w:after="0" w:line="177" w:lineRule="exact"/>
              <w:rPr>
                <w:sz w:val="20"/>
                <w:szCs w:val="20"/>
                <w:color w:val="auto"/>
              </w:rPr>
            </w:pPr>
            <w:r>
              <w:rPr>
                <w:rFonts w:ascii="Arial" w:cs="Arial" w:eastAsia="Arial" w:hAnsi="Arial"/>
                <w:sz w:val="18"/>
                <w:szCs w:val="18"/>
                <w:color w:val="auto"/>
                <w:w w:val="99"/>
              </w:rPr>
              <w:t>2026</w:t>
            </w:r>
          </w:p>
        </w:tc>
        <w:tc>
          <w:tcPr>
            <w:tcW w:w="1200" w:type="dxa"/>
            <w:vAlign w:val="bottom"/>
            <w:shd w:val="clear" w:color="auto" w:fill="DBDBDB"/>
          </w:tcPr>
          <w:p>
            <w:pPr>
              <w:ind w:left="20"/>
              <w:spacing w:after="0" w:line="177"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7" w:lineRule="exact"/>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BDBDB"/>
          </w:tcPr>
          <w:p>
            <w:pPr>
              <w:ind w:left="40"/>
              <w:spacing w:after="0" w:line="177" w:lineRule="exact"/>
              <w:rPr>
                <w:sz w:val="20"/>
                <w:szCs w:val="20"/>
                <w:color w:val="auto"/>
              </w:rPr>
            </w:pPr>
            <w:r>
              <w:rPr>
                <w:rFonts w:ascii="Arial" w:cs="Arial" w:eastAsia="Arial" w:hAnsi="Arial"/>
                <w:sz w:val="18"/>
                <w:szCs w:val="18"/>
                <w:color w:val="auto"/>
              </w:rPr>
              <w:t>Senior Notes due February 2026,</w:t>
            </w:r>
          </w:p>
        </w:tc>
        <w:tc>
          <w:tcPr>
            <w:tcW w:w="1560" w:type="dxa"/>
            <w:vAlign w:val="bottom"/>
            <w:shd w:val="clear" w:color="auto" w:fill="DBDBDB"/>
          </w:tcPr>
          <w:p>
            <w:pPr>
              <w:spacing w:after="0" w:line="177" w:lineRule="exact"/>
              <w:rPr>
                <w:sz w:val="20"/>
                <w:szCs w:val="20"/>
                <w:color w:val="auto"/>
              </w:rPr>
            </w:pPr>
            <w:r>
              <w:rPr>
                <w:rFonts w:ascii="Arial" w:cs="Arial" w:eastAsia="Arial" w:hAnsi="Arial"/>
                <w:sz w:val="18"/>
                <w:szCs w:val="18"/>
                <w:color w:val="auto"/>
              </w:rPr>
              <w:t>AI</w:t>
            </w:r>
          </w:p>
        </w:tc>
        <w:tc>
          <w:tcPr>
            <w:tcW w:w="4060" w:type="dxa"/>
            <w:vAlign w:val="bottom"/>
            <w:shd w:val="clear" w:color="auto" w:fill="DBDBDB"/>
          </w:tcPr>
          <w:p>
            <w:pPr>
              <w:ind w:left="240"/>
              <w:spacing w:after="0" w:line="177" w:lineRule="exact"/>
              <w:rPr>
                <w:sz w:val="20"/>
                <w:szCs w:val="20"/>
                <w:color w:val="auto"/>
              </w:rPr>
            </w:pPr>
            <w:r>
              <w:rPr>
                <w:rFonts w:ascii="Arial" w:cs="Arial" w:eastAsia="Arial" w:hAnsi="Arial"/>
                <w:sz w:val="18"/>
                <w:szCs w:val="18"/>
                <w:color w:val="auto"/>
              </w:rPr>
              <w:t>Artificial intelligence</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repaid February 2025</w:t>
            </w: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spacing w:after="0"/>
              <w:rPr>
                <w:sz w:val="21"/>
                <w:szCs w:val="21"/>
                <w:color w:val="auto"/>
              </w:rPr>
            </w:pPr>
          </w:p>
        </w:tc>
      </w:tr>
      <w:tr>
        <w:trPr>
          <w:trHeight w:val="175"/>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2027</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2027,</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CAC</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Cyberspace Administration of China</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repaid May 2025</w:t>
            </w: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32"/>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2028</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5.375%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April 2028</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CHIPS Act</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U.S. CHIPS and Science Act of 2022</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2029</w:t>
            </w:r>
          </w:p>
        </w:tc>
        <w:tc>
          <w:tcPr>
            <w:tcW w:w="1200" w:type="dxa"/>
            <w:vAlign w:val="bottom"/>
          </w:tcPr>
          <w:p>
            <w:pPr>
              <w:ind w:left="20"/>
              <w:spacing w:after="0"/>
              <w:rPr>
                <w:sz w:val="20"/>
                <w:szCs w:val="20"/>
                <w:color w:val="auto"/>
              </w:rPr>
            </w:pPr>
            <w:r>
              <w:rPr>
                <w:rFonts w:ascii="Arial" w:cs="Arial" w:eastAsia="Arial" w:hAnsi="Arial"/>
                <w:sz w:val="18"/>
                <w:szCs w:val="18"/>
                <w:color w:val="auto"/>
              </w:rPr>
              <w:t>A 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5.327%</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2029</w:t>
            </w:r>
          </w:p>
        </w:tc>
        <w:tc>
          <w:tcPr>
            <w:tcW w:w="1560" w:type="dxa"/>
            <w:vAlign w:val="bottom"/>
          </w:tcPr>
          <w:p>
            <w:pPr>
              <w:spacing w:after="0"/>
              <w:rPr>
                <w:sz w:val="20"/>
                <w:szCs w:val="20"/>
                <w:color w:val="auto"/>
              </w:rPr>
            </w:pPr>
            <w:r>
              <w:rPr>
                <w:rFonts w:ascii="Arial" w:cs="Arial" w:eastAsia="Arial" w:hAnsi="Arial"/>
                <w:sz w:val="18"/>
                <w:szCs w:val="18"/>
                <w:color w:val="auto"/>
              </w:rPr>
              <w:t>DDR</w:t>
            </w:r>
          </w:p>
        </w:tc>
        <w:tc>
          <w:tcPr>
            <w:tcW w:w="4060" w:type="dxa"/>
            <w:vAlign w:val="bottom"/>
          </w:tcPr>
          <w:p>
            <w:pPr>
              <w:ind w:left="240"/>
              <w:spacing w:after="0"/>
              <w:rPr>
                <w:sz w:val="20"/>
                <w:szCs w:val="20"/>
                <w:color w:val="auto"/>
              </w:rPr>
            </w:pPr>
            <w:r>
              <w:rPr>
                <w:rFonts w:ascii="Arial" w:cs="Arial" w:eastAsia="Arial" w:hAnsi="Arial"/>
                <w:sz w:val="18"/>
                <w:szCs w:val="18"/>
                <w:color w:val="auto"/>
              </w:rPr>
              <w:t>Double data rate DRAM</w:t>
            </w:r>
          </w:p>
        </w:tc>
      </w:tr>
      <w:tr>
        <w:trPr>
          <w:trHeight w:val="175"/>
        </w:trPr>
        <w:tc>
          <w:tcPr>
            <w:tcW w:w="460" w:type="dxa"/>
            <w:vAlign w:val="bottom"/>
            <w:shd w:val="clear" w:color="auto" w:fill="DBDBDB"/>
          </w:tcPr>
          <w:p>
            <w:pPr>
              <w:jc w:val="right"/>
              <w:spacing w:after="0" w:line="176" w:lineRule="exact"/>
              <w:rPr>
                <w:sz w:val="20"/>
                <w:szCs w:val="20"/>
                <w:color w:val="auto"/>
              </w:rPr>
            </w:pPr>
            <w:r>
              <w:rPr>
                <w:rFonts w:ascii="Arial" w:cs="Arial" w:eastAsia="Arial" w:hAnsi="Arial"/>
                <w:sz w:val="18"/>
                <w:szCs w:val="18"/>
                <w:color w:val="auto"/>
                <w:w w:val="99"/>
              </w:rPr>
              <w:t>2029</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B Notes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6.750%</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November 2029</w:t>
            </w:r>
          </w:p>
        </w:tc>
        <w:tc>
          <w:tcPr>
            <w:tcW w:w="156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EBITDA</w:t>
            </w:r>
          </w:p>
        </w:tc>
        <w:tc>
          <w:tcPr>
            <w:tcW w:w="406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Earnings before interest, taxes, depreciation,</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3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and amortization</w:t>
            </w:r>
          </w:p>
        </w:tc>
      </w:t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2029</w:t>
            </w:r>
          </w:p>
        </w:tc>
        <w:tc>
          <w:tcPr>
            <w:tcW w:w="12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Senior Term Loan A due January 2029</w:t>
            </w:r>
          </w:p>
        </w:tc>
        <w:tc>
          <w:tcPr>
            <w:tcW w:w="1560" w:type="dxa"/>
            <w:vAlign w:val="bottom"/>
          </w:tcPr>
          <w:p>
            <w:pPr>
              <w:spacing w:after="0"/>
              <w:rPr>
                <w:sz w:val="20"/>
                <w:szCs w:val="20"/>
                <w:color w:val="auto"/>
              </w:rPr>
            </w:pPr>
            <w:r>
              <w:rPr>
                <w:rFonts w:ascii="Arial" w:cs="Arial" w:eastAsia="Arial" w:hAnsi="Arial"/>
                <w:sz w:val="18"/>
                <w:szCs w:val="18"/>
                <w:color w:val="auto"/>
              </w:rPr>
              <w:t>EUV</w:t>
            </w:r>
          </w:p>
        </w:tc>
        <w:tc>
          <w:tcPr>
            <w:tcW w:w="4060" w:type="dxa"/>
            <w:vAlign w:val="bottom"/>
          </w:tcPr>
          <w:p>
            <w:pPr>
              <w:ind w:left="240"/>
              <w:spacing w:after="0"/>
              <w:rPr>
                <w:sz w:val="20"/>
                <w:szCs w:val="20"/>
                <w:color w:val="auto"/>
              </w:rPr>
            </w:pPr>
            <w:r>
              <w:rPr>
                <w:rFonts w:ascii="Arial" w:cs="Arial" w:eastAsia="Arial" w:hAnsi="Arial"/>
                <w:sz w:val="18"/>
                <w:szCs w:val="18"/>
                <w:color w:val="auto"/>
              </w:rPr>
              <w:t>Extreme ultraviolet lithography</w:t>
            </w:r>
          </w:p>
        </w:tc>
      </w:tr>
      <w:tr>
        <w:trPr>
          <w:trHeight w:val="229"/>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2030</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4.663%</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2030</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HBM</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High-bandwidth memory</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2031</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5.300%</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January 2031</w:t>
            </w:r>
          </w:p>
        </w:tc>
        <w:tc>
          <w:tcPr>
            <w:tcW w:w="1560" w:type="dxa"/>
            <w:vAlign w:val="bottom"/>
          </w:tcPr>
          <w:p>
            <w:pPr>
              <w:spacing w:after="0"/>
              <w:rPr>
                <w:sz w:val="20"/>
                <w:szCs w:val="20"/>
                <w:color w:val="auto"/>
              </w:rPr>
            </w:pPr>
            <w:r>
              <w:rPr>
                <w:rFonts w:ascii="Arial" w:cs="Arial" w:eastAsia="Arial" w:hAnsi="Arial"/>
                <w:sz w:val="18"/>
                <w:szCs w:val="18"/>
                <w:color w:val="auto"/>
              </w:rPr>
              <w:t>Micron</w:t>
            </w:r>
          </w:p>
        </w:tc>
        <w:tc>
          <w:tcPr>
            <w:tcW w:w="4060" w:type="dxa"/>
            <w:vAlign w:val="bottom"/>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29"/>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2032</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Green Bonds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2.703%</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April 2032</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OEM</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Original equipment manufacturer</w:t>
            </w: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2032</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5.650%</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November 2032</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Revolving Credit</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$3.5 billion Revolving Credit Facility due March</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Facility</w:t>
            </w:r>
          </w:p>
        </w:tc>
        <w:tc>
          <w:tcPr>
            <w:tcW w:w="4060" w:type="dxa"/>
            <w:vAlign w:val="bottom"/>
          </w:tcPr>
          <w:p>
            <w:pPr>
              <w:ind w:left="240"/>
              <w:spacing w:after="0"/>
              <w:rPr>
                <w:sz w:val="20"/>
                <w:szCs w:val="20"/>
                <w:color w:val="auto"/>
              </w:rPr>
            </w:pPr>
            <w:r>
              <w:rPr>
                <w:rFonts w:ascii="Arial" w:cs="Arial" w:eastAsia="Arial" w:hAnsi="Arial"/>
                <w:sz w:val="18"/>
                <w:szCs w:val="18"/>
                <w:color w:val="auto"/>
              </w:rPr>
              <w:t>2030</w:t>
            </w:r>
          </w:p>
        </w:tc>
      </w:tr>
      <w:tr>
        <w:trPr>
          <w:trHeight w:val="232"/>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2033</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 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5.875%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2033</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SOFR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239"/>
        </w:trPr>
        <w:tc>
          <w:tcPr>
            <w:tcW w:w="460" w:type="dxa"/>
            <w:vAlign w:val="bottom"/>
          </w:tcPr>
          <w:p>
            <w:pPr>
              <w:jc w:val="right"/>
              <w:spacing w:after="0"/>
              <w:rPr>
                <w:sz w:val="20"/>
                <w:szCs w:val="20"/>
                <w:color w:val="auto"/>
              </w:rPr>
            </w:pPr>
            <w:r>
              <w:rPr>
                <w:rFonts w:ascii="Arial" w:cs="Arial" w:eastAsia="Arial" w:hAnsi="Arial"/>
                <w:sz w:val="18"/>
                <w:szCs w:val="18"/>
                <w:color w:val="auto"/>
                <w:w w:val="99"/>
              </w:rPr>
              <w:t>2033</w:t>
            </w:r>
          </w:p>
        </w:tc>
        <w:tc>
          <w:tcPr>
            <w:tcW w:w="1200" w:type="dxa"/>
            <w:vAlign w:val="bottom"/>
          </w:tcPr>
          <w:p>
            <w:pPr>
              <w:ind w:left="20"/>
              <w:spacing w:after="0"/>
              <w:rPr>
                <w:sz w:val="20"/>
                <w:szCs w:val="20"/>
                <w:color w:val="auto"/>
              </w:rPr>
            </w:pPr>
            <w:r>
              <w:rPr>
                <w:rFonts w:ascii="Arial" w:cs="Arial" w:eastAsia="Arial" w:hAnsi="Arial"/>
                <w:sz w:val="18"/>
                <w:szCs w:val="18"/>
                <w:color w:val="auto"/>
              </w:rPr>
              <w:t>B 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5.875%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September 2033</w:t>
            </w:r>
          </w:p>
        </w:tc>
        <w:tc>
          <w:tcPr>
            <w:tcW w:w="1560" w:type="dxa"/>
            <w:vAlign w:val="bottom"/>
          </w:tcPr>
          <w:p>
            <w:pPr>
              <w:spacing w:after="0"/>
              <w:rPr>
                <w:sz w:val="20"/>
                <w:szCs w:val="20"/>
                <w:color w:val="auto"/>
              </w:rPr>
            </w:pPr>
            <w:r>
              <w:rPr>
                <w:rFonts w:ascii="Arial" w:cs="Arial" w:eastAsia="Arial" w:hAnsi="Arial"/>
                <w:sz w:val="18"/>
                <w:szCs w:val="18"/>
                <w:color w:val="auto"/>
              </w:rPr>
              <w:t>SSD</w:t>
            </w:r>
          </w:p>
        </w:tc>
        <w:tc>
          <w:tcPr>
            <w:tcW w:w="4060" w:type="dxa"/>
            <w:vAlign w:val="bottom"/>
          </w:tcPr>
          <w:p>
            <w:pPr>
              <w:ind w:left="240"/>
              <w:spacing w:after="0"/>
              <w:rPr>
                <w:sz w:val="20"/>
                <w:szCs w:val="20"/>
                <w:color w:val="auto"/>
              </w:rPr>
            </w:pPr>
            <w:r>
              <w:rPr>
                <w:rFonts w:ascii="Arial" w:cs="Arial" w:eastAsia="Arial" w:hAnsi="Arial"/>
                <w:sz w:val="18"/>
                <w:szCs w:val="18"/>
                <w:color w:val="auto"/>
              </w:rPr>
              <w:t>Solid state drive</w:t>
            </w:r>
          </w:p>
        </w:tc>
      </w:tr>
    </w:tbl>
    <w:p>
      <w:pPr>
        <w:spacing w:after="0" w:line="200" w:lineRule="exact"/>
        <w:rPr>
          <w:sz w:val="20"/>
          <w:szCs w:val="20"/>
          <w:color w:val="auto"/>
        </w:rPr>
      </w:pPr>
    </w:p>
    <w:p>
      <w:pPr>
        <w:spacing w:after="0" w:line="2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31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5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Investors and others should note that we announce material, non-public information through a variety of means, including our investor relations website (investors.micron.com), filings with the U.S. Securities and Exchange Commission (“SEC”), press releases, public conference calls, blog posts (micron.com/about/blog), posts on X (@MicronTech),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 Web links throughout this document are inactive textual references provided for convenience only, and the content on the referenced websites is not incorporated herein by reference and does not constitute a part of this Quarterly Report on Form 10-Q.</w:t>
      </w:r>
    </w:p>
    <w:p>
      <w:pPr>
        <w:spacing w:after="0" w:line="20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4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regarding expected production ramp of certain products; plans to invest in research and development, including the plans to implement EUV lithography; anticipated technological developments; potential change and impact in our effective tax rate; the timing for construction, expansion, and ramping of production for our facilities, including new memory manufacturing fabs in the United States; receipt, timing, and utilization of government incentives and our ability to satisfy conditions attached to these incentives; the payment of future cash dividends; market conditions and profitability in our industry; future demand for our products and factors that may impact such demand, including developments in AI; DRAM bit shipments in future periods; actions to align our NAND supply and the pace of ramp of our new technology node, fab utilization and inventories with industry demand trends; the impact of</w:t>
      </w:r>
    </w:p>
    <w:p>
      <w:pPr>
        <w:spacing w:after="0" w:line="7"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the Cyberspace Administration of China (“CAC”) decision; capital spending in 2025; the potential impact of business, economic, political, legal and regulatory developments upon our global operations, including tariffs and trade regulations; and the sufficiency of our cash and</w:t>
      </w:r>
    </w:p>
    <w:p>
      <w:pPr>
        <w:spacing w:after="0" w:line="2" w:lineRule="exact"/>
        <w:rPr>
          <w:sz w:val="20"/>
          <w:szCs w:val="20"/>
          <w:color w:val="auto"/>
        </w:rPr>
      </w:pPr>
    </w:p>
    <w:p>
      <w:pPr>
        <w:jc w:val="both"/>
        <w:ind w:right="520"/>
        <w:spacing w:after="0" w:line="242" w:lineRule="auto"/>
        <w:rPr>
          <w:sz w:val="20"/>
          <w:szCs w:val="20"/>
          <w:color w:val="auto"/>
        </w:rPr>
      </w:pPr>
      <w:r>
        <w:rPr>
          <w:rFonts w:ascii="Arial" w:cs="Arial" w:eastAsia="Arial" w:hAnsi="Arial"/>
          <w:sz w:val="18"/>
          <w:szCs w:val="18"/>
          <w:color w:val="auto"/>
        </w:rPr>
        <w:t>investments.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374" w:lineRule="exact"/>
        <w:rPr>
          <w:sz w:val="20"/>
          <w:szCs w:val="20"/>
          <w:color w:val="auto"/>
        </w:rPr>
      </w:pPr>
    </w:p>
    <w:p>
      <w:pPr>
        <w:ind w:left="9880"/>
        <w:spacing w:after="0"/>
        <w:rPr>
          <w:sz w:val="20"/>
          <w:szCs w:val="20"/>
          <w:color w:val="auto"/>
        </w:rPr>
      </w:pPr>
      <w:r>
        <w:rPr>
          <w:sz w:val="1"/>
          <w:szCs w:val="1"/>
          <w:color w:val="auto"/>
        </w:rPr>
        <w:drawing>
          <wp:inline distT="0" distB="0" distL="0" distR="0">
            <wp:extent cx="779780" cy="1631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9780" cy="163195"/>
                    </a:xfrm>
                    <a:prstGeom prst="rect">
                      <a:avLst/>
                    </a:prstGeom>
                    <a:noFill/>
                    <a:ln>
                      <a:noFill/>
                    </a:ln>
                  </pic:spPr>
                </pic:pic>
              </a:graphicData>
            </a:graphic>
          </wp:inline>
        </w:drawing>
      </w:r>
      <w:r>
        <w:rPr>
          <w:rFonts w:ascii="Arial" w:cs="Arial" w:eastAsia="Arial" w:hAnsi="Arial"/>
          <w:sz w:val="10"/>
          <w:szCs w:val="10"/>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FINANCIAL INFORMATION</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6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77"/>
        </w:trPr>
        <w:tc>
          <w:tcPr>
            <w:tcW w:w="53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290"/>
              <w:spacing w:after="0" w:line="177" w:lineRule="exact"/>
              <w:rPr>
                <w:sz w:val="20"/>
                <w:szCs w:val="20"/>
                <w:color w:val="auto"/>
              </w:rPr>
            </w:pPr>
            <w:r>
              <w:rPr>
                <w:rFonts w:ascii="Arial" w:cs="Arial" w:eastAsia="Arial" w:hAnsi="Arial"/>
                <w:sz w:val="18"/>
                <w:szCs w:val="18"/>
                <w:b w:val="1"/>
                <w:bCs w:val="1"/>
                <w:color w:val="auto"/>
              </w:rPr>
              <w:t>May 29,</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10"/>
              <w:spacing w:after="0" w:line="177" w:lineRule="exact"/>
              <w:rPr>
                <w:sz w:val="20"/>
                <w:szCs w:val="20"/>
                <w:color w:val="auto"/>
              </w:rPr>
            </w:pPr>
            <w:r>
              <w:rPr>
                <w:rFonts w:ascii="Arial" w:cs="Arial" w:eastAsia="Arial" w:hAnsi="Arial"/>
                <w:sz w:val="18"/>
                <w:szCs w:val="18"/>
                <w:b w:val="1"/>
                <w:bCs w:val="1"/>
                <w:color w:val="auto"/>
              </w:rPr>
              <w:t>May 30,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10"/>
              <w:spacing w:after="0" w:line="177" w:lineRule="exact"/>
              <w:rPr>
                <w:sz w:val="20"/>
                <w:szCs w:val="20"/>
                <w:color w:val="auto"/>
              </w:rPr>
            </w:pPr>
            <w:r>
              <w:rPr>
                <w:rFonts w:ascii="Arial" w:cs="Arial" w:eastAsia="Arial" w:hAnsi="Arial"/>
                <w:sz w:val="18"/>
                <w:szCs w:val="18"/>
                <w:b w:val="1"/>
                <w:bCs w:val="1"/>
                <w:color w:val="auto"/>
              </w:rPr>
              <w:t>May 29,</w:t>
            </w: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10"/>
              <w:spacing w:after="0" w:line="177" w:lineRule="exact"/>
              <w:rPr>
                <w:sz w:val="20"/>
                <w:szCs w:val="20"/>
                <w:color w:val="auto"/>
              </w:rPr>
            </w:pPr>
            <w:r>
              <w:rPr>
                <w:rFonts w:ascii="Arial" w:cs="Arial" w:eastAsia="Arial" w:hAnsi="Arial"/>
                <w:sz w:val="18"/>
                <w:szCs w:val="18"/>
                <w:b w:val="1"/>
                <w:bCs w:val="1"/>
                <w:color w:val="auto"/>
              </w:rPr>
              <w:t>May 30,</w:t>
            </w:r>
          </w:p>
        </w:tc>
      </w:tr>
      <w:tr>
        <w:trPr>
          <w:trHeight w:val="235"/>
        </w:trPr>
        <w:tc>
          <w:tcPr>
            <w:tcW w:w="5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34"/>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9,301</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6,811</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26,063</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17,361</w:t>
            </w:r>
          </w:p>
        </w:tc>
      </w:tr>
      <w:tr>
        <w:trPr>
          <w:trHeight w:val="229"/>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100" w:type="dxa"/>
            <w:vAlign w:val="bottom"/>
            <w:tcBorders>
              <w:bottom w:val="single" w:sz="8" w:color="D1D2D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14,485</w:t>
            </w:r>
          </w:p>
        </w:tc>
      </w:tr>
      <w:tr>
        <w:trPr>
          <w:trHeight w:val="223"/>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3,508</w:t>
            </w:r>
          </w:p>
        </w:tc>
        <w:tc>
          <w:tcPr>
            <w:tcW w:w="2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9,819</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2,876</w:t>
            </w:r>
          </w:p>
        </w:tc>
      </w:tr>
      <w:tr>
        <w:trPr>
          <w:trHeight w:val="257"/>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965</w:t>
            </w:r>
          </w:p>
        </w:tc>
        <w:tc>
          <w:tcPr>
            <w:tcW w:w="2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2,751</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2,527</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2,169</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57"/>
        </w:trPr>
        <w:tc>
          <w:tcPr>
            <w:tcW w:w="53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D1D2D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53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2,113</w:t>
            </w:r>
          </w:p>
        </w:tc>
        <w:tc>
          <w:tcPr>
            <w:tcW w:w="2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(270)</w:t>
            </w:r>
          </w:p>
        </w:tc>
      </w:tr>
      <w:tr>
        <w:trPr>
          <w:trHeight w:val="257"/>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(695)</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1D2D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538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1,885</w:t>
            </w:r>
          </w:p>
        </w:tc>
        <w:tc>
          <w:tcPr>
            <w:tcW w:w="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5,338</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(0.10)</w:t>
            </w:r>
          </w:p>
        </w:tc>
      </w:tr>
      <w:tr>
        <w:trPr>
          <w:trHeight w:val="256"/>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30"/>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1,125</w:t>
            </w:r>
          </w:p>
        </w:tc>
        <w:tc>
          <w:tcPr>
            <w:tcW w:w="2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1,104</w:t>
            </w: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 (Loss)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6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77"/>
        </w:trPr>
        <w:tc>
          <w:tcPr>
            <w:tcW w:w="53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10"/>
              <w:spacing w:after="0" w:line="177" w:lineRule="exact"/>
              <w:rPr>
                <w:sz w:val="20"/>
                <w:szCs w:val="20"/>
                <w:color w:val="auto"/>
              </w:rPr>
            </w:pPr>
            <w:r>
              <w:rPr>
                <w:rFonts w:ascii="Arial" w:cs="Arial" w:eastAsia="Arial" w:hAnsi="Arial"/>
                <w:sz w:val="18"/>
                <w:szCs w:val="18"/>
                <w:b w:val="1"/>
                <w:bCs w:val="1"/>
                <w:color w:val="auto"/>
              </w:rPr>
              <w:t>May 29,</w:t>
            </w: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10"/>
              <w:spacing w:after="0" w:line="177" w:lineRule="exact"/>
              <w:rPr>
                <w:sz w:val="20"/>
                <w:szCs w:val="20"/>
                <w:color w:val="auto"/>
              </w:rPr>
            </w:pPr>
            <w:r>
              <w:rPr>
                <w:rFonts w:ascii="Arial" w:cs="Arial" w:eastAsia="Arial" w:hAnsi="Arial"/>
                <w:sz w:val="18"/>
                <w:szCs w:val="18"/>
                <w:b w:val="1"/>
                <w:bCs w:val="1"/>
                <w:color w:val="auto"/>
              </w:rPr>
              <w:t>May 30,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10"/>
              <w:spacing w:after="0" w:line="177" w:lineRule="exact"/>
              <w:rPr>
                <w:sz w:val="20"/>
                <w:szCs w:val="20"/>
                <w:color w:val="auto"/>
              </w:rPr>
            </w:pPr>
            <w:r>
              <w:rPr>
                <w:rFonts w:ascii="Arial" w:cs="Arial" w:eastAsia="Arial" w:hAnsi="Arial"/>
                <w:sz w:val="18"/>
                <w:szCs w:val="18"/>
                <w:b w:val="1"/>
                <w:bCs w:val="1"/>
                <w:color w:val="auto"/>
              </w:rPr>
              <w:t>May 29,</w:t>
            </w: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10"/>
              <w:spacing w:after="0" w:line="177" w:lineRule="exact"/>
              <w:rPr>
                <w:sz w:val="20"/>
                <w:szCs w:val="20"/>
                <w:color w:val="auto"/>
              </w:rPr>
            </w:pPr>
            <w:r>
              <w:rPr>
                <w:rFonts w:ascii="Arial" w:cs="Arial" w:eastAsia="Arial" w:hAnsi="Arial"/>
                <w:sz w:val="18"/>
                <w:szCs w:val="18"/>
                <w:b w:val="1"/>
                <w:bCs w:val="1"/>
                <w:color w:val="auto"/>
              </w:rPr>
              <w:t>May 30,</w:t>
            </w:r>
          </w:p>
        </w:tc>
      </w:tr>
      <w:tr>
        <w:trPr>
          <w:trHeight w:val="235"/>
        </w:trPr>
        <w:tc>
          <w:tcPr>
            <w:tcW w:w="5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34"/>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1,885</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5,338</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w:t>
            </w:r>
          </w:p>
        </w:tc>
      </w:tr>
      <w:tr>
        <w:trPr>
          <w:trHeight w:val="257"/>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Unrealized gains (losses) on investments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Pension liability adjustments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1D2D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1"/>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85" w:lineRule="exact"/>
        <w:rPr>
          <w:sz w:val="20"/>
          <w:szCs w:val="20"/>
          <w:color w:val="auto"/>
        </w:rPr>
      </w:pPr>
    </w:p>
    <w:p>
      <w:pPr>
        <w:ind w:left="9880"/>
        <w:spacing w:after="0"/>
        <w:rPr>
          <w:sz w:val="20"/>
          <w:szCs w:val="20"/>
          <w:color w:val="auto"/>
        </w:rPr>
      </w:pPr>
      <w:r>
        <w:rPr>
          <w:sz w:val="1"/>
          <w:szCs w:val="1"/>
          <w:color w:val="auto"/>
        </w:rPr>
        <w:drawing>
          <wp:inline distT="0" distB="0" distL="0" distR="0">
            <wp:extent cx="779780" cy="1625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9780" cy="162560"/>
                    </a:xfrm>
                    <a:prstGeom prst="rect">
                      <a:avLst/>
                    </a:prstGeom>
                    <a:noFill/>
                    <a:ln>
                      <a:noFill/>
                    </a:ln>
                  </pic:spPr>
                </pic:pic>
              </a:graphicData>
            </a:graphic>
          </wp:inline>
        </w:drawing>
      </w:r>
      <w:r>
        <w:rPr>
          <w:rFonts w:ascii="Arial" w:cs="Arial" w:eastAsia="Arial" w:hAnsi="Arial"/>
          <w:sz w:val="10"/>
          <w:szCs w:val="10"/>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17"/>
                <w:szCs w:val="17"/>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10,163</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648</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8,727</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27,919</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24,372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44,773</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39,749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78,397</w:t>
            </w:r>
          </w:p>
        </w:tc>
        <w:tc>
          <w:tcPr>
            <w:tcW w:w="18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8,761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10,135</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1,308</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4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24,285</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D1D2D4"/>
          </w:tcPr>
          <w:p>
            <w:pPr>
              <w:ind w:left="220"/>
              <w:spacing w:after="0" w:line="183" w:lineRule="exact"/>
              <w:rPr>
                <w:sz w:val="20"/>
                <w:szCs w:val="20"/>
                <w:color w:val="auto"/>
              </w:rPr>
            </w:pPr>
            <w:r>
              <w:rPr>
                <w:rFonts w:ascii="Arial" w:cs="Arial" w:eastAsia="Arial" w:hAnsi="Arial"/>
                <w:sz w:val="18"/>
                <w:szCs w:val="18"/>
                <w:color w:val="auto"/>
              </w:rPr>
              <w:t>Common stock, $0.10 par value, 3,000 shares authorized, 1,263 shares issued and 1,119 outstanding</w:t>
            </w:r>
          </w:p>
        </w:tc>
        <w:tc>
          <w:tcPr>
            <w:tcW w:w="2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12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5"/>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(1,253 shares issued and 1,109 outstanding as of August 29, 2024)</w:t>
            </w:r>
          </w:p>
        </w:tc>
        <w:tc>
          <w:tcPr>
            <w:tcW w:w="240" w:type="dxa"/>
            <w:vAlign w:val="bottom"/>
            <w:shd w:val="clear" w:color="auto" w:fill="D1D2D4"/>
          </w:tcPr>
          <w:p>
            <w:pPr>
              <w:spacing w:after="0"/>
              <w:rPr>
                <w:sz w:val="20"/>
                <w:szCs w:val="20"/>
                <w:color w:val="auto"/>
              </w:rPr>
            </w:pPr>
          </w:p>
        </w:tc>
        <w:tc>
          <w:tcPr>
            <w:tcW w:w="1200" w:type="dxa"/>
            <w:vAlign w:val="bottom"/>
            <w:vMerge w:val="continue"/>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26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12,115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45,559</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Treasury stock, 144 shares held (144 shares as of August 29, 2024)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78,397</w:t>
            </w:r>
          </w:p>
        </w:tc>
        <w:tc>
          <w:tcPr>
            <w:tcW w:w="18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19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Additional</w:t>
            </w: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9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Treasury</w:t>
            </w:r>
          </w:p>
        </w:tc>
        <w:tc>
          <w:tcPr>
            <w:tcW w:w="120" w:type="dxa"/>
            <w:vAlign w:val="bottom"/>
          </w:tcPr>
          <w:p>
            <w:pPr>
              <w:spacing w:after="0"/>
              <w:rPr>
                <w:sz w:val="13"/>
                <w:szCs w:val="13"/>
                <w:color w:val="auto"/>
              </w:rPr>
            </w:pPr>
          </w:p>
        </w:tc>
        <w:tc>
          <w:tcPr>
            <w:tcW w:w="1360" w:type="dxa"/>
            <w:vAlign w:val="bottom"/>
          </w:tcPr>
          <w:p>
            <w:pPr>
              <w:jc w:val="center"/>
              <w:ind w:right="30"/>
              <w:spacing w:after="0" w:line="15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9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740" w:type="dxa"/>
            <w:vAlign w:val="bottom"/>
            <w:gridSpan w:val="4"/>
          </w:tcPr>
          <w:p>
            <w:pPr>
              <w:jc w:val="right"/>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Shares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Capital</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Stock</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Income (Loss)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34"/>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Balance as of August 29, 2024</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12,115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(7,852)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1,870</w:t>
            </w:r>
          </w:p>
        </w:tc>
        <w:tc>
          <w:tcPr>
            <w:tcW w:w="2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30"/>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line="183" w:lineRule="exact"/>
              <w:rPr>
                <w:sz w:val="20"/>
                <w:szCs w:val="20"/>
                <w:color w:val="auto"/>
              </w:rPr>
            </w:pPr>
            <w:r>
              <w:rPr>
                <w:rFonts w:ascii="Arial" w:cs="Arial" w:eastAsia="Arial" w:hAnsi="Arial"/>
                <w:sz w:val="18"/>
                <w:szCs w:val="18"/>
                <w:color w:val="auto"/>
              </w:rPr>
              <w:t>Stock issued under equity compensation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8"/>
                <w:szCs w:val="18"/>
                <w:color w:val="auto"/>
              </w:rPr>
              <w:t>plans</w:t>
            </w:r>
          </w:p>
        </w:tc>
        <w:tc>
          <w:tcPr>
            <w:tcW w:w="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line="183"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62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Dividends and dividend equivalents declared</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3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5"/>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($0.115 per share)</w:t>
            </w:r>
          </w:p>
        </w:tc>
        <w:tc>
          <w:tcPr>
            <w:tcW w:w="960" w:type="dxa"/>
            <w:vAlign w:val="bottom"/>
            <w:tcBorders>
              <w:bottom w:val="single" w:sz="8" w:color="auto"/>
            </w:tcBorders>
            <w:vMerge w:val="continue"/>
            <w:shd w:val="clear" w:color="auto" w:fill="D1D2D4"/>
          </w:tcPr>
          <w:p>
            <w:pPr>
              <w:spacing w:after="0"/>
              <w:rPr>
                <w:sz w:val="20"/>
                <w:szCs w:val="20"/>
                <w:color w:val="auto"/>
              </w:rPr>
            </w:pPr>
          </w:p>
        </w:tc>
        <w:tc>
          <w:tcPr>
            <w:tcW w:w="140" w:type="dxa"/>
            <w:vAlign w:val="bottom"/>
            <w:tcBorders>
              <w:bottom w:val="single" w:sz="8" w:color="auto"/>
            </w:tcBorders>
            <w:shd w:val="clear" w:color="auto" w:fill="D1D2D4"/>
          </w:tcPr>
          <w:p>
            <w:pPr>
              <w:spacing w:after="0"/>
              <w:rPr>
                <w:sz w:val="20"/>
                <w:szCs w:val="20"/>
                <w:color w:val="auto"/>
              </w:rPr>
            </w:pPr>
          </w:p>
        </w:tc>
        <w:tc>
          <w:tcPr>
            <w:tcW w:w="820" w:type="dxa"/>
            <w:vAlign w:val="bottom"/>
            <w:tcBorders>
              <w:bottom w:val="single" w:sz="8" w:color="auto"/>
            </w:tcBorders>
            <w:vMerge w:val="continue"/>
            <w:shd w:val="clear" w:color="auto" w:fill="D1D2D4"/>
          </w:tcPr>
          <w:p>
            <w:pPr>
              <w:spacing w:after="0"/>
              <w:rPr>
                <w:sz w:val="20"/>
                <w:szCs w:val="20"/>
                <w:color w:val="auto"/>
              </w:rPr>
            </w:pPr>
          </w:p>
        </w:tc>
        <w:tc>
          <w:tcPr>
            <w:tcW w:w="160" w:type="dxa"/>
            <w:vAlign w:val="bottom"/>
            <w:tcBorders>
              <w:bottom w:val="single" w:sz="8" w:color="auto"/>
            </w:tcBorders>
            <w:shd w:val="clear" w:color="auto" w:fill="D1D2D4"/>
          </w:tcPr>
          <w:p>
            <w:pPr>
              <w:spacing w:after="0"/>
              <w:rPr>
                <w:sz w:val="20"/>
                <w:szCs w:val="20"/>
                <w:color w:val="auto"/>
              </w:rPr>
            </w:pPr>
          </w:p>
        </w:tc>
        <w:tc>
          <w:tcPr>
            <w:tcW w:w="820" w:type="dxa"/>
            <w:vAlign w:val="bottom"/>
            <w:tcBorders>
              <w:bottom w:val="single" w:sz="8" w:color="auto"/>
            </w:tcBorders>
            <w:vMerge w:val="continue"/>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720" w:type="dxa"/>
            <w:vAlign w:val="bottom"/>
            <w:tcBorders>
              <w:bottom w:val="single" w:sz="8" w:color="auto"/>
            </w:tcBorders>
            <w:vMerge w:val="continue"/>
            <w:shd w:val="clear" w:color="auto" w:fill="D1D2D4"/>
          </w:tcPr>
          <w:p>
            <w:pPr>
              <w:spacing w:after="0"/>
              <w:rPr>
                <w:sz w:val="20"/>
                <w:szCs w:val="20"/>
                <w:color w:val="auto"/>
              </w:rPr>
            </w:pPr>
          </w:p>
        </w:tc>
        <w:tc>
          <w:tcPr>
            <w:tcW w:w="200" w:type="dxa"/>
            <w:vAlign w:val="bottom"/>
            <w:tcBorders>
              <w:bottom w:val="single" w:sz="8" w:color="auto"/>
            </w:tcBorders>
            <w:shd w:val="clear" w:color="auto" w:fill="D1D2D4"/>
          </w:tcPr>
          <w:p>
            <w:pPr>
              <w:spacing w:after="0"/>
              <w:rPr>
                <w:sz w:val="20"/>
                <w:szCs w:val="20"/>
                <w:color w:val="auto"/>
              </w:rPr>
            </w:pPr>
          </w:p>
        </w:tc>
        <w:tc>
          <w:tcPr>
            <w:tcW w:w="780" w:type="dxa"/>
            <w:vAlign w:val="bottom"/>
            <w:tcBorders>
              <w:bottom w:val="single" w:sz="8" w:color="auto"/>
            </w:tcBorders>
            <w:vMerge w:val="continue"/>
            <w:shd w:val="clear" w:color="auto" w:fill="D1D2D4"/>
          </w:tcPr>
          <w:p>
            <w:pPr>
              <w:spacing w:after="0"/>
              <w:rPr>
                <w:sz w:val="20"/>
                <w:szCs w:val="20"/>
                <w:color w:val="auto"/>
              </w:rPr>
            </w:pPr>
          </w:p>
        </w:tc>
        <w:tc>
          <w:tcPr>
            <w:tcW w:w="120" w:type="dxa"/>
            <w:vAlign w:val="bottom"/>
            <w:tcBorders>
              <w:bottom w:val="single" w:sz="8" w:color="auto"/>
            </w:tcBorders>
            <w:shd w:val="clear" w:color="auto" w:fill="D1D2D4"/>
          </w:tcPr>
          <w:p>
            <w:pPr>
              <w:spacing w:after="0"/>
              <w:rPr>
                <w:sz w:val="20"/>
                <w:szCs w:val="20"/>
                <w:color w:val="auto"/>
              </w:rPr>
            </w:pPr>
          </w:p>
        </w:tc>
        <w:tc>
          <w:tcPr>
            <w:tcW w:w="1360" w:type="dxa"/>
            <w:vAlign w:val="bottom"/>
            <w:tcBorders>
              <w:bottom w:val="single" w:sz="8" w:color="auto"/>
            </w:tcBorders>
            <w:vMerge w:val="continue"/>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1020" w:type="dxa"/>
            <w:vAlign w:val="bottom"/>
            <w:tcBorders>
              <w:bottom w:val="single" w:sz="8" w:color="auto"/>
            </w:tcBorders>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Balance as of November 28, 2024</w:t>
            </w:r>
          </w:p>
        </w:tc>
        <w:tc>
          <w:tcPr>
            <w:tcW w:w="960" w:type="dxa"/>
            <w:vAlign w:val="bottom"/>
          </w:tcPr>
          <w:p>
            <w:pPr>
              <w:jc w:val="right"/>
              <w:spacing w:after="0"/>
              <w:rPr>
                <w:sz w:val="20"/>
                <w:szCs w:val="20"/>
                <w:color w:val="auto"/>
              </w:rPr>
            </w:pPr>
            <w:r>
              <w:rPr>
                <w:rFonts w:ascii="Arial" w:cs="Arial" w:eastAsia="Arial" w:hAnsi="Arial"/>
                <w:sz w:val="18"/>
                <w:szCs w:val="18"/>
                <w:color w:val="auto"/>
              </w:rPr>
              <w:t>1,258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42,427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180"/>
              <w:spacing w:after="0"/>
              <w:rPr>
                <w:sz w:val="20"/>
                <w:szCs w:val="20"/>
                <w:color w:val="auto"/>
              </w:rPr>
            </w:pPr>
            <w:r>
              <w:rPr>
                <w:rFonts w:ascii="Arial" w:cs="Arial" w:eastAsia="Arial" w:hAnsi="Arial"/>
                <w:sz w:val="18"/>
                <w:szCs w:val="18"/>
                <w:color w:val="auto"/>
              </w:rPr>
              <w:t>(7,852)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46,797</w:t>
            </w:r>
          </w:p>
        </w:tc>
        <w:tc>
          <w:tcPr>
            <w:tcW w:w="0" w:type="dxa"/>
            <w:vAlign w:val="bottom"/>
          </w:tcPr>
          <w:p>
            <w:pPr>
              <w:spacing w:after="0"/>
              <w:rPr>
                <w:sz w:val="1"/>
                <w:szCs w:val="1"/>
                <w:color w:val="auto"/>
              </w:rPr>
            </w:pPr>
          </w:p>
        </w:tc>
      </w:tr>
      <w:tr>
        <w:trPr>
          <w:trHeight w:val="230"/>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1,583</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4"/>
        </w:trPr>
        <w:tc>
          <w:tcPr>
            <w:tcW w:w="362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Stock issued under equity compensation</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3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5"/>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plans</w:t>
            </w:r>
          </w:p>
        </w:tc>
        <w:tc>
          <w:tcPr>
            <w:tcW w:w="960" w:type="dxa"/>
            <w:vAlign w:val="bottom"/>
            <w:vMerge w:val="continue"/>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820" w:type="dxa"/>
            <w:vAlign w:val="bottom"/>
            <w:vMerge w:val="continue"/>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820" w:type="dxa"/>
            <w:vAlign w:val="bottom"/>
            <w:vMerge w:val="continue"/>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72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8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60" w:type="dxa"/>
            <w:vAlign w:val="bottom"/>
            <w:vMerge w:val="continue"/>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02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84"/>
        </w:trPr>
        <w:tc>
          <w:tcPr>
            <w:tcW w:w="362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3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5"/>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820" w:type="dxa"/>
            <w:vAlign w:val="bottom"/>
            <w:vMerge w:val="continue"/>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820" w:type="dxa"/>
            <w:vAlign w:val="bottom"/>
            <w:vMerge w:val="continue"/>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72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8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60" w:type="dxa"/>
            <w:vAlign w:val="bottom"/>
            <w:vMerge w:val="continue"/>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02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line="183" w:lineRule="exact"/>
              <w:rPr>
                <w:sz w:val="20"/>
                <w:szCs w:val="20"/>
                <w:color w:val="auto"/>
              </w:rPr>
            </w:pPr>
            <w:r>
              <w:rPr>
                <w:rFonts w:ascii="Arial" w:cs="Arial" w:eastAsia="Arial" w:hAnsi="Arial"/>
                <w:sz w:val="18"/>
                <w:szCs w:val="18"/>
                <w:color w:val="auto"/>
              </w:rPr>
              <w:t>Dividends and dividend equivalents declared</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5"/>
        </w:trPr>
        <w:tc>
          <w:tcPr>
            <w:tcW w:w="36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($0.115 per share)</w:t>
            </w:r>
          </w:p>
        </w:tc>
        <w:tc>
          <w:tcPr>
            <w:tcW w:w="9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Balance as of February 27, 2025</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12,711</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43,839</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(7,852)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48,633</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w:t>
            </w:r>
          </w:p>
        </w:tc>
        <w:tc>
          <w:tcPr>
            <w:tcW w:w="2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9"/>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line="183" w:lineRule="exact"/>
              <w:rPr>
                <w:sz w:val="20"/>
                <w:szCs w:val="20"/>
                <w:color w:val="auto"/>
              </w:rPr>
            </w:pPr>
            <w:r>
              <w:rPr>
                <w:rFonts w:ascii="Arial" w:cs="Arial" w:eastAsia="Arial" w:hAnsi="Arial"/>
                <w:sz w:val="18"/>
                <w:szCs w:val="18"/>
                <w:color w:val="auto"/>
              </w:rPr>
              <w:t>Stock issued under equity compensation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8"/>
                <w:szCs w:val="18"/>
                <w:color w:val="auto"/>
              </w:rPr>
              <w:t>plans</w:t>
            </w:r>
          </w:p>
        </w:tc>
        <w:tc>
          <w:tcPr>
            <w:tcW w:w="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line="183"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62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Dividends and dividend equivalents declared</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3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5"/>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($0.115 per share)</w:t>
            </w:r>
          </w:p>
        </w:tc>
        <w:tc>
          <w:tcPr>
            <w:tcW w:w="960" w:type="dxa"/>
            <w:vAlign w:val="bottom"/>
            <w:tcBorders>
              <w:bottom w:val="single" w:sz="8" w:color="auto"/>
            </w:tcBorders>
            <w:vMerge w:val="continue"/>
            <w:shd w:val="clear" w:color="auto" w:fill="D1D2D4"/>
          </w:tcPr>
          <w:p>
            <w:pPr>
              <w:spacing w:after="0"/>
              <w:rPr>
                <w:sz w:val="20"/>
                <w:szCs w:val="20"/>
                <w:color w:val="auto"/>
              </w:rPr>
            </w:pPr>
          </w:p>
        </w:tc>
        <w:tc>
          <w:tcPr>
            <w:tcW w:w="140" w:type="dxa"/>
            <w:vAlign w:val="bottom"/>
            <w:tcBorders>
              <w:bottom w:val="single" w:sz="8" w:color="auto"/>
            </w:tcBorders>
            <w:shd w:val="clear" w:color="auto" w:fill="D1D2D4"/>
          </w:tcPr>
          <w:p>
            <w:pPr>
              <w:spacing w:after="0"/>
              <w:rPr>
                <w:sz w:val="20"/>
                <w:szCs w:val="20"/>
                <w:color w:val="auto"/>
              </w:rPr>
            </w:pPr>
          </w:p>
        </w:tc>
        <w:tc>
          <w:tcPr>
            <w:tcW w:w="820" w:type="dxa"/>
            <w:vAlign w:val="bottom"/>
            <w:tcBorders>
              <w:bottom w:val="single" w:sz="8" w:color="auto"/>
            </w:tcBorders>
            <w:vMerge w:val="continue"/>
            <w:shd w:val="clear" w:color="auto" w:fill="D1D2D4"/>
          </w:tcPr>
          <w:p>
            <w:pPr>
              <w:spacing w:after="0"/>
              <w:rPr>
                <w:sz w:val="20"/>
                <w:szCs w:val="20"/>
                <w:color w:val="auto"/>
              </w:rPr>
            </w:pPr>
          </w:p>
        </w:tc>
        <w:tc>
          <w:tcPr>
            <w:tcW w:w="160" w:type="dxa"/>
            <w:vAlign w:val="bottom"/>
            <w:tcBorders>
              <w:bottom w:val="single" w:sz="8" w:color="auto"/>
            </w:tcBorders>
            <w:shd w:val="clear" w:color="auto" w:fill="D1D2D4"/>
          </w:tcPr>
          <w:p>
            <w:pPr>
              <w:spacing w:after="0"/>
              <w:rPr>
                <w:sz w:val="20"/>
                <w:szCs w:val="20"/>
                <w:color w:val="auto"/>
              </w:rPr>
            </w:pPr>
          </w:p>
        </w:tc>
        <w:tc>
          <w:tcPr>
            <w:tcW w:w="820" w:type="dxa"/>
            <w:vAlign w:val="bottom"/>
            <w:tcBorders>
              <w:bottom w:val="single" w:sz="8" w:color="auto"/>
            </w:tcBorders>
            <w:vMerge w:val="continue"/>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720" w:type="dxa"/>
            <w:vAlign w:val="bottom"/>
            <w:tcBorders>
              <w:bottom w:val="single" w:sz="8" w:color="auto"/>
            </w:tcBorders>
            <w:vMerge w:val="continue"/>
            <w:shd w:val="clear" w:color="auto" w:fill="D1D2D4"/>
          </w:tcPr>
          <w:p>
            <w:pPr>
              <w:spacing w:after="0"/>
              <w:rPr>
                <w:sz w:val="20"/>
                <w:szCs w:val="20"/>
                <w:color w:val="auto"/>
              </w:rPr>
            </w:pPr>
          </w:p>
        </w:tc>
        <w:tc>
          <w:tcPr>
            <w:tcW w:w="200" w:type="dxa"/>
            <w:vAlign w:val="bottom"/>
            <w:tcBorders>
              <w:bottom w:val="single" w:sz="8" w:color="auto"/>
            </w:tcBorders>
            <w:shd w:val="clear" w:color="auto" w:fill="D1D2D4"/>
          </w:tcPr>
          <w:p>
            <w:pPr>
              <w:spacing w:after="0"/>
              <w:rPr>
                <w:sz w:val="20"/>
                <w:szCs w:val="20"/>
                <w:color w:val="auto"/>
              </w:rPr>
            </w:pPr>
          </w:p>
        </w:tc>
        <w:tc>
          <w:tcPr>
            <w:tcW w:w="780" w:type="dxa"/>
            <w:vAlign w:val="bottom"/>
            <w:tcBorders>
              <w:bottom w:val="single" w:sz="8" w:color="auto"/>
            </w:tcBorders>
            <w:vMerge w:val="continue"/>
            <w:shd w:val="clear" w:color="auto" w:fill="D1D2D4"/>
          </w:tcPr>
          <w:p>
            <w:pPr>
              <w:spacing w:after="0"/>
              <w:rPr>
                <w:sz w:val="20"/>
                <w:szCs w:val="20"/>
                <w:color w:val="auto"/>
              </w:rPr>
            </w:pPr>
          </w:p>
        </w:tc>
        <w:tc>
          <w:tcPr>
            <w:tcW w:w="120" w:type="dxa"/>
            <w:vAlign w:val="bottom"/>
            <w:tcBorders>
              <w:bottom w:val="single" w:sz="8" w:color="auto"/>
            </w:tcBorders>
            <w:shd w:val="clear" w:color="auto" w:fill="D1D2D4"/>
          </w:tcPr>
          <w:p>
            <w:pPr>
              <w:spacing w:after="0"/>
              <w:rPr>
                <w:sz w:val="20"/>
                <w:szCs w:val="20"/>
                <w:color w:val="auto"/>
              </w:rPr>
            </w:pPr>
          </w:p>
        </w:tc>
        <w:tc>
          <w:tcPr>
            <w:tcW w:w="1360" w:type="dxa"/>
            <w:vAlign w:val="bottom"/>
            <w:tcBorders>
              <w:bottom w:val="single" w:sz="8" w:color="auto"/>
            </w:tcBorders>
            <w:vMerge w:val="continue"/>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1020" w:type="dxa"/>
            <w:vAlign w:val="bottom"/>
            <w:tcBorders>
              <w:bottom w:val="single" w:sz="8" w:color="auto"/>
            </w:tcBorders>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Balance as of May 29, 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(7,852)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80"/>
        <w:spacing w:after="0"/>
        <w:rPr>
          <w:sz w:val="20"/>
          <w:szCs w:val="20"/>
          <w:color w:val="auto"/>
        </w:rPr>
      </w:pPr>
      <w:r>
        <w:rPr>
          <w:sz w:val="1"/>
          <w:szCs w:val="1"/>
          <w:color w:val="auto"/>
        </w:rPr>
        <w:drawing>
          <wp:inline distT="0" distB="0" distL="0" distR="0">
            <wp:extent cx="779780" cy="1631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9780" cy="163195"/>
                    </a:xfrm>
                    <a:prstGeom prst="rect">
                      <a:avLst/>
                    </a:prstGeom>
                    <a:noFill/>
                    <a:ln>
                      <a:noFill/>
                    </a:ln>
                  </pic:spPr>
                </pic:pic>
              </a:graphicData>
            </a:graphic>
          </wp:inline>
        </w:drawing>
      </w:r>
      <w:r>
        <w:rPr>
          <w:rFonts w:ascii="Arial" w:cs="Arial" w:eastAsia="Arial" w:hAnsi="Arial"/>
          <w:sz w:val="10"/>
          <w:szCs w:val="10"/>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1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620" w:type="dxa"/>
            <w:vAlign w:val="bottom"/>
          </w:tcPr>
          <w:p>
            <w:pPr>
              <w:jc w:val="center"/>
              <w:ind w:right="10"/>
              <w:spacing w:after="0" w:line="156" w:lineRule="exact"/>
              <w:rPr>
                <w:sz w:val="20"/>
                <w:szCs w:val="20"/>
                <w:color w:val="auto"/>
              </w:rPr>
            </w:pPr>
            <w:r>
              <w:rPr>
                <w:rFonts w:ascii="Arial" w:cs="Arial" w:eastAsia="Arial" w:hAnsi="Arial"/>
                <w:sz w:val="18"/>
                <w:szCs w:val="18"/>
                <w:b w:val="1"/>
                <w:bCs w:val="1"/>
                <w:color w:val="auto"/>
                <w:w w:val="99"/>
              </w:rPr>
              <w:t>Other</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76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of Shares  Amount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Stock</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sectPr>
      </w:pPr>
    </w:p>
    <w:p>
      <w:pPr>
        <w:ind w:left="40" w:right="980"/>
        <w:spacing w:after="0" w:line="271" w:lineRule="auto"/>
        <w:rPr>
          <w:sz w:val="20"/>
          <w:szCs w:val="20"/>
          <w:color w:val="auto"/>
        </w:rPr>
      </w:pPr>
      <w:r>
        <w:rPr>
          <w:rFonts w:ascii="Arial" w:cs="Arial" w:eastAsia="Arial" w:hAnsi="Arial"/>
          <w:sz w:val="18"/>
          <w:szCs w:val="18"/>
          <w:b w:val="1"/>
          <w:bCs w:val="1"/>
          <w:color w:val="auto"/>
        </w:rPr>
        <w:t xml:space="preserve">Balance as of August 31, 2023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right="320"/>
        <w:spacing w:after="0" w:line="242" w:lineRule="auto"/>
        <w:rPr>
          <w:sz w:val="20"/>
          <w:szCs w:val="20"/>
          <w:color w:val="auto"/>
        </w:rPr>
      </w:pPr>
      <w:r>
        <w:rPr>
          <w:rFonts w:ascii="Arial" w:cs="Arial" w:eastAsia="Arial" w:hAnsi="Arial"/>
          <w:sz w:val="18"/>
          <w:szCs w:val="18"/>
          <w:color w:val="auto"/>
        </w:rPr>
        <w:t>Stock issued under equity compensation plans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right="48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5" w:lineRule="auto"/>
        <w:rPr>
          <w:sz w:val="20"/>
          <w:szCs w:val="20"/>
          <w:color w:val="auto"/>
        </w:rPr>
      </w:pPr>
      <w:r>
        <w:rPr>
          <w:rFonts w:ascii="Arial" w:cs="Arial" w:eastAsia="Arial" w:hAnsi="Arial"/>
          <w:sz w:val="18"/>
          <w:szCs w:val="18"/>
          <w:color w:val="auto"/>
        </w:rPr>
        <w:t>Dividends and dividend equivalents declared ($0.115 per share)</w:t>
      </w:r>
    </w:p>
    <w:p>
      <w:pPr>
        <w:ind w:left="40" w:right="720"/>
        <w:spacing w:after="0" w:line="271" w:lineRule="auto"/>
        <w:rPr>
          <w:sz w:val="20"/>
          <w:szCs w:val="20"/>
          <w:color w:val="auto"/>
        </w:rPr>
      </w:pPr>
      <w:r>
        <w:rPr>
          <w:rFonts w:ascii="Arial" w:cs="Arial" w:eastAsia="Arial" w:hAnsi="Arial"/>
          <w:sz w:val="18"/>
          <w:szCs w:val="18"/>
          <w:b w:val="1"/>
          <w:bCs w:val="1"/>
          <w:color w:val="auto"/>
        </w:rPr>
        <w:t xml:space="preserve">Balance as of November 30, 2023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right="320"/>
        <w:spacing w:after="0" w:line="242" w:lineRule="auto"/>
        <w:rPr>
          <w:sz w:val="20"/>
          <w:szCs w:val="20"/>
          <w:color w:val="auto"/>
        </w:rPr>
      </w:pPr>
      <w:r>
        <w:rPr>
          <w:rFonts w:ascii="Arial" w:cs="Arial" w:eastAsia="Arial" w:hAnsi="Arial"/>
          <w:sz w:val="18"/>
          <w:szCs w:val="18"/>
          <w:color w:val="auto"/>
        </w:rPr>
        <w:t>Stock issued under equity compensation plans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right="48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5" w:lineRule="auto"/>
        <w:rPr>
          <w:sz w:val="20"/>
          <w:szCs w:val="20"/>
          <w:color w:val="auto"/>
        </w:rPr>
      </w:pPr>
      <w:r>
        <w:rPr>
          <w:rFonts w:ascii="Arial" w:cs="Arial" w:eastAsia="Arial" w:hAnsi="Arial"/>
          <w:sz w:val="18"/>
          <w:szCs w:val="18"/>
          <w:color w:val="auto"/>
        </w:rPr>
        <w:t>Dividends and dividend equivalents declared ($0.115 per share)</w:t>
      </w:r>
    </w:p>
    <w:p>
      <w:pPr>
        <w:ind w:left="40" w:right="840"/>
        <w:spacing w:after="0" w:line="271" w:lineRule="auto"/>
        <w:rPr>
          <w:sz w:val="20"/>
          <w:szCs w:val="20"/>
          <w:color w:val="auto"/>
        </w:rPr>
      </w:pPr>
      <w:r>
        <w:rPr>
          <w:rFonts w:ascii="Arial" w:cs="Arial" w:eastAsia="Arial" w:hAnsi="Arial"/>
          <w:sz w:val="18"/>
          <w:szCs w:val="18"/>
          <w:b w:val="1"/>
          <w:bCs w:val="1"/>
          <w:color w:val="auto"/>
        </w:rPr>
        <w:t xml:space="preserve">Balance as of February 29, 2024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right="320"/>
        <w:spacing w:after="0" w:line="242" w:lineRule="auto"/>
        <w:rPr>
          <w:sz w:val="20"/>
          <w:szCs w:val="20"/>
          <w:color w:val="auto"/>
        </w:rPr>
      </w:pPr>
      <w:r>
        <w:rPr>
          <w:rFonts w:ascii="Arial" w:cs="Arial" w:eastAsia="Arial" w:hAnsi="Arial"/>
          <w:sz w:val="18"/>
          <w:szCs w:val="18"/>
          <w:color w:val="auto"/>
        </w:rPr>
        <w:t>Stock issued under equity compensation plans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right="48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5" w:lineRule="auto"/>
        <w:rPr>
          <w:sz w:val="20"/>
          <w:szCs w:val="20"/>
          <w:color w:val="auto"/>
        </w:rPr>
      </w:pPr>
      <w:r>
        <w:rPr>
          <w:rFonts w:ascii="Arial" w:cs="Arial" w:eastAsia="Arial" w:hAnsi="Arial"/>
          <w:sz w:val="18"/>
          <w:szCs w:val="18"/>
          <w:color w:val="auto"/>
        </w:rPr>
        <w:t>Dividends and dividend equivalents declared ($0.115 per share)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as of May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1,239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11,036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40,824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ind w:left="120"/>
              <w:spacing w:after="0"/>
              <w:rPr>
                <w:sz w:val="20"/>
                <w:szCs w:val="20"/>
                <w:color w:val="auto"/>
              </w:rPr>
            </w:pPr>
            <w:r>
              <w:rPr>
                <w:rFonts w:ascii="Arial" w:cs="Arial" w:eastAsia="Arial" w:hAnsi="Arial"/>
                <w:sz w:val="18"/>
                <w:szCs w:val="18"/>
                <w:color w:val="auto"/>
              </w:rPr>
              <w:t>(7,552)</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44,120</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(1,234)</w:t>
            </w:r>
          </w:p>
        </w:tc>
        <w:tc>
          <w:tcPr>
            <w:tcW w:w="2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09"/>
        </w:trPr>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14"/>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18"/>
        </w:trPr>
        <w:tc>
          <w:tcPr>
            <w:tcW w:w="960" w:type="dxa"/>
            <w:vAlign w:val="bottom"/>
          </w:tcPr>
          <w:p>
            <w:pPr>
              <w:jc w:val="right"/>
              <w:spacing w:after="0"/>
              <w:rPr>
                <w:sz w:val="20"/>
                <w:szCs w:val="20"/>
                <w:color w:val="auto"/>
              </w:rPr>
            </w:pPr>
            <w:r>
              <w:rPr>
                <w:rFonts w:ascii="Arial" w:cs="Arial" w:eastAsia="Arial" w:hAnsi="Arial"/>
                <w:sz w:val="18"/>
                <w:szCs w:val="18"/>
                <w:color w:val="auto"/>
              </w:rPr>
              <w:t>1,245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39,356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ind w:left="120"/>
              <w:spacing w:after="0"/>
              <w:rPr>
                <w:sz w:val="20"/>
                <w:szCs w:val="20"/>
                <w:color w:val="auto"/>
              </w:rPr>
            </w:pPr>
            <w:r>
              <w:rPr>
                <w:rFonts w:ascii="Arial" w:cs="Arial" w:eastAsia="Arial" w:hAnsi="Arial"/>
                <w:sz w:val="18"/>
                <w:szCs w:val="18"/>
                <w:color w:val="auto"/>
              </w:rPr>
              <w:t>(7,552)</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42,885</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9"/>
        </w:trPr>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18"/>
        </w:trPr>
        <w:tc>
          <w:tcPr>
            <w:tcW w:w="960" w:type="dxa"/>
            <w:vAlign w:val="bottom"/>
          </w:tcPr>
          <w:p>
            <w:pPr>
              <w:jc w:val="right"/>
              <w:spacing w:after="0"/>
              <w:rPr>
                <w:sz w:val="20"/>
                <w:szCs w:val="20"/>
                <w:color w:val="auto"/>
              </w:rPr>
            </w:pPr>
            <w:r>
              <w:rPr>
                <w:rFonts w:ascii="Arial" w:cs="Arial" w:eastAsia="Arial" w:hAnsi="Arial"/>
                <w:sz w:val="18"/>
                <w:szCs w:val="18"/>
                <w:color w:val="auto"/>
              </w:rPr>
              <w:t>1,248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11,564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39,997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ind w:left="120"/>
              <w:spacing w:after="0"/>
              <w:rPr>
                <w:sz w:val="20"/>
                <w:szCs w:val="20"/>
                <w:color w:val="auto"/>
              </w:rPr>
            </w:pPr>
            <w:r>
              <w:rPr>
                <w:rFonts w:ascii="Arial" w:cs="Arial" w:eastAsia="Arial" w:hAnsi="Arial"/>
                <w:sz w:val="18"/>
                <w:szCs w:val="18"/>
                <w:color w:val="auto"/>
              </w:rPr>
              <w:t>(7,552)</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43,870</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09"/>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40,169</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(7,552)</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44,225</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-4345305</wp:posOffset>
            </wp:positionV>
            <wp:extent cx="711517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-4053840</wp:posOffset>
            </wp:positionV>
            <wp:extent cx="71151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-3642360</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-3230880</wp:posOffset>
            </wp:positionV>
            <wp:extent cx="7115175"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-2811145</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-2519680</wp:posOffset>
            </wp:positionV>
            <wp:extent cx="7115175"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-2108200</wp:posOffset>
            </wp:positionV>
            <wp:extent cx="711517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-1576705</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-1276350</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-864870</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-453390</wp:posOffset>
            </wp:positionV>
            <wp:extent cx="7115175"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40"/>
            <w:col w:w="7600"/>
          </w:cols>
          <w:pgMar w:left="320" w:top="125" w:right="339"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BD03F7"/>
            </w:tcBorders>
          </w:tcPr>
          <w:p>
            <w:pPr>
              <w:spacing w:after="0"/>
              <w:rPr>
                <w:sz w:val="24"/>
                <w:szCs w:val="24"/>
                <w:color w:val="auto"/>
              </w:rPr>
            </w:pPr>
          </w:p>
        </w:tc>
        <w:tc>
          <w:tcPr>
            <w:tcW w:w="118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30,</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5,338</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9"/>
        </w:trPr>
        <w:tc>
          <w:tcPr>
            <w:tcW w:w="8360" w:type="dxa"/>
            <w:vAlign w:val="bottom"/>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11,795</w:t>
            </w:r>
          </w:p>
        </w:tc>
        <w:tc>
          <w:tcPr>
            <w:tcW w:w="80" w:type="dxa"/>
            <w:vAlign w:val="bottom"/>
            <w:tcBorders>
              <w:bottom w:val="single" w:sz="8" w:color="auto"/>
            </w:tcBorders>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1,249</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(8,889)</w:t>
            </w:r>
          </w:p>
        </w:tc>
        <w:tc>
          <w:tcPr>
            <w:tcW w:w="80" w:type="dxa"/>
            <w:vAlign w:val="bottom"/>
            <w:tcBorders>
              <w:bottom w:val="single" w:sz="8" w:color="auto"/>
            </w:tcBorders>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(3,604)</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auto"/>
            </w:tcBorders>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35"/>
        </w:trPr>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10,169</w:t>
            </w: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40" w:space="720"/>
            <w:col w:w="2880"/>
          </w:cols>
          <w:pgMar w:left="320" w:top="118" w:right="339"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5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August 29, 2024. There have been no changes to our significant accounting policies since our Annual Report on Form 10-K for the year ended August 29, 2024.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29"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August 29, 2024.</w:t>
      </w:r>
    </w:p>
    <w:p>
      <w:pPr>
        <w:spacing w:after="0" w:line="19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prior-period amounts to conform to current-period presentation.</w:t>
      </w:r>
    </w:p>
    <w:p>
      <w:pPr>
        <w:spacing w:after="0" w:line="19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2025 and 2024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29, 2024.</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2023-07 (ASC Topic 280),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This ASU expands on existing reportable segment disclosure requirements primarily through enhanced disclosures about significant segment expenses. This ASU will be effective for our annual reporting for 2025 on a retrospective basis. Adoption of this new guidance will result in increased disclosures in the Notes to Consolidated Financial Statements.</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December 2023, the FASB issued ASU 2023-09 (ASC Topic 740),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This ASU requires disaggregated income tax disclosures on the rate reconciliation and income taxes paid. This ASU will be effective for our annual reporting for 2026 on a prospective basis, with retrospective application permitted. Adoption of this new guidance will result in increased disclosures in the Notes to Consolidated Financial Statements.</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In November 2024, the FASB issued ASU 2024-03 (ASC Topic 220),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This ASU requires disclosure of certain expenses in the notes to the financial statements. This ASU will be effective for our annual reporting for 2028 on a prospective basis, with retrospective application permitted. Adoption of this new guidance will result in increased disclosures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Variable Interest Entities</w:t>
      </w:r>
    </w:p>
    <w:p>
      <w:pPr>
        <w:spacing w:after="0" w:line="2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Certain third-party special purpose entities (the “Lease SPEs”) facilitate equipment lease financing transactions between us and various financial institutions. Neither we nor the financial institutions have an equity interest in the Lease SPEs, which are variable interest entities. The arrangements are financing vehicles and we do not bear any significant risks from variable interests with the Lease SPEs. We do not direct the activities of the Lease SPEs that most significantly impact their economic performance and, as such, we do not consolidate them. As of May 29, 2025, we had approximately $1.61 billion of finance lease liabilities and right-of-use assets under these arrangements.</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All of our short-term investments and long-term marketable investments were classified as available for sale as of the dates noted below.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and the fair values of our available-for-sale securities, which approximated amortized costs,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As of May 29, 2025</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As of August 29, 2024</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5"/>
                <w:szCs w:val="15"/>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7"/>
              </w:rPr>
              <w:t>Short-term</w:t>
            </w:r>
          </w:p>
        </w:tc>
        <w:tc>
          <w:tcPr>
            <w:tcW w:w="180" w:type="dxa"/>
            <w:vAlign w:val="bottom"/>
          </w:tcPr>
          <w:p>
            <w:pPr>
              <w:spacing w:after="0"/>
              <w:rPr>
                <w:sz w:val="15"/>
                <w:szCs w:val="15"/>
                <w:color w:val="auto"/>
              </w:rPr>
            </w:pPr>
          </w:p>
        </w:tc>
        <w:tc>
          <w:tcPr>
            <w:tcW w:w="1160" w:type="dxa"/>
            <w:vAlign w:val="bottom"/>
          </w:tcPr>
          <w:p>
            <w:pPr>
              <w:jc w:val="center"/>
              <w:ind w:right="30"/>
              <w:spacing w:after="0" w:line="177" w:lineRule="exact"/>
              <w:rPr>
                <w:sz w:val="20"/>
                <w:szCs w:val="20"/>
                <w:color w:val="auto"/>
              </w:rPr>
            </w:pPr>
            <w:r>
              <w:rPr>
                <w:rFonts w:ascii="Arial" w:cs="Arial" w:eastAsia="Arial" w:hAnsi="Arial"/>
                <w:sz w:val="18"/>
                <w:szCs w:val="18"/>
                <w:b w:val="1"/>
                <w:bCs w:val="1"/>
                <w:color w:val="auto"/>
                <w:w w:val="98"/>
              </w:rPr>
              <w:t>Long-term</w:t>
            </w: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6"/>
              </w:rPr>
              <w:t>Total Fair</w:t>
            </w:r>
          </w:p>
        </w:tc>
        <w:tc>
          <w:tcPr>
            <w:tcW w:w="140" w:type="dxa"/>
            <w:vAlign w:val="bottom"/>
          </w:tcPr>
          <w:p>
            <w:pPr>
              <w:spacing w:after="0"/>
              <w:rPr>
                <w:sz w:val="15"/>
                <w:szCs w:val="15"/>
                <w:color w:val="auto"/>
              </w:rPr>
            </w:pPr>
          </w:p>
        </w:tc>
        <w:tc>
          <w:tcPr>
            <w:tcW w:w="100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rPr>
              <w:t>Cash and</w:t>
            </w:r>
          </w:p>
        </w:tc>
        <w:tc>
          <w:tcPr>
            <w:tcW w:w="140" w:type="dxa"/>
            <w:vAlign w:val="bottom"/>
          </w:tcPr>
          <w:p>
            <w:pPr>
              <w:spacing w:after="0"/>
              <w:rPr>
                <w:sz w:val="15"/>
                <w:szCs w:val="15"/>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7"/>
              </w:rPr>
              <w:t>Short-term</w:t>
            </w:r>
          </w:p>
        </w:tc>
        <w:tc>
          <w:tcPr>
            <w:tcW w:w="200" w:type="dxa"/>
            <w:vAlign w:val="bottom"/>
          </w:tcPr>
          <w:p>
            <w:pPr>
              <w:spacing w:after="0"/>
              <w:rPr>
                <w:sz w:val="15"/>
                <w:szCs w:val="15"/>
                <w:color w:val="auto"/>
              </w:rPr>
            </w:pPr>
          </w:p>
        </w:tc>
        <w:tc>
          <w:tcPr>
            <w:tcW w:w="116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Cash</w:t>
            </w: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Marketable</w:t>
            </w: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9"/>
              </w:rPr>
              <w:t>Cash</w:t>
            </w: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4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20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Value</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8,331</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8,331</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20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184"/>
        </w:trPr>
        <w:tc>
          <w:tcPr>
            <w:tcW w:w="2000" w:type="dxa"/>
            <w:vAlign w:val="bottom"/>
            <w:shd w:val="clear" w:color="auto" w:fill="D1D2D4"/>
          </w:tcPr>
          <w:p>
            <w:pPr>
              <w:ind w:left="140"/>
              <w:spacing w:after="0" w:line="183" w:lineRule="exact"/>
              <w:rPr>
                <w:sz w:val="20"/>
                <w:szCs w:val="20"/>
                <w:color w:val="auto"/>
              </w:rPr>
            </w:pPr>
            <w:r>
              <w:rPr>
                <w:rFonts w:ascii="Arial" w:cs="Arial" w:eastAsia="Arial" w:hAnsi="Arial"/>
                <w:sz w:val="18"/>
                <w:szCs w:val="18"/>
                <w:color w:val="auto"/>
              </w:rPr>
              <w:t>Asset-backed</w:t>
            </w:r>
          </w:p>
        </w:tc>
        <w:tc>
          <w:tcPr>
            <w:tcW w:w="1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442</w:t>
            </w:r>
          </w:p>
        </w:tc>
        <w:tc>
          <w:tcPr>
            <w:tcW w:w="20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5"/>
        </w:trPr>
        <w:tc>
          <w:tcPr>
            <w:tcW w:w="20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1D2D4"/>
          </w:tcPr>
          <w:p>
            <w:pPr>
              <w:spacing w:after="0"/>
              <w:rPr>
                <w:sz w:val="20"/>
                <w:szCs w:val="20"/>
                <w:color w:val="auto"/>
              </w:rPr>
            </w:pPr>
          </w:p>
        </w:tc>
        <w:tc>
          <w:tcPr>
            <w:tcW w:w="102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040" w:type="dxa"/>
            <w:vAlign w:val="bottom"/>
            <w:vMerge w:val="continue"/>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16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000" w:type="dxa"/>
            <w:vAlign w:val="bottom"/>
            <w:vMerge w:val="continue"/>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02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1160" w:type="dxa"/>
            <w:vAlign w:val="bottom"/>
            <w:vMerge w:val="continue"/>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72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20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0" w:type="dxa"/>
            <w:vAlign w:val="bottom"/>
          </w:tcPr>
          <w:p>
            <w:pPr>
              <w:spacing w:after="0"/>
              <w:rPr>
                <w:sz w:val="1"/>
                <w:szCs w:val="1"/>
                <w:color w:val="auto"/>
              </w:rPr>
            </w:pPr>
          </w:p>
        </w:tc>
      </w:tr>
      <w:tr>
        <w:trPr>
          <w:trHeight w:val="20"/>
        </w:trPr>
        <w:tc>
          <w:tcPr>
            <w:tcW w:w="20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102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10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102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11</w:t>
            </w:r>
          </w:p>
        </w:tc>
        <w:tc>
          <w:tcPr>
            <w:tcW w:w="140" w:type="dxa"/>
            <w:vAlign w:val="bottom"/>
            <w:shd w:val="clear" w:color="auto" w:fill="D1D2D4"/>
          </w:tcPr>
          <w:p>
            <w:pPr>
              <w:spacing w:after="0"/>
              <w:rPr>
                <w:sz w:val="17"/>
                <w:szCs w:val="17"/>
                <w:color w:val="auto"/>
              </w:rPr>
            </w:pPr>
          </w:p>
        </w:tc>
        <w:tc>
          <w:tcPr>
            <w:tcW w:w="102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line="163"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10,169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7,052</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60" w:right="240" w:hanging="252"/>
        <w:spacing w:after="0" w:line="228"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investments primarily range from one to five years, except for asset-backed securities which are not due at a single maturity date.</w:t>
      </w:r>
    </w:p>
    <w:p>
      <w:pPr>
        <w:ind w:left="240" w:hanging="232"/>
        <w:spacing w:after="0" w:line="196" w:lineRule="auto"/>
        <w:tabs>
          <w:tab w:leader="none" w:pos="2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May 29, 2025 or August 29, 2024.</w:t>
      </w:r>
    </w:p>
    <w:p>
      <w:pPr>
        <w:spacing w:after="0" w:line="1" w:lineRule="exact"/>
        <w:rPr>
          <w:rFonts w:ascii="Arial" w:cs="Arial" w:eastAsia="Arial" w:hAnsi="Arial"/>
          <w:sz w:val="23"/>
          <w:szCs w:val="23"/>
          <w:i w:val="1"/>
          <w:iCs w:val="1"/>
          <w:color w:val="auto"/>
          <w:vertAlign w:val="superscript"/>
        </w:rPr>
      </w:pPr>
    </w:p>
    <w:p>
      <w:pPr>
        <w:ind w:left="240" w:hanging="232"/>
        <w:spacing w:after="0" w:line="200" w:lineRule="auto"/>
        <w:tabs>
          <w:tab w:leader="none" w:pos="240"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material for any period presented.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Non-marketable Equity Investments</w:t>
      </w:r>
    </w:p>
    <w:p>
      <w:pPr>
        <w:spacing w:after="0" w:line="229" w:lineRule="exact"/>
        <w:rPr>
          <w:sz w:val="20"/>
          <w:szCs w:val="20"/>
          <w:color w:val="auto"/>
        </w:rPr>
      </w:pPr>
    </w:p>
    <w:p>
      <w:pPr>
        <w:jc w:val="both"/>
        <w:ind w:right="80"/>
        <w:spacing w:after="0" w:line="255" w:lineRule="auto"/>
        <w:rPr>
          <w:sz w:val="20"/>
          <w:szCs w:val="20"/>
          <w:color w:val="auto"/>
        </w:rPr>
      </w:pPr>
      <w:r>
        <w:rPr>
          <w:rFonts w:ascii="Arial" w:cs="Arial" w:eastAsia="Arial" w:hAnsi="Arial"/>
          <w:sz w:val="17"/>
          <w:szCs w:val="17"/>
          <w:color w:val="auto"/>
        </w:rPr>
        <w:t>In addition to the amounts included in the table above, we had $197 million and $190 million of non-marketable equity investments without a readily determinable fair value that were included in other noncurrent assets as of May 29, 2025 and August 29, 2024, respectively. For non-marketable investments, we recognized in other non-operating income (expense) a net loss of $29 million for the first nine months of 2024.</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amounts recognized for the other periods presented were not material. Our non-marketable equity investments are recorded at fair value on a non-recurring basis and classified as Level 3.</w:t>
      </w:r>
    </w:p>
    <w:p>
      <w:pPr>
        <w:spacing w:after="0" w:line="21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Receivables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17"/>
                <w:szCs w:val="17"/>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May 29,</w:t>
            </w:r>
          </w:p>
        </w:tc>
        <w:tc>
          <w:tcPr>
            <w:tcW w:w="22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5,492</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Government incentives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and other taxes</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7,436</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Inventories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17"/>
                <w:szCs w:val="17"/>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May 29,</w:t>
            </w:r>
          </w:p>
        </w:tc>
        <w:tc>
          <w:tcPr>
            <w:tcW w:w="22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6,695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29,</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21,835</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20,141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77,370</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70,813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4,937</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1,636</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106,198</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96,047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(61,425)</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(56,298)</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40" w:hanging="232"/>
        <w:spacing w:after="0"/>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 xml:space="preserve">Includes costs related to equipment not placed into service of $3.40 billion as of </w:t>
      </w:r>
      <w:r>
        <w:rPr>
          <w:rFonts w:ascii="Arial" w:cs="Arial" w:eastAsia="Arial" w:hAnsi="Arial"/>
          <w:sz w:val="18"/>
          <w:szCs w:val="18"/>
          <w:color w:val="auto"/>
        </w:rPr>
        <w:t>May 29, 2025</w:t>
      </w:r>
      <w:r>
        <w:rPr>
          <w:rFonts w:ascii="Arial" w:cs="Arial" w:eastAsia="Arial" w:hAnsi="Arial"/>
          <w:sz w:val="18"/>
          <w:szCs w:val="18"/>
          <w:i w:val="1"/>
          <w:iCs w:val="1"/>
          <w:color w:val="auto"/>
        </w:rPr>
        <w:t xml:space="preserve"> and $3.10 billion as of August 29, 2024.</w:t>
      </w:r>
    </w:p>
    <w:p>
      <w:pPr>
        <w:ind w:left="240" w:hanging="232"/>
        <w:spacing w:after="0" w:line="200" w:lineRule="auto"/>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Primarily includes building-related construction and tool installation.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are presented below:</w:t>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17780</wp:posOffset>
            </wp:positionV>
            <wp:extent cx="18173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 w:lineRule="exact"/>
        <w:rPr>
          <w:sz w:val="20"/>
          <w:szCs w:val="20"/>
          <w:color w:val="auto"/>
        </w:rPr>
      </w:pPr>
    </w:p>
    <w:p>
      <w:pPr>
        <w:jc w:val="center"/>
        <w:ind w:left="556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237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37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17780</wp:posOffset>
            </wp:positionV>
            <wp:extent cx="1834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 w:lineRule="exact"/>
        <w:rPr>
          <w:sz w:val="20"/>
          <w:szCs w:val="20"/>
          <w:color w:val="auto"/>
        </w:rPr>
      </w:pPr>
    </w:p>
    <w:p>
      <w:pPr>
        <w:jc w:val="center"/>
        <w:ind w:right="18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15240</wp:posOffset>
            </wp:positionV>
            <wp:extent cx="18345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8100" w:space="420"/>
            <w:col w:w="2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cost</w:t>
            </w:r>
          </w:p>
        </w:tc>
        <w:tc>
          <w:tcPr>
            <w:tcW w:w="58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620" w:type="dxa"/>
            <w:vAlign w:val="bottom"/>
            <w:shd w:val="clear" w:color="auto" w:fill="D1D2D4"/>
          </w:tcPr>
          <w:p>
            <w:pPr>
              <w:spacing w:after="0"/>
              <w:rPr>
                <w:sz w:val="19"/>
                <w:szCs w:val="19"/>
                <w:color w:val="auto"/>
              </w:rPr>
            </w:pPr>
          </w:p>
        </w:tc>
        <w:tc>
          <w:tcPr>
            <w:tcW w:w="8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58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6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Amortization of right-of-use asset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Interest on lease liability</w:t>
            </w:r>
          </w:p>
        </w:tc>
        <w:tc>
          <w:tcPr>
            <w:tcW w:w="58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62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1D2D4"/>
          </w:tcPr>
          <w:p>
            <w:pPr>
              <w:spacing w:after="0"/>
              <w:rPr>
                <w:sz w:val="19"/>
                <w:szCs w:val="19"/>
                <w:color w:val="auto"/>
              </w:rPr>
            </w:pPr>
          </w:p>
        </w:tc>
        <w:tc>
          <w:tcPr>
            <w:tcW w:w="58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w:t>
            </w:r>
          </w:p>
        </w:tc>
        <w:tc>
          <w:tcPr>
            <w:tcW w:w="62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400" w:type="dxa"/>
            <w:vAlign w:val="bottom"/>
            <w:tcBorders>
              <w:bottom w:val="single" w:sz="8" w:color="D1D2D4"/>
            </w:tcBorders>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D1D2D4"/>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48"/>
        </w:trPr>
        <w:tc>
          <w:tcPr>
            <w:tcW w:w="5400" w:type="dxa"/>
            <w:vAlign w:val="bottom"/>
            <w:tcBorders>
              <w:bottom w:val="single" w:sz="8" w:color="D1D2D4"/>
            </w:tcBorders>
            <w:shd w:val="clear" w:color="auto" w:fill="D1D2D4"/>
          </w:tcPr>
          <w:p>
            <w:pPr>
              <w:spacing w:after="0"/>
              <w:rPr>
                <w:sz w:val="21"/>
                <w:szCs w:val="21"/>
                <w:color w:val="auto"/>
              </w:rPr>
            </w:pPr>
          </w:p>
        </w:tc>
        <w:tc>
          <w:tcPr>
            <w:tcW w:w="580" w:type="dxa"/>
            <w:vAlign w:val="bottom"/>
            <w:tcBorders>
              <w:bottom w:val="single" w:sz="8" w:color="auto"/>
            </w:tcBorders>
            <w:shd w:val="clear" w:color="auto" w:fill="D1D2D4"/>
          </w:tcPr>
          <w:p>
            <w:pPr>
              <w:jc w:val="right"/>
              <w:ind w:right="3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167</w:t>
            </w:r>
          </w:p>
        </w:tc>
        <w:tc>
          <w:tcPr>
            <w:tcW w:w="620" w:type="dxa"/>
            <w:vAlign w:val="bottom"/>
            <w:tcBorders>
              <w:bottom w:val="single" w:sz="8" w:color="auto"/>
            </w:tcBorders>
            <w:shd w:val="clear" w:color="auto" w:fill="D1D2D4"/>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D1D2D4"/>
            </w:tcBorders>
            <w:shd w:val="clear" w:color="auto" w:fill="D1D2D4"/>
          </w:tcPr>
          <w:p>
            <w:pPr>
              <w:spacing w:after="0"/>
              <w:rPr>
                <w:sz w:val="21"/>
                <w:szCs w:val="21"/>
                <w:color w:val="auto"/>
              </w:rPr>
            </w:pPr>
          </w:p>
        </w:tc>
        <w:tc>
          <w:tcPr>
            <w:tcW w:w="580" w:type="dxa"/>
            <w:vAlign w:val="bottom"/>
            <w:tcBorders>
              <w:bottom w:val="single" w:sz="8" w:color="auto"/>
            </w:tcBorders>
            <w:shd w:val="clear" w:color="auto" w:fill="D1D2D4"/>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433</w:t>
            </w:r>
          </w:p>
        </w:tc>
        <w:tc>
          <w:tcPr>
            <w:tcW w:w="620" w:type="dxa"/>
            <w:vAlign w:val="bottom"/>
            <w:tcBorders>
              <w:bottom w:val="single" w:sz="8" w:color="auto"/>
            </w:tcBorders>
            <w:shd w:val="clear" w:color="auto" w:fill="D1D2D4"/>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272</w:t>
            </w:r>
          </w:p>
        </w:tc>
      </w:tr>
      <w:tr>
        <w:trPr>
          <w:trHeight w:val="20"/>
        </w:trPr>
        <w:tc>
          <w:tcPr>
            <w:tcW w:w="5400" w:type="dxa"/>
            <w:vAlign w:val="bottom"/>
            <w:tcBorders>
              <w:top w:val="single" w:sz="8" w:color="D1D2D4"/>
            </w:tcBorders>
          </w:tcPr>
          <w:p>
            <w:pPr>
              <w:spacing w:after="0" w:line="20" w:lineRule="exact"/>
              <w:rPr>
                <w:sz w:val="1"/>
                <w:szCs w:val="1"/>
                <w:color w:val="auto"/>
              </w:rPr>
            </w:pPr>
          </w:p>
        </w:tc>
        <w:tc>
          <w:tcPr>
            <w:tcW w:w="58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62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58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62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short-term and variable lease costs.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w:t>
            </w:r>
          </w:p>
        </w:tc>
        <w:tc>
          <w:tcPr>
            <w:tcW w:w="9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9"/>
              </w:rPr>
              <w:t>May 29, 2025</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May 30, 2024</w:t>
            </w:r>
          </w:p>
        </w:tc>
        <w:tc>
          <w:tcPr>
            <w:tcW w:w="0" w:type="dxa"/>
            <w:vAlign w:val="bottom"/>
          </w:tcPr>
          <w:p>
            <w:pPr>
              <w:spacing w:after="0"/>
              <w:rPr>
                <w:sz w:val="1"/>
                <w:szCs w:val="1"/>
                <w:color w:val="auto"/>
              </w:rPr>
            </w:pPr>
          </w:p>
        </w:tc>
      </w:tr>
      <w:tr>
        <w:trPr>
          <w:trHeight w:val="34"/>
        </w:trPr>
        <w:tc>
          <w:tcPr>
            <w:tcW w:w="7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96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75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96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3"/>
              </w:rPr>
              <w:t>110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 – Finance leases</w:t>
            </w:r>
          </w:p>
        </w:tc>
        <w:tc>
          <w:tcPr>
            <w:tcW w:w="9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7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96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9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1,247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0"/>
        </w:trPr>
        <w:tc>
          <w:tcPr>
            <w:tcW w:w="75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96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557"/>
        </w:trPr>
        <w:tc>
          <w:tcPr>
            <w:tcW w:w="754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7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17"/>
                <w:szCs w:val="17"/>
                <w:color w:val="auto"/>
              </w:rPr>
            </w:pPr>
          </w:p>
        </w:tc>
        <w:tc>
          <w:tcPr>
            <w:tcW w:w="920" w:type="dxa"/>
            <w:vAlign w:val="bottom"/>
          </w:tcPr>
          <w:p>
            <w:pPr>
              <w:jc w:val="right"/>
              <w:ind w:right="130"/>
              <w:spacing w:after="0" w:line="199" w:lineRule="exact"/>
              <w:rPr>
                <w:sz w:val="20"/>
                <w:szCs w:val="20"/>
                <w:color w:val="auto"/>
              </w:rPr>
            </w:pPr>
            <w:r>
              <w:rPr>
                <w:rFonts w:ascii="Arial" w:cs="Arial" w:eastAsia="Arial" w:hAnsi="Arial"/>
                <w:sz w:val="18"/>
                <w:szCs w:val="18"/>
                <w:b w:val="1"/>
                <w:bCs w:val="1"/>
                <w:color w:val="auto"/>
              </w:rPr>
              <w:t>May 29,</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230"/>
              <w:spacing w:after="0" w:line="199" w:lineRule="exact"/>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7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right-of-use assets (included in property, plant, and equipment)</w:t>
            </w:r>
          </w:p>
        </w:tc>
        <w:tc>
          <w:tcPr>
            <w:tcW w:w="96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3,057</w:t>
            </w: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6"/>
        </w:trPr>
        <w:tc>
          <w:tcPr>
            <w:tcW w:w="7540" w:type="dxa"/>
            <w:vAlign w:val="bottom"/>
            <w:shd w:val="clear" w:color="auto" w:fill="D1D2D4"/>
          </w:tcPr>
          <w:p>
            <w:pPr>
              <w:spacing w:after="0"/>
              <w:rPr>
                <w:sz w:val="22"/>
                <w:szCs w:val="22"/>
                <w:color w:val="auto"/>
              </w:rPr>
            </w:pPr>
          </w:p>
        </w:tc>
        <w:tc>
          <w:tcPr>
            <w:tcW w:w="960" w:type="dxa"/>
            <w:vAlign w:val="bottom"/>
            <w:shd w:val="clear" w:color="auto" w:fill="D1D2D4"/>
          </w:tcPr>
          <w:p>
            <w:pPr>
              <w:spacing w:after="0"/>
              <w:rPr>
                <w:sz w:val="22"/>
                <w:szCs w:val="22"/>
                <w:color w:val="auto"/>
              </w:rPr>
            </w:pPr>
          </w:p>
        </w:tc>
        <w:tc>
          <w:tcPr>
            <w:tcW w:w="920" w:type="dxa"/>
            <w:vAlign w:val="bottom"/>
            <w:shd w:val="clear" w:color="auto" w:fill="D1D2D4"/>
          </w:tcPr>
          <w:p>
            <w:pPr>
              <w:spacing w:after="0"/>
              <w:rPr>
                <w:sz w:val="22"/>
                <w:szCs w:val="22"/>
                <w:color w:val="auto"/>
              </w:rPr>
            </w:pPr>
          </w:p>
        </w:tc>
        <w:tc>
          <w:tcPr>
            <w:tcW w:w="3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Finance leases</w:t>
            </w:r>
          </w:p>
        </w:tc>
        <w:tc>
          <w:tcPr>
            <w:tcW w:w="96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96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960" w:type="dxa"/>
            <w:vAlign w:val="bottom"/>
          </w:tcPr>
          <w:p>
            <w:pPr>
              <w:spacing w:after="0"/>
              <w:rPr>
                <w:sz w:val="19"/>
                <w:szCs w:val="19"/>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5.30 %</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4.91 %</w:t>
            </w:r>
          </w:p>
        </w:tc>
        <w:tc>
          <w:tcPr>
            <w:tcW w:w="0" w:type="dxa"/>
            <w:vAlign w:val="bottom"/>
          </w:tcPr>
          <w:p>
            <w:pPr>
              <w:spacing w:after="0"/>
              <w:rPr>
                <w:sz w:val="1"/>
                <w:szCs w:val="1"/>
                <w:color w:val="auto"/>
              </w:rPr>
            </w:pPr>
          </w:p>
        </w:tc>
      </w:tr>
      <w:tr>
        <w:trPr>
          <w:trHeight w:val="230"/>
        </w:trPr>
        <w:tc>
          <w:tcPr>
            <w:tcW w:w="75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960" w:type="dxa"/>
            <w:vAlign w:val="bottom"/>
            <w:shd w:val="clear" w:color="auto" w:fill="D1D2D4"/>
          </w:tcPr>
          <w:p>
            <w:pPr>
              <w:spacing w:after="0"/>
              <w:rPr>
                <w:sz w:val="19"/>
                <w:szCs w:val="19"/>
                <w:color w:val="auto"/>
              </w:rPr>
            </w:pPr>
          </w:p>
        </w:tc>
        <w:tc>
          <w:tcPr>
            <w:tcW w:w="130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3.69 %</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As of May 29, 2025, maturities of lease liabilities by fiscal year were as follows:</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rPr>
                <w:sz w:val="17"/>
                <w:szCs w:val="1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tcPr>
          <w:p>
            <w:pPr>
              <w:spacing w:after="0"/>
              <w:rPr>
                <w:sz w:val="17"/>
                <w:szCs w:val="17"/>
                <w:color w:val="auto"/>
              </w:rPr>
            </w:pPr>
          </w:p>
        </w:tc>
        <w:tc>
          <w:tcPr>
            <w:tcW w:w="124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2025</w:t>
            </w:r>
          </w:p>
        </w:tc>
        <w:tc>
          <w:tcPr>
            <w:tcW w:w="50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2028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50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2030 and thereafter</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shd w:val="clear" w:color="auto" w:fill="D1D2D4"/>
          </w:tcPr>
          <w:p>
            <w:pPr>
              <w:spacing w:after="0"/>
              <w:rPr>
                <w:sz w:val="19"/>
                <w:szCs w:val="19"/>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table above excludes obligations for leases that have been executed but have not yet commenced. As of May 29, 2025, excluded obligations consisted of $1.02 billion of finance lease obligations over a weighted-average period of 14 years for gas supply arrangements deemed to contain embedded leases and equipment leases. We will recognize right-of-use assets and associated lease liabilities at the time such assets become available for our use.</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center"/>
              <w:ind w:left="930"/>
              <w:spacing w:after="0"/>
              <w:rPr>
                <w:sz w:val="20"/>
                <w:szCs w:val="20"/>
                <w:color w:val="auto"/>
              </w:rPr>
            </w:pPr>
            <w:r>
              <w:rPr>
                <w:rFonts w:ascii="Arial" w:cs="Arial" w:eastAsia="Arial" w:hAnsi="Arial"/>
                <w:sz w:val="18"/>
                <w:szCs w:val="18"/>
                <w:b w:val="1"/>
                <w:bCs w:val="1"/>
                <w:color w:val="auto"/>
                <w:w w:val="99"/>
              </w:rPr>
              <w:t>As of May 29, 2025</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9"/>
              </w:rPr>
              <w:t>As of August 29, 2024</w:t>
            </w:r>
          </w:p>
        </w:tc>
      </w:tr>
      <w:tr>
        <w:trPr>
          <w:trHeight w:val="169"/>
        </w:trPr>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4"/>
                <w:szCs w:val="14"/>
                <w:color w:val="auto"/>
              </w:rPr>
            </w:pPr>
          </w:p>
        </w:tc>
        <w:tc>
          <w:tcPr>
            <w:tcW w:w="128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4"/>
                <w:szCs w:val="14"/>
                <w:color w:val="auto"/>
              </w:rPr>
            </w:pPr>
          </w:p>
        </w:tc>
        <w:tc>
          <w:tcPr>
            <w:tcW w:w="12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Net Carrying</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4"/>
                <w:szCs w:val="14"/>
                <w:color w:val="auto"/>
              </w:rPr>
            </w:pPr>
          </w:p>
        </w:tc>
        <w:tc>
          <w:tcPr>
            <w:tcW w:w="13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4"/>
                <w:szCs w:val="14"/>
                <w:color w:val="auto"/>
              </w:rPr>
            </w:pPr>
          </w:p>
        </w:tc>
        <w:tc>
          <w:tcPr>
            <w:tcW w:w="126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w w:val="99"/>
              </w:rPr>
              <w:t>Net Carrying</w:t>
            </w:r>
          </w:p>
        </w:tc>
      </w:tr>
      <w:tr>
        <w:trPr>
          <w:trHeight w:val="243"/>
        </w:trPr>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Pr>
          <w:p>
            <w:pPr>
              <w:spacing w:after="0"/>
              <w:rPr>
                <w:sz w:val="21"/>
                <w:szCs w:val="21"/>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34"/>
        </w:trPr>
        <w:tc>
          <w:tcPr>
            <w:tcW w:w="27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r>
      <w:tr>
        <w:trPr>
          <w:trHeight w:val="230"/>
        </w:trPr>
        <w:tc>
          <w:tcPr>
            <w:tcW w:w="29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Product and process technology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2700" w:type="dxa"/>
            <w:vAlign w:val="bottom"/>
            <w:tcBorders>
              <w:top w:val="single" w:sz="8" w:color="D1D2D4"/>
              <w:bottom w:val="single" w:sz="8" w:color="D1D2D4"/>
            </w:tcBorders>
            <w:shd w:val="clear" w:color="auto" w:fill="D1D2D4"/>
          </w:tcPr>
          <w:p>
            <w:pPr>
              <w:spacing w:after="0"/>
              <w:rPr>
                <w:sz w:val="21"/>
                <w:szCs w:val="21"/>
                <w:color w:val="auto"/>
              </w:rPr>
            </w:pP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top w:val="single" w:sz="8" w:color="D1D2D4"/>
              <w:bottom w:val="single" w:sz="8" w:color="D1D2D4"/>
            </w:tcBorders>
            <w:shd w:val="clear" w:color="auto" w:fill="D1D2D4"/>
          </w:tcPr>
          <w:p>
            <w:pPr>
              <w:spacing w:after="0"/>
              <w:rPr>
                <w:sz w:val="21"/>
                <w:szCs w:val="21"/>
                <w:color w:val="auto"/>
              </w:rPr>
            </w:pP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416</w:t>
            </w:r>
          </w:p>
        </w:tc>
      </w:tr>
      <w:tr>
        <w:trPr>
          <w:trHeight w:val="20"/>
        </w:trPr>
        <w:tc>
          <w:tcPr>
            <w:tcW w:w="27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the first nine months of 2025 and 2024, we capitalized $63 million and $60 million, respectively, for product and process technology with weighted-average useful lives of 10 years. Amortization expense was $53 million and $61 million for the first nine months of 2025 and 2024, respectively. Expected amortization expense is $19 million for the remainder of 2025, $69 million for 2026, $58 million for 2027, $56 million for 2028, $48 million for 2029, and $176 million for 2030 and thereafter.</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ectPr>
          <w:pgSz w:w="11900" w:h="16838" w:orient="portrait"/>
          <w:cols w:equalWidth="0" w:num="1">
            <w:col w:w="11240"/>
          </w:cols>
          <w:pgMar w:left="320" w:top="125" w:right="339"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Property, plant, and equipment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Salaries, wages, and benefits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and other taxes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May 29,</w:t>
            </w:r>
          </w:p>
        </w:tc>
        <w:tc>
          <w:tcPr>
            <w:tcW w:w="2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r>
      <w:tr>
        <w:trPr>
          <w:trHeight w:val="247"/>
        </w:trPr>
        <w:tc>
          <w:tcPr>
            <w:tcW w:w="24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274"/>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30"/>
        </w:trPr>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2,925</w:t>
            </w:r>
          </w:p>
        </w:tc>
      </w:tr>
      <w:tr>
        <w:trPr>
          <w:trHeight w:val="230"/>
        </w:trPr>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1,117</w:t>
            </w:r>
          </w:p>
        </w:tc>
      </w:tr>
      <w:tr>
        <w:trPr>
          <w:trHeight w:val="229"/>
        </w:trPr>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5"/>
        </w:trPr>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-916305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-624840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-333375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-950595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28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As of May 29, 2025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rPr>
              <w:t>As of August 29, 2024</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102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rPr>
              <w:t>Stated</w:t>
            </w:r>
          </w:p>
        </w:tc>
        <w:tc>
          <w:tcPr>
            <w:tcW w:w="98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Effective</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5"/>
                <w:szCs w:val="15"/>
                <w:color w:val="auto"/>
              </w:rPr>
            </w:pPr>
          </w:p>
        </w:tc>
        <w:tc>
          <w:tcPr>
            <w:tcW w:w="720" w:type="dxa"/>
            <w:vAlign w:val="bottom"/>
          </w:tcPr>
          <w:p>
            <w:pPr>
              <w:jc w:val="center"/>
              <w:ind w:right="1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200" w:type="dxa"/>
            <w:vAlign w:val="bottom"/>
          </w:tcPr>
          <w:p>
            <w:pPr>
              <w:spacing w:after="0"/>
              <w:rPr>
                <w:sz w:val="15"/>
                <w:szCs w:val="15"/>
                <w:color w:val="auto"/>
              </w:rPr>
            </w:pPr>
          </w:p>
        </w:tc>
        <w:tc>
          <w:tcPr>
            <w:tcW w:w="700" w:type="dxa"/>
            <w:vAlign w:val="bottom"/>
          </w:tcPr>
          <w:p>
            <w:pPr>
              <w:jc w:val="center"/>
              <w:ind w:right="3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Rate</w:t>
            </w: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Term</w:t>
            </w:r>
          </w:p>
        </w:tc>
        <w:tc>
          <w:tcPr>
            <w:tcW w:w="22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7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2028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5.375 %</w:t>
            </w:r>
          </w:p>
        </w:tc>
        <w:tc>
          <w:tcPr>
            <w:tcW w:w="11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5.52 % $</w:t>
            </w:r>
          </w:p>
        </w:tc>
        <w:tc>
          <w:tcPr>
            <w:tcW w:w="9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2029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5.455 %</w:t>
            </w:r>
          </w:p>
        </w:tc>
        <w:tc>
          <w:tcPr>
            <w:tcW w:w="980" w:type="dxa"/>
            <w:vAlign w:val="bottom"/>
          </w:tcPr>
          <w:p>
            <w:pPr>
              <w:jc w:val="right"/>
              <w:spacing w:after="0"/>
              <w:rPr>
                <w:sz w:val="20"/>
                <w:szCs w:val="20"/>
                <w:color w:val="auto"/>
              </w:rPr>
            </w:pPr>
            <w:r>
              <w:rPr>
                <w:rFonts w:ascii="Arial" w:cs="Arial" w:eastAsia="Arial" w:hAnsi="Arial"/>
                <w:sz w:val="18"/>
                <w:szCs w:val="18"/>
                <w:color w:val="auto"/>
              </w:rPr>
              <w:t>5.49 %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A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2029 B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6.750 %</w:t>
            </w:r>
          </w:p>
        </w:tc>
        <w:tc>
          <w:tcPr>
            <w:tcW w:w="980" w:type="dxa"/>
            <w:vAlign w:val="bottom"/>
          </w:tcPr>
          <w:p>
            <w:pPr>
              <w:jc w:val="right"/>
              <w:spacing w:after="0"/>
              <w:rPr>
                <w:sz w:val="20"/>
                <w:szCs w:val="20"/>
                <w:color w:val="auto"/>
              </w:rPr>
            </w:pPr>
            <w:r>
              <w:rPr>
                <w:rFonts w:ascii="Arial" w:cs="Arial" w:eastAsia="Arial" w:hAnsi="Arial"/>
                <w:sz w:val="18"/>
                <w:szCs w:val="18"/>
                <w:color w:val="auto"/>
              </w:rPr>
              <w:t>6.54 %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2031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5.300 %</w:t>
            </w:r>
          </w:p>
        </w:tc>
        <w:tc>
          <w:tcPr>
            <w:tcW w:w="980" w:type="dxa"/>
            <w:vAlign w:val="bottom"/>
          </w:tcPr>
          <w:p>
            <w:pPr>
              <w:jc w:val="right"/>
              <w:spacing w:after="0"/>
              <w:rPr>
                <w:sz w:val="20"/>
                <w:szCs w:val="20"/>
                <w:color w:val="auto"/>
              </w:rPr>
            </w:pPr>
            <w:r>
              <w:rPr>
                <w:rFonts w:ascii="Arial" w:cs="Arial" w:eastAsia="Arial" w:hAnsi="Arial"/>
                <w:sz w:val="18"/>
                <w:szCs w:val="18"/>
                <w:color w:val="auto"/>
              </w:rPr>
              <w:t>5.41 %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 Green Bonds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2.703 %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2032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5.650 %</w:t>
            </w:r>
          </w:p>
        </w:tc>
        <w:tc>
          <w:tcPr>
            <w:tcW w:w="980" w:type="dxa"/>
            <w:vAlign w:val="bottom"/>
          </w:tcPr>
          <w:p>
            <w:pPr>
              <w:jc w:val="right"/>
              <w:spacing w:after="0"/>
              <w:rPr>
                <w:sz w:val="20"/>
                <w:szCs w:val="20"/>
                <w:color w:val="auto"/>
              </w:rPr>
            </w:pPr>
            <w:r>
              <w:rPr>
                <w:rFonts w:ascii="Arial" w:cs="Arial" w:eastAsia="Arial" w:hAnsi="Arial"/>
                <w:sz w:val="18"/>
                <w:szCs w:val="18"/>
                <w:color w:val="auto"/>
              </w:rPr>
              <w:t>5.79 %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 A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2033 B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5.875 %</w:t>
            </w:r>
          </w:p>
        </w:tc>
        <w:tc>
          <w:tcPr>
            <w:tcW w:w="980" w:type="dxa"/>
            <w:vAlign w:val="bottom"/>
          </w:tcPr>
          <w:p>
            <w:pPr>
              <w:jc w:val="right"/>
              <w:spacing w:after="0"/>
              <w:rPr>
                <w:sz w:val="20"/>
                <w:szCs w:val="20"/>
                <w:color w:val="auto"/>
              </w:rPr>
            </w:pPr>
            <w:r>
              <w:rPr>
                <w:rFonts w:ascii="Arial" w:cs="Arial" w:eastAsia="Arial" w:hAnsi="Arial"/>
                <w:sz w:val="18"/>
                <w:szCs w:val="18"/>
                <w:color w:val="auto"/>
              </w:rPr>
              <w:t>6.01 %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2035 A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5.800 %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5.90 %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2035 B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6.050 %</w:t>
            </w:r>
          </w:p>
        </w:tc>
        <w:tc>
          <w:tcPr>
            <w:tcW w:w="980" w:type="dxa"/>
            <w:vAlign w:val="bottom"/>
          </w:tcPr>
          <w:p>
            <w:pPr>
              <w:jc w:val="right"/>
              <w:spacing w:after="0"/>
              <w:rPr>
                <w:sz w:val="20"/>
                <w:szCs w:val="20"/>
                <w:color w:val="auto"/>
              </w:rPr>
            </w:pPr>
            <w:r>
              <w:rPr>
                <w:rFonts w:ascii="Arial" w:cs="Arial" w:eastAsia="Arial" w:hAnsi="Arial"/>
                <w:sz w:val="18"/>
                <w:szCs w:val="18"/>
                <w:color w:val="auto"/>
              </w:rPr>
              <w:t>6.14 %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2041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3.366 %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2051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3.477 %</w:t>
            </w:r>
          </w:p>
        </w:tc>
        <w:tc>
          <w:tcPr>
            <w:tcW w:w="980" w:type="dxa"/>
            <w:vAlign w:val="bottom"/>
          </w:tcPr>
          <w:p>
            <w:pPr>
              <w:jc w:val="right"/>
              <w:spacing w:after="0"/>
              <w:rPr>
                <w:sz w:val="20"/>
                <w:szCs w:val="20"/>
                <w:color w:val="auto"/>
              </w:rPr>
            </w:pPr>
            <w:r>
              <w:rPr>
                <w:rFonts w:ascii="Arial" w:cs="Arial" w:eastAsia="Arial" w:hAnsi="Arial"/>
                <w:sz w:val="18"/>
                <w:szCs w:val="18"/>
                <w:color w:val="auto"/>
              </w:rPr>
              <w:t>3.52 %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rPr>
              <w:t>N/A</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rPr>
              <w:t>N/A</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5.30 %</w:t>
            </w:r>
          </w:p>
        </w:tc>
        <w:tc>
          <w:tcPr>
            <w:tcW w:w="12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2,569</w:t>
            </w:r>
          </w:p>
        </w:tc>
        <w:tc>
          <w:tcPr>
            <w:tcW w:w="22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 Activity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effects of debt issuances and prepayment activities in the first nine months of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Increase</w:t>
            </w:r>
          </w:p>
        </w:tc>
        <w:tc>
          <w:tcPr>
            <w:tcW w:w="0" w:type="dxa"/>
            <w:vAlign w:val="bottom"/>
          </w:tcPr>
          <w:p>
            <w:pPr>
              <w:spacing w:after="0"/>
              <w:rPr>
                <w:sz w:val="1"/>
                <w:szCs w:val="1"/>
                <w:color w:val="auto"/>
              </w:rPr>
            </w:pPr>
          </w:p>
        </w:tc>
      </w:tr>
      <w:tr>
        <w:trPr>
          <w:trHeight w:val="184"/>
        </w:trPr>
        <w:tc>
          <w:tcPr>
            <w:tcW w:w="5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66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Transaction Date</w:t>
            </w:r>
          </w:p>
        </w:tc>
        <w:tc>
          <w:tcPr>
            <w:tcW w:w="140" w:type="dxa"/>
            <w:vAlign w:val="bottom"/>
          </w:tcPr>
          <w:p>
            <w:pPr>
              <w:spacing w:after="0"/>
              <w:rPr>
                <w:sz w:val="15"/>
                <w:szCs w:val="15"/>
                <w:color w:val="auto"/>
              </w:rPr>
            </w:pPr>
          </w:p>
        </w:tc>
        <w:tc>
          <w:tcPr>
            <w:tcW w:w="1300" w:type="dxa"/>
            <w:vAlign w:val="bottom"/>
          </w:tcPr>
          <w:p>
            <w:pPr>
              <w:jc w:val="center"/>
              <w:ind w:right="30"/>
              <w:spacing w:after="0" w:line="183"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5"/>
                <w:szCs w:val="15"/>
                <w:color w:val="auto"/>
              </w:rPr>
            </w:pPr>
          </w:p>
        </w:tc>
        <w:tc>
          <w:tcPr>
            <w:tcW w:w="1320" w:type="dxa"/>
            <w:vAlign w:val="bottom"/>
          </w:tcPr>
          <w:p>
            <w:pPr>
              <w:jc w:val="center"/>
              <w:ind w:right="50"/>
              <w:spacing w:after="0" w:line="183"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5"/>
                <w:szCs w:val="15"/>
                <w:color w:val="auto"/>
              </w:rPr>
            </w:pPr>
          </w:p>
        </w:tc>
        <w:tc>
          <w:tcPr>
            <w:tcW w:w="1300" w:type="dxa"/>
            <w:vAlign w:val="bottom"/>
          </w:tcPr>
          <w:p>
            <w:pPr>
              <w:jc w:val="center"/>
              <w:ind w:right="50"/>
              <w:spacing w:after="0" w:line="183" w:lineRule="exact"/>
              <w:rPr>
                <w:sz w:val="20"/>
                <w:szCs w:val="20"/>
                <w:color w:val="auto"/>
              </w:rPr>
            </w:pPr>
            <w:r>
              <w:rPr>
                <w:rFonts w:ascii="Arial" w:cs="Arial" w:eastAsia="Arial" w:hAnsi="Arial"/>
                <w:sz w:val="18"/>
                <w:szCs w:val="18"/>
                <w:b w:val="1"/>
                <w:bCs w:val="1"/>
                <w:color w:val="auto"/>
                <w:w w:val="99"/>
              </w:rPr>
              <w:t>(Decrease) in</w:t>
            </w:r>
          </w:p>
        </w:tc>
        <w:tc>
          <w:tcPr>
            <w:tcW w:w="0" w:type="dxa"/>
            <w:vAlign w:val="bottom"/>
          </w:tcPr>
          <w:p>
            <w:pPr>
              <w:spacing w:after="0"/>
              <w:rPr>
                <w:sz w:val="1"/>
                <w:szCs w:val="1"/>
                <w:color w:val="auto"/>
              </w:rPr>
            </w:pPr>
          </w:p>
        </w:tc>
      </w:tr>
      <w:tr>
        <w:trPr>
          <w:trHeight w:val="235"/>
        </w:trPr>
        <w:tc>
          <w:tcPr>
            <w:tcW w:w="5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Principal</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Cash</w:t>
            </w:r>
          </w:p>
        </w:tc>
        <w:tc>
          <w:tcPr>
            <w:tcW w:w="0" w:type="dxa"/>
            <w:vAlign w:val="bottom"/>
          </w:tcPr>
          <w:p>
            <w:pPr>
              <w:spacing w:after="0"/>
              <w:rPr>
                <w:sz w:val="1"/>
                <w:szCs w:val="1"/>
                <w:color w:val="auto"/>
              </w:rPr>
            </w:pPr>
          </w:p>
        </w:tc>
      </w:tr>
      <w:tr>
        <w:trPr>
          <w:trHeight w:val="34"/>
        </w:trPr>
        <w:tc>
          <w:tcPr>
            <w:tcW w:w="5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4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Issuances</w:t>
            </w:r>
          </w:p>
        </w:tc>
        <w:tc>
          <w:tcPr>
            <w:tcW w:w="36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 w:type="dxa"/>
            <w:vAlign w:val="bottom"/>
          </w:tcPr>
          <w:p>
            <w:pPr>
              <w:jc w:val="right"/>
              <w:spacing w:after="0"/>
              <w:rPr>
                <w:sz w:val="20"/>
                <w:szCs w:val="20"/>
                <w:color w:val="auto"/>
              </w:rPr>
            </w:pPr>
            <w:r>
              <w:rPr>
                <w:rFonts w:ascii="Arial" w:cs="Arial" w:eastAsia="Arial" w:hAnsi="Arial"/>
                <w:sz w:val="18"/>
                <w:szCs w:val="18"/>
                <w:color w:val="auto"/>
              </w:rPr>
              <w:t>2035</w:t>
            </w:r>
          </w:p>
        </w:tc>
        <w:tc>
          <w:tcPr>
            <w:tcW w:w="2680" w:type="dxa"/>
            <w:vAlign w:val="bottom"/>
          </w:tcPr>
          <w:p>
            <w:pPr>
              <w:ind w:left="20"/>
              <w:spacing w:after="0"/>
              <w:rPr>
                <w:sz w:val="20"/>
                <w:szCs w:val="20"/>
                <w:color w:val="auto"/>
              </w:rPr>
            </w:pPr>
            <w:r>
              <w:rPr>
                <w:rFonts w:ascii="Arial" w:cs="Arial" w:eastAsia="Arial" w:hAnsi="Arial"/>
                <w:sz w:val="18"/>
                <w:szCs w:val="18"/>
                <w:color w:val="auto"/>
              </w:rPr>
              <w:t>A Notes</w:t>
            </w:r>
          </w:p>
        </w:tc>
        <w:tc>
          <w:tcPr>
            <w:tcW w:w="3660" w:type="dxa"/>
            <w:vAlign w:val="bottom"/>
          </w:tcPr>
          <w:p>
            <w:pPr>
              <w:ind w:left="1640"/>
              <w:spacing w:after="0"/>
              <w:rPr>
                <w:sz w:val="20"/>
                <w:szCs w:val="20"/>
                <w:color w:val="auto"/>
              </w:rPr>
            </w:pPr>
            <w:r>
              <w:rPr>
                <w:rFonts w:ascii="Arial" w:cs="Arial" w:eastAsia="Arial" w:hAnsi="Arial"/>
                <w:sz w:val="18"/>
                <w:szCs w:val="18"/>
                <w:color w:val="auto"/>
              </w:rPr>
              <w:t>January 16, 2025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0"/>
        </w:trPr>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2029</w:t>
            </w:r>
          </w:p>
        </w:tc>
        <w:tc>
          <w:tcPr>
            <w:tcW w:w="2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shd w:val="clear" w:color="auto" w:fill="D1D2D4"/>
          </w:tcPr>
          <w:p>
            <w:pPr>
              <w:ind w:left="1640"/>
              <w:spacing w:after="0"/>
              <w:rPr>
                <w:sz w:val="20"/>
                <w:szCs w:val="20"/>
                <w:color w:val="auto"/>
              </w:rPr>
            </w:pPr>
            <w:r>
              <w:rPr>
                <w:rFonts w:ascii="Arial" w:cs="Arial" w:eastAsia="Arial" w:hAnsi="Arial"/>
                <w:sz w:val="18"/>
                <w:szCs w:val="18"/>
                <w:color w:val="auto"/>
              </w:rPr>
              <w:t>January 17, 2025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1,684</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0"/>
        </w:trPr>
        <w:tc>
          <w:tcPr>
            <w:tcW w:w="560" w:type="dxa"/>
            <w:vAlign w:val="bottom"/>
          </w:tcPr>
          <w:p>
            <w:pPr>
              <w:jc w:val="right"/>
              <w:spacing w:after="0"/>
              <w:rPr>
                <w:sz w:val="20"/>
                <w:szCs w:val="20"/>
                <w:color w:val="auto"/>
              </w:rPr>
            </w:pPr>
            <w:r>
              <w:rPr>
                <w:rFonts w:ascii="Arial" w:cs="Arial" w:eastAsia="Arial" w:hAnsi="Arial"/>
                <w:sz w:val="18"/>
                <w:szCs w:val="18"/>
                <w:color w:val="auto"/>
              </w:rPr>
              <w:t>2032</w:t>
            </w:r>
          </w:p>
        </w:tc>
        <w:tc>
          <w:tcPr>
            <w:tcW w:w="2680" w:type="dxa"/>
            <w:vAlign w:val="bottom"/>
          </w:tcPr>
          <w:p>
            <w:pPr>
              <w:ind w:left="20"/>
              <w:spacing w:after="0"/>
              <w:rPr>
                <w:sz w:val="20"/>
                <w:szCs w:val="20"/>
                <w:color w:val="auto"/>
              </w:rPr>
            </w:pPr>
            <w:r>
              <w:rPr>
                <w:rFonts w:ascii="Arial" w:cs="Arial" w:eastAsia="Arial" w:hAnsi="Arial"/>
                <w:sz w:val="18"/>
                <w:szCs w:val="18"/>
                <w:color w:val="auto"/>
              </w:rPr>
              <w:t>Notes</w:t>
            </w:r>
          </w:p>
        </w:tc>
        <w:tc>
          <w:tcPr>
            <w:tcW w:w="3660" w:type="dxa"/>
            <w:vAlign w:val="bottom"/>
          </w:tcPr>
          <w:p>
            <w:pPr>
              <w:ind w:left="1640"/>
              <w:spacing w:after="0"/>
              <w:rPr>
                <w:sz w:val="20"/>
                <w:szCs w:val="20"/>
                <w:color w:val="auto"/>
              </w:rPr>
            </w:pPr>
            <w:r>
              <w:rPr>
                <w:rFonts w:ascii="Arial" w:cs="Arial" w:eastAsia="Arial" w:hAnsi="Arial"/>
                <w:sz w:val="18"/>
                <w:szCs w:val="18"/>
                <w:color w:val="auto"/>
              </w:rPr>
              <w:t>April 29, 2025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2035</w:t>
            </w:r>
          </w:p>
        </w:tc>
        <w:tc>
          <w:tcPr>
            <w:tcW w:w="2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B Notes</w:t>
            </w:r>
          </w:p>
        </w:tc>
        <w:tc>
          <w:tcPr>
            <w:tcW w:w="3660" w:type="dxa"/>
            <w:vAlign w:val="bottom"/>
            <w:shd w:val="clear" w:color="auto" w:fill="D1D2D4"/>
          </w:tcPr>
          <w:p>
            <w:pPr>
              <w:ind w:left="1640"/>
              <w:spacing w:after="0"/>
              <w:rPr>
                <w:sz w:val="20"/>
                <w:szCs w:val="20"/>
                <w:color w:val="auto"/>
              </w:rPr>
            </w:pPr>
            <w:r>
              <w:rPr>
                <w:rFonts w:ascii="Arial" w:cs="Arial" w:eastAsia="Arial" w:hAnsi="Arial"/>
                <w:sz w:val="18"/>
                <w:szCs w:val="18"/>
                <w:color w:val="auto"/>
              </w:rPr>
              <w:t>April 29, 2025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Prepayments</w:t>
            </w:r>
          </w:p>
        </w:tc>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2026</w:t>
            </w:r>
          </w:p>
        </w:tc>
        <w:tc>
          <w:tcPr>
            <w:tcW w:w="2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shd w:val="clear" w:color="auto" w:fill="D1D2D4"/>
          </w:tcPr>
          <w:p>
            <w:pPr>
              <w:ind w:left="1640"/>
              <w:spacing w:after="0"/>
              <w:rPr>
                <w:sz w:val="20"/>
                <w:szCs w:val="20"/>
                <w:color w:val="auto"/>
              </w:rPr>
            </w:pPr>
            <w:r>
              <w:rPr>
                <w:rFonts w:ascii="Arial" w:cs="Arial" w:eastAsia="Arial" w:hAnsi="Arial"/>
                <w:sz w:val="18"/>
                <w:szCs w:val="18"/>
                <w:color w:val="auto"/>
              </w:rPr>
              <w:t>January 17, 2025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30"/>
        </w:trPr>
        <w:tc>
          <w:tcPr>
            <w:tcW w:w="560" w:type="dxa"/>
            <w:vAlign w:val="bottom"/>
          </w:tcPr>
          <w:p>
            <w:pPr>
              <w:jc w:val="right"/>
              <w:spacing w:after="0"/>
              <w:rPr>
                <w:sz w:val="20"/>
                <w:szCs w:val="20"/>
                <w:color w:val="auto"/>
              </w:rPr>
            </w:pPr>
            <w:r>
              <w:rPr>
                <w:rFonts w:ascii="Arial" w:cs="Arial" w:eastAsia="Arial" w:hAnsi="Arial"/>
                <w:sz w:val="18"/>
                <w:szCs w:val="18"/>
                <w:color w:val="auto"/>
              </w:rPr>
              <w:t>2027</w:t>
            </w:r>
          </w:p>
        </w:tc>
        <w:tc>
          <w:tcPr>
            <w:tcW w:w="268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tcPr>
          <w:p>
            <w:pPr>
              <w:ind w:left="1640"/>
              <w:spacing w:after="0"/>
              <w:rPr>
                <w:sz w:val="20"/>
                <w:szCs w:val="20"/>
                <w:color w:val="auto"/>
              </w:rPr>
            </w:pPr>
            <w:r>
              <w:rPr>
                <w:rFonts w:ascii="Arial" w:cs="Arial" w:eastAsia="Arial" w:hAnsi="Arial"/>
                <w:sz w:val="18"/>
                <w:szCs w:val="18"/>
                <w:color w:val="auto"/>
              </w:rPr>
              <w:t>January 17, 2025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30"/>
        </w:trPr>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2026</w:t>
            </w:r>
          </w:p>
        </w:tc>
        <w:tc>
          <w:tcPr>
            <w:tcW w:w="2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3660" w:type="dxa"/>
            <w:vAlign w:val="bottom"/>
            <w:shd w:val="clear" w:color="auto" w:fill="D1D2D4"/>
          </w:tcPr>
          <w:p>
            <w:pPr>
              <w:ind w:left="1640"/>
              <w:spacing w:after="0"/>
              <w:rPr>
                <w:sz w:val="20"/>
                <w:szCs w:val="20"/>
                <w:color w:val="auto"/>
              </w:rPr>
            </w:pPr>
            <w:r>
              <w:rPr>
                <w:rFonts w:ascii="Arial" w:cs="Arial" w:eastAsia="Arial" w:hAnsi="Arial"/>
                <w:sz w:val="18"/>
                <w:szCs w:val="18"/>
                <w:color w:val="auto"/>
              </w:rPr>
              <w:t>February 12, 2025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9"/>
        </w:trPr>
        <w:tc>
          <w:tcPr>
            <w:tcW w:w="5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2027</w:t>
            </w:r>
          </w:p>
        </w:tc>
        <w:tc>
          <w:tcPr>
            <w:tcW w:w="26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Notes</w:t>
            </w:r>
          </w:p>
        </w:tc>
        <w:tc>
          <w:tcPr>
            <w:tcW w:w="3660" w:type="dxa"/>
            <w:vAlign w:val="bottom"/>
            <w:tcBorders>
              <w:bottom w:val="single" w:sz="8" w:color="D1D2D4"/>
            </w:tcBorders>
          </w:tcPr>
          <w:p>
            <w:pPr>
              <w:ind w:left="1640"/>
              <w:spacing w:after="0"/>
              <w:rPr>
                <w:sz w:val="20"/>
                <w:szCs w:val="20"/>
                <w:color w:val="auto"/>
              </w:rPr>
            </w:pPr>
            <w:r>
              <w:rPr>
                <w:rFonts w:ascii="Arial" w:cs="Arial" w:eastAsia="Arial" w:hAnsi="Arial"/>
                <w:sz w:val="18"/>
                <w:szCs w:val="18"/>
                <w:color w:val="auto"/>
              </w:rPr>
              <w:t>May 27, 2025</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8"/>
        </w:trPr>
        <w:tc>
          <w:tcPr>
            <w:tcW w:w="560" w:type="dxa"/>
            <w:vAlign w:val="bottom"/>
            <w:tcBorders>
              <w:bottom w:val="single" w:sz="8" w:color="D1D2D4"/>
            </w:tcBorders>
            <w:shd w:val="clear" w:color="auto" w:fill="D1D2D4"/>
          </w:tcPr>
          <w:p>
            <w:pPr>
              <w:spacing w:after="0"/>
              <w:rPr>
                <w:sz w:val="21"/>
                <w:szCs w:val="21"/>
                <w:color w:val="auto"/>
              </w:rPr>
            </w:pPr>
          </w:p>
        </w:tc>
        <w:tc>
          <w:tcPr>
            <w:tcW w:w="2680" w:type="dxa"/>
            <w:vAlign w:val="bottom"/>
            <w:tcBorders>
              <w:bottom w:val="single" w:sz="8" w:color="D1D2D4"/>
            </w:tcBorders>
            <w:shd w:val="clear" w:color="auto" w:fill="D1D2D4"/>
          </w:tcPr>
          <w:p>
            <w:pPr>
              <w:spacing w:after="0"/>
              <w:rPr>
                <w:sz w:val="21"/>
                <w:szCs w:val="21"/>
                <w:color w:val="auto"/>
              </w:rPr>
            </w:pPr>
          </w:p>
        </w:tc>
        <w:tc>
          <w:tcPr>
            <w:tcW w:w="366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1,126</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
        </w:trPr>
        <w:tc>
          <w:tcPr>
            <w:tcW w:w="560" w:type="dxa"/>
            <w:vAlign w:val="bottom"/>
            <w:tcBorders>
              <w:top w:val="single" w:sz="8" w:color="D1D2D4"/>
            </w:tcBorders>
          </w:tcPr>
          <w:p>
            <w:pPr>
              <w:spacing w:after="0" w:line="20" w:lineRule="exact"/>
              <w:rPr>
                <w:sz w:val="1"/>
                <w:szCs w:val="1"/>
                <w:color w:val="auto"/>
              </w:rPr>
            </w:pPr>
          </w:p>
        </w:tc>
        <w:tc>
          <w:tcPr>
            <w:tcW w:w="2680" w:type="dxa"/>
            <w:vAlign w:val="bottom"/>
            <w:tcBorders>
              <w:top w:val="single" w:sz="8" w:color="D1D2D4"/>
            </w:tcBorders>
          </w:tcPr>
          <w:p>
            <w:pPr>
              <w:spacing w:after="0" w:line="20" w:lineRule="exact"/>
              <w:rPr>
                <w:sz w:val="1"/>
                <w:szCs w:val="1"/>
                <w:color w:val="auto"/>
              </w:rPr>
            </w:pPr>
          </w:p>
        </w:tc>
        <w:tc>
          <w:tcPr>
            <w:tcW w:w="36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2021, we entered into fixed-to-floating interest rate swaps on the 2027 Notes with an aggregate $900 million notional amount equal to the principal amount of the 2027 Notes. The fixed-to-floating interest rate swaps were accounted for as fair value hedges, and as a result, the carrying value of our 2027 Notes reflected adjustments in fair value. In the third quarter of 2025, we settled these fixed-to-floating interest rate swaps in connection with the prepayment of the 2027 Notes. In the third quarter of 2025, we recognized a $46 million loss in other non-operating income (expense) on prepayment of the 2027 Notes.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Senior Unsecured Notes</w:t>
      </w:r>
    </w:p>
    <w:p>
      <w:pPr>
        <w:spacing w:after="0" w:line="24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On January 16, 2025, we issued $1.00 billion in aggregate principal amount of senior unsecured 2035 A Notes in a public offering. The 2035 A Notes bear interest at a rate of 5.80% per year and will mature on January 15, 2035.</w:t>
      </w:r>
    </w:p>
    <w:p>
      <w:pPr>
        <w:spacing w:after="0" w:line="18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On April 29, 2025, we issued $500 million in aggregate principal amount of senior unsecured 2032 Notes and $1.25 billion in aggregate principal amount of senior unsecured 2035 B Notes in a public offering. The 2032 Notes bear interest at a rate of 5.65% per year and will mature on November 1, 2032. The 2035 B Notes bear interest at a rate of 6.05% per year and will mature on November 1, 2035.</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redeem each series of the 2032 Notes, the 2035 A Notes, and the 2035 B Notes (the “Senior Unsecured Notes”), in whole or in part, at a redemption price equal to the greater of (i) 100% of the principal amount of the notes to be redeemed and (ii) the present value of the remaining scheduled payments of principal and interest, plus, in each case, accrued interest. We may also redeem any series of the Senior Unsecured Notes, in whole or in part, at a redemption price equal to 100% of the principal amount of the notes to be redeemed plus accrued interest either two or three months prior to the applicable maturity date, in accordance with the respective terms of such series.</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Senior Unsecured Notes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the Senior Unsecured Notes) to (1) create or incur certain liens; (2) enter into certain sale and lease-back transactions with respect to any principal property; and (3) 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 governing each series of the Senior Unsecured Notes, we will be required to offer to repurchase the Senior Unsecured Notes of such series at a price equal to 101% of the principal amount plus accrued interest up to the repurchase date.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2029 Term Loan A</w:t>
      </w:r>
    </w:p>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January 17, 2025, we entered into a term loan agreement and borrowed $1.68 billion in principal amount due January 17, 2029 (the “Term Loan Agreement”). Borrowings under the Term Loan Agreement will generally bear interest at adjusted term SOFR plus an applicable interest rate margin ranging from 0.875% to 1.50%, depending on our corporate credit ratings.</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Term Loan Agreement requires us to maintain, on a consolidated basis, a net leverage ratio of total net indebtedness to adjusted EBITDA, as defined in the Term Loan Agreement and calculated as of the last day of each fiscal quarter, not to exceed 3.25 to 1.00, subject to a temporary four fiscal quarter increase in such maximum ratio to 3.75 to 1.00 following certain material acquisitions. Our obligations under the Term Loan Agreement are unsecured.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Revolving Credit Facility</w:t>
      </w:r>
    </w:p>
    <w:p>
      <w:pPr>
        <w:spacing w:after="0" w:line="22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On March 12, 2025, we terminated our existing undrawn credit facility and entered into a new five-year unsecured Revolving Credit Facility. Under the Revolving Credit Facility, we can draw up to $3.50 billion which would generally bear interest at a rate equal to adjusted term SOFR plus 0.875% to 1.50%, depending on our corporate credit ratings. Any amounts outstanding under the Revolving Credit Facility would mature on March 12, 2030 and amounts borrowed may be prepaid without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Revolving Credit Facility contains the same net leverage ratio and substantially the same other covenants as the Term Loan Agreement.</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Maturities of Notes Payable and Term Loan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0" w:type="dxa"/>
            <w:vAlign w:val="bottom"/>
          </w:tcPr>
          <w:p>
            <w:pPr>
              <w:spacing w:after="0"/>
              <w:rPr>
                <w:sz w:val="20"/>
                <w:szCs w:val="20"/>
                <w:color w:val="auto"/>
              </w:rPr>
            </w:pPr>
            <w:r>
              <w:rPr>
                <w:rFonts w:ascii="Arial" w:cs="Arial" w:eastAsia="Arial" w:hAnsi="Arial"/>
                <w:sz w:val="18"/>
                <w:szCs w:val="18"/>
                <w:color w:val="auto"/>
              </w:rPr>
              <w:t>As of May 29, 2025, maturities of notes payable and the term loan by fiscal year were as follows: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2025</w:t>
            </w:r>
          </w:p>
        </w:tc>
        <w:tc>
          <w:tcPr>
            <w:tcW w:w="46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2028</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2,384</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2030 and thereafter</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issuance costs, discounts, and premium, net</w:t>
            </w:r>
          </w:p>
        </w:tc>
        <w:tc>
          <w:tcPr>
            <w:tcW w:w="46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98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12,434</w:t>
            </w:r>
          </w:p>
        </w:tc>
      </w:tr>
      <w:tr>
        <w:trPr>
          <w:trHeight w:val="21"/>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5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 Matters</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Düsseldorf Regional Court alleging that two German patents are infringed by certain of our LRDIMMs. The complaint seeks damages, costs, and injunctive relief. In rulings issued on March 7, 2024 and November 7, 2024, the Federal Patent Court in Germany declared both patents invalid. Netlist has appealed those rulings.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 On May 23, 2024, following a four-day trial regarding the second complaint filed by Netlist in the E.D. Tex., a jury rendered a verdict that Micron’s memory modules infringe two asserted patents – U.S. Patent No. 7,619,912 (“the ‘912 patent”) and U.S. Patent No. 11,093,417 (“the ‘417 patent”) – and found that Micron should pay $425 million for infringement of the ‘912 patent and $20 million for infringement of the ‘417 patent. Micron expects to appeal the verdict. On April 17, 2024, the Patent Trial and Appeal Board (“PTAB”) of the United States Patent and Trademark Office (“USPTO”) issued a final written decision (“FWD”) finding unpatentable the sole asserted claim of the ‘912 patent. On September 10, 2024, Netlist filed a notice that it will appeal the ruling that the ‘912 patent is unpatentable to the U.S. Court of Appeals for the Federal Circuit (“Federal Circuit”). On July 30, 2024, the USPTO issued a FWD finding unpatentable all asserted claims of the ‘417 patent. On December 10, 2024, Netlist filed a notice that it will appeal the ruling that the ‘417 patent is unpatentable to the Federal Circuit. In the case of each of the ‘912 and ‘417 patents, if the United States Court of Appeals for the Federal Circuit affirms the FWD, then the affirmed FWD will preclude any pending actions asserting infringement of such patent (including any infringement verdict that is subject to an ongoing appeal). On May 19, 2025, Netlist filed a complaint against Micron, MSP, and MTEC in E.D. Tex. alleging that one U.S. patent is infringed by our HBM products. The complaint seeks damages, attorneys’ fees, and other equitable relief.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On January 23, 2023, Besang Inc. filed a patent infringement complaint against Micron in E.D. Tex. The complaint alleges that one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patent is infringed by certain of our 3D NAND and SSD products. The complaint seeks an injunction, damages, attorneys’ fees, and costs.</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November 9, 2023, Yangtze Memory Technologies Company, Ltd. (“YMTC”) filed a patent infringement complaint against Micron and one of its subsidiaries in the U.S. District Court for the Northern District of California (“N.D. Cal.”). The complaint alleges that eight U.S. patents are infringed by certain of our 3D NAND products. The complaint seeks an injunction, damages, attorneys’ fees, and costs. On January 22, 2024, Micron Semiconductor (Shanghai) Co., Ltd. (“MSS”) was served with three patent infringement complaints filed by YMTC in Beijing Intellectual Property Court and on February 27, 2024, Micron was served with the same complaints. The complaints assert that Micron and MSS infringed three Chinese patents owned by YMTC by importing, selling, offering for sale, and assisting others to sell certain 3D NAND products and SSDs in China. The complaint seeks an injunction, damages, attorneys’ fees, and costs. On July 12, 2024, YMTC filed a second complaint against Micron and its subsidiary in N.D. Cal. The second complaint alleges that eleven U.S. patents are infringed by certain of our 3D NAND and DDR5 DRAM products. The complaint seeks an injunction, damages, attorneys’ fees, and costs. On September 11, 2024, MSS was served with five patent infringement complaints filed by YMTC in Shanghai Intellectual Property Court. The complaints assert that Micron and MSS infringed five Chinese patents owned by YMTC by importing, selling, offering for sale, and assisting others to sell certain 3D NAND products and SSDs in China. The complaint seeks an injunction, damages, attorneys’ fees, and costs.</w:t>
      </w:r>
    </w:p>
    <w:p>
      <w:pPr>
        <w:spacing w:after="0" w:line="217"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On October 16, 2024, Palisade Technologies, LLP filed a patent infringement lawsuit against Micron and MSP in the U.S. District Court for the W.D. Tex. The complaint alleges that five U.S. patents are infringed by certain of our DRAM, NAND, 3D NAND, and SSD products. The complaint seeks an injunction, damages, attorneys’ fees, and costs.</w:t>
      </w:r>
    </w:p>
    <w:p>
      <w:pPr>
        <w:spacing w:after="0" w:line="18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above lawsuits pertain to substantially all of our DRAM, NAND, and other memory and storage products we manufacture, which account for substantially all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Class Action Matters</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9, 2025, a putative class action complaint was filed against Micron and certain individual officers in the U.S. District Court for the Southern District of Florida for alleged violations of the Securities Exchange Act of 1934. On April 3, 2025, the case was transferred to the United States District Court for the District of Idaho (“D. Idaho”), and on May 23, 2025, an amended complaint was filed in D. Idaho. The amended complaint alleges defendants made materially false or misleading statements during a putative class period from March 29, 2023 to December 18, 2024, regarding industry supply and demand dynamics and the demand for Micron's products, including NAND and DRAM products. The amended complaint seeks unspecified compensatory damages, attorneys’ fees and costs.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Derivative Matters</w:t>
      </w:r>
    </w:p>
    <w:p>
      <w:pPr>
        <w:spacing w:after="0" w:line="24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On February 20, 2025, a shareholder derivative complaint was filed by a purported shareholder against certain individual directors and officers of Micron, allegedly on behalf of and for the benefit of Micron, in D. Idaho. On February 21, 2025, a similar related derivative complaint was filed by another purported shareholder in the same court against certain individual directors and officers of Micron. The complaints allege violations of the Securities Exchange Act of 1934, breach of fiduciary duty, unjust enrichment, insider trading, abuse of control, and waste of corporate assets. The complaints are based on substantially the same allegedly false or misleading statements asserted in the securities putative class action matter. The complaints seek various unspecified damages allegedly suffered by Micron, restitution, attorneys’ fees and costs and other relief, including reforms and improvements to our corporate governance and internal procedures. On April 28, 2025, the complaints were consolidated and on May 14, 2025, the consolidated complaints were stayed until the issuance of a final decision on all motions to dismiss the securities putative class action matter or a final resolution of the putative class action matter.</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Antitrust Matters</w:t>
      </w:r>
    </w:p>
    <w:p>
      <w:pPr>
        <w:spacing w:after="0" w:line="25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June 7, 2025, YMTC filed a complaint against Micron and DCI Group AZ, LLC in the U.S. District Court for the District of Columbia. The complaint alleges that the defendants engaged in false advertising, product disparagement, and unfair competition regarding YMTC’s 3D NAND flash products in violation of the Lanham Act. The complaint seeks injunctive relief, damages, disgorgement of profits, attorneys’ fees, and costs.</w:t>
      </w:r>
    </w:p>
    <w:p>
      <w:pPr>
        <w:spacing w:after="0" w:line="203"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Contingency Assessment</w:t>
      </w:r>
    </w:p>
    <w:p>
      <w:pPr>
        <w:spacing w:after="0" w:line="2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Repurchases</w:t>
      </w:r>
    </w:p>
    <w:p>
      <w:pPr>
        <w:spacing w:after="0" w:line="24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See “Item 1. Financial Statements – Notes to Consolidated Financial Statements – CHIPS Act Funding Agreements.” No shares were repurchased in the first nine months of 2025. Through May 29, 2025, we had repurchased an aggregate of $7.19 billion under the authorization. Amounts repurchased are included in treasury stock.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declared and paid dividends of $0.115 per share in the first, second, and third quarters of 2025. On June 25, 2025, our Board of Directors declared a quarterly dividend of $0.115 per share, payable in cash on July 22, 2025, to shareholders of record as of the close of business on July 7, 2025.</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Accumulated Other Comprehensive Income (Loss)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by component for the nine months ended May 29, 2025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Pension</w:t>
            </w:r>
          </w:p>
        </w:tc>
        <w:tc>
          <w:tcPr>
            <w:tcW w:w="1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2660" w:type="dxa"/>
            <w:vAlign w:val="bottom"/>
            <w:gridSpan w:val="4"/>
          </w:tcPr>
          <w:p>
            <w:pPr>
              <w:ind w:left="20"/>
              <w:spacing w:after="0" w:line="176" w:lineRule="exact"/>
              <w:rPr>
                <w:sz w:val="20"/>
                <w:szCs w:val="20"/>
                <w:color w:val="auto"/>
              </w:rPr>
            </w:pPr>
            <w:r>
              <w:rPr>
                <w:rFonts w:ascii="Arial" w:cs="Arial" w:eastAsia="Arial" w:hAnsi="Arial"/>
                <w:sz w:val="18"/>
                <w:szCs w:val="18"/>
                <w:b w:val="1"/>
                <w:bCs w:val="1"/>
                <w:color w:val="auto"/>
                <w:w w:val="99"/>
              </w:rPr>
              <w:t>Gains (Losses) Gains (Losses)</w:t>
            </w: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320" w:type="dxa"/>
            <w:vAlign w:val="bottom"/>
            <w:gridSpan w:val="2"/>
          </w:tcPr>
          <w:p>
            <w:pPr>
              <w:jc w:val="right"/>
              <w:ind w:right="10"/>
              <w:spacing w:after="0" w:line="189" w:lineRule="exact"/>
              <w:rPr>
                <w:sz w:val="20"/>
                <w:szCs w:val="20"/>
                <w:color w:val="auto"/>
              </w:rPr>
            </w:pPr>
            <w:r>
              <w:rPr>
                <w:rFonts w:ascii="Arial" w:cs="Arial" w:eastAsia="Arial" w:hAnsi="Arial"/>
                <w:sz w:val="18"/>
                <w:szCs w:val="18"/>
                <w:b w:val="1"/>
                <w:bCs w:val="1"/>
                <w:color w:val="auto"/>
              </w:rPr>
              <w:t>on Derivative</w:t>
            </w:r>
          </w:p>
        </w:tc>
        <w:tc>
          <w:tcPr>
            <w:tcW w:w="1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on</w:t>
            </w:r>
          </w:p>
        </w:tc>
        <w:tc>
          <w:tcPr>
            <w:tcW w:w="120" w:type="dxa"/>
            <w:vAlign w:val="bottom"/>
          </w:tcPr>
          <w:p>
            <w:pPr>
              <w:spacing w:after="0"/>
              <w:rPr>
                <w:sz w:val="16"/>
                <w:szCs w:val="16"/>
                <w:color w:val="auto"/>
              </w:rPr>
            </w:pPr>
          </w:p>
        </w:tc>
        <w:tc>
          <w:tcPr>
            <w:tcW w:w="122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99"/>
              </w:rPr>
              <w:t>Liability</w:t>
            </w:r>
          </w:p>
        </w:tc>
        <w:tc>
          <w:tcPr>
            <w:tcW w:w="14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6"/>
                <w:szCs w:val="16"/>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Investments</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August 29, 2024</w:t>
            </w:r>
          </w:p>
        </w:tc>
        <w:tc>
          <w:tcPr>
            <w:tcW w:w="120" w:type="dxa"/>
            <w:vAlign w:val="bottom"/>
            <w:tcBorders>
              <w:bottom w:val="single" w:sz="8" w:color="auto"/>
            </w:tcBorders>
            <w:shd w:val="clear" w:color="auto" w:fill="D1D2D4"/>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ind w:left="96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56"/>
        </w:trPr>
        <w:tc>
          <w:tcPr>
            <w:tcW w:w="4580" w:type="dxa"/>
            <w:vAlign w:val="bottom"/>
          </w:tcPr>
          <w:p>
            <w:pPr>
              <w:ind w:left="240"/>
              <w:spacing w:after="0" w:line="156"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1200" w:type="dxa"/>
            <w:vAlign w:val="bottom"/>
            <w:vMerge w:val="restart"/>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5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D1D2D4"/>
          </w:tcPr>
          <w:p>
            <w:pPr>
              <w:ind w:left="240"/>
              <w:spacing w:after="0" w:line="176"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5"/>
                <w:szCs w:val="15"/>
                <w:color w:val="auto"/>
              </w:rPr>
            </w:pPr>
          </w:p>
        </w:tc>
        <w:tc>
          <w:tcPr>
            <w:tcW w:w="12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22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280" w:type="dxa"/>
            <w:vAlign w:val="bottom"/>
            <w:shd w:val="clear" w:color="auto" w:fill="D1D2D4"/>
          </w:tcPr>
          <w:p>
            <w:pPr>
              <w:spacing w:after="0"/>
              <w:rPr>
                <w:sz w:val="21"/>
                <w:szCs w:val="21"/>
                <w:color w:val="auto"/>
              </w:rPr>
            </w:pPr>
          </w:p>
        </w:tc>
        <w:tc>
          <w:tcPr>
            <w:tcW w:w="104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May 29, 2025</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As of May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17780</wp:posOffset>
            </wp:positionV>
            <wp:extent cx="18345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4" w:lineRule="exact"/>
        <w:rPr>
          <w:sz w:val="20"/>
          <w:szCs w:val="20"/>
          <w:color w:val="auto"/>
        </w:rPr>
      </w:pPr>
    </w:p>
    <w:p>
      <w:pPr>
        <w:ind w:left="5920"/>
        <w:spacing w:after="0"/>
        <w:tabs>
          <w:tab w:leader="none" w:pos="714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ind w:left="5840"/>
        <w:spacing w:after="0"/>
        <w:tabs>
          <w:tab w:leader="none" w:pos="726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292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17780</wp:posOffset>
            </wp:positionV>
            <wp:extent cx="18345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4"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spacing w:after="0"/>
        <w:tabs>
          <w:tab w:leader="none" w:pos="142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14605</wp:posOffset>
            </wp:positionV>
            <wp:extent cx="18345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8120" w:space="720"/>
            <w:col w:w="2400"/>
          </w:cols>
          <w:pgMar w:left="320" w:top="125" w:right="339" w:bottom="1440" w:gutter="0" w:footer="0" w:header="0"/>
          <w:type w:val="continuous"/>
        </w:sectPr>
      </w:pPr>
    </w:p>
    <w:p>
      <w:pPr>
        <w:ind w:left="20"/>
        <w:spacing w:after="0"/>
        <w:tabs>
          <w:tab w:leader="none" w:pos="5360" w:val="left"/>
          <w:tab w:leader="none" w:pos="6160" w:val="left"/>
          <w:tab w:leader="none" w:pos="7600" w:val="left"/>
          <w:tab w:leader="none" w:pos="8340" w:val="left"/>
          <w:tab w:leader="none" w:pos="9160" w:val="left"/>
          <w:tab w:leader="none" w:pos="10600" w:val="left"/>
        </w:tabs>
        <w:rPr>
          <w:sz w:val="20"/>
          <w:szCs w:val="20"/>
          <w:color w:val="auto"/>
        </w:rPr>
      </w:pPr>
      <w:r>
        <w:rPr>
          <w:rFonts w:ascii="Arial" w:cs="Arial" w:eastAsia="Arial" w:hAnsi="Arial"/>
          <w:sz w:val="18"/>
          <w:szCs w:val="18"/>
          <w:color w:val="auto"/>
        </w:rPr>
        <w:t>Notes payable and term loans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12,183 $</w:t>
      </w:r>
      <w:r>
        <w:rPr>
          <w:sz w:val="20"/>
          <w:szCs w:val="20"/>
          <w:color w:val="auto"/>
        </w:rPr>
        <w:tab/>
      </w:r>
      <w:r>
        <w:rPr>
          <w:rFonts w:ascii="Arial" w:cs="Arial" w:eastAsia="Arial" w:hAnsi="Arial"/>
          <w:sz w:val="18"/>
          <w:szCs w:val="18"/>
          <w:color w:val="auto"/>
        </w:rPr>
        <w:t>12,434</w:t>
        <w:tab/>
        <w:t>$</w:t>
      </w:r>
      <w:r>
        <w:rPr>
          <w:sz w:val="20"/>
          <w:szCs w:val="20"/>
          <w:color w:val="auto"/>
        </w:rPr>
        <w:tab/>
      </w:r>
      <w:r>
        <w:rPr>
          <w:rFonts w:ascii="Arial" w:cs="Arial" w:eastAsia="Arial" w:hAnsi="Arial"/>
          <w:sz w:val="18"/>
          <w:szCs w:val="18"/>
          <w:color w:val="auto"/>
        </w:rPr>
        <w:t>11,316 $</w:t>
      </w:r>
      <w:r>
        <w:rPr>
          <w:sz w:val="20"/>
          <w:szCs w:val="20"/>
          <w:color w:val="auto"/>
        </w:rPr>
        <w:tab/>
      </w:r>
      <w:r>
        <w:rPr>
          <w:rFonts w:ascii="Arial" w:cs="Arial" w:eastAsia="Arial" w:hAnsi="Arial"/>
          <w:sz w:val="17"/>
          <w:szCs w:val="17"/>
          <w:color w:val="auto"/>
        </w:rPr>
        <w:t>11,343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154"/>
        </w:trPr>
        <w:tc>
          <w:tcPr>
            <w:tcW w:w="5900" w:type="dxa"/>
            <w:vAlign w:val="bottom"/>
          </w:tcPr>
          <w:p>
            <w:pPr>
              <w:spacing w:after="0"/>
              <w:rPr>
                <w:sz w:val="20"/>
                <w:szCs w:val="20"/>
                <w:color w:val="auto"/>
              </w:rPr>
            </w:pPr>
            <w:r>
              <w:rPr>
                <w:rFonts w:ascii="Arial" w:cs="Arial" w:eastAsia="Arial" w:hAnsi="Arial"/>
                <w:sz w:val="40"/>
                <w:szCs w:val="40"/>
                <w:b w:val="1"/>
                <w:bCs w:val="1"/>
                <w:color w:val="auto"/>
              </w:rPr>
              <w:t>Derivative Instruments</w:t>
            </w:r>
          </w:p>
        </w:tc>
        <w:tc>
          <w:tcPr>
            <w:tcW w:w="1180" w:type="dxa"/>
            <w:vAlign w:val="bottom"/>
          </w:tcPr>
          <w:p>
            <w:pPr>
              <w:spacing w:after="0"/>
              <w:rPr>
                <w:sz w:val="24"/>
                <w:szCs w:val="24"/>
                <w:color w:val="auto"/>
              </w:rPr>
            </w:pPr>
          </w:p>
        </w:tc>
        <w:tc>
          <w:tcPr>
            <w:tcW w:w="128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jc w:val="right"/>
              <w:ind w:right="750"/>
              <w:spacing w:after="0" w:line="230"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1"/>
              <w:spacing w:after="0" w:line="135"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(2)</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(3)</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May 29, 2025</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3,318</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currency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3,019</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4,047</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August 29, 2024</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3,724</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currency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2,511</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59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2,393</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60" w:right="400" w:hanging="252"/>
        <w:spacing w:after="0" w:line="228" w:lineRule="auto"/>
        <w:tabs>
          <w:tab w:leader="none" w:pos="254"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Forward and swap contracts are measured at fair value based on market-based observable inputs, including market spot and forward rates, interest rates, and credit-risk spreads (Level 2).</w:t>
      </w:r>
    </w:p>
    <w:p>
      <w:pPr>
        <w:ind w:left="240" w:hanging="232"/>
        <w:spacing w:after="0" w:line="196" w:lineRule="auto"/>
        <w:tabs>
          <w:tab w:leader="none" w:pos="240"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200" w:lineRule="auto"/>
        <w:tabs>
          <w:tab w:leader="none" w:pos="240"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 Hedge Accounting Designation</w:t>
      </w:r>
    </w:p>
    <w:p>
      <w:pPr>
        <w:spacing w:after="0" w:line="24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our exposure to changes in currency exchange rates or commodity prices for certain capital expenditures and manufacturing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cash flow hedging activities were as follows:</w:t>
      </w:r>
    </w:p>
    <w:p>
      <w:pPr>
        <w:sectPr>
          <w:pgSz w:w="11900" w:h="16838" w:orient="portrait"/>
          <w:cols w:equalWidth="0" w:num="1">
            <w:col w:w="11240"/>
          </w:cols>
          <w:pgMar w:left="320" w:top="118" w:right="339" w:bottom="1440" w:gutter="0" w:footer="0" w:header="0"/>
        </w:sectPr>
      </w:pPr>
    </w:p>
    <w:p>
      <w:pPr>
        <w:spacing w:after="0" w:line="50"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17780</wp:posOffset>
            </wp:positionV>
            <wp:extent cx="18173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 w:lineRule="exact"/>
        <w:rPr>
          <w:sz w:val="20"/>
          <w:szCs w:val="20"/>
          <w:color w:val="auto"/>
        </w:rPr>
      </w:pPr>
    </w:p>
    <w:p>
      <w:pPr>
        <w:jc w:val="center"/>
        <w:ind w:left="556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2374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17780</wp:posOffset>
            </wp:positionV>
            <wp:extent cx="18345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 w:lineRule="exact"/>
        <w:rPr>
          <w:sz w:val="20"/>
          <w:szCs w:val="20"/>
          <w:color w:val="auto"/>
        </w:rPr>
      </w:pPr>
    </w:p>
    <w:p>
      <w:pPr>
        <w:jc w:val="center"/>
        <w:ind w:right="18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15240</wp:posOffset>
            </wp:positionV>
            <wp:extent cx="1834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8100" w:space="420"/>
            <w:col w:w="27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from cash flow hedges in accumulated other</w:t>
            </w:r>
          </w:p>
        </w:tc>
        <w:tc>
          <w:tcPr>
            <w:tcW w:w="740" w:type="dxa"/>
            <w:vAlign w:val="bottom"/>
            <w:vMerge w:val="restart"/>
            <w:shd w:val="clear" w:color="auto" w:fill="D1D2D4"/>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600" w:type="dxa"/>
            <w:vAlign w:val="bottom"/>
            <w:vMerge w:val="restart"/>
            <w:shd w:val="clear" w:color="auto" w:fill="D1D2D4"/>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(99)</w:t>
            </w:r>
          </w:p>
        </w:tc>
        <w:tc>
          <w:tcPr>
            <w:tcW w:w="600" w:type="dxa"/>
            <w:vAlign w:val="bottom"/>
            <w:vMerge w:val="restart"/>
            <w:shd w:val="clear" w:color="auto" w:fill="D1D2D4"/>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560" w:type="dxa"/>
            <w:vAlign w:val="bottom"/>
            <w:vMerge w:val="restart"/>
            <w:shd w:val="clear" w:color="auto" w:fill="D1D2D4"/>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comprehensive income (loss)</w:t>
            </w:r>
          </w:p>
        </w:tc>
        <w:tc>
          <w:tcPr>
            <w:tcW w:w="740" w:type="dxa"/>
            <w:vAlign w:val="bottom"/>
            <w:vMerge w:val="continue"/>
            <w:shd w:val="clear" w:color="auto" w:fill="D1D2D4"/>
          </w:tcPr>
          <w:p>
            <w:pPr>
              <w:spacing w:after="0"/>
              <w:rPr>
                <w:sz w:val="21"/>
                <w:szCs w:val="21"/>
                <w:color w:val="auto"/>
              </w:rPr>
            </w:pPr>
          </w:p>
        </w:tc>
        <w:tc>
          <w:tcPr>
            <w:tcW w:w="840" w:type="dxa"/>
            <w:vAlign w:val="bottom"/>
            <w:vMerge w:val="continue"/>
            <w:shd w:val="clear" w:color="auto" w:fill="D1D2D4"/>
          </w:tcPr>
          <w:p>
            <w:pPr>
              <w:spacing w:after="0"/>
              <w:rPr>
                <w:sz w:val="21"/>
                <w:szCs w:val="21"/>
                <w:color w:val="auto"/>
              </w:rPr>
            </w:pPr>
          </w:p>
        </w:tc>
        <w:tc>
          <w:tcPr>
            <w:tcW w:w="600" w:type="dxa"/>
            <w:vAlign w:val="bottom"/>
            <w:vMerge w:val="continue"/>
            <w:shd w:val="clear" w:color="auto" w:fill="D1D2D4"/>
          </w:tcPr>
          <w:p>
            <w:pPr>
              <w:spacing w:after="0"/>
              <w:rPr>
                <w:sz w:val="21"/>
                <w:szCs w:val="21"/>
                <w:color w:val="auto"/>
              </w:rPr>
            </w:pPr>
          </w:p>
        </w:tc>
        <w:tc>
          <w:tcPr>
            <w:tcW w:w="880" w:type="dxa"/>
            <w:vAlign w:val="bottom"/>
            <w:vMerge w:val="continue"/>
            <w:shd w:val="clear" w:color="auto" w:fill="D1D2D4"/>
          </w:tcPr>
          <w:p>
            <w:pPr>
              <w:spacing w:after="0"/>
              <w:rPr>
                <w:sz w:val="21"/>
                <w:szCs w:val="21"/>
                <w:color w:val="auto"/>
              </w:rPr>
            </w:pPr>
          </w:p>
        </w:tc>
        <w:tc>
          <w:tcPr>
            <w:tcW w:w="600" w:type="dxa"/>
            <w:vAlign w:val="bottom"/>
            <w:vMerge w:val="continue"/>
            <w:shd w:val="clear" w:color="auto" w:fill="D1D2D4"/>
          </w:tcPr>
          <w:p>
            <w:pPr>
              <w:spacing w:after="0"/>
              <w:rPr>
                <w:sz w:val="21"/>
                <w:szCs w:val="21"/>
                <w:color w:val="auto"/>
              </w:rPr>
            </w:pPr>
          </w:p>
        </w:tc>
        <w:tc>
          <w:tcPr>
            <w:tcW w:w="900" w:type="dxa"/>
            <w:vAlign w:val="bottom"/>
            <w:vMerge w:val="continue"/>
            <w:shd w:val="clear" w:color="auto" w:fill="D1D2D4"/>
          </w:tcPr>
          <w:p>
            <w:pPr>
              <w:spacing w:after="0"/>
              <w:rPr>
                <w:sz w:val="21"/>
                <w:szCs w:val="21"/>
                <w:color w:val="auto"/>
              </w:rPr>
            </w:pPr>
          </w:p>
        </w:tc>
        <w:tc>
          <w:tcPr>
            <w:tcW w:w="560" w:type="dxa"/>
            <w:vAlign w:val="bottom"/>
            <w:vMerge w:val="continue"/>
            <w:shd w:val="clear" w:color="auto" w:fill="D1D2D4"/>
          </w:tcPr>
          <w:p>
            <w:pPr>
              <w:spacing w:after="0"/>
              <w:rPr>
                <w:sz w:val="21"/>
                <w:szCs w:val="21"/>
                <w:color w:val="auto"/>
              </w:rPr>
            </w:pPr>
          </w:p>
        </w:tc>
        <w:tc>
          <w:tcPr>
            <w:tcW w:w="88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0"/>
              <w:spacing w:after="0" w:line="176" w:lineRule="exact"/>
              <w:rPr>
                <w:sz w:val="20"/>
                <w:szCs w:val="20"/>
                <w:color w:val="auto"/>
              </w:rPr>
            </w:pPr>
            <w:r>
              <w:rPr>
                <w:rFonts w:ascii="Arial" w:cs="Arial" w:eastAsia="Arial" w:hAnsi="Arial"/>
                <w:sz w:val="18"/>
                <w:szCs w:val="18"/>
                <w:color w:val="auto"/>
              </w:rPr>
              <w:t>Gain (loss) excluded from effectiveness testing in cost of goods</w:t>
            </w:r>
          </w:p>
        </w:tc>
        <w:tc>
          <w:tcPr>
            <w:tcW w:w="7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sold</w:t>
            </w:r>
          </w:p>
        </w:tc>
        <w:tc>
          <w:tcPr>
            <w:tcW w:w="7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Gain (loss) reclassified from accumulated other comprehensive</w:t>
            </w:r>
          </w:p>
        </w:tc>
        <w:tc>
          <w:tcPr>
            <w:tcW w:w="740" w:type="dxa"/>
            <w:vAlign w:val="bottom"/>
            <w:shd w:val="clear" w:color="auto" w:fill="D1D2D4"/>
          </w:tcPr>
          <w:p>
            <w:pPr>
              <w:spacing w:after="0"/>
              <w:rPr>
                <w:sz w:val="15"/>
                <w:szCs w:val="15"/>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D1D2D4"/>
          </w:tcPr>
          <w:p>
            <w:pPr>
              <w:spacing w:after="0"/>
              <w:rPr>
                <w:sz w:val="15"/>
                <w:szCs w:val="15"/>
                <w:color w:val="auto"/>
              </w:rPr>
            </w:pPr>
          </w:p>
        </w:tc>
        <w:tc>
          <w:tcPr>
            <w:tcW w:w="8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600" w:type="dxa"/>
            <w:vAlign w:val="bottom"/>
            <w:shd w:val="clear" w:color="auto" w:fill="D1D2D4"/>
          </w:tcPr>
          <w:p>
            <w:pPr>
              <w:spacing w:after="0"/>
              <w:rPr>
                <w:sz w:val="15"/>
                <w:szCs w:val="15"/>
                <w:color w:val="auto"/>
              </w:rPr>
            </w:pPr>
          </w:p>
        </w:tc>
        <w:tc>
          <w:tcPr>
            <w:tcW w:w="9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(106)</w:t>
            </w:r>
          </w:p>
        </w:tc>
        <w:tc>
          <w:tcPr>
            <w:tcW w:w="560" w:type="dxa"/>
            <w:vAlign w:val="bottom"/>
            <w:shd w:val="clear" w:color="auto" w:fill="D1D2D4"/>
          </w:tcPr>
          <w:p>
            <w:pPr>
              <w:spacing w:after="0"/>
              <w:rPr>
                <w:sz w:val="15"/>
                <w:szCs w:val="15"/>
                <w:color w:val="auto"/>
              </w:rPr>
            </w:pPr>
          </w:p>
        </w:tc>
        <w:tc>
          <w:tcPr>
            <w:tcW w:w="8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to earnings, primarily to cost of goods sold</w:t>
            </w:r>
          </w:p>
        </w:tc>
        <w:tc>
          <w:tcPr>
            <w:tcW w:w="740" w:type="dxa"/>
            <w:vAlign w:val="bottom"/>
            <w:shd w:val="clear" w:color="auto" w:fill="D1D2D4"/>
          </w:tcPr>
          <w:p>
            <w:pPr>
              <w:spacing w:after="0"/>
              <w:rPr>
                <w:sz w:val="21"/>
                <w:szCs w:val="21"/>
                <w:color w:val="auto"/>
              </w:rPr>
            </w:pPr>
          </w:p>
        </w:tc>
        <w:tc>
          <w:tcPr>
            <w:tcW w:w="840" w:type="dxa"/>
            <w:vAlign w:val="bottom"/>
            <w:vMerge w:val="continue"/>
            <w:shd w:val="clear" w:color="auto" w:fill="D1D2D4"/>
          </w:tcPr>
          <w:p>
            <w:pPr>
              <w:spacing w:after="0"/>
              <w:rPr>
                <w:sz w:val="21"/>
                <w:szCs w:val="21"/>
                <w:color w:val="auto"/>
              </w:rPr>
            </w:pPr>
          </w:p>
        </w:tc>
        <w:tc>
          <w:tcPr>
            <w:tcW w:w="600" w:type="dxa"/>
            <w:vAlign w:val="bottom"/>
            <w:shd w:val="clear" w:color="auto" w:fill="D1D2D4"/>
          </w:tcPr>
          <w:p>
            <w:pPr>
              <w:spacing w:after="0"/>
              <w:rPr>
                <w:sz w:val="21"/>
                <w:szCs w:val="21"/>
                <w:color w:val="auto"/>
              </w:rPr>
            </w:pPr>
          </w:p>
        </w:tc>
        <w:tc>
          <w:tcPr>
            <w:tcW w:w="880" w:type="dxa"/>
            <w:vAlign w:val="bottom"/>
            <w:vMerge w:val="continue"/>
            <w:shd w:val="clear" w:color="auto" w:fill="D1D2D4"/>
          </w:tcPr>
          <w:p>
            <w:pPr>
              <w:spacing w:after="0"/>
              <w:rPr>
                <w:sz w:val="21"/>
                <w:szCs w:val="21"/>
                <w:color w:val="auto"/>
              </w:rPr>
            </w:pPr>
          </w:p>
        </w:tc>
        <w:tc>
          <w:tcPr>
            <w:tcW w:w="600" w:type="dxa"/>
            <w:vAlign w:val="bottom"/>
            <w:shd w:val="clear" w:color="auto" w:fill="D1D2D4"/>
          </w:tcPr>
          <w:p>
            <w:pPr>
              <w:spacing w:after="0"/>
              <w:rPr>
                <w:sz w:val="21"/>
                <w:szCs w:val="21"/>
                <w:color w:val="auto"/>
              </w:rPr>
            </w:pPr>
          </w:p>
        </w:tc>
        <w:tc>
          <w:tcPr>
            <w:tcW w:w="900" w:type="dxa"/>
            <w:vAlign w:val="bottom"/>
            <w:vMerge w:val="continue"/>
            <w:shd w:val="clear" w:color="auto" w:fill="D1D2D4"/>
          </w:tcPr>
          <w:p>
            <w:pPr>
              <w:spacing w:after="0"/>
              <w:rPr>
                <w:sz w:val="21"/>
                <w:szCs w:val="21"/>
                <w:color w:val="auto"/>
              </w:rPr>
            </w:pPr>
          </w:p>
        </w:tc>
        <w:tc>
          <w:tcPr>
            <w:tcW w:w="560" w:type="dxa"/>
            <w:vAlign w:val="bottom"/>
            <w:shd w:val="clear" w:color="auto" w:fill="D1D2D4"/>
          </w:tcPr>
          <w:p>
            <w:pPr>
              <w:spacing w:after="0"/>
              <w:rPr>
                <w:sz w:val="21"/>
                <w:szCs w:val="21"/>
                <w:color w:val="auto"/>
              </w:rPr>
            </w:pPr>
          </w:p>
        </w:tc>
        <w:tc>
          <w:tcPr>
            <w:tcW w:w="88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of May 29, 2025, we expect to reclassify $20 million of pre-tax gains related to cash flow hedges from accumulated other comprehensive income (loss) into earnings in the next 12 months.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currency forward contracts that generally mature within one year designated as fair value hedges to minimize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exposure to changes in currency exchange rates for non-U.S.-dollar-denominated cash and investments in debt securities. The fair value of our hedged cash and investments in debt securities was $3.00 billion as of May 29, 2025. The changes in the fair values of derivatives designated as fair value hedges and the offsetting changes in the underlying fair values of the hedged items are both recognized in earnings.</w:t>
      </w:r>
    </w:p>
    <w:p>
      <w:pPr>
        <w:spacing w:after="0" w:line="1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recognized losses of $93 million and gains of $52 million for the third quarter and first nine months of 2025, respectively, for changes in the fair values of our fair value currency hedges and offsetting gains of $93 million and losses of $46 million for the third quarter and first nine months of 2025, respectively, for changes in the underlying fair values of the hedged items in other non-operating income (expense). The effects of the fair value currency hedges and the hedged items were not material for the other periods presented.</w:t>
      </w:r>
    </w:p>
    <w:p>
      <w:pPr>
        <w:spacing w:after="0" w:line="21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also utilized fixed-to-floating interest rate swaps designated as fair value hedges to minimize certain exposures to changes in the fair value of fixed-rate debt that result from fluctuations in benchmark interest rates. The effects of fair value hedges on our consolidated statements of operations, recognized in interest expense, were not material for the periods presented. In the third quarter of 2025, we prepaid the 2027 Notes and settled the related fixed-to-floating interest rate swaps. See “Item 1. Financial Statements – Notes to Consolidated Financial Statements – Debt”.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without Hedge Accounting Designation</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Realized and unrealized gains and losses on derivative instruments without hedge accounting designation as well as the changes in the underlying monetary assets and liabilities from changes in currency exchange rates are included in other non-operating income (expense), net.</w:t>
      </w:r>
    </w:p>
    <w:p>
      <w:pPr>
        <w:spacing w:after="0" w:line="20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recognized gains of $ 106 million and $38 million for derivative instruments without hedge accounting designation for the third quarter and first nine months of 2025, respectively. The amounts recognized in our consolidated statements of operations for the other periods presented were not material. We do not use derivative instruments for speculative purposes.</w:t>
      </w:r>
    </w:p>
    <w:p>
      <w:pPr>
        <w:spacing w:after="0" w:line="19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Compensation Plans</w:t>
      </w:r>
    </w:p>
    <w:p>
      <w:pPr>
        <w:spacing w:after="0" w:line="25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of May 29, 2025, 57 million shares of our common stock were available for future awards under our equity compensation plans, including 9 million shares approved for issuance under our employee stock purchase plan (“ESPP”).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and Restricted Stock Units (“Restricted Stock Awards”)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activity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w:t>
            </w:r>
          </w:p>
        </w:tc>
        <w:tc>
          <w:tcPr>
            <w:tcW w:w="2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May 29, 2025</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May 30, 2024</w:t>
            </w:r>
          </w:p>
        </w:tc>
      </w:tr>
      <w:tr>
        <w:trPr>
          <w:trHeight w:val="34"/>
        </w:trPr>
        <w:tc>
          <w:tcPr>
            <w:tcW w:w="6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6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3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r>
      <w:tr>
        <w:trPr>
          <w:trHeight w:val="239"/>
        </w:trPr>
        <w:tc>
          <w:tcPr>
            <w:tcW w:w="616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100.25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69.02</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Stock Purchase Plan (“ESPP”)</w:t>
      </w:r>
    </w:p>
    <w:p>
      <w:pPr>
        <w:spacing w:after="0" w:line="24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For each six-month ESPP offering period that ended in the second quarter of 2025 and 2024, employees purchased 2 million shares in each period at a share price of $78.63 and $60.68,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 Expense</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Stock-based compensation expense recognized in our statements of operations is presented below. Stock-based compensation expense of $109 million and $99 million was capitalized and remained in inventory as of May 29, 2025 and August 29, 2024, respectively.</w:t>
      </w:r>
    </w:p>
    <w:p>
      <w:pPr>
        <w:sectPr>
          <w:pgSz w:w="11900" w:h="16838" w:orient="portrait"/>
          <w:cols w:equalWidth="0" w:num="1">
            <w:col w:w="11240"/>
          </w:cols>
          <w:pgMar w:left="320" w:top="125" w:right="339" w:bottom="1440" w:gutter="0" w:footer="0" w:header="0"/>
        </w:sectPr>
      </w:pPr>
    </w:p>
    <w:p>
      <w:pPr>
        <w:spacing w:after="0" w:line="220"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17780</wp:posOffset>
            </wp:positionV>
            <wp:extent cx="18173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 w:lineRule="exact"/>
        <w:rPr>
          <w:sz w:val="20"/>
          <w:szCs w:val="20"/>
          <w:color w:val="auto"/>
        </w:rPr>
      </w:pPr>
    </w:p>
    <w:p>
      <w:pPr>
        <w:jc w:val="center"/>
        <w:ind w:left="556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2374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37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17780</wp:posOffset>
            </wp:positionV>
            <wp:extent cx="18345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 w:lineRule="exact"/>
        <w:rPr>
          <w:sz w:val="20"/>
          <w:szCs w:val="20"/>
          <w:color w:val="auto"/>
        </w:rPr>
      </w:pPr>
    </w:p>
    <w:p>
      <w:pPr>
        <w:jc w:val="center"/>
        <w:ind w:right="18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15240</wp:posOffset>
            </wp:positionV>
            <wp:extent cx="18345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8100" w:space="420"/>
            <w:col w:w="2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58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620" w:type="dxa"/>
            <w:vAlign w:val="bottom"/>
            <w:shd w:val="clear" w:color="auto" w:fill="D1D2D4"/>
          </w:tcPr>
          <w:p>
            <w:pPr>
              <w:spacing w:after="0"/>
              <w:rPr>
                <w:sz w:val="19"/>
                <w:szCs w:val="19"/>
                <w:color w:val="auto"/>
              </w:rPr>
            </w:pPr>
          </w:p>
        </w:tc>
        <w:tc>
          <w:tcPr>
            <w:tcW w:w="8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58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6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294</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w:t>
            </w:r>
          </w:p>
        </w:tc>
        <w:tc>
          <w:tcPr>
            <w:tcW w:w="62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D1D2D4"/>
          </w:tcPr>
          <w:p>
            <w:pPr>
              <w:spacing w:after="0"/>
              <w:rPr>
                <w:sz w:val="19"/>
                <w:szCs w:val="19"/>
                <w:color w:val="auto"/>
              </w:rPr>
            </w:pPr>
          </w:p>
        </w:tc>
        <w:tc>
          <w:tcPr>
            <w:tcW w:w="58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w:t>
            </w:r>
          </w:p>
        </w:tc>
        <w:tc>
          <w:tcPr>
            <w:tcW w:w="62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54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D1D2D4"/>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48"/>
        </w:trPr>
        <w:tc>
          <w:tcPr>
            <w:tcW w:w="5400" w:type="dxa"/>
            <w:vAlign w:val="bottom"/>
            <w:tcBorders>
              <w:bottom w:val="single" w:sz="8" w:color="D1D2D4"/>
            </w:tcBorders>
            <w:shd w:val="clear" w:color="auto" w:fill="D1D2D4"/>
          </w:tcPr>
          <w:p>
            <w:pPr>
              <w:spacing w:after="0"/>
              <w:rPr>
                <w:sz w:val="21"/>
                <w:szCs w:val="21"/>
                <w:color w:val="auto"/>
              </w:rPr>
            </w:pPr>
          </w:p>
        </w:tc>
        <w:tc>
          <w:tcPr>
            <w:tcW w:w="580" w:type="dxa"/>
            <w:vAlign w:val="bottom"/>
            <w:tcBorders>
              <w:bottom w:val="single" w:sz="8" w:color="auto"/>
            </w:tcBorders>
            <w:shd w:val="clear" w:color="auto" w:fill="D1D2D4"/>
          </w:tcPr>
          <w:p>
            <w:pPr>
              <w:jc w:val="right"/>
              <w:ind w:right="3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263</w:t>
            </w:r>
          </w:p>
        </w:tc>
        <w:tc>
          <w:tcPr>
            <w:tcW w:w="620" w:type="dxa"/>
            <w:vAlign w:val="bottom"/>
            <w:tcBorders>
              <w:bottom w:val="single" w:sz="8" w:color="auto"/>
            </w:tcBorders>
            <w:shd w:val="clear" w:color="auto" w:fill="D1D2D4"/>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D1D2D4"/>
            </w:tcBorders>
            <w:shd w:val="clear" w:color="auto" w:fill="D1D2D4"/>
          </w:tcPr>
          <w:p>
            <w:pPr>
              <w:spacing w:after="0"/>
              <w:rPr>
                <w:sz w:val="21"/>
                <w:szCs w:val="21"/>
                <w:color w:val="auto"/>
              </w:rPr>
            </w:pPr>
          </w:p>
        </w:tc>
        <w:tc>
          <w:tcPr>
            <w:tcW w:w="580" w:type="dxa"/>
            <w:vAlign w:val="bottom"/>
            <w:tcBorders>
              <w:bottom w:val="single" w:sz="8" w:color="auto"/>
            </w:tcBorders>
            <w:shd w:val="clear" w:color="auto" w:fill="D1D2D4"/>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713</w:t>
            </w:r>
          </w:p>
        </w:tc>
        <w:tc>
          <w:tcPr>
            <w:tcW w:w="620" w:type="dxa"/>
            <w:vAlign w:val="bottom"/>
            <w:tcBorders>
              <w:bottom w:val="single" w:sz="8" w:color="auto"/>
            </w:tcBorders>
            <w:shd w:val="clear" w:color="auto" w:fill="D1D2D4"/>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608</w:t>
            </w:r>
          </w:p>
        </w:tc>
      </w:tr>
      <w:tr>
        <w:trPr>
          <w:trHeight w:val="20"/>
        </w:trPr>
        <w:tc>
          <w:tcPr>
            <w:tcW w:w="5400" w:type="dxa"/>
            <w:vAlign w:val="bottom"/>
            <w:tcBorders>
              <w:top w:val="single" w:sz="8" w:color="D1D2D4"/>
            </w:tcBorders>
          </w:tcPr>
          <w:p>
            <w:pPr>
              <w:spacing w:after="0" w:line="20" w:lineRule="exact"/>
              <w:rPr>
                <w:sz w:val="1"/>
                <w:szCs w:val="1"/>
                <w:color w:val="auto"/>
              </w:rPr>
            </w:pPr>
          </w:p>
        </w:tc>
        <w:tc>
          <w:tcPr>
            <w:tcW w:w="58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62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58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62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58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620" w:type="dxa"/>
            <w:vAlign w:val="bottom"/>
            <w:shd w:val="clear" w:color="auto" w:fill="D1D2D4"/>
          </w:tcPr>
          <w:p>
            <w:pPr>
              <w:spacing w:after="0"/>
              <w:rPr>
                <w:sz w:val="19"/>
                <w:szCs w:val="19"/>
                <w:color w:val="auto"/>
              </w:rPr>
            </w:pPr>
          </w:p>
        </w:tc>
        <w:tc>
          <w:tcPr>
            <w:tcW w:w="8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58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6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239</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ESPP</w:t>
            </w:r>
          </w:p>
        </w:tc>
        <w:tc>
          <w:tcPr>
            <w:tcW w:w="580" w:type="dxa"/>
            <w:vAlign w:val="bottom"/>
            <w:tcBorders>
              <w:bottom w:val="single" w:sz="8" w:color="auto"/>
            </w:tcBorders>
            <w:shd w:val="clear" w:color="auto" w:fill="D1D2D4"/>
          </w:tcPr>
          <w:p>
            <w:pPr>
              <w:spacing w:after="0"/>
              <w:rPr>
                <w:sz w:val="19"/>
                <w:szCs w:val="19"/>
                <w:color w:val="auto"/>
              </w:rPr>
            </w:pP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62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1D2D4"/>
          </w:tcPr>
          <w:p>
            <w:pPr>
              <w:spacing w:after="0"/>
              <w:rPr>
                <w:sz w:val="19"/>
                <w:szCs w:val="19"/>
                <w:color w:val="auto"/>
              </w:rPr>
            </w:pPr>
          </w:p>
        </w:tc>
        <w:tc>
          <w:tcPr>
            <w:tcW w:w="580" w:type="dxa"/>
            <w:vAlign w:val="bottom"/>
            <w:tcBorders>
              <w:bottom w:val="single" w:sz="8" w:color="auto"/>
            </w:tcBorders>
            <w:shd w:val="clear" w:color="auto" w:fill="D1D2D4"/>
          </w:tcPr>
          <w:p>
            <w:pPr>
              <w:spacing w:after="0"/>
              <w:rPr>
                <w:sz w:val="19"/>
                <w:szCs w:val="19"/>
                <w:color w:val="auto"/>
              </w:rPr>
            </w:pP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w:t>
            </w:r>
          </w:p>
        </w:tc>
        <w:tc>
          <w:tcPr>
            <w:tcW w:w="62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54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r>
      <w:tr>
        <w:trPr>
          <w:trHeight w:val="21"/>
        </w:trPr>
        <w:tc>
          <w:tcPr>
            <w:tcW w:w="5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As of May 29, 2025, $1.73 billion of total unrecognized compensation costs for unvested awards, before the effect of any future forfeitures, was expected to be recognized through the third quarter of 2029, resulting in a weighted-average period of 1.3 years.</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Customer Contract Liabilities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Technology</w:t>
      </w:r>
    </w:p>
    <w:p>
      <w:pPr>
        <w:sectPr>
          <w:pgSz w:w="11900" w:h="16838" w:orient="portrait"/>
          <w:cols w:equalWidth="0" w:num="1">
            <w:col w:w="11240"/>
          </w:cols>
          <w:pgMar w:left="320" w:top="125" w:right="339" w:bottom="1440" w:gutter="0" w:footer="0" w:header="0"/>
          <w:type w:val="continuous"/>
        </w:sectPr>
      </w:pPr>
    </w:p>
    <w:p>
      <w:pPr>
        <w:spacing w:after="0" w:line="283"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17780</wp:posOffset>
            </wp:positionV>
            <wp:extent cx="18256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 w:lineRule="exact"/>
        <w:rPr>
          <w:sz w:val="20"/>
          <w:szCs w:val="20"/>
          <w:color w:val="auto"/>
        </w:rPr>
      </w:pPr>
    </w:p>
    <w:p>
      <w:pPr>
        <w:jc w:val="center"/>
        <w:ind w:left="554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2374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37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17780</wp:posOffset>
            </wp:positionV>
            <wp:extent cx="18345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 w:lineRule="exact"/>
        <w:rPr>
          <w:sz w:val="20"/>
          <w:szCs w:val="20"/>
          <w:color w:val="auto"/>
        </w:rPr>
      </w:pPr>
    </w:p>
    <w:p>
      <w:pPr>
        <w:jc w:val="center"/>
        <w:ind w:right="18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15240</wp:posOffset>
            </wp:positionV>
            <wp:extent cx="18345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8080" w:space="440"/>
            <w:col w:w="2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52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7,071</w:t>
            </w:r>
          </w:p>
        </w:tc>
        <w:tc>
          <w:tcPr>
            <w:tcW w:w="54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D1D2D4"/>
          </w:tcPr>
          <w:p>
            <w:pPr>
              <w:spacing w:after="0"/>
              <w:rPr>
                <w:sz w:val="19"/>
                <w:szCs w:val="19"/>
                <w:color w:val="auto"/>
              </w:rPr>
            </w:pPr>
          </w:p>
        </w:tc>
        <w:tc>
          <w:tcPr>
            <w:tcW w:w="460" w:type="dxa"/>
            <w:vAlign w:val="bottom"/>
            <w:shd w:val="clear" w:color="auto" w:fill="D1D2D4"/>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19,594</w:t>
            </w:r>
          </w:p>
        </w:tc>
        <w:tc>
          <w:tcPr>
            <w:tcW w:w="50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12,277</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NAND</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2,155</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6,251</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4,862</w:t>
            </w: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NOR)</w:t>
            </w:r>
          </w:p>
        </w:tc>
        <w:tc>
          <w:tcPr>
            <w:tcW w:w="520" w:type="dxa"/>
            <w:vAlign w:val="bottom"/>
            <w:tcBorders>
              <w:bottom w:val="single" w:sz="8" w:color="auto"/>
            </w:tcBorders>
            <w:shd w:val="clear" w:color="auto" w:fill="D1D2D4"/>
          </w:tcPr>
          <w:p>
            <w:pPr>
              <w:spacing w:after="0"/>
              <w:rPr>
                <w:sz w:val="19"/>
                <w:szCs w:val="19"/>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540" w:type="dxa"/>
            <w:vAlign w:val="bottom"/>
            <w:tcBorders>
              <w:bottom w:val="single" w:sz="8" w:color="auto"/>
            </w:tcBorders>
            <w:shd w:val="clear" w:color="auto" w:fill="D1D2D4"/>
          </w:tcPr>
          <w:p>
            <w:pPr>
              <w:spacing w:after="0"/>
              <w:rPr>
                <w:sz w:val="19"/>
                <w:szCs w:val="19"/>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D1D2D4"/>
          </w:tcPr>
          <w:p>
            <w:pPr>
              <w:spacing w:after="0"/>
              <w:rPr>
                <w:sz w:val="19"/>
                <w:szCs w:val="19"/>
                <w:color w:val="auto"/>
              </w:rPr>
            </w:pPr>
          </w:p>
        </w:tc>
        <w:tc>
          <w:tcPr>
            <w:tcW w:w="460" w:type="dxa"/>
            <w:vAlign w:val="bottom"/>
            <w:tcBorders>
              <w:bottom w:val="single" w:sz="8" w:color="auto"/>
            </w:tcBorders>
            <w:shd w:val="clear" w:color="auto" w:fill="D1D2D4"/>
          </w:tcPr>
          <w:p>
            <w:pPr>
              <w:spacing w:after="0"/>
              <w:rPr>
                <w:sz w:val="19"/>
                <w:szCs w:val="19"/>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218</w:t>
            </w:r>
          </w:p>
        </w:tc>
        <w:tc>
          <w:tcPr>
            <w:tcW w:w="50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53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26,063</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17,361</w:t>
            </w:r>
          </w:p>
        </w:tc>
      </w:tr>
      <w:tr>
        <w:trPr>
          <w:trHeight w:val="20"/>
        </w:trPr>
        <w:tc>
          <w:tcPr>
            <w:tcW w:w="5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See “Item 1. Financial Statements – Notes to Consolidated Financial Statements – Segment and Other Information” for disclosure of disaggregated revenue by market segment.</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May 29, 2025, our future performance obligations beyond one year were $143 million, which included customer prepayments and other contract liabilities.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As of May 29, 2025 and August 29, 2024, customer prepayments made to secure product supply in future periods and other contract liabilities were $146 million and $907 million, respectively, of which $ 3 million and $766 million were reported in other current liabilities, respectively. The remainder of the customer prepayments and other contract liabilities were in other noncurrent liabilities. Revenue recognized during the first nine months of 2025 from the beginning balance as of August 29, 2024 included $777 million from shipments against customer prepayments and other contract liabilities.</w:t>
      </w:r>
    </w:p>
    <w:p>
      <w:pPr>
        <w:spacing w:after="0" w:line="206"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of May 29, 2025 and August 29, 2024, other current liabilities included $807 million and $718 million, respectively, for estimates of consideration payable to customers including estimates for pricing adjustments and returns.</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Operating (Income) Expense, Net</w:t>
      </w:r>
    </w:p>
    <w:p>
      <w:pPr>
        <w:sectPr>
          <w:pgSz w:w="11900" w:h="16838" w:orient="portrait"/>
          <w:cols w:equalWidth="0" w:num="1">
            <w:col w:w="11240"/>
          </w:cols>
          <w:pgMar w:left="320" w:top="125" w:right="339" w:bottom="1440" w:gutter="0" w:footer="0" w:header="0"/>
        </w:sectPr>
      </w:pPr>
    </w:p>
    <w:p>
      <w:pPr>
        <w:spacing w:after="0" w:line="73" w:lineRule="exact"/>
        <w:rPr>
          <w:sz w:val="20"/>
          <w:szCs w:val="20"/>
          <w:color w:val="auto"/>
        </w:rPr>
      </w:pPr>
    </w:p>
    <w:p>
      <w:pPr>
        <w:jc w:val="center"/>
        <w:ind w:left="554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6350</wp:posOffset>
            </wp:positionV>
            <wp:extent cx="18256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 w:lineRule="exact"/>
        <w:rPr>
          <w:sz w:val="20"/>
          <w:szCs w:val="20"/>
          <w:color w:val="auto"/>
        </w:rPr>
      </w:pPr>
    </w:p>
    <w:p>
      <w:pPr>
        <w:jc w:val="center"/>
        <w:ind w:left="556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2374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37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6350</wp:posOffset>
            </wp:positionV>
            <wp:extent cx="18345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 w:lineRule="exact"/>
        <w:rPr>
          <w:sz w:val="20"/>
          <w:szCs w:val="20"/>
          <w:color w:val="auto"/>
        </w:rPr>
      </w:pPr>
    </w:p>
    <w:p>
      <w:pPr>
        <w:jc w:val="center"/>
        <w:ind w:right="18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15240</wp:posOffset>
            </wp:positionV>
            <wp:extent cx="18345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8100" w:space="420"/>
            <w:col w:w="2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Patent license charges</w:t>
            </w:r>
          </w:p>
        </w:tc>
        <w:tc>
          <w:tcPr>
            <w:tcW w:w="640" w:type="dxa"/>
            <w:vAlign w:val="bottom"/>
            <w:shd w:val="clear" w:color="auto" w:fill="D1D2D4"/>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600" w:type="dxa"/>
            <w:vAlign w:val="bottom"/>
            <w:shd w:val="clear" w:color="auto" w:fill="D1D2D4"/>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D1D2D4"/>
          </w:tcPr>
          <w:p>
            <w:pPr>
              <w:jc w:val="center"/>
              <w:ind w:left="3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ind w:right="4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600" w:type="dxa"/>
            <w:vAlign w:val="bottom"/>
            <w:shd w:val="clear" w:color="auto" w:fill="D1D2D4"/>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Patent cross-license agreement gain</w:t>
            </w: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40" w:type="dxa"/>
            <w:vAlign w:val="bottom"/>
            <w:gridSpan w:val="2"/>
          </w:tcPr>
          <w:p>
            <w:pPr>
              <w:jc w:val="center"/>
              <w:ind w:left="310"/>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shd w:val="clear" w:color="auto" w:fill="D1D2D4"/>
          </w:tcPr>
          <w:p>
            <w:pPr>
              <w:jc w:val="center"/>
              <w:ind w:left="350"/>
              <w:spacing w:after="0"/>
              <w:rPr>
                <w:sz w:val="20"/>
                <w:szCs w:val="20"/>
                <w:color w:val="auto"/>
              </w:rPr>
            </w:pPr>
            <w:r>
              <w:rPr>
                <w:rFonts w:ascii="Arial" w:cs="Arial" w:eastAsia="Arial" w:hAnsi="Arial"/>
                <w:sz w:val="18"/>
                <w:szCs w:val="18"/>
                <w:color w:val="auto"/>
                <w:w w:val="99"/>
              </w:rPr>
              <w:t>(28)</w:t>
            </w:r>
          </w:p>
        </w:tc>
        <w:tc>
          <w:tcPr>
            <w:tcW w:w="10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auto"/>
            </w:tcBorders>
            <w:shd w:val="clear" w:color="auto" w:fill="D1D2D4"/>
          </w:tcPr>
          <w:p>
            <w:pPr>
              <w:spacing w:after="0"/>
              <w:rPr>
                <w:sz w:val="19"/>
                <w:szCs w:val="19"/>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53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9"/>
              </w:rPr>
              <w:t>(28)</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1"/>
        </w:trPr>
        <w:tc>
          <w:tcPr>
            <w:tcW w:w="5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benefit consisted of the following:</w:t>
      </w:r>
    </w:p>
    <w:p>
      <w:pPr>
        <w:sectPr>
          <w:pgSz w:w="11900" w:h="16838" w:orient="portrait"/>
          <w:cols w:equalWidth="0" w:num="1">
            <w:col w:w="11240"/>
          </w:cols>
          <w:pgMar w:left="320" w:top="125" w:right="339" w:bottom="1440" w:gutter="0" w:footer="0" w:header="0"/>
          <w:type w:val="continuous"/>
        </w:sectPr>
      </w:pPr>
    </w:p>
    <w:p>
      <w:pPr>
        <w:spacing w:after="0" w:line="50"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17780</wp:posOffset>
            </wp:positionV>
            <wp:extent cx="19456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 w:lineRule="exact"/>
        <w:rPr>
          <w:sz w:val="20"/>
          <w:szCs w:val="20"/>
          <w:color w:val="auto"/>
        </w:rPr>
      </w:pPr>
    </w:p>
    <w:p>
      <w:pPr>
        <w:ind w:left="5220"/>
        <w:spacing w:after="0"/>
        <w:tabs>
          <w:tab w:leader="none" w:pos="674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117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17780</wp:posOffset>
            </wp:positionV>
            <wp:extent cx="19545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15240</wp:posOffset>
            </wp:positionV>
            <wp:extent cx="19545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7860" w:space="520"/>
            <w:col w:w="28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180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2,113</w:t>
            </w:r>
          </w:p>
        </w:tc>
        <w:tc>
          <w:tcPr>
            <w:tcW w:w="52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715</w:t>
            </w:r>
          </w:p>
        </w:tc>
        <w:tc>
          <w:tcPr>
            <w:tcW w:w="520" w:type="dxa"/>
            <w:vAlign w:val="bottom"/>
            <w:shd w:val="clear" w:color="auto" w:fill="D1D2D4"/>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6,023</w:t>
            </w:r>
          </w:p>
        </w:tc>
        <w:tc>
          <w:tcPr>
            <w:tcW w:w="52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(270)</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8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(235)</w:t>
            </w:r>
          </w:p>
        </w:tc>
        <w:tc>
          <w:tcPr>
            <w:tcW w:w="5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(377)</w:t>
            </w:r>
          </w:p>
        </w:tc>
        <w:tc>
          <w:tcPr>
            <w:tcW w:w="5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(695)</w:t>
            </w:r>
          </w:p>
        </w:tc>
        <w:tc>
          <w:tcPr>
            <w:tcW w:w="5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172</w:t>
            </w: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18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11.1 %</w:t>
            </w:r>
          </w:p>
        </w:tc>
        <w:tc>
          <w:tcPr>
            <w:tcW w:w="5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52.7 %</w:t>
            </w:r>
          </w:p>
        </w:tc>
        <w:tc>
          <w:tcPr>
            <w:tcW w:w="5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11.5 %</w:t>
            </w:r>
          </w:p>
        </w:tc>
        <w:tc>
          <w:tcPr>
            <w:tcW w:w="5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63.7 %</w:t>
            </w:r>
          </w:p>
        </w:tc>
      </w:tr>
    </w:tbl>
    <w:p>
      <w:pPr>
        <w:spacing w:after="0" w:line="30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change in our effective tax rate for the third quarter of 2025 and the first nine months of 2025 as compared to the respective periods in 2024 was primarily due to changes in profitability.</w:t>
      </w:r>
    </w:p>
    <w:p>
      <w:pPr>
        <w:spacing w:after="0" w:line="1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$240 million (benefiting our diluted earnings per share by $0.21) and $ 623 million (benefiting our diluted earnings per share by $0.55) for the third quarter and first nine months of 2025, respectively. As a result of the low level of profitability and geographic mix of income, the benefit from tax incentive arrangements was not material for the third quarter and first nine months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ectPr>
          <w:pgSz w:w="11900" w:h="16838" w:orient="portrait"/>
          <w:cols w:equalWidth="0" w:num="1">
            <w:col w:w="11240"/>
          </w:cols>
          <w:pgMar w:left="320" w:top="125" w:right="339" w:bottom="1440" w:gutter="0" w:footer="0" w:header="0"/>
        </w:sectPr>
      </w:pPr>
    </w:p>
    <w:p>
      <w:pPr>
        <w:spacing w:after="0" w:line="73" w:lineRule="exact"/>
        <w:rPr>
          <w:sz w:val="20"/>
          <w:szCs w:val="20"/>
          <w:color w:val="auto"/>
        </w:rPr>
      </w:pPr>
    </w:p>
    <w:p>
      <w:pPr>
        <w:jc w:val="center"/>
        <w:ind w:left="554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6350</wp:posOffset>
            </wp:positionV>
            <wp:extent cx="18256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 w:lineRule="exact"/>
        <w:rPr>
          <w:sz w:val="20"/>
          <w:szCs w:val="20"/>
          <w:color w:val="auto"/>
        </w:rPr>
      </w:pPr>
    </w:p>
    <w:p>
      <w:pPr>
        <w:jc w:val="center"/>
        <w:ind w:left="556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2374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6350</wp:posOffset>
            </wp:positionV>
            <wp:extent cx="18345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 w:lineRule="exact"/>
        <w:rPr>
          <w:sz w:val="20"/>
          <w:szCs w:val="20"/>
          <w:color w:val="auto"/>
        </w:rPr>
      </w:pPr>
    </w:p>
    <w:p>
      <w:pPr>
        <w:jc w:val="center"/>
        <w:ind w:right="18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15240</wp:posOffset>
            </wp:positionV>
            <wp:extent cx="18345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8100" w:space="420"/>
            <w:col w:w="2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 – Basic and Diluted</w:t>
            </w:r>
          </w:p>
        </w:tc>
        <w:tc>
          <w:tcPr>
            <w:tcW w:w="52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1,885</w:t>
            </w:r>
          </w:p>
        </w:tc>
        <w:tc>
          <w:tcPr>
            <w:tcW w:w="54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5,338</w:t>
            </w:r>
          </w:p>
        </w:tc>
        <w:tc>
          <w:tcPr>
            <w:tcW w:w="56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w:t>
            </w:r>
          </w:p>
        </w:tc>
      </w:tr>
      <w:tr>
        <w:trPr>
          <w:trHeight w:val="257"/>
        </w:trPr>
        <w:tc>
          <w:tcPr>
            <w:tcW w:w="5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1,118</w:t>
            </w:r>
          </w:p>
        </w:tc>
        <w:tc>
          <w:tcPr>
            <w:tcW w:w="5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D1D2D4"/>
          </w:tcPr>
          <w:p>
            <w:pPr>
              <w:spacing w:after="0"/>
              <w:rPr>
                <w:sz w:val="19"/>
                <w:szCs w:val="19"/>
                <w:color w:val="auto"/>
              </w:rPr>
            </w:pPr>
          </w:p>
        </w:tc>
        <w:tc>
          <w:tcPr>
            <w:tcW w:w="50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1,114</w:t>
            </w:r>
          </w:p>
        </w:tc>
        <w:tc>
          <w:tcPr>
            <w:tcW w:w="56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1,104</w:t>
            </w:r>
          </w:p>
        </w:tc>
      </w:tr>
      <w:tr>
        <w:trPr>
          <w:trHeight w:val="230"/>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compensation plans</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D1D2D4"/>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520" w:type="dxa"/>
            <w:vAlign w:val="bottom"/>
            <w:tcBorders>
              <w:bottom w:val="single" w:sz="8" w:color="auto"/>
            </w:tcBorders>
            <w:shd w:val="clear" w:color="auto" w:fill="D1D2D4"/>
          </w:tcPr>
          <w:p>
            <w:pPr>
              <w:spacing w:after="0"/>
              <w:rPr>
                <w:sz w:val="21"/>
                <w:szCs w:val="21"/>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1,125</w:t>
            </w:r>
          </w:p>
        </w:tc>
        <w:tc>
          <w:tcPr>
            <w:tcW w:w="540" w:type="dxa"/>
            <w:vAlign w:val="bottom"/>
            <w:tcBorders>
              <w:bottom w:val="single" w:sz="8" w:color="auto"/>
            </w:tcBorders>
            <w:shd w:val="clear" w:color="auto" w:fill="D1D2D4"/>
          </w:tcPr>
          <w:p>
            <w:pPr>
              <w:spacing w:after="0"/>
              <w:rPr>
                <w:sz w:val="21"/>
                <w:szCs w:val="21"/>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D1D2D4"/>
            </w:tcBorders>
            <w:shd w:val="clear" w:color="auto" w:fill="D1D2D4"/>
          </w:tcPr>
          <w:p>
            <w:pPr>
              <w:spacing w:after="0"/>
              <w:rPr>
                <w:sz w:val="21"/>
                <w:szCs w:val="21"/>
                <w:color w:val="auto"/>
              </w:rPr>
            </w:pPr>
          </w:p>
        </w:tc>
        <w:tc>
          <w:tcPr>
            <w:tcW w:w="500" w:type="dxa"/>
            <w:vAlign w:val="bottom"/>
            <w:tcBorders>
              <w:bottom w:val="single" w:sz="8" w:color="auto"/>
            </w:tcBorders>
            <w:shd w:val="clear" w:color="auto" w:fill="D1D2D4"/>
          </w:tcPr>
          <w:p>
            <w:pPr>
              <w:spacing w:after="0"/>
              <w:rPr>
                <w:sz w:val="21"/>
                <w:szCs w:val="21"/>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560" w:type="dxa"/>
            <w:vAlign w:val="bottom"/>
            <w:tcBorders>
              <w:bottom w:val="single" w:sz="8" w:color="auto"/>
            </w:tcBorders>
            <w:shd w:val="clear" w:color="auto" w:fill="D1D2D4"/>
          </w:tcPr>
          <w:p>
            <w:pPr>
              <w:spacing w:after="0"/>
              <w:rPr>
                <w:sz w:val="21"/>
                <w:szCs w:val="21"/>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1,104</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520" w:type="dxa"/>
            <w:vAlign w:val="bottom"/>
            <w:tcBorders>
              <w:top w:val="single" w:sz="8" w:color="D1D2D4"/>
              <w:bottom w:val="single" w:sz="8" w:color="auto"/>
            </w:tcBorders>
          </w:tcPr>
          <w:p>
            <w:pPr>
              <w:spacing w:after="0" w:line="20" w:lineRule="exact"/>
              <w:rPr>
                <w:sz w:val="1"/>
                <w:szCs w:val="1"/>
                <w:color w:val="auto"/>
              </w:rPr>
            </w:pPr>
          </w:p>
        </w:tc>
        <w:tc>
          <w:tcPr>
            <w:tcW w:w="900" w:type="dxa"/>
            <w:vAlign w:val="bottom"/>
            <w:tcBorders>
              <w:top w:val="single" w:sz="8" w:color="D1D2D4"/>
              <w:bottom w:val="single" w:sz="8" w:color="auto"/>
            </w:tcBorders>
          </w:tcPr>
          <w:p>
            <w:pPr>
              <w:spacing w:after="0" w:line="20" w:lineRule="exact"/>
              <w:rPr>
                <w:sz w:val="1"/>
                <w:szCs w:val="1"/>
                <w:color w:val="auto"/>
              </w:rPr>
            </w:pPr>
          </w:p>
        </w:tc>
        <w:tc>
          <w:tcPr>
            <w:tcW w:w="540" w:type="dxa"/>
            <w:vAlign w:val="bottom"/>
            <w:tcBorders>
              <w:top w:val="single" w:sz="8" w:color="D1D2D4"/>
              <w:bottom w:val="single" w:sz="8" w:color="auto"/>
            </w:tcBorders>
          </w:tcPr>
          <w:p>
            <w:pPr>
              <w:spacing w:after="0" w:line="20" w:lineRule="exact"/>
              <w:rPr>
                <w:sz w:val="1"/>
                <w:szCs w:val="1"/>
                <w:color w:val="auto"/>
              </w:rPr>
            </w:pPr>
          </w:p>
        </w:tc>
        <w:tc>
          <w:tcPr>
            <w:tcW w:w="9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500" w:type="dxa"/>
            <w:vAlign w:val="bottom"/>
            <w:tcBorders>
              <w:top w:val="single" w:sz="8" w:color="D1D2D4"/>
              <w:bottom w:val="single" w:sz="8" w:color="auto"/>
            </w:tcBorders>
          </w:tcPr>
          <w:p>
            <w:pPr>
              <w:spacing w:after="0" w:line="20" w:lineRule="exact"/>
              <w:rPr>
                <w:sz w:val="1"/>
                <w:szCs w:val="1"/>
                <w:color w:val="auto"/>
              </w:rPr>
            </w:pPr>
          </w:p>
        </w:tc>
        <w:tc>
          <w:tcPr>
            <w:tcW w:w="900" w:type="dxa"/>
            <w:vAlign w:val="bottom"/>
            <w:tcBorders>
              <w:top w:val="single" w:sz="8" w:color="D1D2D4"/>
              <w:bottom w:val="single" w:sz="8" w:color="auto"/>
            </w:tcBorders>
          </w:tcPr>
          <w:p>
            <w:pPr>
              <w:spacing w:after="0" w:line="20" w:lineRule="exact"/>
              <w:rPr>
                <w:sz w:val="1"/>
                <w:szCs w:val="1"/>
                <w:color w:val="auto"/>
              </w:rPr>
            </w:pPr>
          </w:p>
        </w:tc>
        <w:tc>
          <w:tcPr>
            <w:tcW w:w="560" w:type="dxa"/>
            <w:vAlign w:val="bottom"/>
            <w:tcBorders>
              <w:top w:val="single" w:sz="8" w:color="D1D2D4"/>
              <w:bottom w:val="single" w:sz="8" w:color="auto"/>
            </w:tcBorders>
          </w:tcPr>
          <w:p>
            <w:pPr>
              <w:spacing w:after="0" w:line="20" w:lineRule="exact"/>
              <w:rPr>
                <w:sz w:val="1"/>
                <w:szCs w:val="1"/>
                <w:color w:val="auto"/>
              </w:rPr>
            </w:pPr>
          </w:p>
        </w:tc>
        <w:tc>
          <w:tcPr>
            <w:tcW w:w="92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54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50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56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r>
      <w:tr>
        <w:trPr>
          <w:trHeight w:val="229"/>
        </w:trPr>
        <w:tc>
          <w:tcPr>
            <w:tcW w:w="5380" w:type="dxa"/>
            <w:vAlign w:val="bottom"/>
          </w:tcPr>
          <w:p>
            <w:pPr>
              <w:ind w:left="30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4.79</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538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w:t>
            </w:r>
          </w:p>
        </w:tc>
        <w:tc>
          <w:tcPr>
            <w:tcW w:w="5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D1D2D4"/>
          </w:tcPr>
          <w:p>
            <w:pPr>
              <w:spacing w:after="0"/>
              <w:rPr>
                <w:sz w:val="19"/>
                <w:szCs w:val="19"/>
                <w:color w:val="auto"/>
              </w:rPr>
            </w:pPr>
          </w:p>
        </w:tc>
        <w:tc>
          <w:tcPr>
            <w:tcW w:w="50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4.75</w:t>
            </w:r>
          </w:p>
        </w:tc>
        <w:tc>
          <w:tcPr>
            <w:tcW w:w="56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(0.10)</w:t>
            </w:r>
          </w:p>
        </w:tc>
      </w:tr>
    </w:tbl>
    <w:p>
      <w:pPr>
        <w:spacing w:after="0" w:line="3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Antidilutive potential common shares excluded from the computation of diluted earnings per share, that could dilute basic earnings per share in the future, were 7 million and 10 million for the third quarter and first nine months of 2025, respectively, and were 1 million and 31 million for the third quarter and first nine months of 2024,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5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Segment information reported herein is consistent with how it was reviewed and evaluated by our chief operating decision maker for the applicable time periods. Through the first nine months of 2025, we had the following four business units, which were our reportable segments:</w:t>
      </w:r>
    </w:p>
    <w:p>
      <w:pPr>
        <w:spacing w:after="0" w:line="198" w:lineRule="exact"/>
        <w:rPr>
          <w:sz w:val="20"/>
          <w:szCs w:val="20"/>
          <w:color w:val="auto"/>
        </w:rPr>
      </w:pPr>
    </w:p>
    <w:p>
      <w:pPr>
        <w:ind w:left="660" w:right="600" w:hanging="328"/>
        <w:spacing w:after="0" w:line="281"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and solutions sold into the data center, 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graphics, and networking markets.</w:t>
      </w:r>
    </w:p>
    <w:p>
      <w:pPr>
        <w:spacing w:after="0" w:line="1" w:lineRule="exact"/>
        <w:rPr>
          <w:rFonts w:ascii="Arial" w:cs="Arial" w:eastAsia="Arial" w:hAnsi="Arial"/>
          <w:sz w:val="18"/>
          <w:szCs w:val="18"/>
          <w:b w:val="1"/>
          <w:bCs w:val="1"/>
          <w:i w:val="1"/>
          <w:iCs w:val="1"/>
          <w:color w:val="auto"/>
        </w:rPr>
      </w:pPr>
    </w:p>
    <w:p>
      <w:pPr>
        <w:ind w:left="660" w:right="800" w:hanging="328"/>
        <w:spacing w:after="0" w:line="28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storage solutions sold into the data center, PC,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the smartphone and other mobile-device markets.</w:t>
      </w:r>
    </w:p>
    <w:p>
      <w:pPr>
        <w:spacing w:after="0" w:line="63" w:lineRule="exact"/>
        <w:rPr>
          <w:rFonts w:ascii="Arial" w:cs="Arial" w:eastAsia="Arial" w:hAnsi="Arial"/>
          <w:sz w:val="18"/>
          <w:szCs w:val="18"/>
          <w:b w:val="1"/>
          <w:bCs w:val="1"/>
          <w:i w:val="1"/>
          <w:iCs w:val="1"/>
          <w:color w:val="auto"/>
        </w:rPr>
      </w:pPr>
    </w:p>
    <w:p>
      <w:pPr>
        <w:ind w:left="660" w:right="120" w:hanging="328"/>
        <w:spacing w:after="0" w:line="287"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and solutions sold into the intelligent edge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automotive, industrial, and consumer embedded markets.</w:t>
      </w:r>
    </w:p>
    <w:p>
      <w:pPr>
        <w:spacing w:after="0" w:line="234"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31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6"/>
          <w:szCs w:val="16"/>
          <w:b w:val="1"/>
          <w:bCs w:val="1"/>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17780</wp:posOffset>
            </wp:positionV>
            <wp:extent cx="18256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 w:lineRule="exact"/>
        <w:rPr>
          <w:sz w:val="20"/>
          <w:szCs w:val="20"/>
          <w:color w:val="auto"/>
        </w:rPr>
      </w:pPr>
    </w:p>
    <w:p>
      <w:pPr>
        <w:jc w:val="center"/>
        <w:ind w:left="554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2374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17780</wp:posOffset>
            </wp:positionV>
            <wp:extent cx="18345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 w:lineRule="exact"/>
        <w:rPr>
          <w:sz w:val="20"/>
          <w:szCs w:val="20"/>
          <w:color w:val="auto"/>
        </w:rPr>
      </w:pPr>
    </w:p>
    <w:p>
      <w:pPr>
        <w:jc w:val="center"/>
        <w:ind w:right="180"/>
        <w:spacing w:after="0"/>
        <w:tabs>
          <w:tab w:leader="none" w:pos="320" w:val="left"/>
        </w:tabs>
        <w:rPr>
          <w:sz w:val="20"/>
          <w:szCs w:val="20"/>
          <w:color w:val="auto"/>
        </w:rPr>
      </w:pPr>
      <w:r>
        <w:rPr>
          <w:rFonts w:ascii="Arial" w:cs="Arial" w:eastAsia="Arial" w:hAnsi="Arial"/>
          <w:sz w:val="18"/>
          <w:szCs w:val="18"/>
          <w:b w:val="1"/>
          <w:bCs w:val="1"/>
          <w:color w:val="auto"/>
        </w:rPr>
        <w:t>May 29, 2025</w:t>
      </w:r>
      <w:r>
        <w:rPr>
          <w:sz w:val="20"/>
          <w:szCs w:val="20"/>
          <w:color w:val="auto"/>
        </w:rPr>
        <w:tab/>
      </w:r>
      <w:r>
        <w:rPr>
          <w:rFonts w:ascii="Arial" w:cs="Arial" w:eastAsia="Arial" w:hAnsi="Arial"/>
          <w:sz w:val="17"/>
          <w:szCs w:val="17"/>
          <w:b w:val="1"/>
          <w:bCs w:val="1"/>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15240</wp:posOffset>
            </wp:positionV>
            <wp:extent cx="18345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8080" w:space="440"/>
            <w:col w:w="2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52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5,069</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14,028</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6,495</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1,451</w:t>
            </w:r>
          </w:p>
        </w:tc>
        <w:tc>
          <w:tcPr>
            <w:tcW w:w="52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4,574</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2,911</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MBU</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1,551</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4,479</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1,227</w:t>
            </w:r>
          </w:p>
        </w:tc>
        <w:tc>
          <w:tcPr>
            <w:tcW w:w="52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3,304</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3,442</w:t>
            </w:r>
          </w:p>
        </w:tc>
      </w:tr>
      <w:tr>
        <w:trPr>
          <w:trHeight w:val="229"/>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1D2D4"/>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revenue</w:t>
            </w:r>
          </w:p>
        </w:tc>
        <w:tc>
          <w:tcPr>
            <w:tcW w:w="520" w:type="dxa"/>
            <w:vAlign w:val="bottom"/>
            <w:tcBorders>
              <w:bottom w:val="single" w:sz="8" w:color="auto"/>
            </w:tcBorders>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9,301</w:t>
            </w:r>
          </w:p>
        </w:tc>
        <w:tc>
          <w:tcPr>
            <w:tcW w:w="520" w:type="dxa"/>
            <w:vAlign w:val="bottom"/>
            <w:tcBorders>
              <w:bottom w:val="single" w:sz="8" w:color="auto"/>
            </w:tcBorders>
            <w:shd w:val="clear" w:color="auto" w:fill="D1D2D4"/>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6,811</w:t>
            </w:r>
          </w:p>
        </w:tc>
        <w:tc>
          <w:tcPr>
            <w:tcW w:w="100" w:type="dxa"/>
            <w:vAlign w:val="bottom"/>
            <w:tcBorders>
              <w:bottom w:val="single" w:sz="8" w:color="D1D2D4"/>
            </w:tcBorders>
            <w:shd w:val="clear" w:color="auto" w:fill="D1D2D4"/>
          </w:tcPr>
          <w:p>
            <w:pPr>
              <w:spacing w:after="0"/>
              <w:rPr>
                <w:sz w:val="21"/>
                <w:szCs w:val="21"/>
                <w:color w:val="auto"/>
              </w:rPr>
            </w:pPr>
          </w:p>
        </w:tc>
        <w:tc>
          <w:tcPr>
            <w:tcW w:w="460" w:type="dxa"/>
            <w:vAlign w:val="bottom"/>
            <w:tcBorders>
              <w:bottom w:val="single" w:sz="8" w:color="auto"/>
            </w:tcBorders>
            <w:shd w:val="clear" w:color="auto" w:fill="D1D2D4"/>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26,063</w:t>
            </w:r>
          </w:p>
        </w:tc>
        <w:tc>
          <w:tcPr>
            <w:tcW w:w="460" w:type="dxa"/>
            <w:vAlign w:val="bottom"/>
            <w:tcBorders>
              <w:bottom w:val="single" w:sz="8" w:color="auto"/>
            </w:tcBorders>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17,361</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520" w:type="dxa"/>
            <w:vAlign w:val="bottom"/>
            <w:tcBorders>
              <w:top w:val="single" w:sz="8" w:color="D1D2D4"/>
              <w:bottom w:val="single" w:sz="8" w:color="auto"/>
            </w:tcBorders>
          </w:tcPr>
          <w:p>
            <w:pPr>
              <w:spacing w:after="0" w:line="20" w:lineRule="exact"/>
              <w:rPr>
                <w:sz w:val="1"/>
                <w:szCs w:val="1"/>
                <w:color w:val="auto"/>
              </w:rPr>
            </w:pPr>
          </w:p>
        </w:tc>
        <w:tc>
          <w:tcPr>
            <w:tcW w:w="900" w:type="dxa"/>
            <w:vAlign w:val="bottom"/>
            <w:tcBorders>
              <w:top w:val="single" w:sz="8" w:color="D1D2D4"/>
              <w:bottom w:val="single" w:sz="8" w:color="auto"/>
            </w:tcBorders>
          </w:tcPr>
          <w:p>
            <w:pPr>
              <w:spacing w:after="0" w:line="20" w:lineRule="exact"/>
              <w:rPr>
                <w:sz w:val="1"/>
                <w:szCs w:val="1"/>
                <w:color w:val="auto"/>
              </w:rPr>
            </w:pPr>
          </w:p>
        </w:tc>
        <w:tc>
          <w:tcPr>
            <w:tcW w:w="520" w:type="dxa"/>
            <w:vAlign w:val="bottom"/>
            <w:tcBorders>
              <w:top w:val="single" w:sz="8" w:color="D1D2D4"/>
              <w:bottom w:val="single" w:sz="8" w:color="auto"/>
            </w:tcBorders>
          </w:tcPr>
          <w:p>
            <w:pPr>
              <w:spacing w:after="0" w:line="20" w:lineRule="exact"/>
              <w:rPr>
                <w:sz w:val="1"/>
                <w:szCs w:val="1"/>
                <w:color w:val="auto"/>
              </w:rPr>
            </w:pPr>
          </w:p>
        </w:tc>
        <w:tc>
          <w:tcPr>
            <w:tcW w:w="94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52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2,182</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5,812</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52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362</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(631)</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MBU</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52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1D2D4"/>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380" w:type="dxa"/>
            <w:vAlign w:val="bottom"/>
            <w:shd w:val="clear" w:color="auto" w:fill="D1D2D4"/>
          </w:tcPr>
          <w:p>
            <w:pPr>
              <w:spacing w:after="0"/>
              <w:rPr>
                <w:sz w:val="19"/>
                <w:szCs w:val="19"/>
                <w:color w:val="auto"/>
              </w:rPr>
            </w:pPr>
          </w:p>
        </w:tc>
        <w:tc>
          <w:tcPr>
            <w:tcW w:w="520" w:type="dxa"/>
            <w:vAlign w:val="bottom"/>
            <w:tcBorders>
              <w:bottom w:val="single" w:sz="8" w:color="auto"/>
            </w:tcBorders>
            <w:shd w:val="clear" w:color="auto" w:fill="D1D2D4"/>
          </w:tcPr>
          <w:p>
            <w:pPr>
              <w:spacing w:after="0"/>
              <w:rPr>
                <w:sz w:val="19"/>
                <w:szCs w:val="19"/>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2,490</w:t>
            </w:r>
          </w:p>
        </w:tc>
        <w:tc>
          <w:tcPr>
            <w:tcW w:w="520" w:type="dxa"/>
            <w:vAlign w:val="bottom"/>
            <w:tcBorders>
              <w:bottom w:val="single" w:sz="8" w:color="auto"/>
            </w:tcBorders>
            <w:shd w:val="clear" w:color="auto" w:fill="D1D2D4"/>
          </w:tcPr>
          <w:p>
            <w:pPr>
              <w:spacing w:after="0"/>
              <w:rPr>
                <w:sz w:val="19"/>
                <w:szCs w:val="19"/>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D1D2D4"/>
          </w:tcPr>
          <w:p>
            <w:pPr>
              <w:spacing w:after="0"/>
              <w:rPr>
                <w:sz w:val="19"/>
                <w:szCs w:val="19"/>
                <w:color w:val="auto"/>
              </w:rPr>
            </w:pPr>
          </w:p>
        </w:tc>
        <w:tc>
          <w:tcPr>
            <w:tcW w:w="46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6,891</w:t>
            </w:r>
          </w:p>
        </w:tc>
        <w:tc>
          <w:tcPr>
            <w:tcW w:w="46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(797)</w:t>
            </w:r>
          </w:p>
        </w:tc>
      </w:tr>
      <w:tr>
        <w:trPr>
          <w:trHeight w:val="237"/>
        </w:trPr>
        <w:tc>
          <w:tcPr>
            <w:tcW w:w="5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52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520" w:type="dxa"/>
            <w:vAlign w:val="bottom"/>
            <w:shd w:val="clear" w:color="auto" w:fill="D1D2D4"/>
          </w:tcPr>
          <w:p>
            <w:pPr>
              <w:spacing w:after="0"/>
              <w:rPr>
                <w:sz w:val="19"/>
                <w:szCs w:val="19"/>
                <w:color w:val="auto"/>
              </w:rPr>
            </w:pPr>
          </w:p>
        </w:tc>
        <w:tc>
          <w:tcPr>
            <w:tcW w:w="104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Lower costs from sale of inventory written down in prior periods</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987</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cross-license agreement gain</w:t>
            </w:r>
          </w:p>
        </w:tc>
        <w:tc>
          <w:tcPr>
            <w:tcW w:w="52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1D2D4"/>
          </w:tcPr>
          <w:p>
            <w:pPr>
              <w:spacing w:after="0"/>
              <w:rPr>
                <w:sz w:val="19"/>
                <w:szCs w:val="19"/>
                <w:color w:val="auto"/>
              </w:rPr>
            </w:pPr>
          </w:p>
        </w:tc>
        <w:tc>
          <w:tcPr>
            <w:tcW w:w="104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D1D2D4"/>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shd w:val="clear" w:color="auto" w:fill="D1D2D4"/>
          </w:tcPr>
          <w:p>
            <w:pPr>
              <w:spacing w:after="0"/>
              <w:rPr>
                <w:sz w:val="19"/>
                <w:szCs w:val="19"/>
                <w:color w:val="auto"/>
              </w:rPr>
            </w:pPr>
          </w:p>
        </w:tc>
        <w:tc>
          <w:tcPr>
            <w:tcW w:w="520" w:type="dxa"/>
            <w:vAlign w:val="bottom"/>
            <w:tcBorders>
              <w:bottom w:val="single" w:sz="8" w:color="auto"/>
            </w:tcBorders>
            <w:shd w:val="clear" w:color="auto" w:fill="D1D2D4"/>
          </w:tcPr>
          <w:p>
            <w:pPr>
              <w:spacing w:after="0"/>
              <w:rPr>
                <w:sz w:val="19"/>
                <w:szCs w:val="19"/>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(321)</w:t>
            </w:r>
          </w:p>
        </w:tc>
        <w:tc>
          <w:tcPr>
            <w:tcW w:w="520" w:type="dxa"/>
            <w:vAlign w:val="bottom"/>
            <w:tcBorders>
              <w:bottom w:val="single" w:sz="8" w:color="auto"/>
            </w:tcBorders>
            <w:shd w:val="clear" w:color="auto" w:fill="D1D2D4"/>
          </w:tcPr>
          <w:p>
            <w:pPr>
              <w:spacing w:after="0"/>
              <w:rPr>
                <w:sz w:val="19"/>
                <w:szCs w:val="19"/>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D1D2D4"/>
          </w:tcPr>
          <w:p>
            <w:pPr>
              <w:spacing w:after="0"/>
              <w:rPr>
                <w:sz w:val="19"/>
                <w:szCs w:val="19"/>
                <w:color w:val="auto"/>
              </w:rPr>
            </w:pPr>
          </w:p>
        </w:tc>
        <w:tc>
          <w:tcPr>
            <w:tcW w:w="46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(775)</w:t>
            </w:r>
          </w:p>
        </w:tc>
        <w:tc>
          <w:tcPr>
            <w:tcW w:w="46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579</w:t>
            </w:r>
          </w:p>
        </w:tc>
      </w:tr>
      <w:tr>
        <w:trPr>
          <w:trHeight w:val="237"/>
        </w:trPr>
        <w:tc>
          <w:tcPr>
            <w:tcW w:w="5380" w:type="dxa"/>
            <w:vAlign w:val="bottom"/>
            <w:tcBorders>
              <w:bottom w:val="single" w:sz="8" w:color="D1D2D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D1D2D4"/>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48"/>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operating income (loss)</w:t>
            </w:r>
          </w:p>
        </w:tc>
        <w:tc>
          <w:tcPr>
            <w:tcW w:w="520" w:type="dxa"/>
            <w:vAlign w:val="bottom"/>
            <w:tcBorders>
              <w:bottom w:val="single" w:sz="8" w:color="auto"/>
            </w:tcBorders>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2,169</w:t>
            </w:r>
          </w:p>
        </w:tc>
        <w:tc>
          <w:tcPr>
            <w:tcW w:w="520" w:type="dxa"/>
            <w:vAlign w:val="bottom"/>
            <w:tcBorders>
              <w:bottom w:val="single" w:sz="8" w:color="auto"/>
            </w:tcBorders>
            <w:shd w:val="clear" w:color="auto" w:fill="D1D2D4"/>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D1D2D4"/>
            </w:tcBorders>
            <w:shd w:val="clear" w:color="auto" w:fill="D1D2D4"/>
          </w:tcPr>
          <w:p>
            <w:pPr>
              <w:spacing w:after="0"/>
              <w:rPr>
                <w:sz w:val="21"/>
                <w:szCs w:val="21"/>
                <w:color w:val="auto"/>
              </w:rPr>
            </w:pPr>
          </w:p>
        </w:tc>
        <w:tc>
          <w:tcPr>
            <w:tcW w:w="460" w:type="dxa"/>
            <w:vAlign w:val="bottom"/>
            <w:tcBorders>
              <w:bottom w:val="single" w:sz="8" w:color="auto"/>
            </w:tcBorders>
            <w:shd w:val="clear" w:color="auto" w:fill="D1D2D4"/>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6,116</w:t>
            </w:r>
          </w:p>
        </w:tc>
        <w:tc>
          <w:tcPr>
            <w:tcW w:w="460" w:type="dxa"/>
            <w:vAlign w:val="bottom"/>
            <w:tcBorders>
              <w:bottom w:val="single" w:sz="8" w:color="auto"/>
            </w:tcBorders>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(218)</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520" w:type="dxa"/>
            <w:vAlign w:val="bottom"/>
            <w:tcBorders>
              <w:top w:val="single" w:sz="8" w:color="D1D2D4"/>
              <w:bottom w:val="single" w:sz="8" w:color="auto"/>
            </w:tcBorders>
          </w:tcPr>
          <w:p>
            <w:pPr>
              <w:spacing w:after="0" w:line="20" w:lineRule="exact"/>
              <w:rPr>
                <w:sz w:val="1"/>
                <w:szCs w:val="1"/>
                <w:color w:val="auto"/>
              </w:rPr>
            </w:pPr>
          </w:p>
        </w:tc>
        <w:tc>
          <w:tcPr>
            <w:tcW w:w="900" w:type="dxa"/>
            <w:vAlign w:val="bottom"/>
            <w:tcBorders>
              <w:top w:val="single" w:sz="8" w:color="D1D2D4"/>
              <w:bottom w:val="single" w:sz="8" w:color="auto"/>
            </w:tcBorders>
          </w:tcPr>
          <w:p>
            <w:pPr>
              <w:spacing w:after="0" w:line="20" w:lineRule="exact"/>
              <w:rPr>
                <w:sz w:val="1"/>
                <w:szCs w:val="1"/>
                <w:color w:val="auto"/>
              </w:rPr>
            </w:pPr>
          </w:p>
        </w:tc>
        <w:tc>
          <w:tcPr>
            <w:tcW w:w="520" w:type="dxa"/>
            <w:vAlign w:val="bottom"/>
            <w:tcBorders>
              <w:top w:val="single" w:sz="8" w:color="D1D2D4"/>
              <w:bottom w:val="single" w:sz="8" w:color="auto"/>
            </w:tcBorders>
          </w:tcPr>
          <w:p>
            <w:pPr>
              <w:spacing w:after="0" w:line="20" w:lineRule="exact"/>
              <w:rPr>
                <w:sz w:val="1"/>
                <w:szCs w:val="1"/>
                <w:color w:val="auto"/>
              </w:rPr>
            </w:pPr>
          </w:p>
        </w:tc>
        <w:tc>
          <w:tcPr>
            <w:tcW w:w="94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initiated a strategic reorganization of our business units to a market segment-focused business unit structure, with AI growth opportunities in every business unit. We completed reorganization of our operations and organizational structure and began to manage operations under our new segment structure effective in the fourth quarter of 2025. As high-performance memory and storage become increasingly vital to drive the growth of AI, this business unit reorganization will allow us to stay at the forefront of innovation in each market segment through deeper customer engagement to address the dynamic needs of the industry. The changes will require us to recast our segment reporting and we will report financial results under this new structure starting with our 2025 Annual Report on Form 10-K. Under this structure, we will have the following four business units, which will be our reportable segments:</w:t>
      </w:r>
    </w:p>
    <w:p>
      <w:pPr>
        <w:spacing w:after="0" w:line="223" w:lineRule="exact"/>
        <w:rPr>
          <w:sz w:val="20"/>
          <w:szCs w:val="20"/>
          <w:color w:val="auto"/>
        </w:rPr>
      </w:pPr>
    </w:p>
    <w:p>
      <w:pPr>
        <w:ind w:left="660" w:right="360" w:hanging="328"/>
        <w:spacing w:after="0" w:line="26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b w:val="1"/>
          <w:bCs w:val="1"/>
          <w:i w:val="1"/>
          <w:iCs w:val="1"/>
          <w:color w:val="auto"/>
        </w:rPr>
        <w:t>Cloud Memory Business Unit (“CMBU”)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memory solutions for large hyperscale cloud customers, and HBM for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center customers.</w:t>
      </w:r>
    </w:p>
    <w:p>
      <w:pPr>
        <w:spacing w:after="0" w:line="26" w:lineRule="exact"/>
        <w:rPr>
          <w:rFonts w:ascii="Arial" w:cs="Arial" w:eastAsia="Arial" w:hAnsi="Arial"/>
          <w:sz w:val="20"/>
          <w:szCs w:val="20"/>
          <w:color w:val="auto"/>
        </w:rPr>
      </w:pPr>
    </w:p>
    <w:p>
      <w:pPr>
        <w:ind w:left="660" w:right="180" w:hanging="328"/>
        <w:spacing w:after="0" w:line="272"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b w:val="1"/>
          <w:bCs w:val="1"/>
          <w:i w:val="1"/>
          <w:iCs w:val="1"/>
          <w:color w:val="auto"/>
        </w:rPr>
        <w:t>Core Data Center Business Unit (“CDBU”)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memory solutions for OEM data center customers and storage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all data center customers.</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b w:val="1"/>
          <w:bCs w:val="1"/>
          <w:i w:val="1"/>
          <w:iCs w:val="1"/>
          <w:color w:val="auto"/>
        </w:rPr>
        <w:t>Mobile and Client Business Unit (“MCBU”)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memory and storage solutions for mobile and client segments.</w:t>
      </w:r>
    </w:p>
    <w:p>
      <w:pPr>
        <w:spacing w:after="0" w:line="53" w:lineRule="exact"/>
        <w:rPr>
          <w:rFonts w:ascii="Arial" w:cs="Arial" w:eastAsia="Arial" w:hAnsi="Arial"/>
          <w:sz w:val="20"/>
          <w:szCs w:val="20"/>
          <w:color w:val="auto"/>
        </w:rPr>
      </w:pPr>
    </w:p>
    <w:p>
      <w:pPr>
        <w:ind w:left="660" w:right="340" w:hanging="328"/>
        <w:spacing w:after="0" w:line="276"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b w:val="1"/>
          <w:bCs w:val="1"/>
          <w:i w:val="1"/>
          <w:iCs w:val="1"/>
          <w:color w:val="auto"/>
        </w:rPr>
        <w:t>Automotive and Embedded Business Unit (“AEBU”)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memory and storage solutions for the automotive, industrial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consumer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1154"/>
        </w:trPr>
        <w:tc>
          <w:tcPr>
            <w:tcW w:w="6820" w:type="dxa"/>
            <w:vAlign w:val="bottom"/>
          </w:tcPr>
          <w:p>
            <w:pPr>
              <w:spacing w:after="0"/>
              <w:rPr>
                <w:sz w:val="20"/>
                <w:szCs w:val="20"/>
                <w:color w:val="auto"/>
              </w:rPr>
            </w:pPr>
            <w:r>
              <w:rPr>
                <w:rFonts w:ascii="Arial" w:cs="Arial" w:eastAsia="Arial" w:hAnsi="Arial"/>
                <w:sz w:val="40"/>
                <w:szCs w:val="40"/>
                <w:b w:val="1"/>
                <w:bCs w:val="1"/>
                <w:color w:val="auto"/>
              </w:rPr>
              <w:t>Certain Concentrations</w:t>
            </w: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BD03F7"/>
            </w:tcBorders>
          </w:tcPr>
          <w:p>
            <w:pPr>
              <w:spacing w:after="0"/>
              <w:rPr>
                <w:sz w:val="24"/>
                <w:szCs w:val="24"/>
                <w:color w:val="auto"/>
              </w:rPr>
            </w:pPr>
          </w:p>
        </w:tc>
      </w:tr>
      <w:tr>
        <w:trPr>
          <w:trHeight w:val="410"/>
        </w:trPr>
        <w:tc>
          <w:tcPr>
            <w:tcW w:w="9780" w:type="dxa"/>
            <w:vAlign w:val="bottom"/>
            <w:gridSpan w:val="2"/>
          </w:tcPr>
          <w:p>
            <w:pPr>
              <w:spacing w:after="0"/>
              <w:rPr>
                <w:sz w:val="20"/>
                <w:szCs w:val="20"/>
                <w:color w:val="auto"/>
              </w:rPr>
            </w:pPr>
            <w:r>
              <w:rPr>
                <w:rFonts w:ascii="Arial" w:cs="Arial" w:eastAsia="Arial" w:hAnsi="Arial"/>
                <w:sz w:val="18"/>
                <w:szCs w:val="18"/>
                <w:color w:val="auto"/>
              </w:rPr>
              <w:t>Revenue by market segment as a percent of total revenue, rounded to the nearest 5%, is presented in the table below:</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2"/>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w:t>
            </w:r>
          </w:p>
        </w:tc>
        <w:tc>
          <w:tcPr>
            <w:tcW w:w="2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May 29, 2025</w:t>
            </w: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May 30, 2024</w:t>
            </w:r>
          </w:p>
        </w:tc>
      </w:tr>
      <w:tr>
        <w:trPr>
          <w:trHeight w:val="34"/>
        </w:trPr>
        <w:tc>
          <w:tcPr>
            <w:tcW w:w="68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6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Data center and networking</w:t>
            </w:r>
          </w:p>
        </w:tc>
        <w:tc>
          <w:tcPr>
            <w:tcW w:w="29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55 %</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Mobile</w:t>
            </w: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15 %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6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PC, graphics, and other</w:t>
            </w:r>
          </w:p>
        </w:tc>
        <w:tc>
          <w:tcPr>
            <w:tcW w:w="29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15 %</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25 %</w:t>
            </w:r>
          </w:p>
        </w:tc>
      </w:tr>
      <w:tr>
        <w:trPr>
          <w:trHeight w:val="239"/>
        </w:trPr>
        <w:tc>
          <w:tcPr>
            <w:tcW w:w="6820" w:type="dxa"/>
            <w:vAlign w:val="bottom"/>
          </w:tcPr>
          <w:p>
            <w:pPr>
              <w:ind w:left="20"/>
              <w:spacing w:after="0"/>
              <w:rPr>
                <w:sz w:val="20"/>
                <w:szCs w:val="20"/>
                <w:color w:val="auto"/>
              </w:rPr>
            </w:pPr>
            <w:r>
              <w:rPr>
                <w:rFonts w:ascii="Arial" w:cs="Arial" w:eastAsia="Arial" w:hAnsi="Arial"/>
                <w:sz w:val="18"/>
                <w:szCs w:val="18"/>
                <w:color w:val="auto"/>
              </w:rPr>
              <w:t>Intelligent edge – automotive, industrial, and consumer embedded</w:t>
            </w: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15 %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Revenue from one customer was 16% (primarily included in the CNBU segment) of total revenue for the first nine months of 2025. Revenue from one customer was 11% (primarily included in the MBU, EBU and CNBU segments) of total revenue for the first nine months of 2024.</w:t>
      </w:r>
    </w:p>
    <w:p>
      <w:pPr>
        <w:spacing w:after="0" w:line="15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CHIPS Act Funding Agreements</w:t>
      </w:r>
    </w:p>
    <w:p>
      <w:pPr>
        <w:spacing w:after="0" w:line="2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December 9, 2024, we entered into direct funding agreements with the U.S. Department of Commerce for up to $6.1 billion in direct funding pursuant to the CHIPS Act for a planned fab in Boise, Idaho and two planned fabs in Clay, New York. On June 11, 2025, we entered into amendments to the direct funding agreements to add a second planned fab in Boise, Idaho and allocated certain award funding to the second planned Idaho fab from the $6.1 billion grants previously awarded. The direct funding for up to $ 6.1 billion remains unchanged. On June 11, 2025, we also entered into a direct funding agreement with the U.S. Department of Commerce for up to $275 million in direct funding for our fab in Manassas, Virginia. The direct funding agreement for our fab in Virginia is substantially similar to those for our fabs in Idaho and New York. The grants under the funding agreements represent total CHIPS Act grants of up to $6.4 billion in connection with our U.S. manufacturing expansion and modernization projects.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Funding will be based on the achievement of construction, tool installation, and wafer production milestones. We retain discretion with respect to capacity and production volume ramp of each project. The agreements contain representations, warranties, and covenants that relate to compliance with requirements for awards provided for in the CHIPS Act. In addition, the agreements include certain events of default and related rights and remedies, including clawbacks related to the failure to complete a project by an agreed upon completion date, violation of CHIPS Act restrictions on certain activities involving foreign countries and entities of concern, and impermissible use or disposition of a project.</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permitted to make customary and ordinary course recurring dividends (and reasonable ordinary course increases thereof) consistent with our past practice. There are restrictions on our payment of special and one-time dividends during the five-year period following the Idaho and New York award date of December 9, 2024. Share repurchases are permitted during the first two years of such five-year period up to amounts specified in the funding agreements to help offset the dilutive effects of employee stock compensation or as otherwise permitted by the U.S. Department of Commerce. Share repurchases are not restricted during the final three years of such five-year period if certain financial and other conditions are satisfied.</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may be required to pay upside sharing amounts for a period of up to ten years following the first year in which the cumulative cash flow from a project is positive, if cumulative cash flows from the project exceed a threshold level that is at a significant premium to the baseline projection. The upside sharing amount would equal a modest sharing percentage of the excess cash flows above the threshold level, but not to exceed 75% of award disbursements for a project, after considering any clawbacks or other repayments.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4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This discussion should be read in conjunction with the consolidated financial statements and accompanying notes for the year ended </w:t>
      </w:r>
      <w:r>
        <w:rPr>
          <w:rFonts w:ascii="Arial" w:cs="Arial" w:eastAsia="Arial" w:hAnsi="Arial"/>
          <w:sz w:val="18"/>
          <w:szCs w:val="18"/>
          <w:color w:val="auto"/>
        </w:rPr>
        <w:t>August 29, 2024</w:t>
      </w:r>
      <w:r>
        <w:rPr>
          <w:rFonts w:ascii="Arial" w:cs="Arial" w:eastAsia="Arial" w:hAnsi="Arial"/>
          <w:sz w:val="18"/>
          <w:szCs w:val="18"/>
          <w:i w:val="1"/>
          <w:iCs w:val="1"/>
          <w:color w:val="auto"/>
        </w:rPr>
        <w:t>. All period references are to our fiscal periods unless otherwise indicated. Our fiscal year is the 52- or 53-week period</w:t>
      </w:r>
      <w:r>
        <w:rPr>
          <w:rFonts w:ascii="Arial" w:cs="Arial" w:eastAsia="Arial" w:hAnsi="Arial"/>
          <w:sz w:val="18"/>
          <w:szCs w:val="18"/>
          <w:color w:val="auto"/>
        </w:rPr>
        <w:t xml:space="preserve"> </w:t>
      </w:r>
      <w:r>
        <w:rPr>
          <w:rFonts w:ascii="Arial" w:cs="Arial" w:eastAsia="Arial" w:hAnsi="Arial"/>
          <w:sz w:val="18"/>
          <w:szCs w:val="18"/>
          <w:i w:val="1"/>
          <w:iCs w:val="1"/>
          <w:color w:val="auto"/>
        </w:rPr>
        <w:t>ending on the Thursday closest to August 31. Fiscal 2025 and 2024 each contain 52 weeks. All tabular dollar amounts are in millions, except per share amounts.</w:t>
      </w:r>
    </w:p>
    <w:p>
      <w:pPr>
        <w:spacing w:after="0" w:line="20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4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development,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face intense competition in the semiconductor memory and storage markets. To remain competitive we must continuously develop and implement new products and technologies and decrease manufacturing costs in spite of inflationary pressures and regulatory uncertainty.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Technologies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and NOR. We sell our products through our business units into various markets in numerous forms, including: components, modules, SSDs, managed NAND, multi-chip packages, and wafers. Many of our system-level solutions combine NAND, a controller, firmware, and in some cases DRAM.</w:t>
      </w:r>
    </w:p>
    <w:p>
      <w:pPr>
        <w:spacing w:after="0" w:line="20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 xml:space="preserve">DRAM: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the data center, client PC, graphics, industrial, and automotive markets.</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NAND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NAND products are non-volatile, re-writeable semiconductor storage devices that provide high-capacity, low-cost storage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performance characteristics. NAND is used in SSDs for the data center, client PC, consumer, and automotive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for reliable code storage (e.g., boot, application, operating system, and execute-in-place code in an embedded system) and for frequently changing small data storage and is ideal for automotive, industrial, and consumer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Conditions</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third quarter of 2025, DRAM revenue improved from the prior quarter due to improvements across end markets, in particular strong sequential growth in consumer-oriented and data center markets, especially for HBM products. During the first nine months of 2025 compared to the first nine months of 2024, we have shifted our supply to meet the strong demand in data center DRAM resulting in a portfolio mix weighted more towards high-growth segments. In 2024 and for the first nine months of 2025, we experienced substantial improvements in revenue, pricing, and margins as compared to 2023, reflecting demand growth, driven in part by deployment of AI, which resulted in a substantially improved industry supply and demand balance.</w:t>
      </w:r>
    </w:p>
    <w:p>
      <w:pPr>
        <w:spacing w:after="0" w:line="19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the third quarter of 2025, NAND revenue improved from the prior quarter due to improvements across end markets, in particular strong bit growth in consumer-oriented markets due to reduced customer inventories. We saw reduced demand from NAND customers in the first two quarters of 2025 as customers reduced inventory to align with their end customers. We continue to prudently manage our NAND supply, including the levels of our capital investment, the pace of ramp of our new technology node, and fab utilization consistent with our demand growth.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Third Quarter</w:t>
            </w:r>
          </w:p>
        </w:tc>
        <w:tc>
          <w:tcPr>
            <w:tcW w:w="17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rPr>
              <w:t>Second Quarter</w:t>
            </w:r>
          </w:p>
        </w:tc>
        <w:tc>
          <w:tcPr>
            <w:tcW w:w="16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Third Quarter</w:t>
            </w:r>
          </w:p>
        </w:tc>
        <w:tc>
          <w:tcPr>
            <w:tcW w:w="640" w:type="dxa"/>
            <w:vAlign w:val="bottom"/>
          </w:tcPr>
          <w:p>
            <w:pPr>
              <w:spacing w:after="0"/>
              <w:rPr>
                <w:sz w:val="20"/>
                <w:szCs w:val="20"/>
                <w:color w:val="auto"/>
              </w:rPr>
            </w:pPr>
          </w:p>
        </w:tc>
        <w:tc>
          <w:tcPr>
            <w:tcW w:w="19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Nine Months Ended</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9,301</w:t>
            </w:r>
          </w:p>
        </w:tc>
        <w:tc>
          <w:tcPr>
            <w:tcW w:w="26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8,053</w:t>
            </w:r>
          </w:p>
        </w:tc>
        <w:tc>
          <w:tcPr>
            <w:tcW w:w="28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6,811</w:t>
            </w:r>
          </w:p>
        </w:tc>
        <w:tc>
          <w:tcPr>
            <w:tcW w:w="280" w:type="dxa"/>
            <w:vAlign w:val="bottom"/>
            <w:shd w:val="clear" w:color="auto" w:fill="D1D2D4"/>
          </w:tcPr>
          <w:p>
            <w:pPr>
              <w:spacing w:after="0"/>
              <w:rPr>
                <w:sz w:val="19"/>
                <w:szCs w:val="19"/>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8"/>
              </w:rPr>
              <w:t>26,063</w:t>
            </w:r>
          </w:p>
        </w:tc>
        <w:tc>
          <w:tcPr>
            <w:tcW w:w="300" w:type="dxa"/>
            <w:vAlign w:val="bottom"/>
            <w:shd w:val="clear" w:color="auto" w:fill="D1D2D4"/>
          </w:tcPr>
          <w:p>
            <w:pPr>
              <w:spacing w:after="0"/>
              <w:rPr>
                <w:sz w:val="19"/>
                <w:szCs w:val="19"/>
                <w:color w:val="auto"/>
              </w:rPr>
            </w:pPr>
          </w:p>
        </w:tc>
        <w:tc>
          <w:tcPr>
            <w:tcW w:w="7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17,361</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26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62 %</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28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63 %</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280" w:type="dxa"/>
            <w:vAlign w:val="bottom"/>
            <w:tcBorders>
              <w:bottom w:val="single" w:sz="8" w:color="D1D2D4"/>
            </w:tcBorders>
          </w:tcPr>
          <w:p>
            <w:pPr>
              <w:spacing w:after="0"/>
              <w:rPr>
                <w:sz w:val="19"/>
                <w:szCs w:val="19"/>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73 %</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16,244</w:t>
            </w:r>
          </w:p>
        </w:tc>
        <w:tc>
          <w:tcPr>
            <w:tcW w:w="300" w:type="dxa"/>
            <w:vAlign w:val="bottom"/>
            <w:tcBorders>
              <w:bottom w:val="single" w:sz="8" w:color="D1D2D4"/>
            </w:tcBorders>
          </w:tcPr>
          <w:p>
            <w:pPr>
              <w:spacing w:after="0"/>
              <w:rPr>
                <w:sz w:val="19"/>
                <w:szCs w:val="19"/>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62 %</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14,485</w:t>
            </w:r>
          </w:p>
        </w:tc>
        <w:tc>
          <w:tcPr>
            <w:tcW w:w="28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3"/>
        </w:trPr>
        <w:tc>
          <w:tcPr>
            <w:tcW w:w="2560" w:type="dxa"/>
            <w:vAlign w:val="bottom"/>
            <w:shd w:val="clear" w:color="auto" w:fill="D1D2D4"/>
          </w:tcPr>
          <w:p>
            <w:pPr>
              <w:ind w:left="26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3,508</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38 %</w:t>
            </w:r>
          </w:p>
        </w:tc>
        <w:tc>
          <w:tcPr>
            <w:tcW w:w="16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2,963</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37 %</w:t>
            </w:r>
          </w:p>
        </w:tc>
        <w:tc>
          <w:tcPr>
            <w:tcW w:w="20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1,832</w:t>
            </w:r>
          </w:p>
        </w:tc>
        <w:tc>
          <w:tcPr>
            <w:tcW w:w="28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27 %</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9,819</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38 %</w:t>
            </w:r>
          </w:p>
        </w:tc>
        <w:tc>
          <w:tcPr>
            <w:tcW w:w="1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2,876</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965</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898</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11 %</w:t>
            </w:r>
          </w:p>
        </w:tc>
        <w:tc>
          <w:tcPr>
            <w:tcW w:w="20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12 %</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2,751</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11 %</w:t>
            </w:r>
          </w:p>
        </w:tc>
        <w:tc>
          <w:tcPr>
            <w:tcW w:w="1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2,527</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84"/>
        </w:trPr>
        <w:tc>
          <w:tcPr>
            <w:tcW w:w="2560" w:type="dxa"/>
            <w:vAlign w:val="bottom"/>
          </w:tcPr>
          <w:p>
            <w:pPr>
              <w:ind w:left="20"/>
              <w:spacing w:after="0" w:line="183" w:lineRule="exact"/>
              <w:rPr>
                <w:sz w:val="20"/>
                <w:szCs w:val="20"/>
                <w:color w:val="auto"/>
              </w:rPr>
            </w:pPr>
            <w:r>
              <w:rPr>
                <w:rFonts w:ascii="Arial" w:cs="Arial" w:eastAsia="Arial" w:hAnsi="Arial"/>
                <w:sz w:val="18"/>
                <w:szCs w:val="18"/>
                <w:color w:val="auto"/>
              </w:rPr>
              <w:t>Selling, general, and</w:t>
            </w: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3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5"/>
        </w:trPr>
        <w:tc>
          <w:tcPr>
            <w:tcW w:w="256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56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Other operating (income)</w:t>
            </w:r>
          </w:p>
        </w:tc>
        <w:tc>
          <w:tcPr>
            <w:tcW w:w="200" w:type="dxa"/>
            <w:vAlign w:val="bottom"/>
            <w:shd w:val="clear" w:color="auto" w:fill="D1D2D4"/>
          </w:tcPr>
          <w:p>
            <w:pPr>
              <w:spacing w:after="0"/>
              <w:rPr>
                <w:sz w:val="15"/>
                <w:szCs w:val="15"/>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D1D2D4"/>
          </w:tcPr>
          <w:p>
            <w:pPr>
              <w:spacing w:after="0"/>
              <w:rPr>
                <w:sz w:val="15"/>
                <w:szCs w:val="15"/>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D1D2D4"/>
          </w:tcPr>
          <w:p>
            <w:pPr>
              <w:spacing w:after="0"/>
              <w:rPr>
                <w:sz w:val="15"/>
                <w:szCs w:val="15"/>
                <w:color w:val="auto"/>
              </w:rPr>
            </w:pPr>
          </w:p>
        </w:tc>
        <w:tc>
          <w:tcPr>
            <w:tcW w:w="800" w:type="dxa"/>
            <w:vAlign w:val="bottom"/>
            <w:gridSpan w:val="2"/>
            <w:vMerge w:val="restart"/>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D1D2D4"/>
          </w:tcPr>
          <w:p>
            <w:pPr>
              <w:spacing w:after="0"/>
              <w:rPr>
                <w:sz w:val="15"/>
                <w:szCs w:val="15"/>
                <w:color w:val="auto"/>
              </w:rPr>
            </w:pPr>
          </w:p>
        </w:tc>
        <w:tc>
          <w:tcPr>
            <w:tcW w:w="74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D1D2D4"/>
          </w:tcPr>
          <w:p>
            <w:pPr>
              <w:spacing w:after="0"/>
              <w:rPr>
                <w:sz w:val="15"/>
                <w:szCs w:val="15"/>
                <w:color w:val="auto"/>
              </w:rPr>
            </w:pPr>
          </w:p>
        </w:tc>
        <w:tc>
          <w:tcPr>
            <w:tcW w:w="72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25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expense, net</w:t>
            </w:r>
          </w:p>
        </w:tc>
        <w:tc>
          <w:tcPr>
            <w:tcW w:w="200" w:type="dxa"/>
            <w:vAlign w:val="bottom"/>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68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800" w:type="dxa"/>
            <w:vAlign w:val="bottom"/>
            <w:gridSpan w:val="2"/>
            <w:vMerge w:val="continue"/>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740" w:type="dxa"/>
            <w:vAlign w:val="bottom"/>
            <w:gridSpan w:val="2"/>
            <w:vMerge w:val="continue"/>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720" w:type="dxa"/>
            <w:vAlign w:val="bottom"/>
            <w:gridSpan w:val="2"/>
            <w:vMerge w:val="continue"/>
            <w:shd w:val="clear" w:color="auto" w:fill="D1D2D4"/>
          </w:tcPr>
          <w:p>
            <w:pPr>
              <w:spacing w:after="0"/>
              <w:rPr>
                <w:sz w:val="20"/>
                <w:szCs w:val="20"/>
                <w:color w:val="auto"/>
              </w:rPr>
            </w:pPr>
          </w:p>
        </w:tc>
        <w:tc>
          <w:tcPr>
            <w:tcW w:w="66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26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23 %</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22 %</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56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640" w:type="dxa"/>
            <w:vAlign w:val="bottom"/>
            <w:shd w:val="clear" w:color="auto" w:fill="D1D2D4"/>
          </w:tcPr>
          <w:p>
            <w:pPr>
              <w:spacing w:after="0"/>
              <w:rPr>
                <w:sz w:val="23"/>
                <w:szCs w:val="23"/>
                <w:color w:val="auto"/>
              </w:rPr>
            </w:pPr>
          </w:p>
        </w:tc>
        <w:tc>
          <w:tcPr>
            <w:tcW w:w="260" w:type="dxa"/>
            <w:vAlign w:val="bottom"/>
            <w:shd w:val="clear" w:color="auto" w:fill="D1D2D4"/>
          </w:tcPr>
          <w:p>
            <w:pPr>
              <w:spacing w:after="0"/>
              <w:rPr>
                <w:sz w:val="23"/>
                <w:szCs w:val="23"/>
                <w:color w:val="auto"/>
              </w:rPr>
            </w:pPr>
          </w:p>
        </w:tc>
        <w:tc>
          <w:tcPr>
            <w:tcW w:w="600" w:type="dxa"/>
            <w:vAlign w:val="bottom"/>
            <w:shd w:val="clear" w:color="auto" w:fill="D1D2D4"/>
          </w:tcPr>
          <w:p>
            <w:pPr>
              <w:spacing w:after="0"/>
              <w:rPr>
                <w:sz w:val="23"/>
                <w:szCs w:val="23"/>
                <w:color w:val="auto"/>
              </w:rPr>
            </w:pPr>
          </w:p>
        </w:tc>
        <w:tc>
          <w:tcPr>
            <w:tcW w:w="160" w:type="dxa"/>
            <w:vAlign w:val="bottom"/>
            <w:shd w:val="clear" w:color="auto" w:fill="D1D2D4"/>
          </w:tcPr>
          <w:p>
            <w:pPr>
              <w:spacing w:after="0"/>
              <w:rPr>
                <w:sz w:val="23"/>
                <w:szCs w:val="23"/>
                <w:color w:val="auto"/>
              </w:rPr>
            </w:pPr>
          </w:p>
        </w:tc>
        <w:tc>
          <w:tcPr>
            <w:tcW w:w="680" w:type="dxa"/>
            <w:vAlign w:val="bottom"/>
            <w:shd w:val="clear" w:color="auto" w:fill="D1D2D4"/>
          </w:tcPr>
          <w:p>
            <w:pPr>
              <w:spacing w:after="0"/>
              <w:rPr>
                <w:sz w:val="23"/>
                <w:szCs w:val="23"/>
                <w:color w:val="auto"/>
              </w:rPr>
            </w:pPr>
          </w:p>
        </w:tc>
        <w:tc>
          <w:tcPr>
            <w:tcW w:w="280" w:type="dxa"/>
            <w:vAlign w:val="bottom"/>
            <w:shd w:val="clear" w:color="auto" w:fill="D1D2D4"/>
          </w:tcPr>
          <w:p>
            <w:pPr>
              <w:spacing w:after="0"/>
              <w:rPr>
                <w:sz w:val="23"/>
                <w:szCs w:val="23"/>
                <w:color w:val="auto"/>
              </w:rPr>
            </w:pPr>
          </w:p>
        </w:tc>
        <w:tc>
          <w:tcPr>
            <w:tcW w:w="6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640" w:type="dxa"/>
            <w:vAlign w:val="bottom"/>
            <w:shd w:val="clear" w:color="auto" w:fill="D1D2D4"/>
          </w:tcPr>
          <w:p>
            <w:pPr>
              <w:spacing w:after="0"/>
              <w:rPr>
                <w:sz w:val="23"/>
                <w:szCs w:val="23"/>
                <w:color w:val="auto"/>
              </w:rPr>
            </w:pPr>
          </w:p>
        </w:tc>
        <w:tc>
          <w:tcPr>
            <w:tcW w:w="280" w:type="dxa"/>
            <w:vAlign w:val="bottom"/>
            <w:shd w:val="clear" w:color="auto" w:fill="D1D2D4"/>
          </w:tcPr>
          <w:p>
            <w:pPr>
              <w:spacing w:after="0"/>
              <w:rPr>
                <w:sz w:val="23"/>
                <w:szCs w:val="23"/>
                <w:color w:val="auto"/>
              </w:rPr>
            </w:pPr>
          </w:p>
        </w:tc>
        <w:tc>
          <w:tcPr>
            <w:tcW w:w="580" w:type="dxa"/>
            <w:vAlign w:val="bottom"/>
            <w:shd w:val="clear" w:color="auto" w:fill="D1D2D4"/>
          </w:tcPr>
          <w:p>
            <w:pPr>
              <w:spacing w:after="0"/>
              <w:rPr>
                <w:sz w:val="23"/>
                <w:szCs w:val="23"/>
                <w:color w:val="auto"/>
              </w:rPr>
            </w:pPr>
          </w:p>
        </w:tc>
        <w:tc>
          <w:tcPr>
            <w:tcW w:w="160" w:type="dxa"/>
            <w:vAlign w:val="bottom"/>
            <w:shd w:val="clear" w:color="auto" w:fill="D1D2D4"/>
          </w:tcPr>
          <w:p>
            <w:pPr>
              <w:spacing w:after="0"/>
              <w:rPr>
                <w:sz w:val="23"/>
                <w:szCs w:val="23"/>
                <w:color w:val="auto"/>
              </w:rPr>
            </w:pPr>
          </w:p>
        </w:tc>
        <w:tc>
          <w:tcPr>
            <w:tcW w:w="640" w:type="dxa"/>
            <w:vAlign w:val="bottom"/>
            <w:shd w:val="clear" w:color="auto" w:fill="D1D2D4"/>
          </w:tcPr>
          <w:p>
            <w:pPr>
              <w:spacing w:after="0"/>
              <w:rPr>
                <w:sz w:val="23"/>
                <w:szCs w:val="23"/>
                <w:color w:val="auto"/>
              </w:rPr>
            </w:pPr>
          </w:p>
        </w:tc>
        <w:tc>
          <w:tcPr>
            <w:tcW w:w="300" w:type="dxa"/>
            <w:vAlign w:val="bottom"/>
            <w:shd w:val="clear" w:color="auto" w:fill="D1D2D4"/>
          </w:tcPr>
          <w:p>
            <w:pPr>
              <w:spacing w:after="0"/>
              <w:rPr>
                <w:sz w:val="23"/>
                <w:szCs w:val="23"/>
                <w:color w:val="auto"/>
              </w:rPr>
            </w:pPr>
          </w:p>
        </w:tc>
        <w:tc>
          <w:tcPr>
            <w:tcW w:w="580" w:type="dxa"/>
            <w:vAlign w:val="bottom"/>
            <w:shd w:val="clear" w:color="auto" w:fill="D1D2D4"/>
          </w:tcPr>
          <w:p>
            <w:pPr>
              <w:spacing w:after="0"/>
              <w:rPr>
                <w:sz w:val="23"/>
                <w:szCs w:val="23"/>
                <w:color w:val="auto"/>
              </w:rPr>
            </w:pPr>
          </w:p>
        </w:tc>
        <w:tc>
          <w:tcPr>
            <w:tcW w:w="140" w:type="dxa"/>
            <w:vAlign w:val="bottom"/>
            <w:shd w:val="clear" w:color="auto" w:fill="D1D2D4"/>
          </w:tcPr>
          <w:p>
            <w:pPr>
              <w:spacing w:after="0"/>
              <w:rPr>
                <w:sz w:val="23"/>
                <w:szCs w:val="23"/>
                <w:color w:val="auto"/>
              </w:rPr>
            </w:pPr>
          </w:p>
        </w:tc>
        <w:tc>
          <w:tcPr>
            <w:tcW w:w="660" w:type="dxa"/>
            <w:vAlign w:val="bottom"/>
            <w:shd w:val="clear" w:color="auto" w:fill="D1D2D4"/>
          </w:tcPr>
          <w:p>
            <w:pPr>
              <w:spacing w:after="0"/>
              <w:rPr>
                <w:sz w:val="23"/>
                <w:szCs w:val="23"/>
                <w:color w:val="auto"/>
              </w:rPr>
            </w:pPr>
          </w:p>
        </w:tc>
        <w:tc>
          <w:tcPr>
            <w:tcW w:w="280" w:type="dxa"/>
            <w:vAlign w:val="bottom"/>
            <w:shd w:val="clear" w:color="auto" w:fill="D1D2D4"/>
          </w:tcPr>
          <w:p>
            <w:pPr>
              <w:spacing w:after="0"/>
              <w:rPr>
                <w:sz w:val="23"/>
                <w:szCs w:val="23"/>
                <w:color w:val="auto"/>
              </w:rPr>
            </w:pPr>
          </w:p>
        </w:tc>
        <w:tc>
          <w:tcPr>
            <w:tcW w:w="600" w:type="dxa"/>
            <w:vAlign w:val="bottom"/>
            <w:shd w:val="clear" w:color="auto" w:fill="D1D2D4"/>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84"/>
        </w:trPr>
        <w:tc>
          <w:tcPr>
            <w:tcW w:w="256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Other non-operating income</w:t>
            </w:r>
          </w:p>
        </w:tc>
        <w:tc>
          <w:tcPr>
            <w:tcW w:w="200" w:type="dxa"/>
            <w:vAlign w:val="bottom"/>
            <w:shd w:val="clear" w:color="auto" w:fill="D1D2D4"/>
          </w:tcPr>
          <w:p>
            <w:pPr>
              <w:spacing w:after="0"/>
              <w:rPr>
                <w:sz w:val="15"/>
                <w:szCs w:val="15"/>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5"/>
                <w:szCs w:val="15"/>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D1D2D4"/>
          </w:tcPr>
          <w:p>
            <w:pPr>
              <w:spacing w:after="0"/>
              <w:rPr>
                <w:sz w:val="15"/>
                <w:szCs w:val="15"/>
                <w:color w:val="auto"/>
              </w:rPr>
            </w:pPr>
          </w:p>
        </w:tc>
        <w:tc>
          <w:tcPr>
            <w:tcW w:w="800" w:type="dxa"/>
            <w:vAlign w:val="bottom"/>
            <w:gridSpan w:val="2"/>
            <w:vMerge w:val="restart"/>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D1D2D4"/>
          </w:tcPr>
          <w:p>
            <w:pPr>
              <w:spacing w:after="0"/>
              <w:rPr>
                <w:sz w:val="15"/>
                <w:szCs w:val="15"/>
                <w:color w:val="auto"/>
              </w:rPr>
            </w:pPr>
          </w:p>
        </w:tc>
        <w:tc>
          <w:tcPr>
            <w:tcW w:w="74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D1D2D4"/>
          </w:tcPr>
          <w:p>
            <w:pPr>
              <w:spacing w:after="0"/>
              <w:rPr>
                <w:sz w:val="15"/>
                <w:szCs w:val="15"/>
                <w:color w:val="auto"/>
              </w:rPr>
            </w:pPr>
          </w:p>
        </w:tc>
        <w:tc>
          <w:tcPr>
            <w:tcW w:w="72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5"/>
        </w:trPr>
        <w:tc>
          <w:tcPr>
            <w:tcW w:w="25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(expense), net</w:t>
            </w:r>
          </w:p>
        </w:tc>
        <w:tc>
          <w:tcPr>
            <w:tcW w:w="200" w:type="dxa"/>
            <w:vAlign w:val="bottom"/>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68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800" w:type="dxa"/>
            <w:vAlign w:val="bottom"/>
            <w:gridSpan w:val="2"/>
            <w:vMerge w:val="continue"/>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740" w:type="dxa"/>
            <w:vAlign w:val="bottom"/>
            <w:gridSpan w:val="2"/>
            <w:vMerge w:val="continue"/>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720" w:type="dxa"/>
            <w:vAlign w:val="bottom"/>
            <w:gridSpan w:val="2"/>
            <w:vMerge w:val="continue"/>
            <w:shd w:val="clear" w:color="auto" w:fill="D1D2D4"/>
          </w:tcPr>
          <w:p>
            <w:pPr>
              <w:spacing w:after="0"/>
              <w:rPr>
                <w:sz w:val="20"/>
                <w:szCs w:val="20"/>
                <w:color w:val="auto"/>
              </w:rPr>
            </w:pPr>
          </w:p>
        </w:tc>
        <w:tc>
          <w:tcPr>
            <w:tcW w:w="66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84"/>
        </w:trPr>
        <w:tc>
          <w:tcPr>
            <w:tcW w:w="256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Equity in net income (loss) of</w:t>
            </w:r>
          </w:p>
        </w:tc>
        <w:tc>
          <w:tcPr>
            <w:tcW w:w="200" w:type="dxa"/>
            <w:vAlign w:val="bottom"/>
            <w:shd w:val="clear" w:color="auto" w:fill="D1D2D4"/>
          </w:tcPr>
          <w:p>
            <w:pPr>
              <w:spacing w:after="0"/>
              <w:rPr>
                <w:sz w:val="15"/>
                <w:szCs w:val="15"/>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D1D2D4"/>
          </w:tcPr>
          <w:p>
            <w:pPr>
              <w:spacing w:after="0"/>
              <w:rPr>
                <w:sz w:val="15"/>
                <w:szCs w:val="15"/>
                <w:color w:val="auto"/>
              </w:rPr>
            </w:pPr>
          </w:p>
        </w:tc>
        <w:tc>
          <w:tcPr>
            <w:tcW w:w="760" w:type="dxa"/>
            <w:vAlign w:val="bottom"/>
            <w:gridSpan w:val="2"/>
            <w:vMerge w:val="restart"/>
            <w:shd w:val="clear" w:color="auto" w:fill="D1D2D4"/>
          </w:tcPr>
          <w:p>
            <w:pPr>
              <w:jc w:val="right"/>
              <w:ind w:right="90"/>
              <w:spacing w:after="0"/>
              <w:rPr>
                <w:sz w:val="20"/>
                <w:szCs w:val="20"/>
                <w:color w:val="auto"/>
              </w:rPr>
            </w:pPr>
            <w:r>
              <w:rPr>
                <w:rFonts w:ascii="Arial" w:cs="Arial" w:eastAsia="Arial" w:hAnsi="Arial"/>
                <w:sz w:val="18"/>
                <w:szCs w:val="18"/>
                <w:color w:val="auto"/>
              </w:rPr>
              <w:t>— %</w:t>
            </w: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D1D2D4"/>
          </w:tcPr>
          <w:p>
            <w:pPr>
              <w:spacing w:after="0"/>
              <w:rPr>
                <w:sz w:val="15"/>
                <w:szCs w:val="15"/>
                <w:color w:val="auto"/>
              </w:rPr>
            </w:pPr>
          </w:p>
        </w:tc>
        <w:tc>
          <w:tcPr>
            <w:tcW w:w="800" w:type="dxa"/>
            <w:vAlign w:val="bottom"/>
            <w:gridSpan w:val="2"/>
            <w:vMerge w:val="restart"/>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D1D2D4"/>
          </w:tcPr>
          <w:p>
            <w:pPr>
              <w:spacing w:after="0"/>
              <w:rPr>
                <w:sz w:val="15"/>
                <w:szCs w:val="15"/>
                <w:color w:val="auto"/>
              </w:rPr>
            </w:pPr>
          </w:p>
        </w:tc>
        <w:tc>
          <w:tcPr>
            <w:tcW w:w="74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D1D2D4"/>
          </w:tcPr>
          <w:p>
            <w:pPr>
              <w:spacing w:after="0"/>
              <w:rPr>
                <w:sz w:val="15"/>
                <w:szCs w:val="15"/>
                <w:color w:val="auto"/>
              </w:rPr>
            </w:pPr>
          </w:p>
        </w:tc>
        <w:tc>
          <w:tcPr>
            <w:tcW w:w="72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5"/>
        </w:trPr>
        <w:tc>
          <w:tcPr>
            <w:tcW w:w="25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equity method investees</w:t>
            </w:r>
          </w:p>
        </w:tc>
        <w:tc>
          <w:tcPr>
            <w:tcW w:w="200" w:type="dxa"/>
            <w:vAlign w:val="bottom"/>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760" w:type="dxa"/>
            <w:vAlign w:val="bottom"/>
            <w:gridSpan w:val="2"/>
            <w:vMerge w:val="continue"/>
            <w:shd w:val="clear" w:color="auto" w:fill="D1D2D4"/>
          </w:tcPr>
          <w:p>
            <w:pPr>
              <w:spacing w:after="0"/>
              <w:rPr>
                <w:sz w:val="20"/>
                <w:szCs w:val="20"/>
                <w:color w:val="auto"/>
              </w:rPr>
            </w:pPr>
          </w:p>
        </w:tc>
        <w:tc>
          <w:tcPr>
            <w:tcW w:w="68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800" w:type="dxa"/>
            <w:vAlign w:val="bottom"/>
            <w:gridSpan w:val="2"/>
            <w:vMerge w:val="continue"/>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740" w:type="dxa"/>
            <w:vAlign w:val="bottom"/>
            <w:gridSpan w:val="2"/>
            <w:vMerge w:val="continue"/>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720" w:type="dxa"/>
            <w:vAlign w:val="bottom"/>
            <w:gridSpan w:val="2"/>
            <w:vMerge w:val="continue"/>
            <w:shd w:val="clear" w:color="auto" w:fill="D1D2D4"/>
          </w:tcPr>
          <w:p>
            <w:pPr>
              <w:spacing w:after="0"/>
              <w:rPr>
                <w:sz w:val="20"/>
                <w:szCs w:val="20"/>
                <w:color w:val="auto"/>
              </w:rPr>
            </w:pPr>
          </w:p>
        </w:tc>
        <w:tc>
          <w:tcPr>
            <w:tcW w:w="66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20 %</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for the third quarter of 2025 and first nine months of 2025 was impacted by the factors described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titled “Industry Conditions” above.</w:t>
      </w:r>
    </w:p>
    <w:p>
      <w:pPr>
        <w:spacing w:after="0" w:line="18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Total revenue for the third quarter of 2025 increased 15% as compared to the second quarter of 2025 primarily due to increases in sales of both DRAM and NAND products.</w:t>
      </w:r>
    </w:p>
    <w:p>
      <w:pPr>
        <w:spacing w:after="0" w:line="194" w:lineRule="exact"/>
        <w:rPr>
          <w:sz w:val="20"/>
          <w:szCs w:val="20"/>
          <w:color w:val="auto"/>
        </w:rPr>
      </w:pPr>
    </w:p>
    <w:p>
      <w:pPr>
        <w:ind w:left="660" w:right="18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DRAM products increased 15% primarily due to an over 20% increase in bit shipments, partially offset by a low-single-digit percent range decrease in average selling prices primarily due to a higher consumer-oriented revenue mix.</w:t>
      </w:r>
    </w:p>
    <w:p>
      <w:pPr>
        <w:spacing w:after="0" w:line="1" w:lineRule="exact"/>
        <w:rPr>
          <w:rFonts w:ascii="Arial" w:cs="Arial" w:eastAsia="Arial" w:hAnsi="Arial"/>
          <w:sz w:val="18"/>
          <w:szCs w:val="18"/>
          <w:color w:val="auto"/>
        </w:rPr>
      </w:pPr>
    </w:p>
    <w:p>
      <w:pPr>
        <w:ind w:left="660" w:right="10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NAND products increased 16% primarily due to a mid-20% range increase in bit shipments, partially offset by a high-single-digit percent range decrease in average selling prices.</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Total revenue for the third quarter of 2025 increased 37% as compared to the third quarter of 2024 primarily due to increases in sales of both DRAM and NAND products.</w:t>
      </w:r>
    </w:p>
    <w:p>
      <w:pPr>
        <w:spacing w:after="0" w:line="180" w:lineRule="exact"/>
        <w:rPr>
          <w:sz w:val="20"/>
          <w:szCs w:val="20"/>
          <w:color w:val="auto"/>
        </w:rPr>
      </w:pPr>
    </w:p>
    <w:p>
      <w:pPr>
        <w:ind w:left="660" w:right="20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DRAM products increased 51% primarily due to a mid-20% range increase in average selling prices and an increase in bit shipments in the low-20% range.</w:t>
      </w:r>
    </w:p>
    <w:p>
      <w:pPr>
        <w:spacing w:after="0" w:line="1" w:lineRule="exact"/>
        <w:rPr>
          <w:rFonts w:ascii="Arial" w:cs="Arial" w:eastAsia="Arial" w:hAnsi="Arial"/>
          <w:sz w:val="18"/>
          <w:szCs w:val="18"/>
          <w:color w:val="auto"/>
        </w:rPr>
      </w:pPr>
    </w:p>
    <w:p>
      <w:pPr>
        <w:ind w:left="660" w:right="46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NAND products increased 4% primarily due to a low-30% range increase in bit shipments, partially offset by a low-20% range decrease in average selling prices.</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Total revenue for the first nine months of 2025 increased 50% as compared to the first nine months of 2024 due to increases in both DRAM and NAND sales.</w:t>
      </w:r>
    </w:p>
    <w:p>
      <w:pPr>
        <w:spacing w:after="0" w:line="180" w:lineRule="exact"/>
        <w:rPr>
          <w:sz w:val="20"/>
          <w:szCs w:val="20"/>
          <w:color w:val="auto"/>
        </w:rPr>
      </w:pPr>
    </w:p>
    <w:p>
      <w:pPr>
        <w:ind w:left="660" w:right="10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DRAM products increased 60% primarily due to a high-40% range increase in average selling prices and a high-single-digit percent range increase in bit shipments.</w:t>
      </w:r>
    </w:p>
    <w:p>
      <w:pPr>
        <w:spacing w:after="0" w:line="1" w:lineRule="exact"/>
        <w:rPr>
          <w:rFonts w:ascii="Arial" w:cs="Arial" w:eastAsia="Arial" w:hAnsi="Arial"/>
          <w:sz w:val="18"/>
          <w:szCs w:val="18"/>
          <w:color w:val="auto"/>
        </w:rPr>
      </w:pPr>
    </w:p>
    <w:p>
      <w:pPr>
        <w:ind w:left="660" w:right="200" w:hanging="328"/>
        <w:spacing w:after="0" w:line="26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NAND products increased 29% primarily due to a high-teen percentage range increase in bit shipments and a high-single-digit percent range increase in average selling prices.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Consolidated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gross margin has been impacted by the factors described in the section titled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above. Our consolidated gross margin percentage increased to 38% for the third quarter of 2025 from 37% for the second quarter of 2025, primarily due to an improvement in margins for DRAM products, partially offset by a decrease in margins for NAND products. DRAM margins improved primarily due to an increased mix of HBM and manufacturing cost reductions driven by improvements in product and process technology. NAND margins declined primarily due to decreases in average selling prices. Our consolidated gross margin percentage improved to 38% for the third quarter of 2025 from 27% for the third quarter of 2024 and improved to 38% for the first nine months of 2025 from 17% for the first nine months of 2024. Improvements in our consolidated gross margins for the third quarter and first nine months of 2025 compared to corresponding periods of 2024 were primarily due to increases in average selling prices for DRAM products, manufacturing cost reductions, and an increased mix in sales of high-margin cloud products, particularly HBM. Our consolidated gross margin for the first nine months of 2024 reflected $987 million of benefit due to lower costs from the sale of inventories written down to their net realizable value in 2023.</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Third Quarter</w:t>
            </w:r>
          </w:p>
        </w:tc>
        <w:tc>
          <w:tcPr>
            <w:tcW w:w="17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rPr>
              <w:t>Second Quarter</w:t>
            </w:r>
          </w:p>
        </w:tc>
        <w:tc>
          <w:tcPr>
            <w:tcW w:w="15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rPr>
              <w:t>Third Quarter</w:t>
            </w:r>
          </w:p>
        </w:tc>
        <w:tc>
          <w:tcPr>
            <w:tcW w:w="8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99"/>
              </w:rPr>
              <w:t>Nine Months Ended</w:t>
            </w:r>
          </w:p>
        </w:tc>
        <w:tc>
          <w:tcPr>
            <w:tcW w:w="540" w:type="dxa"/>
            <w:vAlign w:val="bottom"/>
            <w:tcBorders>
              <w:bottom w:val="single" w:sz="8" w:color="auto"/>
            </w:tcBorders>
          </w:tcPr>
          <w:p>
            <w:pPr>
              <w:spacing w:after="0"/>
              <w:rPr>
                <w:sz w:val="20"/>
                <w:szCs w:val="20"/>
                <w:color w:val="auto"/>
              </w:rPr>
            </w:pPr>
          </w:p>
        </w:tc>
      </w:tr>
      <w:tr>
        <w:trPr>
          <w:trHeight w:val="223"/>
        </w:trPr>
        <w:tc>
          <w:tcPr>
            <w:tcW w:w="2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r>
      <w:tr>
        <w:trPr>
          <w:trHeight w:val="34"/>
        </w:trPr>
        <w:tc>
          <w:tcPr>
            <w:tcW w:w="2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5,069</w:t>
            </w:r>
          </w:p>
        </w:tc>
        <w:tc>
          <w:tcPr>
            <w:tcW w:w="320" w:type="dxa"/>
            <w:vAlign w:val="bottom"/>
            <w:shd w:val="clear" w:color="auto" w:fill="D1D2D4"/>
          </w:tcPr>
          <w:p>
            <w:pPr>
              <w:spacing w:after="0"/>
              <w:rPr>
                <w:sz w:val="19"/>
                <w:szCs w:val="19"/>
                <w:color w:val="auto"/>
              </w:rPr>
            </w:pPr>
          </w:p>
        </w:tc>
        <w:tc>
          <w:tcPr>
            <w:tcW w:w="7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54 %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4,564</w:t>
            </w:r>
          </w:p>
        </w:tc>
        <w:tc>
          <w:tcPr>
            <w:tcW w:w="320" w:type="dxa"/>
            <w:vAlign w:val="bottom"/>
            <w:shd w:val="clear" w:color="auto" w:fill="D1D2D4"/>
          </w:tcPr>
          <w:p>
            <w:pPr>
              <w:spacing w:after="0"/>
              <w:rPr>
                <w:sz w:val="19"/>
                <w:szCs w:val="19"/>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57 %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2,573</w:t>
            </w:r>
          </w:p>
        </w:tc>
        <w:tc>
          <w:tcPr>
            <w:tcW w:w="300" w:type="dxa"/>
            <w:vAlign w:val="bottom"/>
            <w:shd w:val="clear" w:color="auto" w:fill="D1D2D4"/>
          </w:tcPr>
          <w:p>
            <w:pPr>
              <w:spacing w:after="0"/>
              <w:rPr>
                <w:sz w:val="19"/>
                <w:szCs w:val="19"/>
                <w:color w:val="auto"/>
              </w:rPr>
            </w:pP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38 % $ 14,028</w:t>
            </w:r>
          </w:p>
        </w:tc>
        <w:tc>
          <w:tcPr>
            <w:tcW w:w="320" w:type="dxa"/>
            <w:vAlign w:val="bottom"/>
            <w:shd w:val="clear" w:color="auto" w:fill="D1D2D4"/>
          </w:tcPr>
          <w:p>
            <w:pPr>
              <w:spacing w:after="0"/>
              <w:rPr>
                <w:sz w:val="19"/>
                <w:szCs w:val="19"/>
                <w:color w:val="auto"/>
              </w:rPr>
            </w:pPr>
          </w:p>
        </w:tc>
        <w:tc>
          <w:tcPr>
            <w:tcW w:w="6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54 %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6,495</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SBU</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1,451</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1,392</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17 %</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20 %</w:t>
            </w:r>
          </w:p>
        </w:tc>
        <w:tc>
          <w:tcPr>
            <w:tcW w:w="800" w:type="dxa"/>
            <w:vAlign w:val="bottom"/>
          </w:tcPr>
          <w:p>
            <w:pPr>
              <w:jc w:val="right"/>
              <w:spacing w:after="0"/>
              <w:rPr>
                <w:sz w:val="20"/>
                <w:szCs w:val="20"/>
                <w:color w:val="auto"/>
              </w:rPr>
            </w:pPr>
            <w:r>
              <w:rPr>
                <w:rFonts w:ascii="Arial" w:cs="Arial" w:eastAsia="Arial" w:hAnsi="Arial"/>
                <w:sz w:val="18"/>
                <w:szCs w:val="18"/>
                <w:color w:val="auto"/>
              </w:rPr>
              <w:t>4,574</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2,911</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MBU</w:t>
            </w:r>
          </w:p>
        </w:tc>
        <w:tc>
          <w:tcPr>
            <w:tcW w:w="20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1,551</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1,068</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13 %</w:t>
            </w:r>
          </w:p>
        </w:tc>
        <w:tc>
          <w:tcPr>
            <w:tcW w:w="20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1,588</w:t>
            </w:r>
          </w:p>
        </w:tc>
        <w:tc>
          <w:tcPr>
            <w:tcW w:w="30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23 %</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4,146</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16 %</w:t>
            </w:r>
          </w:p>
        </w:tc>
        <w:tc>
          <w:tcPr>
            <w:tcW w:w="1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4,479</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1,227</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13 %</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1,294</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19 %</w:t>
            </w:r>
          </w:p>
        </w:tc>
        <w:tc>
          <w:tcPr>
            <w:tcW w:w="800" w:type="dxa"/>
            <w:vAlign w:val="bottom"/>
          </w:tcPr>
          <w:p>
            <w:pPr>
              <w:jc w:val="right"/>
              <w:spacing w:after="0"/>
              <w:rPr>
                <w:sz w:val="20"/>
                <w:szCs w:val="20"/>
                <w:color w:val="auto"/>
              </w:rPr>
            </w:pPr>
            <w:r>
              <w:rPr>
                <w:rFonts w:ascii="Arial" w:cs="Arial" w:eastAsia="Arial" w:hAnsi="Arial"/>
                <w:sz w:val="18"/>
                <w:szCs w:val="18"/>
                <w:color w:val="auto"/>
              </w:rPr>
              <w:t>3,304</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3,442</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D1D2D4"/>
          </w:tcPr>
          <w:p>
            <w:pPr>
              <w:spacing w:after="0"/>
              <w:rPr>
                <w:sz w:val="19"/>
                <w:szCs w:val="19"/>
                <w:color w:val="auto"/>
              </w:rPr>
            </w:pPr>
          </w:p>
        </w:tc>
        <w:tc>
          <w:tcPr>
            <w:tcW w:w="700" w:type="dxa"/>
            <w:vAlign w:val="bottom"/>
            <w:gridSpan w:val="2"/>
            <w:shd w:val="clear" w:color="auto" w:fill="D1D2D4"/>
          </w:tcPr>
          <w:p>
            <w:pPr>
              <w:jc w:val="right"/>
              <w:ind w:right="9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D1D2D4"/>
          </w:tcPr>
          <w:p>
            <w:pPr>
              <w:spacing w:after="0"/>
              <w:rPr>
                <w:sz w:val="19"/>
                <w:szCs w:val="19"/>
                <w:color w:val="auto"/>
              </w:rPr>
            </w:pPr>
          </w:p>
        </w:tc>
        <w:tc>
          <w:tcPr>
            <w:tcW w:w="74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D1D2D4"/>
          </w:tcPr>
          <w:p>
            <w:pPr>
              <w:spacing w:after="0"/>
              <w:rPr>
                <w:sz w:val="19"/>
                <w:szCs w:val="19"/>
                <w:color w:val="auto"/>
              </w:rPr>
            </w:pPr>
          </w:p>
        </w:tc>
        <w:tc>
          <w:tcPr>
            <w:tcW w:w="68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9,301</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6,811</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$ 26,063</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17,361</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third quarter of 2025 as compared to the second quarter of 2025 were as follows:</w:t>
      </w:r>
    </w:p>
    <w:p>
      <w:pPr>
        <w:spacing w:after="0" w:line="252" w:lineRule="exact"/>
        <w:rPr>
          <w:sz w:val="20"/>
          <w:szCs w:val="20"/>
          <w:color w:val="auto"/>
        </w:rPr>
      </w:pPr>
    </w:p>
    <w:p>
      <w:pPr>
        <w:ind w:left="660" w:right="12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CNBU revenue increased 11% primarily due to higher sales of HBM products, which increased nearly 50%, along with growth in our high-capacity DRAM and low-power server DRAM.</w:t>
      </w:r>
    </w:p>
    <w:p>
      <w:pPr>
        <w:spacing w:after="0" w:line="1" w:lineRule="exact"/>
        <w:rPr>
          <w:rFonts w:ascii="Arial" w:cs="Arial" w:eastAsia="Arial" w:hAnsi="Arial"/>
          <w:sz w:val="18"/>
          <w:szCs w:val="18"/>
          <w:color w:val="auto"/>
        </w:rPr>
      </w:pPr>
    </w:p>
    <w:p>
      <w:pPr>
        <w:ind w:left="640" w:hanging="308"/>
        <w:spacing w:after="0" w:line="234" w:lineRule="auto"/>
        <w:tabs>
          <w:tab w:leader="none" w:pos="64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18"/>
          <w:szCs w:val="18"/>
          <w:color w:val="auto"/>
        </w:rPr>
        <w:t>SBU revenue increased 4% primarily due to increases in bit shipments driven by increased demand in consumer markets.</w:t>
      </w:r>
    </w:p>
    <w:p>
      <w:pPr>
        <w:ind w:left="660" w:right="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MBU revenue increased 45% primarily due to increases in bit shipments driven by reduced customer inventories and strong demand from DRAM content growth, partially offset by declines in average selling prices for both mobile DRAM and NAND.</w:t>
      </w:r>
    </w:p>
    <w:p>
      <w:pPr>
        <w:ind w:left="660" w:right="34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EBU revenue increased 20% primarily due to increases in bit shipments driven by demand in industrial and embedded consumer markets.</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Changes in revenue for each business unit for the third quarter and the first nine months of 2025 as compared to the corresponding periods of 2024 were as follows:</w:t>
      </w:r>
    </w:p>
    <w:p>
      <w:pPr>
        <w:spacing w:after="0" w:line="180" w:lineRule="exact"/>
        <w:rPr>
          <w:sz w:val="20"/>
          <w:szCs w:val="20"/>
          <w:color w:val="auto"/>
        </w:rPr>
      </w:pPr>
    </w:p>
    <w:p>
      <w:pPr>
        <w:ind w:left="660" w:right="12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CNBU revenue increased 97% and 116%, respectively, primarily due to increases in average selling prices and bit shipments driven by improved demand, particularly in cloud server markets, including HBM.</w:t>
      </w:r>
    </w:p>
    <w:p>
      <w:pPr>
        <w:spacing w:after="0" w:line="1" w:lineRule="exact"/>
        <w:rPr>
          <w:rFonts w:ascii="Arial" w:cs="Arial" w:eastAsia="Arial" w:hAnsi="Arial"/>
          <w:sz w:val="18"/>
          <w:szCs w:val="18"/>
          <w:color w:val="auto"/>
        </w:rPr>
      </w:pPr>
    </w:p>
    <w:p>
      <w:pPr>
        <w:ind w:left="660" w:right="160" w:hanging="328"/>
        <w:spacing w:after="0" w:line="265"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SBU revenue increased 7% for the third quarter of 2025 as compared to the third quarter of 2024 primarily due to increases in bit shipments, partially offset by declines in average selling prices for NAND. SBU revenue increased 57% for the first nine months of 2025 as compared to the first nine months of 2024 primarily due to increases in bit shipments and average selling prices for NAND.</w:t>
      </w:r>
    </w:p>
    <w:p>
      <w:pPr>
        <w:ind w:left="660" w:right="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MBU revenue decreased 2% for the third quarter of 2025 as compared to the third quarter of 2024 primarily due to declines in DRAM and NAND average selling prices, partially offset by increases in bit shipments. MBU revenue decreased 7% for the first nine months of 2025 as compared to the first nine months of 2024 primarily due to decreases in DRAM and NAND bit shipments, partially offset by in increases in average selling prices.</w:t>
      </w:r>
    </w:p>
    <w:p>
      <w:pPr>
        <w:spacing w:after="0" w:line="1"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revenue decreased 5% and 4%, respectively, primarily due to declines in average selling prices, partially offset by increases in bit shipments.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(Loss) by Business Unit</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9"/>
              </w:rPr>
              <w:t>Third Quarter</w:t>
            </w:r>
          </w:p>
        </w:tc>
        <w:tc>
          <w:tcPr>
            <w:tcW w:w="17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rPr>
              <w:t>Second Quarter</w:t>
            </w:r>
          </w:p>
        </w:tc>
        <w:tc>
          <w:tcPr>
            <w:tcW w:w="170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9"/>
              </w:rPr>
              <w:t>Third Quarter</w:t>
            </w:r>
          </w:p>
        </w:tc>
        <w:tc>
          <w:tcPr>
            <w:tcW w:w="600" w:type="dxa"/>
            <w:vAlign w:val="bottom"/>
          </w:tcPr>
          <w:p>
            <w:pPr>
              <w:spacing w:after="0"/>
              <w:rPr>
                <w:sz w:val="20"/>
                <w:szCs w:val="20"/>
                <w:color w:val="auto"/>
              </w:rPr>
            </w:pPr>
          </w:p>
        </w:tc>
        <w:tc>
          <w:tcPr>
            <w:tcW w:w="194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9"/>
              </w:rPr>
              <w:t>Nine Months Ended</w:t>
            </w:r>
          </w:p>
        </w:tc>
        <w:tc>
          <w:tcPr>
            <w:tcW w:w="580" w:type="dxa"/>
            <w:vAlign w:val="bottom"/>
          </w:tcPr>
          <w:p>
            <w:pPr>
              <w:spacing w:after="0"/>
              <w:rPr>
                <w:sz w:val="20"/>
                <w:szCs w:val="20"/>
                <w:color w:val="auto"/>
              </w:rPr>
            </w:pPr>
          </w:p>
        </w:tc>
      </w:tr>
      <w:tr>
        <w:trPr>
          <w:trHeight w:val="223"/>
        </w:trPr>
        <w:tc>
          <w:tcPr>
            <w:tcW w:w="2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r>
      <w:tr>
        <w:trPr>
          <w:trHeight w:val="34"/>
        </w:trPr>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2580" w:type="dxa"/>
            <w:vAlign w:val="bottom"/>
            <w:shd w:val="clear" w:color="auto" w:fill="D1D2D4"/>
          </w:tcPr>
          <w:p>
            <w:pPr>
              <w:spacing w:after="0"/>
              <w:rPr>
                <w:sz w:val="20"/>
                <w:szCs w:val="20"/>
                <w:color w:val="auto"/>
              </w:rPr>
            </w:pPr>
            <w:r>
              <w:rPr>
                <w:rFonts w:ascii="Arial" w:cs="Arial" w:eastAsia="Arial" w:hAnsi="Arial"/>
                <w:sz w:val="18"/>
                <w:szCs w:val="18"/>
                <w:color w:val="auto"/>
              </w:rPr>
              <w:t>CNBU</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2,182</w:t>
            </w:r>
          </w:p>
        </w:tc>
        <w:tc>
          <w:tcPr>
            <w:tcW w:w="320" w:type="dxa"/>
            <w:vAlign w:val="bottom"/>
            <w:shd w:val="clear" w:color="auto" w:fill="D1D2D4"/>
          </w:tcPr>
          <w:p>
            <w:pPr>
              <w:spacing w:after="0"/>
              <w:rPr>
                <w:sz w:val="19"/>
                <w:szCs w:val="19"/>
                <w:color w:val="auto"/>
              </w:rPr>
            </w:pPr>
          </w:p>
        </w:tc>
        <w:tc>
          <w:tcPr>
            <w:tcW w:w="7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43 %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1,919</w:t>
            </w:r>
          </w:p>
        </w:tc>
        <w:tc>
          <w:tcPr>
            <w:tcW w:w="30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42 % $</w:t>
            </w: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442</w:t>
            </w:r>
          </w:p>
        </w:tc>
        <w:tc>
          <w:tcPr>
            <w:tcW w:w="300" w:type="dxa"/>
            <w:vAlign w:val="bottom"/>
            <w:shd w:val="clear" w:color="auto" w:fill="D1D2D4"/>
          </w:tcPr>
          <w:p>
            <w:pPr>
              <w:spacing w:after="0"/>
              <w:rPr>
                <w:sz w:val="19"/>
                <w:szCs w:val="19"/>
                <w:color w:val="auto"/>
              </w:rPr>
            </w:pP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17 % $</w:t>
            </w: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5,812</w:t>
            </w:r>
          </w:p>
        </w:tc>
        <w:tc>
          <w:tcPr>
            <w:tcW w:w="32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41 % $</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SBU</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8 %</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(631)</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580" w:type="dxa"/>
            <w:vAlign w:val="bottom"/>
            <w:shd w:val="clear" w:color="auto" w:fill="D1D2D4"/>
          </w:tcPr>
          <w:p>
            <w:pPr>
              <w:spacing w:after="0"/>
              <w:rPr>
                <w:sz w:val="20"/>
                <w:szCs w:val="20"/>
                <w:color w:val="auto"/>
              </w:rPr>
            </w:pPr>
            <w:r>
              <w:rPr>
                <w:rFonts w:ascii="Arial" w:cs="Arial" w:eastAsia="Arial" w:hAnsi="Arial"/>
                <w:sz w:val="18"/>
                <w:szCs w:val="18"/>
                <w:color w:val="auto"/>
              </w:rPr>
              <w:t>MBU</w:t>
            </w:r>
          </w:p>
        </w:tc>
        <w:tc>
          <w:tcPr>
            <w:tcW w:w="18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6 %</w:t>
            </w:r>
          </w:p>
        </w:tc>
        <w:tc>
          <w:tcPr>
            <w:tcW w:w="2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19 %</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604</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EBU</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2580" w:type="dxa"/>
            <w:vAlign w:val="bottom"/>
            <w:shd w:val="clear" w:color="auto" w:fill="D1D2D4"/>
          </w:tcPr>
          <w:p>
            <w:pPr>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67 %</w:t>
            </w:r>
          </w:p>
        </w:tc>
        <w:tc>
          <w:tcPr>
            <w:tcW w:w="16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25 %</w:t>
            </w:r>
          </w:p>
        </w:tc>
        <w:tc>
          <w:tcPr>
            <w:tcW w:w="200" w:type="dxa"/>
            <w:vAlign w:val="bottom"/>
            <w:tcBorders>
              <w:bottom w:val="single" w:sz="8" w:color="auto"/>
            </w:tcBorders>
            <w:shd w:val="clear" w:color="auto" w:fill="D1D2D4"/>
          </w:tcPr>
          <w:p>
            <w:pPr>
              <w:spacing w:after="0"/>
              <w:rPr>
                <w:sz w:val="19"/>
                <w:szCs w:val="19"/>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auto"/>
            </w:tcBorders>
            <w:shd w:val="clear" w:color="auto" w:fill="D1D2D4"/>
          </w:tcPr>
          <w:p>
            <w:pPr>
              <w:spacing w:after="0"/>
              <w:rPr>
                <w:sz w:val="19"/>
                <w:szCs w:val="19"/>
                <w:color w:val="auto"/>
              </w:rPr>
            </w:pPr>
          </w:p>
        </w:tc>
        <w:tc>
          <w:tcPr>
            <w:tcW w:w="6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9 %</w:t>
            </w:r>
          </w:p>
        </w:tc>
        <w:tc>
          <w:tcPr>
            <w:tcW w:w="220" w:type="dxa"/>
            <w:vAlign w:val="bottom"/>
            <w:tcBorders>
              <w:bottom w:val="single" w:sz="8" w:color="auto"/>
            </w:tcBorders>
            <w:shd w:val="clear" w:color="auto" w:fill="D1D2D4"/>
          </w:tcPr>
          <w:p>
            <w:pPr>
              <w:spacing w:after="0"/>
              <w:rPr>
                <w:sz w:val="19"/>
                <w:szCs w:val="19"/>
                <w:color w:val="auto"/>
              </w:rPr>
            </w:pPr>
          </w:p>
        </w:tc>
        <w:tc>
          <w:tcPr>
            <w:tcW w:w="5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68 %</w:t>
            </w:r>
          </w:p>
        </w:tc>
      </w:tr>
      <w:tr>
        <w:trPr>
          <w:trHeight w:val="223"/>
        </w:trPr>
        <w:tc>
          <w:tcPr>
            <w:tcW w:w="25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0"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Changes in operating income or loss for each business unit for the third quarter of 2025 as compared to the second quarter of 2025 were as follows:</w:t>
      </w:r>
    </w:p>
    <w:p>
      <w:pPr>
        <w:spacing w:after="0" w:line="18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CNBU operating income increased primarily due to increases in sales of HBM products.</w:t>
      </w:r>
    </w:p>
    <w:p>
      <w:pPr>
        <w:spacing w:after="0" w:line="27" w:lineRule="exact"/>
        <w:rPr>
          <w:rFonts w:ascii="Arial" w:cs="Arial" w:eastAsia="Arial" w:hAnsi="Arial"/>
          <w:sz w:val="18"/>
          <w:szCs w:val="18"/>
          <w:color w:val="auto"/>
        </w:rPr>
      </w:pPr>
    </w:p>
    <w:p>
      <w:pPr>
        <w:ind w:left="660" w:right="6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SBU operating income (loss) deteriorated primarily due to declines in average selling prices, partially offset by increases in bit shipments.</w:t>
      </w:r>
    </w:p>
    <w:p>
      <w:pPr>
        <w:ind w:left="660" w:right="28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MBU operating income increased primarily due to increases in bit shipments and manufacturing cost reductions, partially offset by declines in average selling prices.</w:t>
      </w:r>
    </w:p>
    <w:p>
      <w:pPr>
        <w:ind w:left="660" w:right="32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EBU operating income increased primarily due to increases in bit shipments and manufacturing cost reductions, partially offset by declines in average selling prices.</w:t>
      </w:r>
    </w:p>
    <w:p>
      <w:pPr>
        <w:spacing w:after="0" w:line="198"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Changes in operating income or loss for each business unit for the third quarter and the first nine months of 2025 as compared to the corresponding periods of 2024 were as follows:</w:t>
      </w:r>
    </w:p>
    <w:p>
      <w:pPr>
        <w:spacing w:after="0" w:line="180" w:lineRule="exact"/>
        <w:rPr>
          <w:sz w:val="20"/>
          <w:szCs w:val="20"/>
          <w:color w:val="auto"/>
        </w:rPr>
      </w:pPr>
    </w:p>
    <w:p>
      <w:pPr>
        <w:ind w:left="660" w:right="8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CNBU operating income improved primarily due to increases in average selling prices and increases in sales of HBM and other data center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SBU operating income (loss) deteriorated for the third quarter of 2025 as compared to the third quarter of 2024 primarily due to decreases in selling prices for NAND, partially offset by increases in bit shipments and manufacturing cost reductions. SBU operating income (loss) improved for the first nine months of 2025 as compared to the first nine months of 2024 primarily due to increases in bit shipments, increases in average selling prices, and manufacturing cost reductions.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MBU operating income decreased for the third quarter of 2025 as compared to the third quarter of 2024 primarily due to declines in selling prices, partially offset by increases in bit shipments and manufacturing cost reductions. MBU operating income (loss) improved for the first nine months of 2025 as compared to the first nine months of 2024 primarily due to increases in average selling prices and manufacturing cost reductions, partially offset by decreases in bit shipments.</w:t>
      </w:r>
    </w:p>
    <w:p>
      <w:pPr>
        <w:spacing w:after="0" w:line="1" w:lineRule="exact"/>
        <w:rPr>
          <w:rFonts w:ascii="Arial" w:cs="Arial" w:eastAsia="Arial" w:hAnsi="Arial"/>
          <w:sz w:val="18"/>
          <w:szCs w:val="18"/>
          <w:color w:val="auto"/>
        </w:rPr>
      </w:pPr>
    </w:p>
    <w:p>
      <w:pPr>
        <w:ind w:left="660" w:right="200" w:hanging="328"/>
        <w:spacing w:after="0" w:line="26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decreases in average selling prices, partially offset by increases in bit shipments and manufacturing cost reductions.</w:t>
      </w:r>
    </w:p>
    <w:p>
      <w:pPr>
        <w:spacing w:after="0" w:line="185" w:lineRule="exact"/>
        <w:rPr>
          <w:sz w:val="20"/>
          <w:szCs w:val="20"/>
          <w:color w:val="auto"/>
        </w:rPr>
      </w:pPr>
    </w:p>
    <w:p>
      <w:pPr>
        <w:ind w:right="520"/>
        <w:spacing w:after="0" w:line="244" w:lineRule="auto"/>
        <w:rPr>
          <w:sz w:val="20"/>
          <w:szCs w:val="20"/>
          <w:color w:val="auto"/>
        </w:rPr>
      </w:pPr>
      <w:r>
        <w:rPr>
          <w:rFonts w:ascii="Arial" w:cs="Arial" w:eastAsia="Arial" w:hAnsi="Arial"/>
          <w:sz w:val="18"/>
          <w:szCs w:val="18"/>
          <w:color w:val="auto"/>
        </w:rPr>
        <w:t>We initiated a strategic reorganization of our business units to a market segment-focused business unit structure, with AI growth opportunities in every business unit. We completed reorganization of our operations and organizational structure and began to manage operations under our new segment structure effective in the fourth quarter of 2025. The changes will require us to recast our segment reporting and we will report financial results under this new structure starting with our 2025 Annual Report on Form 10-K. See “Item 1. Financial Statements – Notes to Consolidated Financial Statements – Segment and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Expenses and Other</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R&amp;D expenses for the third quarter of 2025 increased 7% as compared to the second quarter of 2025 primarily due to an increase in employee compensation and higher volumes of development and pre-qualification wafers. R&amp;D expenses for the third quarter of 2025 increased 14% as compared to the third quarter of 2024 primarily due to an increase in employee compensation and higher volumes of development and pre-qualification wafers. R&amp;D expenses for the first nine months of 2025 increased 9% as compared to the first nine months of 2024 primarily due to increases in employee compensation and depreciation expense, partially offset by lower volumes of development and pre-qualification wafers.</w:t>
      </w:r>
    </w:p>
    <w:p>
      <w:pPr>
        <w:spacing w:after="0" w:line="209"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expenses for the third quarter of 2025 increased 12% as compared to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primarily due to an increase in employee compensation. SG&amp;A expenses for the third quarter and first nine months of 2025 increased 9% and 7%, respectively, as compared to the corresponding periods of 2024 primarily due to an increase in employee compensation.</w:t>
      </w:r>
    </w:p>
    <w:p>
      <w:pPr>
        <w:spacing w:after="0" w:line="19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 xml:space="preserve">Other Operating (Income) Expense, Net: </w:t>
      </w:r>
      <w:r>
        <w:rPr>
          <w:rFonts w:ascii="Arial" w:cs="Arial" w:eastAsia="Arial" w:hAnsi="Arial"/>
          <w:sz w:val="18"/>
          <w:szCs w:val="18"/>
          <w:color w:val="auto"/>
        </w:rPr>
        <w:t>See “Item 1. Financial Statements – Notes to Consolidated Financial Statements –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(Income) Expense, 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income tax (provision) benefit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Third Quarter</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Second Quarter</w:t>
            </w:r>
          </w:p>
        </w:tc>
        <w:tc>
          <w:tcPr>
            <w:tcW w:w="16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Third Quarter</w:t>
            </w:r>
          </w:p>
        </w:tc>
        <w:tc>
          <w:tcPr>
            <w:tcW w:w="3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3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34"/>
        </w:trPr>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3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2,113</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715</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6,023</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(270)</w:t>
            </w: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78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(377)</w:t>
            </w: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(695)</w:t>
            </w:r>
          </w:p>
        </w:tc>
        <w:tc>
          <w:tcPr>
            <w:tcW w:w="3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172</w:t>
            </w:r>
          </w:p>
        </w:tc>
      </w:tr>
      <w:tr>
        <w:trPr>
          <w:trHeight w:val="230"/>
        </w:trPr>
        <w:tc>
          <w:tcPr>
            <w:tcW w:w="3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78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11.1 %</w:t>
            </w:r>
          </w:p>
        </w:tc>
        <w:tc>
          <w:tcPr>
            <w:tcW w:w="3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10.1 %</w:t>
            </w:r>
          </w:p>
        </w:tc>
        <w:tc>
          <w:tcPr>
            <w:tcW w:w="16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52.7 %</w:t>
            </w:r>
          </w:p>
        </w:tc>
        <w:tc>
          <w:tcPr>
            <w:tcW w:w="3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11.5 %</w:t>
            </w:r>
          </w:p>
        </w:tc>
        <w:tc>
          <w:tcPr>
            <w:tcW w:w="3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63.7 %</w:t>
            </w:r>
          </w:p>
        </w:tc>
      </w:tr>
    </w:tbl>
    <w:p>
      <w:pPr>
        <w:spacing w:after="0" w:line="30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change in our effective tax rate for the third quarter of 2025 as compared to the second quarter of 2025 was primarily due to discrete items related to tax return filings during the second quarter of 2025. The change in our effective tax rate for the third quarter of 2025 and the first nine months of 2025 as compared to the respective periods in 2024 was primarily due to changes in profitability.</w:t>
      </w:r>
    </w:p>
    <w:p>
      <w:pPr>
        <w:spacing w:after="0" w:line="1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$240 million (benefiting our diluted earnings per share by $0.21) for the third quarter of 2025, $171 million (benefiting our diluted earnings per share by $0.15) for the second quarter of 2025, and $623 million (benefiting our diluted earnings per share by $0.55) for the first nine months of 2025, respectively. As a result of the low level of profitability and geographic mix of income, the benefit from tax incentive arrangements was not material for the periods presented for 2024.</w:t>
      </w:r>
    </w:p>
    <w:p>
      <w:pPr>
        <w:spacing w:after="0" w:line="2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 changes in the tax laws of foreign jurisdictions could arise as a result of the base erosion and profit shifting project, including Pillar Two Model Rules (“Pillar Two”), undertaken by the Organisation for Economic Co-operation and Development (“OECD”). Nearly all European Union member states have enacted the Pillar Two legislation, which will be effective for us in 2025. We do not expect these enacted laws to materially impact our effective tax rate for 2025. On November 27, 2024, Singapore enacted legislation to implement Pillar Two, which will apply to us starting in 2026. While we are still evaluating the impacts, we expect our effective tax rate for 2026 to be in the high-teens percentage range. We also continue to monitor for additional guidance and legislative changes to Pillar Two in the jurisdictions where we operate.</w:t>
      </w:r>
    </w:p>
    <w:p>
      <w:pPr>
        <w:spacing w:after="0" w:line="21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information related to our operating expenses and other can be found in “Item 1. Financial Statements – Notes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23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 Compensation Plans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5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$12.21 billion as of May 29, 2025, and $9.15 billion as of August 29, 2024.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May 29, 2025, $4.80 billion of our cash and marketable investments was held by our foreign subsidiaries.</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continuously evaluate alternatives for efficiently funding our capital expenditures and ongoing operations. We expect to engage in a variety of financing transactions, from time to time, for such purposes as well as to refinance our existing indebtedness, including the issuance of securities. As of May 29, 2025, $3.50 billion was available to draw under our Revolving Credit Facility. Funding of certain significant capital projects is also dependent on the receipt of government incentives, which are subject to various conditions and may not be obtained.</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2025 for property, plant, and equipment, net of proceeds from government incentives, to be approximately $14 billion. Actual amounts for 2025 will vary depending on market conditions and may vary from quarter to quarter due to the timing of expenditures and proceeds from government incentives. As of May 29, 2025, we had purchase obligations of approximately $1.69 billion for the acquisition of property, plant, and equipment, substantially all of which is expected to be paid within one year. For a description of other contractual obligations, such as leases and debt, see “Item 1. Financial Statements – Notes to Consolidated Financial Statements – Leases,” and “ – Debt.”</w:t>
      </w:r>
    </w:p>
    <w:p>
      <w:pPr>
        <w:spacing w:after="0" w:line="21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support projected memory demand in the second half of the decade, we will need to add new DRAM wafer capacity. Following the enactment of the CHIPS Act, we announced plans to invest in leading-edge memory manufacturing sites in Idaho and New York, based on CHIPS Act support through grants and investment tax credits.</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part of this plan, in September 2022, we broke ground on a leading-edge memory manufacturing fab in Boise, Idaho. Construction of the fab began in October 2023, with first DRAM wafer output projected in the second half of calendar 2027. In June 2025, in connection with certain amendments to our CHIPS Act agreements, we announced plans for a second leading-edge memory manufacturing fab in Idaho to serve growing market demand fueled by AI.</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announced plan for New York includes construction of a leading-edge DRAM memory manufacturing site, consisting of up to four fabs to be built over the next 20-plus years, in Clay, New York. We expect site preparation to begin in calendar 2025, with production anticipated to ramp after the completion of the second Idaho fab. We expect these new fabs to be key to meeting our requirements for additional wafer capacity, in line with industry demand trends and our objective of maintaining stable bit share.</w:t>
      </w:r>
    </w:p>
    <w:p>
      <w:pPr>
        <w:spacing w:after="0" w:line="19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On December 9, 2024, we entered into direct funding agreements with the U.S. Department of Commerce for up to $6.1 billion in direct funding pursuant to the CHIPS Act for a planned fab in Boise, Idaho and two planned fabs in Clay, New York. On June 11, 2025, we entered into amendments to the direct funding agreements to add a second planned fab in Boise, Idaho and allocate certain award funding to the second planned Idaho fab from the $6.1 billion grants previously awarded. The direct funding for up to $6.1 billion remains unchanged. We elected not to pursue the federal loans previously disclosed as included in the non-binding preliminary memorandum of terms for the Boise, Idaho and Clay, New York fabs. On June 11, 2025, we also entered into a direct funding agreement with the U.S. Department of Commerce for up to $ 275 million in direct funding to expand and modernize our fab in Manassas, Virginia. The grants under the funding agreements represent total CHIPS Act grants of up to $6.4 billion in connection with our U.S. manufacturing expansion and modernization projects. In</w:t>
      </w:r>
    </w:p>
    <w:p>
      <w:pPr>
        <w:spacing w:after="0" w:line="3"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addition, we announced plans to bring advanced HBM packaging capabilities to the U.S. See “Item 1. Financial Statements – Notes to Consolidated Financial Statements – CHIPS Act Funding Agreements.”</w:t>
      </w:r>
    </w:p>
    <w:p>
      <w:pPr>
        <w:spacing w:after="0" w:line="22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In addition to the CHIPS Act direct funding, we receive a 25% investment tax credit on qualified investments in U.S. semiconductor manufacturing under the CHIPS Act. We have also signed a non-binding term sheet with the State of</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35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New York that provides for up to $5.5 billion in funding for the planned four-fab facility over the next 20-plus years through a combination of tax credits for qualified capital investments and incentives for eligible new job wages.</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Additionally, we have established cleanroom space within our existing manufacturing fab in Hiroshima, Japan, and have recently received the EUV lithography tool that will support production of advanced DRAM. We are expanding our production capacity in Taiwan for DRAM and HBM products to meet rising market demand. We also continue to advance our global back-end assembly and test network in order to support our product portfolio and extend our ability to deliver on global customer demand in the future. We are expanding our existing assembly and test facility in Xi’an, China, to provide space to add more product capability, to allow us over time to serve more of the demand from our customers in China. Construction is also progressing for the assembly and test facility in Gujarat, India to address demand in the</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latter half of this decade. In January 2025, we broke ground on an HBM advanced packaging facility in Singapore to meaningfully expand our total advanced packaging capacity beginning in calendar 2027.</w:t>
      </w:r>
    </w:p>
    <w:p>
      <w:pPr>
        <w:spacing w:after="0" w:line="22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Through May 29, 2025, we had repurchased an aggregate of $7.19 billion of the authorized amount. See “Item 1. Financial Statements – Notes to Consolidated Financial Statements – Equity” and “Item 1. Financial Statements – Notes to Consolidated Financial Statements – CHIPS Act Funding Agreements.”</w:t>
      </w:r>
    </w:p>
    <w:p>
      <w:pPr>
        <w:spacing w:after="0" w:line="2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June 25, 2025, our Board of Directors declared a quarterly dividend of $0.115 per share, payable in cash on July 22, 2025, to shareholders of record as of the close of business on July 7, 2025.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0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expect that our cash and investments, cash flows from operations, funding from government incentives, and available financing will be sufficient to meet our requirements at least through the next 12 months and thereafter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May 29, 2025</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May 30, 2024</w:t>
            </w: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11,795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5,102</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(8,889)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(4,711)</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(1,368)</w:t>
            </w: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3,117</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(992)</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(loss) adjusted for certain non-cash items,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expense, amortization of intangible assets, and stock-based compensation, and the effects of changes in operating assets and liabilities.</w:t>
      </w:r>
    </w:p>
    <w:p>
      <w:pPr>
        <w:spacing w:after="0" w:line="198"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The increase in cash provided by operating activities for the first nine months of 2025 as compared to the first nine months of 2024 was primarily due to net income in the current year adjusted for non-cash items and the effect of changes in receivables, partially offset by a decrease in other current liabilities.</w:t>
      </w:r>
    </w:p>
    <w:p>
      <w:pPr>
        <w:spacing w:after="0" w:line="198"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the first nine months of 2025, net cash used for investing activities consisted primarily of $10.20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expenditures for property, plant, and equipment; partially offset by $1.29 billion received from government incentives to offset capital expenditures and $46 million of net inflows from maturities, sales, and purchases of 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first nine months of 2024, net cash used for investing activities consisted primarily of $5.27 billion of expenditures for property, plant, and equipment; partially offset by $267 million received from government incentives to offset capital expenditures and $323 million of net inflows from maturities, sales, and purchases of available-for-sale securities.</w:t>
      </w:r>
    </w:p>
    <w:p>
      <w:pPr>
        <w:spacing w:after="0" w:line="198"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nine months of 2025, net cash provided by financing activities consisted primarily of $1.68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from the issuance of the 2029 Term Loan A; approximately $1.25 billion of proceeds from the issuance of the 2035 B Notes; approximately $1.00 billion of proceeds from the issuance of the 2035 A Notes; and $ 499 million of proceeds from the issuance of the 2032 Notes; partially offset by $3.60 billion of repayments of debt, which included the prepayment of the 2026 Notes, 2026 Term Loan A, 2027 Notes, and 2027 Term Loan A borrowings; and $392 million for payments of dividends to shareholders. See “Item 1. Financial Statements – Notes to Consolidated Financial Statements – Debt.”</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first nine months of 2024, net cash used for financing activities consisted primarily of $1.82 billion of repayments of debt, which included the prepayment of the 2024 Term Loan A and the 2025 Term Loan A borrowings; $384 million for payments of dividends to shareholders; and $127 million of payments on equipment purchase contracts; partially offset by approximately $1.00 billion of proceeds from the issuance of the 2031 Notes.</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257"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For a discussion of our critical accounting estimates, see “Part II – Item 7. Management’s Discussion and Analysis of Financial Condition and Results of Operations – Critical Accounting Estimates” of our Annual Report on Form 10-K for the year ended August 29, 2024. There have been no significant changes to our critical accounting estimates since our Annual Report on Form 10-K for the year ended August 29, 2024.</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“Part I. Financial Information – Item 1. Financial Statements – Notes to Consolidated Financial Statements – Recently Issued Accounting Standards.”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about market risk and sensitivity analysis related to changes in interest rates and currency exchange rates, see “Part II</w:t>
      </w:r>
    </w:p>
    <w:p>
      <w:pPr>
        <w:spacing w:after="0" w:line="2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 Item 7A. Quantitative and Qualitative Disclosures About Market Risk” in our Annual Report on Form 10-K for the year ended August 29, 2024. There have been no material changes to our market risk during the nine months ended May 29, 2025.</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During the third quarter of 2025,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37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5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For a discussion of legal proceedings, see “Part I. Financial Information – Item 1. Financial Statements – Notes to Consolidated Financial Statements – Contingencies” and “Item 1A. Risk Factors” in this Quarterly Report on Form 10-Q.</w:t>
      </w:r>
    </w:p>
    <w:p>
      <w:pPr>
        <w:spacing w:after="0" w:line="18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range of factors that may adversely affect our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and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realizing expected returns from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or maintaining certain outcomes and the compliance requirements associated with incentives from various governments;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and quality of materials, supplies, electrical power, gas, water, and capital equipment, or dependency on third-party service providers;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downturn or ongoing adverse conditions in regional or worldwide economies;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dependency on certain customers, including international customers, and end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breaches of our security systems or products, systems failures, interruptions, delays in service, catastrophic events, and resulting interruptions of our systems or those of our customers, suppliers, or business partners;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uncertainties and outcomes associated with the use and evolution of AI;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sustainability and governance expectations or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and/or alliances;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restructure plans may not realize expected savings or other benefits.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legal, regulatory and administrative investigations, inquiries, proceedings, and claims; and</w:t>
      </w:r>
    </w:p>
    <w:p>
      <w:pPr>
        <w:spacing w:after="0" w:line="9"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impacts of government actions and 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environmental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amount and frequency of our common stock repurchases and payment of cash dividends and resulting impacts.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39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average selling prices for our semiconductor memory and storage products may adversely affect our business.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experienced significant volatility in our average selling prices and may continue to experience such volatility in the future. In the past five years, annual percentage changes in DRAM average selling prices have ranged from plus low-teen percentage range to a minus high-40% range. In the past five years, annual percentage changes in NAND average selling prices have ranged from plus low-30% to a minus low-50% range. In some prior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in future periods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gross margins may be adversely affected by a range of factors.</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addition to the impact of our average selling prices, 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20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product diversification decisions affecting product mix;</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complexity of our product portfolio, which may impact operational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complexity of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transitioning to smaller line-width process technologies or additional 3D memory layers or NAND cell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process complexity including number of mask layers and fabrication steps;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yield and defect density;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technological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process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products that may require relatively larger die sizes or advanced packaging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start-up or other costs associated with capacity expansions;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costs of goods and services due to, among other things, inflationary pressures, regulatory actions, including tariffs or trade restrictions, increased input costs, or market conditions; and</w:t>
      </w:r>
    </w:p>
    <w:p>
      <w:pPr>
        <w:ind w:left="660" w:right="300" w:hanging="328"/>
        <w:spacing w:after="0" w:line="26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manufacturing costs per gigabit due to fabrication facility underutilization, lower wafer output, and insufficient volume to run new technology nodes to achieve cost optimization.</w:t>
      </w:r>
    </w:p>
    <w:p>
      <w:pPr>
        <w:spacing w:after="0" w:line="19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Many factors may result in a reduction of our output or a delay in ramping production, which have in the past and could in the future lead to underutilization of our production assets. These factors may include, among others, a weak demand environment, industry oversupply, inventory surpluses, difficulties in ramping emerging technologies, supply chain disruptions, and delays from equipment suppliers. A significant portion of our manufacturing costs are fixed and do not vary proportionally with changes in production output. As a result, lower utilization, lower wafer output, and corresponding increases in our per gigabit manufacturing costs could result in higher inventory carrying costs, and have had, and may continue to have, an adverse effect on our gross margins, business, results of operations, or financial condition.</w:t>
      </w:r>
    </w:p>
    <w:p>
      <w:pPr>
        <w:spacing w:after="0" w:line="21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and underutilized capacity. Consequently, we may incur charges in connection with obsolete or excess inventories, or we may not fully recover our costs, which would reduce our gross margins. For example, in 2023, we recorded aggregate charges of $1.83 billion to write down the carrying value of our inventories to their estimated net realizable value.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00" w:lineRule="exact"/>
        <w:rPr>
          <w:sz w:val="20"/>
          <w:szCs w:val="20"/>
          <w:color w:val="auto"/>
        </w:rPr>
      </w:pPr>
    </w:p>
    <w:p>
      <w:pPr>
        <w:spacing w:after="0" w:line="243"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may not be able to predict or quickly respond to trends in the dynamics of our markets and our customers or changes in customer demand, which could negatively impact our gross margin. Our inability to prevent deterioration of or improve gross margins could have a material adverse effect on our business, results of operations, or financial condition.</w:t>
      </w:r>
    </w:p>
    <w:p>
      <w:pPr>
        <w:spacing w:after="0" w:line="198"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b w:val="1"/>
          <w:bCs w:val="1"/>
          <w:color w:val="auto"/>
        </w:rPr>
        <w:t>We face geopolitical and other risks associated with our international operations that could materially adversely affect our business, results of operations, or financial condition.</w:t>
      </w:r>
    </w:p>
    <w:p>
      <w:pPr>
        <w:spacing w:after="0" w:line="16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In addition to our U.S. operations, a substantial portion of our operations are conducted in Taiwan, Singapore, Japan, Malaysia, China, and India, and many of our customers, suppliers, and vendors also operate internationally. In 2024, nearly half of our revenue was from sales to customers who have headquarters located outside the United States, while over 80% of our revenue in 2024 was from products shipped to customer locations outside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number of risks, including:</w:t>
      </w:r>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sales of goods or services to one or more of our significant foreign customers;</w:t>
      </w:r>
    </w:p>
    <w:p>
      <w:pPr>
        <w:spacing w:after="0" w:line="27" w:lineRule="exact"/>
        <w:rPr>
          <w:rFonts w:ascii="Arial" w:cs="Arial" w:eastAsia="Arial" w:hAnsi="Arial"/>
          <w:sz w:val="18"/>
          <w:szCs w:val="18"/>
          <w:color w:val="auto"/>
        </w:rPr>
      </w:pPr>
    </w:p>
    <w:p>
      <w:pPr>
        <w:jc w:val="both"/>
        <w:ind w:left="660" w:right="5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and global tariffs,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instability, including instability resulting from domestic and international conflicts;</w:t>
      </w:r>
    </w:p>
    <w:p>
      <w:pPr>
        <w:spacing w:after="0" w:line="9" w:lineRule="exact"/>
        <w:rPr>
          <w:rFonts w:ascii="Arial" w:cs="Arial" w:eastAsia="Arial" w:hAnsi="Arial"/>
          <w:sz w:val="18"/>
          <w:szCs w:val="18"/>
          <w:color w:val="auto"/>
        </w:rPr>
      </w:pPr>
    </w:p>
    <w:p>
      <w:pPr>
        <w:ind w:left="660" w:right="120" w:hanging="328"/>
        <w:spacing w:after="0" w:line="24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perception of governments in the regions where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market share in foreign jurisdictions resulting from political and regulatory uncertainty regarding possible trade restrictions, domestic sourcing initiatives, or other government actions;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health issues.</w:t>
      </w:r>
    </w:p>
    <w:p>
      <w:pPr>
        <w:spacing w:after="0" w:line="23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41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the U.S. government has in the past and continues to restrict American firms, including us,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Political, economic, or other actions may adversely affect our operations in Taiwan. A majority of our DRAM production output in 2024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5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Kioxia Holdings Corporation; Samsung Electronics Co., Ltd.; SK hynix Inc.; Sandisk Corporation; Yangtze Memory Technologies Co., Ltd. (“YMTC”); and ChangXin Memory Technologies, Inc. (“CXMT”).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Alternatively, new entrants into memory and storage market could have a significant adverse impact on our competitive position. We operate in different jurisdictions than our competitors and may be impacted by unfavorable changes in currency exchange rates, import/export restrictions, and other trade regulations, including tariffs.</w:t>
      </w:r>
    </w:p>
    <w:p>
      <w:pPr>
        <w:spacing w:after="0" w:line="2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As a result, we face the threat of increasing competition and oversupply due to significant investment in the semiconductor industry by the Chinese government and various state-owned or affiliated entities, such as YMTC and CXMT. In addition, the CAC’s decision that critical information infrastructure operators in China may not purchase Micron products had an adverse impact on our ability to compete effectively in China and elsewhere.</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and our competitors generally seek to increase supply to address growing market demands,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spacing w:after="0" w:line="296" w:lineRule="auto"/>
        <w:rPr>
          <w:sz w:val="20"/>
          <w:szCs w:val="20"/>
          <w:color w:val="auto"/>
        </w:rPr>
      </w:pPr>
      <w:r>
        <w:rPr>
          <w:rFonts w:ascii="Arial" w:cs="Arial" w:eastAsia="Arial" w:hAnsi="Arial"/>
          <w:sz w:val="18"/>
          <w:szCs w:val="18"/>
          <w:b w:val="1"/>
          <w:bCs w:val="1"/>
          <w:color w:val="auto"/>
        </w:rPr>
        <w:t>Our future success depends on our ability to develop and produce new and competitive memory and storage technologies and products.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key semiconductor memory and storage technologies face technological barriers to continue to meet long-term customer needs. These barriers include achieving acceptable yields and quality for HBM products with their multiple chip layers,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Recent technologies, such as generative AI models have emerged, and while they have driven increased demand for HBM and other advanced products in the data center and other markets, the long-term trajectory is unknown and associated demand may fluctuate. If we or</w:t>
      </w:r>
    </w:p>
    <w:p>
      <w:pPr>
        <w:spacing w:after="0" w:line="2"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our competitors increase HBM supply at a rate that outpaces HBM demand, conversion of HBM capacity to supply other DRAM products could result in significant supply-demand imbalances. Due to the higher performance and more complex manufacturing process, HBM</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requires a higher number of wafers to produce the same number of bits as conventional DRAM in the same technology node. This could lead to declines in average selling prices for our DRAM products and could materially affect our business. Our product demand forecasts may also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of the following:</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successful in developing competitive new semiconductor memory and storage technologies and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successfully achieve revenue targets for these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margins and cash flows generated from sales of these products will allow us to recover costs of development efforts;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43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Unsuccessful efforts to develop new memory and storage technologies and products could have a material adverse effect on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achieve expected returns from capacity expansions.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w:t>
      </w:r>
    </w:p>
    <w:p>
      <w:pPr>
        <w:spacing w:after="0" w:line="18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construction projects are highly dependent on available sources of materials, and specialized equipment, as well as labor, skilled sub-contractors and other service providers. Increasing demand, supply constraints, inflation, tariffs, trade restrictions,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expansions involve several risks including the following:</w:t>
      </w:r>
    </w:p>
    <w:p>
      <w:pPr>
        <w:spacing w:after="0" w:line="252" w:lineRule="exact"/>
        <w:rPr>
          <w:sz w:val="20"/>
          <w:szCs w:val="20"/>
          <w:color w:val="auto"/>
        </w:rPr>
      </w:pPr>
    </w:p>
    <w:p>
      <w:pPr>
        <w:ind w:left="660" w:right="30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meet capital expenditure requirements for capacity expansions, including during periods of relatively low free cash flow generation, resulting from challenging memory and storage industry conditions;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unavailability of necessary funding, which may include external sources;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realize expected grants, investment tax credits, and other government incentives, including through the CHIPS Act and other national, international, state, and local grants;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changes in laws or provisions of grants, investment tax credits, and other government incentives, including the CHIPS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and potential restrictions related to environmental and other government regulations or permits;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restrictions on expanding in certain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complete construction as scheduled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attract, retain and motivate key talent;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timely ramp production in a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to our cost structure until new production is ramped to adequate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insufficient customer demand to utilize our increased capacity.</w:t>
      </w:r>
    </w:p>
    <w:p>
      <w:pPr>
        <w:spacing w:after="0" w:line="23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From time to time, we have experienced impacts from certain of the above items and, because these risks are a characteristic of our business, we expect to experience them in the future. Depending on the nature and extent of the impact from these risks, we may be unable to produce sufficient capacity in the expected time frame which could result in delays in the completion of our construction projects and increased costs, including costs to operate these facilities.</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factors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560"/>
        <w:spacing w:after="0" w:line="273" w:lineRule="auto"/>
        <w:rPr>
          <w:sz w:val="20"/>
          <w:szCs w:val="20"/>
          <w:color w:val="auto"/>
        </w:rPr>
      </w:pPr>
      <w:r>
        <w:rPr>
          <w:rFonts w:ascii="Arial" w:cs="Arial" w:eastAsia="Arial" w:hAnsi="Arial"/>
          <w:sz w:val="18"/>
          <w:szCs w:val="18"/>
          <w:b w:val="1"/>
          <w:bCs w:val="1"/>
          <w:color w:val="auto"/>
        </w:rPr>
        <w:t>Our incentives from various governments are conditioned upon achieving or maintaining certain outcomes and satisfying compliance requirements and are subject to reduction, termination, or clawback, and could impose certain limitations on our business.</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We have received, and may in the future continue to receive, benefits and incentives from national, state, and local governments in various regions of the world designed to encourage us to establish, maintain, or increase investment, workforce, research and development, or production in those regions. However, there is no guarantee that such government incentives and benefits will continue to be available in the future on the same terms, terms that are acceptable to us or at all and existing incentives could be modified or terminated by government authorities. In addition, we have discretion in the timing of use of certain of these incentives. If we choose to exercise such discretion due to the cyclicality of our business or other factors, we may not be able to fully utilize these incentives. Our future business plans may be</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impacted by obtaining these government incentives, which may take various forms, including grants, subsidies, loans, and tax arrangements, and typically require us to achieve or maintain certain levels of investment, capital spending, employment, technology deployment or</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development milestones, construction or production milestones, or research and development activities to qualify for such incentives or could restrict us from undertaking certain activities. Failure to achieve such milestones could result in up to all of certain incentives being clawed back, in some cases along with interest and/or loss of project assets. In some cases, these incentives have additional terms and conditions regarding our business operations or governance that are required to be satisfied as a condition to receive incentives or disbursements. Compliance with these terms and conditions may add complexity to our operations and increase our costs and failure to comply could result in termination of incentive programs or clawbacks of incentive amounts received, in some cases along with interest and/or loss of project assets.</w:t>
      </w:r>
    </w:p>
    <w:p>
      <w:pPr>
        <w:spacing w:after="0" w:line="212"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We may be unable to obtain sufficient future incentives to continue to fund a portion of our capital expenditures and operating costs, without which our cost structure may be adversely impacted and planned capital expenditures and research and development expenditures may be affected. For example, in December 2024, we entered into direct funding agreements, providing funds for the construction of fab facilities in Idaho and New York, with the United States Department of Commerce (the “Department”) under the Department’s CHIPS Incentives</w:t>
      </w:r>
    </w:p>
    <w:p>
      <w:pPr>
        <w:ind w:right="200"/>
        <w:spacing w:after="0" w:line="226" w:lineRule="auto"/>
        <w:rPr>
          <w:sz w:val="20"/>
          <w:szCs w:val="20"/>
          <w:color w:val="auto"/>
        </w:rPr>
      </w:pPr>
      <w:r>
        <w:rPr>
          <w:rFonts w:ascii="Arial" w:cs="Arial" w:eastAsia="Arial" w:hAnsi="Arial"/>
          <w:sz w:val="18"/>
          <w:szCs w:val="18"/>
          <w:color w:val="auto"/>
        </w:rPr>
        <w:t>Program established pursuant to the CHIPS Act. The awards under the direct funding agreements are subject to various conditions and we may not receive the funding expected on the same terms or at all. We cannot guarantee that we will successfully achieve or maintain</w:t>
      </w:r>
    </w:p>
    <w:p>
      <w:pPr>
        <w:spacing w:after="0" w:line="2" w:lineRule="exact"/>
        <w:rPr>
          <w:sz w:val="20"/>
          <w:szCs w:val="20"/>
          <w:color w:val="auto"/>
        </w:rPr>
      </w:pPr>
    </w:p>
    <w:p>
      <w:pPr>
        <w:jc w:val="both"/>
        <w:ind w:right="540"/>
        <w:spacing w:after="0" w:line="242" w:lineRule="auto"/>
        <w:rPr>
          <w:sz w:val="20"/>
          <w:szCs w:val="20"/>
          <w:color w:val="auto"/>
        </w:rPr>
      </w:pPr>
      <w:r>
        <w:rPr>
          <w:rFonts w:ascii="Arial" w:cs="Arial" w:eastAsia="Arial" w:hAnsi="Arial"/>
          <w:sz w:val="18"/>
          <w:szCs w:val="18"/>
          <w:color w:val="auto"/>
        </w:rPr>
        <w:t>outcomes or satisfy the compliance requirements to qualify for these incentives or that the granting agencies will provide or continue to provide such funding. See “Part I. Financial Information –Item 1. Financial Statements – Notes to Consolidated Financial Statements – CHIPS Act Funding Agreements.”</w:t>
      </w:r>
    </w:p>
    <w:p>
      <w:pPr>
        <w:spacing w:after="0" w:line="2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incentive arrangements, including the funding agreements, typically provide the granting agencies with rights to audit our compliance with their terms and obligations. Such audits could result in modifications to, or termination of, the applicable incentive program. In addition, the incentives we receive, including the funding agreements, are in some cases subject to reduction, termination, or clawback under certain circumstances, and any decrease or clawback of government incentives could have a material adverse effect on our business, results of operations, or financial condition.</w:t>
      </w:r>
    </w:p>
    <w:p>
      <w:pPr>
        <w:spacing w:after="0" w:line="206" w:lineRule="exact"/>
        <w:rPr>
          <w:sz w:val="20"/>
          <w:szCs w:val="20"/>
          <w:color w:val="auto"/>
        </w:rPr>
      </w:pPr>
    </w:p>
    <w:p>
      <w:pPr>
        <w:ind w:right="220"/>
        <w:spacing w:after="0" w:line="296" w:lineRule="auto"/>
        <w:rPr>
          <w:sz w:val="20"/>
          <w:szCs w:val="20"/>
          <w:color w:val="auto"/>
        </w:rPr>
      </w:pPr>
      <w:r>
        <w:rPr>
          <w:rFonts w:ascii="Arial" w:cs="Arial" w:eastAsia="Arial" w:hAnsi="Arial"/>
          <w:sz w:val="18"/>
          <w:szCs w:val="18"/>
          <w:b w:val="1"/>
          <w:bCs w:val="1"/>
          <w:color w:val="auto"/>
        </w:rPr>
        <w:t>Our business, results of operations, or financial condition could be adversely affected by the availability and quality of materials, supplies, electrical power, gas, water, and capital equipment, or dependency on third-party service providers.</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semiconductors,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45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were to cease operations or become insolvent, this could impact their ability to provide us with necessary supplies, and we may not be able to obtain the needed supply in a timely way or at all from other providers.</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a predominant producer of these materials. China has in the past restricted export of certain of these materials and may in the future continue to restrict, expand restrictions, or stop exporting these or other materials, and as a result,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and/or our suppliers and service providers could be affected by regional conflicts, civil unrest, labor disruptions, sanctions, tariffs, embargoes, or other trade restrictions, and retaliatory actions in response to such actions,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1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Our operations are dependent on a reliable and uninterrupted supply of electrical power, gas,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delays in completion of our construction projects and cost increases,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Downturns or ongoing adverse conditions in regional or worldwide economies may harm our business.</w:t>
      </w:r>
    </w:p>
    <w:p>
      <w:pPr>
        <w:spacing w:after="0" w:line="23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Downturns or ongoing adverse conditions in regional or worldwide economies, due to inflation, geopolitics, changes in government borrowing or spending, trade disputes,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memory and storage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2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Additionally, our current or potential future customers may experience cash flow problems and as a result may modify, delay, or cancel plans to purchase our products. Any inability of our current or potential future customers to pay us for our products may adversely affect our earnings and cash flow. As a result, downturns or ongoing adverse conditions in regional or worldwide economies could have a material adverse effect on our business, results of operations, or financial condition.</w:t>
      </w:r>
    </w:p>
    <w:p>
      <w:pPr>
        <w:spacing w:after="0" w:line="210"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auto"/>
        </w:rPr>
        <w:t>If our manufacturing process is disrupted by operational issues, natural disasters, or other events, our business, results of operations, or financial condition could be materially adversely affected.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China, and India.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and facilities,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because these risks are a characteristic of our business, they may occur in the future. As a result, in addition to disruptions to operations, our insurance premiums may increase or we may not be able to fully recover any sustained losses through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47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 is concentrated with certain customers and end markets.</w:t>
      </w:r>
    </w:p>
    <w:p>
      <w:pPr>
        <w:spacing w:after="0" w:line="25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In the first nine months of 2025, over half of our total revenue came from our top ten customers. On end markets, approximately one-half of our total revenue was concentrated in the data center end market. A disruption in our relationship with any of our top customers or a significant decrease in demand for our data center products, or in the overall data center end market, could adversely affect our business. We could experience fluctuations in our customer base or the mix of revenue by customer or end market, as markets and strategies evolve. Demand for our products may fluctuate due to factors beyond our control. Our inability to qualify our products to meet customer or end market requirements could adversely impact our revenue. A meaningful change in inventory strategy by our top customers or in certain end markets could impact our industry bit demand growth outlook. In addition, any consolidation of our customers or consolidation of significant end markets could limit the opportunity for sale of our products. The loss of, or restrictions on our ability to sell to, one or more of our major customers or in certain end markets, or any significant reduction in orders or a shift in product mix, could have a material adverse effect on our business, results of operations, or financial condition. See “Part I. Financial Information – Item 1. Financial Statements – Notes to Consolidated Financial Statements – Certain Concentrations.”</w:t>
      </w:r>
    </w:p>
    <w:p>
      <w:pPr>
        <w:spacing w:after="0" w:line="219"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qualify, and manufacture our system solutions.</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Manufacturing system-level solutions, such as SSDs, managed NAND, and HBM, typically results in higher per-unit manufacturing costs and longer cycle time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system-level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auto"/>
        </w:rPr>
        <w:t>Products that fail to meet specifications, are defective, or are otherwise incompatible with end uses could impose significant costs on us.</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9" w:lineRule="exact"/>
        <w:rPr>
          <w:sz w:val="20"/>
          <w:szCs w:val="20"/>
          <w:color w:val="auto"/>
        </w:rPr>
      </w:pPr>
    </w:p>
    <w:p>
      <w:pPr>
        <w:ind w:left="660" w:right="10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data relating to our customers and employees, including sensitive personal information. Unauthorized persons, employees, former employees, nation states, or other parties may gain access to our facilities or technology infrastructure and systems through fraudulent means and may steal trade secrets or other proprietary information, compromise confidential information, create system disruptions, or have other impacts.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Our technology infrastructure and systems and that of our suppliers, vendors, service providers, cloud solution providers, and partners have in the past experienced, and may in the future experience, such attacks, which could impact our operations. Cyberattacks can include ransomware, denial-of-service attacks, zero-day attacks, supply chain attacks, “phishing” and other forms of social engineering, exploitation of open source software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The emergence and maturation of AI capabilities may also lead to new and/or more sophisticated methods of attack.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including break-ins, sabotage or vandalism, attacks on our technology infrastructure and systems, security breaches or incidents, or attacks on our customers, suppliers, or business partners who maintain or otherwise process confidential or sensitive information regarding us and our customers and suppliers, could result in damage to, or loss, disruption, or unavailability of data or systems, or inappropriate disclosure, destruction, loss, or other processing of confidential or sensitive information. In addition, our systems and those of our third-party vendors may experience service interruptions, data loss or compromise and outages, for other reasons, including human error, pandemics, fires, other natural disasters,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49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power losses, disruptions in telecommunications services, fraud, military or political conflicts, terrorist attacks and other geopolitical unrest, computer viruses, ransomware, and other malicious software, changes in social, political, or regulatory conditions or in laws and policies, or other changes or events.</w:t>
      </w:r>
    </w:p>
    <w:p>
      <w:pPr>
        <w:spacing w:after="0" w:line="19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Any such event, or the perception it has occurred, may result in significant losses and damage our reputation with customers and suppliers and may expose us to claims, demands, and litigation.</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products and the systems and applications that incorporate or otherwise utilize our products are also targets for cyberattacks. While some of our products contain encryption, security algorithms, or features designed to help protect third-party content, user-generated data stored on our products, or the functionality of our products as intended, systems and applications that utilize these products could be compromised, breached, or circumvented by motivated attackers. Further, our products contain sophisticated hardware, firmware and software (some of which is provided by third parties) that may contain weaknesses or defects in design or manufacture, including “bugs” and other problems that could interfere with the intended operation of our products or be potentially exploited by such attackers. If systems or applications that utilize our products experience a cyberattack, our products are attacked, or our suppliers are breached or attacked, this could harm our business by requiring us to employ additional resources to remediate the errors or defects, and could expose us to litigation, claims, and harm to our reputation.</w:t>
      </w:r>
    </w:p>
    <w:p>
      <w:pPr>
        <w:spacing w:after="0" w:line="20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any of the multiple uncertainties and outcomes associated with the use and evolution of AI.</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increasingly incorporating AI capabilities into the development of technologies and our business operations, and into our products and services. AI technology is complex and rapidly evolving, and may expose us to significant competitive, legal, regulatory, and other risks. The implementation of AI can be costly and there is no guarantee that our use of AI will enhance our technologies, benefit our business operations, or produce products and services that are preferred by our customers. AI will likely increase or change the competitive environment in our markets. Our competitors may be more successful in their AI strategy or they may have access to greater AI resources or technology and develop superior products and services.</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AI algorithms or training methodologies may be flawed, and datasets may contain irrelevant, insufficient or biased information, which can cause errors in outputs. AI is also the subject of an evolving set of legal requirements and regulations and we may be subject to new and conflicting laws and regulations. Any of these matters may give rise to legal liability, damage our reputation, and materially harm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highly skilled employees.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To remain competitive, we must maintain a highly skilled, global workforce and effectively manage succession for key roles. Hiring, retaining, and motivating qualified executives and other skilled talent is critical to our business and competition can be intense. If our total compensation programs, employment benefits, and workplace culture are not viewed as competitive and inclusive, our ability to attract and retain talent could be compromised.</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times, we experience higher levels of attrition and more intense competition for talent across our industry, which can lead to increased compensation costs. To the extent we experience significant attrition and are unable to timely replace employees, we could experience a loss of critical skills and reduced employee morale, potentially resulting in business disruptions, inefficiencies during transitional periods and increased expenses.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20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Our business success is dependent on our ability to attract, retain and motivate key talent. Our inability to do so could inhibit our ability to maintain or expand our business operations and may adversely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sustainability, governance, or other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22"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auto"/>
        </w:rPr>
        <w:t>Evolving sustainability and governance expectations or standards or failure to achieve our related goals could adversely affect our business, results of operations, financial condition, or stock price.</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recent years, there has been an increased focus from stakeholders on sustainability and governance matters, including greenhouse gas emissions and climate-related risks, carbon-free electricity, water stewardship, waste management, inclusion, responsible sourcing and supply chain, and human rights. We actively manage these issues and have established and publicly announced certain sustainability goals, commitments, and targets which we may refine or modify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Such risks and uncertainties include:</w:t>
      </w:r>
    </w:p>
    <w:p>
      <w:pPr>
        <w:spacing w:after="0" w:line="2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reputational harm, including damage to our relationships with customers, suppliers, investors, governments, or other stakeholders;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impacts on our ability to manufacture and sell products and maintain our market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business due to failure to meet our customers’ sustainability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risk of litigation, investigations, or regulatory enforcement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sustainability and governance ratings or investor sentiment;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resources and increased costs to control, assess, and report on sustainability and governance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achieve our goals, commitments, and targets within timeframes announced;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costs to achieve our goals, commitments, and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operational and technological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access to and increased cost of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impacts on our stock price.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51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Opinions, perspectives, and expectations on sustainability and governance matters may differ amongst our stakeholders and may evolve over time. We have been and may continue to be subject to conflicting expectations and views on various matters, and legal requirements and interpretations may change. Any failure, or perceived failure, to meet evolving stakeholder expectations and industry standards or achieve our sustainability and governance goals, commitments, and targets could have an adverse effect on our business, results of operations, financial condition, or stock price.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and/or alliances involve numerous risks.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8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imposition of significant obligations, or restrictions on the conduct of our business or the acquired business;</w:t>
      </w:r>
    </w:p>
    <w:p>
      <w:pPr>
        <w:spacing w:after="0" w:line="1" w:lineRule="exact"/>
        <w:rPr>
          <w:rFonts w:ascii="Arial" w:cs="Arial" w:eastAsia="Arial" w:hAnsi="Arial"/>
          <w:sz w:val="18"/>
          <w:szCs w:val="18"/>
          <w:color w:val="auto"/>
        </w:rPr>
      </w:pPr>
    </w:p>
    <w:p>
      <w:pPr>
        <w:ind w:left="660" w:right="9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underestimating the costs or overestimating the benefits, including product, revenue, cost and other synergies and growth opportunities that we expect to realize, and we may not achieve those benefits;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40" w:hanging="328"/>
        <w:spacing w:after="0" w:line="26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or technological advancements.</w:t>
      </w:r>
    </w:p>
    <w:p>
      <w:pPr>
        <w:spacing w:after="0" w:line="19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alliances with, technology companies are inherently risky and may not be successful and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restructure charges in future periods and may not realize expected savings or other benefits from restructure plans.</w:t>
      </w: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From time to time, we have because of the nature of our business, and may in the future, enter into restructure initiatives in order to, among other items, streamline our operations, increase our synergies, respond to changes in business conditions, our markets, or product offerings, or to centralize certain key functions. We may not realize expected savings or other benefits from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difficulties in the timely delivery of products, and loss of customers and local market share,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57" w:lineRule="exact"/>
        <w:rPr>
          <w:sz w:val="20"/>
          <w:szCs w:val="20"/>
          <w:color w:val="auto"/>
        </w:rPr>
      </w:pPr>
    </w:p>
    <w:p>
      <w:pPr>
        <w:ind w:right="840"/>
        <w:spacing w:after="0" w:line="296" w:lineRule="auto"/>
        <w:rPr>
          <w:sz w:val="20"/>
          <w:szCs w:val="20"/>
          <w:color w:val="auto"/>
        </w:rPr>
      </w:pPr>
      <w:r>
        <w:rPr>
          <w:rFonts w:ascii="Arial" w:cs="Arial" w:eastAsia="Arial" w:hAnsi="Arial"/>
          <w:sz w:val="18"/>
          <w:szCs w:val="18"/>
          <w:b w:val="1"/>
          <w:bCs w:val="1"/>
          <w:color w:val="auto"/>
        </w:rPr>
        <w:t>We may be unable to protect our intellectual property or retain key employees who are knowledgeable of and develop our intellectual property.</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 The use of AI in the development of our products and services could also cause loss of intellectual property, as well as subject us to risks related to intellectual property infringement or misappropriation.</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80"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Legal, regulatory and administrative investigations, inquiries, proceedings, and claims could have a material adverse effect on our business, results of operations, or financial condition.</w:t>
      </w:r>
    </w:p>
    <w:p>
      <w:pPr>
        <w:spacing w:after="0" w:line="16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From time to time, we are subject to various legal, regulatory and administrative investigations, inquiries, proceedings, and claims that arise out of the ordinary conduct of our business or otherwise, both domestically and internationally. Such claims, investigations, inquiries, and proceedings may include, but are not limited to, allegations of anticompetitive conduct and infringement of intellectual property. See “Part I. Financial Information – Item 1. Financial Statements – Notes to Consolidated Financial Statements –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may be associated with and subject to litigation, claims, inquiries, investigations, or disputes arising from, or as a result of:</w:t>
      </w:r>
    </w:p>
    <w:p>
      <w:pPr>
        <w:spacing w:after="0" w:line="252" w:lineRule="exact"/>
        <w:rPr>
          <w:sz w:val="20"/>
          <w:szCs w:val="20"/>
          <w:color w:val="auto"/>
        </w:rPr>
      </w:pPr>
    </w:p>
    <w:p>
      <w:pPr>
        <w:ind w:left="660" w:right="520" w:hanging="328"/>
        <w:spacing w:after="0" w:line="26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2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humanoid robots, AI, and others, we may be exposed to greater potential for personal liability claims against us as a result of consumers’ use of those products. We, our officers, or our directors have been and could continue to be subject to claims of alleged violations of securities laws.</w:t>
      </w:r>
    </w:p>
    <w:p>
      <w:pPr>
        <w:spacing w:after="0" w:line="201"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Expansion of our production capacity is subject to inherent safety risks for our employees and contractors. Expansion and renovation activities may involve accidents, which could result in project delays, litigation, claims or disputes by our contractors and others, as well as increased insurance costs. While the risks of our construction projects are covered by insurance and contractual indemnities from our contractors, we may not have insurance coverage or rights to indemnity for all risks. Further, there can be no assurance that we are adequately insured to protect against all claims and potential liabilities, and we may elect to self-insure with respect to certain matters.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53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Exposures to various legal proceedings and claims, with or without merit, could require significant attention from our management and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189"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57"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6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International trade disputes, geopolitical tensions, and military conflicts have led, and continue to lead, to new and increasing export restrictions, trade barriers, tariffs, and other trade measures, as well as retaliatory actions,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Government actions in the United States or abroad may lead to further changes in trade policy, domestic sourcing initiatives, increases in foreign government incentives supporting domestic businesses or other formal and informal measures that could make it more difficult to sell our products in, or restrict our access to, some markets and/or customers. For example, 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For example, increasing geopolitical tensions have resulted in new and proposed export controls associated with products,</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including those that support or enable AI applications, which could, in turn, restrict future sales of certain products to China or other markets, or restrict our ability to obtain equipment, components, and raw materials. Similarly, new and proposed tariffs in the U.S., China, or other</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markets on products, materials, and equipment may increase our selling costs, thus impacting demand for our products.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2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Tax-related matters could have a material adverse effect on our business, results of operations, or financial condition.</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Further changes in the tax laws of foreign jurisdictions could arise as a result of the base erosion and profit shifting project, including Pillar Two Model Rules (“Pillar Two”), undertaken by the Organisation for Economic Co-operation and Development (“OECD”). Nearly all European Union member states have enacted the Pillar Two legislation, which will be effective for us in 2025. We do not expect these enacted laws to materially impact our effective tax rate for 2025. On November 27, 2024, Singapore enacted legislation to implement Pillar Two, which will apply to us starting in 2026. While we are still evaluating the impacts, we expect our effective tax rate for 2026 to be in the high-teens percentage range. We continue to monitor for additional guidance and legislative changes related to Pillar Two in the jurisdictions where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55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of our products requires the use of facilities, equipment, chemicals, and materials that are subject to a broad array of laws and regulations in numerous jurisdictions in which we operate. This includes increasing regulations on a class of chemicals known as per-and polyfluoroalkyl substances (PFAS).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New and evolving laws and regulations relating to cybersecurity, data privacy, and AI impose requirements for information confidentiality, integrity, availability, personal and proprietary data collection, storage, use, sharing, deletion, and AI systems to be appropriately transparent, fair, secure, beneficial, and accountable. Along with these, such laws, standards, and market expectations could cause us to incur additional direct costs for compliance, as well as increased indirect costs resulting from our customers, suppliers, or partners reluctance to share information or solutions due to actual or perceived inadequate controls. These costs may adversely impact our operations and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considerations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limited supplies of chemicals or materials used to make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remediation costs and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penalties, fines, civil or criminal sanctions, and other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5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2025 for property, plant, and equipment, net of proceeds from government incentives, to be approximately $14 billion.</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5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realign our capital structure. As of May 29, 2025, we had debt with a carrying value of $15.54 billion and may incur additional debt, including under our $3.50 billion Revolving Credit Facility. Our debt obligations could adversely impact us as follows:</w:t>
      </w:r>
    </w:p>
    <w:p>
      <w:pPr>
        <w:spacing w:after="0" w:line="198" w:lineRule="exact"/>
        <w:rPr>
          <w:sz w:val="20"/>
          <w:szCs w:val="20"/>
          <w:color w:val="auto"/>
        </w:rPr>
      </w:pPr>
    </w:p>
    <w:p>
      <w:pPr>
        <w:ind w:left="660" w:right="420" w:hanging="328"/>
        <w:spacing w:after="0" w:line="26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borrowing costs and reduce our ability to raise funds on favorable terms;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exposure to rising interest rates from variable rate indebtedness; and</w:t>
      </w:r>
    </w:p>
    <w:p>
      <w:pPr>
        <w:spacing w:after="0" w:line="9"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 in certain of our debt instruments becoming immediately due and payable or being deemed to be in default if applicable cross default, cross-acceleration and/or similar provisions are triggered.</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57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b w:val="1"/>
          <w:bCs w:val="1"/>
          <w:color w:val="auto"/>
        </w:rPr>
        <w:t>Changes in foreign currency exchange rates could materially adversely affect our business, results of operations, or financial condition.</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Canadian dollar, Chinese yuan, euro, Indian rupee, Japanese yen, Malaysian ringgit, New Taiwan dollar, and Singapore dollar. In addition, a significant portion of our manufacturing costs are denominated in some of the foreign currencies mentioned above.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and may continue to be volatile.</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3" w:lineRule="exact"/>
        <w:rPr>
          <w:sz w:val="20"/>
          <w:szCs w:val="20"/>
          <w:color w:val="auto"/>
        </w:rPr>
      </w:pPr>
    </w:p>
    <w:p>
      <w:pPr>
        <w:ind w:right="380"/>
        <w:spacing w:after="0" w:line="273" w:lineRule="auto"/>
        <w:rPr>
          <w:sz w:val="20"/>
          <w:szCs w:val="20"/>
          <w:color w:val="auto"/>
        </w:rPr>
      </w:pPr>
      <w:r>
        <w:rPr>
          <w:rFonts w:ascii="Arial" w:cs="Arial" w:eastAsia="Arial" w:hAnsi="Arial"/>
          <w:sz w:val="18"/>
          <w:szCs w:val="18"/>
          <w:b w:val="1"/>
          <w:bCs w:val="1"/>
          <w:color w:val="auto"/>
        </w:rPr>
        <w:t>The amount and frequency of our share repurchases may fluctuate, and we cannot guarantee that we will purchase all of the shares under our share repurchase authorization, or that it will enhance long-term shareholder value. Share repurchases could also increase the volatility of the trading price of our stock and will diminish our cash reserves.</w:t>
      </w:r>
    </w:p>
    <w:p>
      <w:pPr>
        <w:spacing w:after="0" w:line="18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amount, frequency, and execution of our share repurchases pursuant to our share repurchase authorization may fluctuate based on our operating results, cash flows, restrictions applicable under our CHIPS Act direct funding agreements, and priorities for the use of cash for other purposes. See “Part I. Financial Information – Item 1. Financial Statements – Notes to Consolidated Financial Statements – CHIPS Act Funding Agreements.” Our expenditures for these share repurchases were $300 million in 2024, $425 million in 2023, $2.43 billion in 2022, $1.20 billion in 2021, $176 million in 2020, and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00" w:lineRule="exact"/>
        <w:rPr>
          <w:sz w:val="20"/>
          <w:szCs w:val="20"/>
          <w:color w:val="auto"/>
        </w:rPr>
      </w:pPr>
    </w:p>
    <w:p>
      <w:pPr>
        <w:spacing w:after="0" w:line="255"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guarantee that we will purchase all of the shares under our share repurchase authorization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is a use of cash, which may reduce the availability of cash for other business purposes, including investments, acquisitions, dividends, or repayment of indebtedness.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continue to declare cash dividends in any particular amounts or at all.</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 In addition, the payment of dividends is a use of cash, which may reduce the availability of cash for other business purposes, including investments, acquisitions, or repayment of indebtedness.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4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See “Item 1. Financial Statements – Notes to Consolidated Financial Statements – CHIPS Act Funding Agreements.” During the quarter ended May 29, 2025, we did not repurchase any common stock under the authorization and as of May 29, 2025, $2.81 billion of the authorization remained available for the repurchase of our common stock.</w:t>
      </w:r>
    </w:p>
    <w:p>
      <w:pPr>
        <w:spacing w:after="0" w:line="21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Shares of common stock withheld as payment of withholding taxes upon the vesting of restricted stock are also treated as common stock repurchases. Shares withheld as payment of withholding taxes upon the vesting of restricted stock units are not considered repurchases for purposes of this Item and are not required to be reported.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2025, shares withheld as payment upon the vesting of restricted stock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w:t>
            </w:r>
          </w:p>
        </w:tc>
        <w:tc>
          <w:tcPr>
            <w:tcW w:w="120" w:type="dxa"/>
            <w:vAlign w:val="bottom"/>
          </w:tcPr>
          <w:p>
            <w:pPr>
              <w:spacing w:after="0"/>
              <w:rPr>
                <w:sz w:val="18"/>
                <w:szCs w:val="18"/>
                <w:color w:val="auto"/>
              </w:rPr>
            </w:pPr>
          </w:p>
        </w:tc>
        <w:tc>
          <w:tcPr>
            <w:tcW w:w="8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Average</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purchased as part of</w:t>
            </w:r>
          </w:p>
        </w:tc>
        <w:tc>
          <w:tcPr>
            <w:tcW w:w="3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 under</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7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Period</w:t>
            </w:r>
          </w:p>
        </w:tc>
        <w:tc>
          <w:tcPr>
            <w:tcW w:w="142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price paid</w:t>
            </w:r>
          </w:p>
        </w:tc>
        <w:tc>
          <w:tcPr>
            <w:tcW w:w="2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publicly announced</w:t>
            </w:r>
          </w:p>
        </w:tc>
        <w:tc>
          <w:tcPr>
            <w:tcW w:w="3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 plans or</w:t>
            </w:r>
          </w:p>
        </w:tc>
        <w:tc>
          <w:tcPr>
            <w:tcW w:w="0" w:type="dxa"/>
            <w:vAlign w:val="bottom"/>
          </w:tcPr>
          <w:p>
            <w:pPr>
              <w:spacing w:after="0"/>
              <w:rPr>
                <w:sz w:val="1"/>
                <w:szCs w:val="1"/>
                <w:color w:val="auto"/>
              </w:rPr>
            </w:pPr>
          </w:p>
        </w:tc>
      </w:tr>
      <w:tr>
        <w:trPr>
          <w:trHeight w:val="243"/>
        </w:trPr>
        <w:tc>
          <w:tcPr>
            <w:tcW w:w="15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purchased</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per share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xml:space="preserve">programs </w:t>
            </w: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34"/>
        </w:trPr>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February 28, 2025</w:t>
            </w:r>
          </w:p>
        </w:tc>
        <w:tc>
          <w:tcPr>
            <w:tcW w:w="7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March 27, 2025</w:t>
            </w:r>
          </w:p>
        </w:tc>
        <w:tc>
          <w:tcPr>
            <w:tcW w:w="1460" w:type="dxa"/>
            <w:vAlign w:val="bottom"/>
            <w:gridSpan w:val="2"/>
            <w:shd w:val="clear" w:color="auto" w:fill="D1D2D4"/>
          </w:tcPr>
          <w:p>
            <w:pPr>
              <w:ind w:left="1080"/>
              <w:spacing w:after="0"/>
              <w:rPr>
                <w:sz w:val="20"/>
                <w:szCs w:val="20"/>
                <w:color w:val="auto"/>
              </w:rPr>
            </w:pPr>
            <w:r>
              <w:rPr>
                <w:rFonts w:ascii="Arial" w:cs="Arial" w:eastAsia="Arial" w:hAnsi="Arial"/>
                <w:sz w:val="18"/>
                <w:szCs w:val="18"/>
                <w:color w:val="auto"/>
              </w:rPr>
              <w:t>— $</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D1D2D4"/>
          </w:tcPr>
          <w:p>
            <w:pPr>
              <w:ind w:left="1840"/>
              <w:spacing w:after="0"/>
              <w:rPr>
                <w:sz w:val="20"/>
                <w:szCs w:val="20"/>
                <w:color w:val="auto"/>
              </w:rPr>
            </w:pPr>
            <w:r>
              <w:rPr>
                <w:rFonts w:ascii="Arial" w:cs="Arial" w:eastAsia="Arial" w:hAnsi="Arial"/>
                <w:sz w:val="18"/>
                <w:szCs w:val="18"/>
                <w:color w:val="auto"/>
              </w:rPr>
              <w:t>—</w:t>
            </w:r>
          </w:p>
        </w:tc>
        <w:tc>
          <w:tcPr>
            <w:tcW w:w="3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20"/>
              <w:spacing w:after="0"/>
              <w:rPr>
                <w:sz w:val="20"/>
                <w:szCs w:val="20"/>
                <w:color w:val="auto"/>
              </w:rPr>
            </w:pPr>
            <w:r>
              <w:rPr>
                <w:rFonts w:ascii="Arial" w:cs="Arial" w:eastAsia="Arial" w:hAnsi="Arial"/>
                <w:sz w:val="18"/>
                <w:szCs w:val="18"/>
                <w:color w:val="auto"/>
              </w:rPr>
              <w:t>March 28, 2025</w:t>
            </w:r>
          </w:p>
        </w:tc>
        <w:tc>
          <w:tcPr>
            <w:tcW w:w="7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April 24, 2025</w:t>
            </w:r>
          </w:p>
        </w:tc>
        <w:tc>
          <w:tcPr>
            <w:tcW w:w="1340" w:type="dxa"/>
            <w:vAlign w:val="bottom"/>
          </w:tcPr>
          <w:p>
            <w:pPr>
              <w:jc w:val="right"/>
              <w:spacing w:after="0"/>
              <w:rPr>
                <w:sz w:val="20"/>
                <w:szCs w:val="20"/>
                <w:color w:val="auto"/>
              </w:rPr>
            </w:pPr>
            <w:r>
              <w:rPr>
                <w:rFonts w:ascii="Arial" w:cs="Arial" w:eastAsia="Arial" w:hAnsi="Arial"/>
                <w:sz w:val="18"/>
                <w:szCs w:val="18"/>
                <w:color w:val="auto"/>
              </w:rPr>
              <w:t>38,763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70.20</w:t>
            </w:r>
          </w:p>
        </w:tc>
        <w:tc>
          <w:tcPr>
            <w:tcW w:w="2100" w:type="dxa"/>
            <w:vAlign w:val="bottom"/>
          </w:tcPr>
          <w:p>
            <w:pPr>
              <w:ind w:left="1840"/>
              <w:spacing w:after="0"/>
              <w:rPr>
                <w:sz w:val="20"/>
                <w:szCs w:val="20"/>
                <w:color w:val="auto"/>
              </w:rPr>
            </w:pPr>
            <w:r>
              <w:rPr>
                <w:rFonts w:ascii="Arial" w:cs="Arial" w:eastAsia="Arial" w:hAnsi="Arial"/>
                <w:sz w:val="18"/>
                <w:szCs w:val="18"/>
                <w:color w:val="auto"/>
              </w:rPr>
              <w:t>—</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April 25, 2025</w:t>
            </w:r>
          </w:p>
        </w:tc>
        <w:tc>
          <w:tcPr>
            <w:tcW w:w="7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May 29, 2025</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shd w:val="clear" w:color="auto" w:fill="D1D2D4"/>
          </w:tcPr>
          <w:p>
            <w:pPr>
              <w:ind w:left="1840"/>
              <w:spacing w:after="0"/>
              <w:rPr>
                <w:sz w:val="20"/>
                <w:szCs w:val="20"/>
                <w:color w:val="auto"/>
              </w:rPr>
            </w:pPr>
            <w:r>
              <w:rPr>
                <w:rFonts w:ascii="Arial" w:cs="Arial" w:eastAsia="Arial" w:hAnsi="Arial"/>
                <w:sz w:val="18"/>
                <w:szCs w:val="18"/>
                <w:color w:val="auto"/>
              </w:rPr>
              <w:t>—</w:t>
            </w:r>
          </w:p>
        </w:tc>
        <w:tc>
          <w:tcPr>
            <w:tcW w:w="3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10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w:t>
            </w:r>
          </w:p>
        </w:tc>
        <w:tc>
          <w:tcPr>
            <w:tcW w:w="3120" w:type="dxa"/>
            <w:vAlign w:val="bottom"/>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59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5. OTHER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Trading Plans of Directors and Executive Officers</w:t>
      </w:r>
    </w:p>
    <w:p>
      <w:pPr>
        <w:spacing w:after="0" w:line="25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following officers, as defined in Rule 16a-1(f) of the Exchange Act, adopted and/or terminated a “Rule 10b5-1 trading arrangement” or a “non-Rule 10b5-1 trading arrangement,” as defined in Item 408 of Regulation S-K, during the last fiscal quarter.</w:t>
      </w:r>
    </w:p>
    <w:p>
      <w:pPr>
        <w:spacing w:after="0" w:line="18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On April 21, 2025, Michael Ray, our Senior Vice President, Chief Legal Officer and Corporate Secretary, adopted a Rule 10b5-1 trading arrangement providing for the sale of an aggregate of up to 31,859 shares of our common stock. The actual number of shares sold under the trading arrangement will be net of shares withheld for taxes upon vesting and settlement of the restricted stock units subject to the trading plan. The trading arrangement is intended to satisfy the affirmative defense in Rule 10b5-1(c). The first date that sales of any shares are permitted to be sold under the trading arrangement is October 16, 2025, and subsequent sales under the trading arrangement may occur from time to time for the duration of the trading arrangement until April 22, 2026, or earlier if all transactions under the trading arrangement are completed.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On April 22, 2025, Mark Murphy, our Executive Vice President and Chief Financial Officer, adopted a Rule 10b5-1 trading arrangement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providing for the sale of an aggregate of up to 162,000 shares of our common stock. The trading arrangement is intended to satisfy the</w:t>
      </w:r>
    </w:p>
    <w:p>
      <w:pPr>
        <w:spacing w:after="0"/>
        <w:rPr>
          <w:sz w:val="20"/>
          <w:szCs w:val="20"/>
          <w:color w:val="auto"/>
        </w:rPr>
      </w:pPr>
      <w:r>
        <w:rPr>
          <w:rFonts w:ascii="Arial" w:cs="Arial" w:eastAsia="Arial" w:hAnsi="Arial"/>
          <w:sz w:val="18"/>
          <w:szCs w:val="18"/>
          <w:color w:val="auto"/>
        </w:rPr>
        <w:t>affirmative defense in Rule 10b5-1(c). The first date that sales of any shares are permitted to be sold under the trading arrangement 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July 22, 2025, and subsequent sales under the trading arrangement may occur from time to time for the duration of the trading arrangement</w:t>
      </w:r>
    </w:p>
    <w:p>
      <w:pPr>
        <w:spacing w:after="0"/>
        <w:rPr>
          <w:sz w:val="20"/>
          <w:szCs w:val="20"/>
          <w:color w:val="auto"/>
        </w:rPr>
      </w:pPr>
      <w:r>
        <w:rPr>
          <w:rFonts w:ascii="Arial" w:cs="Arial" w:eastAsia="Arial" w:hAnsi="Arial"/>
          <w:sz w:val="18"/>
          <w:szCs w:val="18"/>
          <w:color w:val="auto"/>
        </w:rPr>
        <w:t>until April 30, 2026, or earlier if all transactions under the trading arrangement are completed.</w:t>
      </w:r>
    </w:p>
    <w:p>
      <w:pPr>
        <w:spacing w:after="0" w:line="20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No other directors or officers, as defined in Rule 16a-1(f), adopted and/or terminated a “Rule 10b5-1 trading arrangement” or a “non-Rule 10b5-1 trading arrangement,” as defined in Item 408 of Regulation S-K, during the last fiscal quarter.</w:t>
      </w:r>
    </w:p>
    <w:p>
      <w:pPr>
        <w:spacing w:after="0" w:line="200" w:lineRule="exact"/>
        <w:rPr>
          <w:sz w:val="20"/>
          <w:szCs w:val="20"/>
          <w:color w:val="auto"/>
        </w:rPr>
      </w:pPr>
    </w:p>
    <w:p>
      <w:pPr>
        <w:spacing w:after="0" w:line="229"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1000" w:type="dxa"/>
            <w:vAlign w:val="bottom"/>
          </w:tcPr>
          <w:p>
            <w:pPr>
              <w:spacing w:after="0"/>
              <w:rPr>
                <w:sz w:val="17"/>
                <w:szCs w:val="17"/>
                <w:color w:val="auto"/>
              </w:rPr>
            </w:pPr>
          </w:p>
        </w:tc>
        <w:tc>
          <w:tcPr>
            <w:tcW w:w="4620" w:type="dxa"/>
            <w:vAlign w:val="bottom"/>
            <w:gridSpan w:val="17"/>
            <w:vMerge w:val="restart"/>
          </w:tcPr>
          <w:p>
            <w:pPr>
              <w:ind w:left="840"/>
              <w:spacing w:after="0"/>
              <w:rPr>
                <w:sz w:val="20"/>
                <w:szCs w:val="20"/>
                <w:color w:val="auto"/>
              </w:rPr>
            </w:pPr>
            <w:r>
              <w:rPr>
                <w:rFonts w:ascii="Arial" w:cs="Arial" w:eastAsia="Arial" w:hAnsi="Arial"/>
                <w:sz w:val="18"/>
                <w:szCs w:val="18"/>
                <w:b w:val="1"/>
                <w:bCs w:val="1"/>
                <w:color w:val="auto"/>
              </w:rPr>
              <w:t>Description of Exhibit</w:t>
            </w:r>
          </w:p>
        </w:tc>
        <w:tc>
          <w:tcPr>
            <w:tcW w:w="1740" w:type="dxa"/>
            <w:vAlign w:val="bottom"/>
          </w:tcPr>
          <w:p>
            <w:pPr>
              <w:jc w:val="center"/>
              <w:ind w:right="750"/>
              <w:spacing w:after="0"/>
              <w:rPr>
                <w:sz w:val="20"/>
                <w:szCs w:val="20"/>
                <w:color w:val="auto"/>
              </w:rPr>
            </w:pPr>
            <w:r>
              <w:rPr>
                <w:rFonts w:ascii="Arial" w:cs="Arial" w:eastAsia="Arial" w:hAnsi="Arial"/>
                <w:sz w:val="18"/>
                <w:szCs w:val="18"/>
                <w:b w:val="1"/>
                <w:bCs w:val="1"/>
                <w:color w:val="auto"/>
                <w:w w:val="99"/>
              </w:rPr>
              <w:t>Filed</w:t>
            </w:r>
          </w:p>
        </w:tc>
        <w:tc>
          <w:tcPr>
            <w:tcW w:w="92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8"/>
              </w:rPr>
              <w:t>Exhibit/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35"/>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17"/>
            <w:vMerge w:val="continue"/>
          </w:tcPr>
          <w:p>
            <w:pPr>
              <w:spacing w:after="0"/>
              <w:rPr>
                <w:sz w:val="20"/>
                <w:szCs w:val="20"/>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Herewith   Form</w:t>
            </w: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Appendix</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8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3.1</w:t>
            </w:r>
          </w:p>
        </w:tc>
        <w:tc>
          <w:tcPr>
            <w:tcW w:w="4260" w:type="dxa"/>
            <w:vAlign w:val="bottom"/>
            <w:tcBorders>
              <w:bottom w:val="single" w:sz="8" w:color="auto"/>
            </w:tcBorders>
            <w:gridSpan w:val="6"/>
            <w:shd w:val="clear" w:color="auto" w:fill="D1D2D4"/>
          </w:tcPr>
          <w:p>
            <w:pPr>
              <w:spacing w:after="0" w:line="182" w:lineRule="exact"/>
              <w:rPr>
                <w:rFonts w:ascii="Arial" w:cs="Arial" w:eastAsia="Arial" w:hAnsi="Arial"/>
                <w:sz w:val="18"/>
                <w:szCs w:val="18"/>
                <w:color w:val="auto"/>
                <w:w w:val="99"/>
              </w:rPr>
            </w:pPr>
            <w:hyperlink r:id="rId154">
              <w:r>
                <w:rPr>
                  <w:rFonts w:ascii="Arial" w:cs="Arial" w:eastAsia="Arial" w:hAnsi="Arial"/>
                  <w:sz w:val="18"/>
                  <w:szCs w:val="18"/>
                  <w:color w:val="auto"/>
                  <w:w w:val="99"/>
                </w:rPr>
                <w:t>Restated Certificate of Incorporation of the Registrant</w:t>
              </w:r>
            </w:hyperlink>
          </w:p>
        </w:tc>
        <w:tc>
          <w:tcPr>
            <w:tcW w:w="1360" w:type="dxa"/>
            <w:vAlign w:val="bottom"/>
            <w:tcBorders>
              <w:bottom w:val="single" w:sz="8" w:color="D1D2D4"/>
            </w:tcBorders>
            <w:gridSpan w:val="12"/>
            <w:shd w:val="clear" w:color="auto" w:fill="D1D2D4"/>
          </w:tcPr>
          <w:p>
            <w:pPr>
              <w:spacing w:after="0"/>
              <w:rPr>
                <w:sz w:val="17"/>
                <w:szCs w:val="17"/>
                <w:color w:val="auto"/>
              </w:rPr>
            </w:pPr>
          </w:p>
        </w:tc>
        <w:tc>
          <w:tcPr>
            <w:tcW w:w="1740" w:type="dxa"/>
            <w:vAlign w:val="bottom"/>
            <w:tcBorders>
              <w:bottom w:val="single" w:sz="8" w:color="D1D2D4"/>
            </w:tcBorders>
            <w:shd w:val="clear" w:color="auto" w:fill="D1D2D4"/>
          </w:tcPr>
          <w:p>
            <w:pPr>
              <w:jc w:val="center"/>
              <w:ind w:left="890"/>
              <w:spacing w:after="0" w:line="182" w:lineRule="exact"/>
              <w:rPr>
                <w:sz w:val="20"/>
                <w:szCs w:val="20"/>
                <w:color w:val="auto"/>
              </w:rPr>
            </w:pPr>
            <w:r>
              <w:rPr>
                <w:rFonts w:ascii="Arial" w:cs="Arial" w:eastAsia="Arial" w:hAnsi="Arial"/>
                <w:sz w:val="18"/>
                <w:szCs w:val="18"/>
                <w:color w:val="auto"/>
                <w:w w:val="99"/>
              </w:rPr>
              <w:t>8-K</w:t>
            </w:r>
          </w:p>
        </w:tc>
        <w:tc>
          <w:tcPr>
            <w:tcW w:w="920" w:type="dxa"/>
            <w:vAlign w:val="bottom"/>
            <w:tcBorders>
              <w:bottom w:val="single" w:sz="8" w:color="D1D2D4"/>
            </w:tcBorders>
            <w:shd w:val="clear" w:color="auto" w:fill="D1D2D4"/>
          </w:tcPr>
          <w:p>
            <w:pPr>
              <w:spacing w:after="0"/>
              <w:rPr>
                <w:sz w:val="17"/>
                <w:szCs w:val="17"/>
                <w:color w:val="auto"/>
              </w:rPr>
            </w:pPr>
          </w:p>
        </w:tc>
        <w:tc>
          <w:tcPr>
            <w:tcW w:w="1060" w:type="dxa"/>
            <w:vAlign w:val="bottom"/>
            <w:tcBorders>
              <w:bottom w:val="single" w:sz="8" w:color="D1D2D4"/>
            </w:tcBorders>
            <w:shd w:val="clear" w:color="auto" w:fill="D1D2D4"/>
          </w:tcPr>
          <w:p>
            <w:pPr>
              <w:jc w:val="center"/>
              <w:spacing w:after="0" w:line="182" w:lineRule="exact"/>
              <w:rPr>
                <w:sz w:val="20"/>
                <w:szCs w:val="20"/>
                <w:color w:val="auto"/>
              </w:rPr>
            </w:pPr>
            <w:r>
              <w:rPr>
                <w:rFonts w:ascii="Arial" w:cs="Arial" w:eastAsia="Arial" w:hAnsi="Arial"/>
                <w:sz w:val="18"/>
                <w:szCs w:val="18"/>
                <w:color w:val="auto"/>
              </w:rPr>
              <w:t>99.2</w:t>
            </w:r>
          </w:p>
        </w:tc>
        <w:tc>
          <w:tcPr>
            <w:tcW w:w="920" w:type="dxa"/>
            <w:vAlign w:val="bottom"/>
            <w:tcBorders>
              <w:bottom w:val="single" w:sz="8" w:color="D1D2D4"/>
            </w:tcBorders>
            <w:shd w:val="clear" w:color="auto" w:fill="D1D2D4"/>
          </w:tcPr>
          <w:p>
            <w:pPr>
              <w:jc w:val="center"/>
              <w:spacing w:after="0" w:line="182" w:lineRule="exact"/>
              <w:rPr>
                <w:sz w:val="20"/>
                <w:szCs w:val="20"/>
                <w:color w:val="auto"/>
              </w:rPr>
            </w:pPr>
            <w:r>
              <w:rPr>
                <w:rFonts w:ascii="Arial" w:cs="Arial" w:eastAsia="Arial" w:hAnsi="Arial"/>
                <w:sz w:val="18"/>
                <w:szCs w:val="18"/>
                <w:color w:val="auto"/>
                <w:w w:val="99"/>
              </w:rPr>
              <w:t>1/26/15</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5620" w:type="dxa"/>
            <w:vAlign w:val="bottom"/>
            <w:gridSpan w:val="18"/>
          </w:tcPr>
          <w:p>
            <w:pPr>
              <w:spacing w:after="0" w:line="189" w:lineRule="exact"/>
              <w:rPr>
                <w:rFonts w:ascii="Arial" w:cs="Arial" w:eastAsia="Arial" w:hAnsi="Arial"/>
                <w:sz w:val="18"/>
                <w:szCs w:val="18"/>
                <w:color w:val="auto"/>
              </w:rPr>
            </w:pPr>
            <w:hyperlink r:id="rId155">
              <w:r>
                <w:rPr>
                  <w:rFonts w:ascii="Arial" w:cs="Arial" w:eastAsia="Arial" w:hAnsi="Arial"/>
                  <w:sz w:val="18"/>
                  <w:szCs w:val="18"/>
                  <w:color w:val="auto"/>
                </w:rPr>
                <w:t>Amended and Restated Bylaws of Registrant as of October 28, 2024</w:t>
              </w:r>
            </w:hyperlink>
          </w:p>
        </w:tc>
        <w:tc>
          <w:tcPr>
            <w:tcW w:w="1740" w:type="dxa"/>
            <w:vAlign w:val="bottom"/>
          </w:tcPr>
          <w:p>
            <w:pPr>
              <w:jc w:val="center"/>
              <w:ind w:left="890"/>
              <w:spacing w:after="0" w:line="189" w:lineRule="exact"/>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5"/>
              </w:rPr>
              <w:t>3.1</w:t>
            </w:r>
          </w:p>
        </w:tc>
        <w:tc>
          <w:tcPr>
            <w:tcW w:w="920" w:type="dxa"/>
            <w:vAlign w:val="bottom"/>
          </w:tcPr>
          <w:p>
            <w:pPr>
              <w:jc w:val="center"/>
              <w:spacing w:after="0" w:line="189" w:lineRule="exact"/>
              <w:rPr>
                <w:sz w:val="20"/>
                <w:szCs w:val="20"/>
                <w:color w:val="auto"/>
              </w:rPr>
            </w:pPr>
            <w:r>
              <w:rPr>
                <w:rFonts w:ascii="Arial" w:cs="Arial" w:eastAsia="Arial" w:hAnsi="Arial"/>
                <w:sz w:val="18"/>
                <w:szCs w:val="18"/>
                <w:color w:val="auto"/>
                <w:w w:val="99"/>
              </w:rPr>
              <w:t>10/30/24</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w:t>
            </w:r>
          </w:p>
        </w:tc>
        <w:tc>
          <w:tcPr>
            <w:tcW w:w="5620" w:type="dxa"/>
            <w:vAlign w:val="bottom"/>
            <w:gridSpan w:val="18"/>
            <w:shd w:val="clear" w:color="auto" w:fill="D1D2D4"/>
          </w:tcPr>
          <w:p>
            <w:pPr>
              <w:spacing w:after="0" w:line="189" w:lineRule="exact"/>
              <w:rPr>
                <w:rFonts w:ascii="Arial" w:cs="Arial" w:eastAsia="Arial" w:hAnsi="Arial"/>
                <w:sz w:val="18"/>
                <w:szCs w:val="18"/>
                <w:color w:val="auto"/>
              </w:rPr>
            </w:pPr>
            <w:hyperlink r:id="rId156">
              <w:r>
                <w:rPr>
                  <w:rFonts w:ascii="Arial" w:cs="Arial" w:eastAsia="Arial" w:hAnsi="Arial"/>
                  <w:sz w:val="18"/>
                  <w:szCs w:val="18"/>
                  <w:color w:val="auto"/>
                </w:rPr>
                <w:t>Tenth Supplemental Indenture, dated as of April 29, 2025, by and</w:t>
              </w:r>
            </w:hyperlink>
          </w:p>
        </w:tc>
        <w:tc>
          <w:tcPr>
            <w:tcW w:w="1740" w:type="dxa"/>
            <w:vAlign w:val="bottom"/>
            <w:shd w:val="clear" w:color="auto" w:fill="D1D2D4"/>
          </w:tcPr>
          <w:p>
            <w:pPr>
              <w:jc w:val="center"/>
              <w:ind w:left="890"/>
              <w:spacing w:after="0" w:line="189" w:lineRule="exact"/>
              <w:rPr>
                <w:sz w:val="20"/>
                <w:szCs w:val="20"/>
                <w:color w:val="auto"/>
              </w:rPr>
            </w:pPr>
            <w:r>
              <w:rPr>
                <w:rFonts w:ascii="Arial" w:cs="Arial" w:eastAsia="Arial" w:hAnsi="Arial"/>
                <w:sz w:val="18"/>
                <w:szCs w:val="18"/>
                <w:color w:val="auto"/>
                <w:w w:val="99"/>
              </w:rPr>
              <w:t>8-K</w:t>
            </w:r>
          </w:p>
        </w:tc>
        <w:tc>
          <w:tcPr>
            <w:tcW w:w="920" w:type="dxa"/>
            <w:vAlign w:val="bottom"/>
            <w:shd w:val="clear" w:color="auto" w:fill="D1D2D4"/>
          </w:tcPr>
          <w:p>
            <w:pPr>
              <w:spacing w:after="0"/>
              <w:rPr>
                <w:sz w:val="16"/>
                <w:szCs w:val="16"/>
                <w:color w:val="auto"/>
              </w:rPr>
            </w:pPr>
          </w:p>
        </w:tc>
        <w:tc>
          <w:tcPr>
            <w:tcW w:w="106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5"/>
              </w:rPr>
              <w:t>4.2</w:t>
            </w:r>
          </w:p>
        </w:tc>
        <w:tc>
          <w:tcPr>
            <w:tcW w:w="92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9"/>
              </w:rPr>
              <w:t>4/29/25</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200" w:type="dxa"/>
            <w:vAlign w:val="bottom"/>
            <w:tcBorders>
              <w:top w:val="single" w:sz="8" w:color="auto"/>
            </w:tcBorders>
            <w:gridSpan w:val="11"/>
            <w:shd w:val="clear" w:color="auto" w:fill="D1D2D4"/>
          </w:tcPr>
          <w:p>
            <w:pPr>
              <w:spacing w:after="0" w:line="169" w:lineRule="exact"/>
              <w:rPr>
                <w:rFonts w:ascii="Arial" w:cs="Arial" w:eastAsia="Arial" w:hAnsi="Arial"/>
                <w:sz w:val="18"/>
                <w:szCs w:val="18"/>
                <w:color w:val="auto"/>
                <w:w w:val="99"/>
              </w:rPr>
            </w:pPr>
            <w:hyperlink r:id="rId156">
              <w:r>
                <w:rPr>
                  <w:rFonts w:ascii="Arial" w:cs="Arial" w:eastAsia="Arial" w:hAnsi="Arial"/>
                  <w:sz w:val="18"/>
                  <w:szCs w:val="18"/>
                  <w:color w:val="auto"/>
                  <w:w w:val="99"/>
                </w:rPr>
                <w:t>between Micron Technology, Inc. and U.S. Bank Trust Company,</w:t>
              </w:r>
            </w:hyperlink>
          </w:p>
        </w:tc>
        <w:tc>
          <w:tcPr>
            <w:tcW w:w="20" w:type="dxa"/>
            <w:vAlign w:val="bottom"/>
            <w:tcBorders>
              <w:top w:val="single" w:sz="8" w:color="D1D2D4"/>
            </w:tcBorders>
            <w:shd w:val="clear" w:color="auto" w:fill="D1D2D4"/>
          </w:tcPr>
          <w:p>
            <w:pPr>
              <w:spacing w:after="0"/>
              <w:rPr>
                <w:sz w:val="14"/>
                <w:szCs w:val="14"/>
                <w:color w:val="auto"/>
              </w:rPr>
            </w:pPr>
          </w:p>
        </w:tc>
        <w:tc>
          <w:tcPr>
            <w:tcW w:w="60" w:type="dxa"/>
            <w:vAlign w:val="bottom"/>
            <w:tcBorders>
              <w:top w:val="single" w:sz="8" w:color="D1D2D4"/>
            </w:tcBorders>
            <w:shd w:val="clear" w:color="auto" w:fill="D1D2D4"/>
          </w:tcPr>
          <w:p>
            <w:pPr>
              <w:spacing w:after="0"/>
              <w:rPr>
                <w:sz w:val="14"/>
                <w:szCs w:val="14"/>
                <w:color w:val="auto"/>
              </w:rPr>
            </w:pPr>
          </w:p>
        </w:tc>
        <w:tc>
          <w:tcPr>
            <w:tcW w:w="8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60" w:type="dxa"/>
            <w:vAlign w:val="bottom"/>
            <w:tcBorders>
              <w:top w:val="single" w:sz="8" w:color="D1D2D4"/>
            </w:tcBorders>
            <w:gridSpan w:val="2"/>
            <w:shd w:val="clear" w:color="auto" w:fill="D1D2D4"/>
          </w:tcPr>
          <w:p>
            <w:pPr>
              <w:spacing w:after="0"/>
              <w:rPr>
                <w:sz w:val="14"/>
                <w:szCs w:val="14"/>
                <w:color w:val="auto"/>
              </w:rPr>
            </w:pPr>
          </w:p>
        </w:tc>
        <w:tc>
          <w:tcPr>
            <w:tcW w:w="80" w:type="dxa"/>
            <w:vAlign w:val="bottom"/>
            <w:tcBorders>
              <w:top w:val="single" w:sz="8" w:color="D1D2D4"/>
            </w:tcBorders>
            <w:shd w:val="clear" w:color="auto" w:fill="D1D2D4"/>
          </w:tcPr>
          <w:p>
            <w:pPr>
              <w:spacing w:after="0"/>
              <w:rPr>
                <w:sz w:val="14"/>
                <w:szCs w:val="14"/>
                <w:color w:val="auto"/>
              </w:rPr>
            </w:pPr>
          </w:p>
        </w:tc>
        <w:tc>
          <w:tcPr>
            <w:tcW w:w="1740" w:type="dxa"/>
            <w:vAlign w:val="bottom"/>
            <w:tcBorders>
              <w:top w:val="single" w:sz="8" w:color="D1D2D4"/>
            </w:tcBorders>
            <w:shd w:val="clear" w:color="auto" w:fill="D1D2D4"/>
          </w:tcPr>
          <w:p>
            <w:pPr>
              <w:spacing w:after="0"/>
              <w:rPr>
                <w:sz w:val="14"/>
                <w:szCs w:val="14"/>
                <w:color w:val="auto"/>
              </w:rPr>
            </w:pPr>
          </w:p>
        </w:tc>
        <w:tc>
          <w:tcPr>
            <w:tcW w:w="920" w:type="dxa"/>
            <w:vAlign w:val="bottom"/>
            <w:tcBorders>
              <w:top w:val="single" w:sz="8" w:color="D1D2D4"/>
            </w:tcBorders>
            <w:shd w:val="clear" w:color="auto" w:fill="D1D2D4"/>
          </w:tcPr>
          <w:p>
            <w:pPr>
              <w:spacing w:after="0"/>
              <w:rPr>
                <w:sz w:val="14"/>
                <w:szCs w:val="14"/>
                <w:color w:val="auto"/>
              </w:rPr>
            </w:pPr>
          </w:p>
        </w:tc>
        <w:tc>
          <w:tcPr>
            <w:tcW w:w="1060" w:type="dxa"/>
            <w:vAlign w:val="bottom"/>
            <w:tcBorders>
              <w:top w:val="single" w:sz="8" w:color="D1D2D4"/>
            </w:tcBorders>
            <w:shd w:val="clear" w:color="auto" w:fill="D1D2D4"/>
          </w:tcPr>
          <w:p>
            <w:pPr>
              <w:spacing w:after="0"/>
              <w:rPr>
                <w:sz w:val="14"/>
                <w:szCs w:val="14"/>
                <w:color w:val="auto"/>
              </w:rPr>
            </w:pPr>
          </w:p>
        </w:tc>
        <w:tc>
          <w:tcPr>
            <w:tcW w:w="92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2580" w:type="dxa"/>
            <w:vAlign w:val="bottom"/>
            <w:tcBorders>
              <w:top w:val="single" w:sz="8" w:color="auto"/>
              <w:bottom w:val="single" w:sz="8" w:color="auto"/>
            </w:tcBorders>
            <w:gridSpan w:val="3"/>
            <w:shd w:val="clear" w:color="auto" w:fill="D1D2D4"/>
          </w:tcPr>
          <w:p>
            <w:pPr>
              <w:spacing w:after="0" w:line="156" w:lineRule="exact"/>
              <w:rPr>
                <w:rFonts w:ascii="Arial" w:cs="Arial" w:eastAsia="Arial" w:hAnsi="Arial"/>
                <w:sz w:val="18"/>
                <w:szCs w:val="18"/>
                <w:color w:val="auto"/>
                <w:w w:val="99"/>
              </w:rPr>
            </w:pPr>
            <w:hyperlink r:id="rId156">
              <w:r>
                <w:rPr>
                  <w:rFonts w:ascii="Arial" w:cs="Arial" w:eastAsia="Arial" w:hAnsi="Arial"/>
                  <w:sz w:val="18"/>
                  <w:szCs w:val="18"/>
                  <w:color w:val="auto"/>
                  <w:w w:val="99"/>
                </w:rPr>
                <w:t>National Association, as Trustee</w:t>
              </w:r>
            </w:hyperlink>
          </w:p>
        </w:tc>
        <w:tc>
          <w:tcPr>
            <w:tcW w:w="2560" w:type="dxa"/>
            <w:vAlign w:val="bottom"/>
            <w:tcBorders>
              <w:top w:val="single" w:sz="8" w:color="auto"/>
              <w:bottom w:val="single" w:sz="8" w:color="D1D2D4"/>
            </w:tcBorders>
            <w:gridSpan w:val="7"/>
            <w:shd w:val="clear" w:color="auto" w:fill="D1D2D4"/>
          </w:tcPr>
          <w:p>
            <w:pPr>
              <w:spacing w:after="0"/>
              <w:rPr>
                <w:sz w:val="15"/>
                <w:szCs w:val="15"/>
                <w:color w:val="auto"/>
              </w:rPr>
            </w:pPr>
          </w:p>
        </w:tc>
        <w:tc>
          <w:tcPr>
            <w:tcW w:w="8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60" w:type="dxa"/>
            <w:vAlign w:val="bottom"/>
            <w:tcBorders>
              <w:top w:val="single" w:sz="8" w:color="D1D2D4"/>
              <w:bottom w:val="single" w:sz="8" w:color="D1D2D4"/>
            </w:tcBorders>
            <w:shd w:val="clear" w:color="auto" w:fill="D1D2D4"/>
          </w:tcPr>
          <w:p>
            <w:pPr>
              <w:spacing w:after="0"/>
              <w:rPr>
                <w:sz w:val="15"/>
                <w:szCs w:val="15"/>
                <w:color w:val="auto"/>
              </w:rPr>
            </w:pPr>
          </w:p>
        </w:tc>
        <w:tc>
          <w:tcPr>
            <w:tcW w:w="8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16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80" w:type="dxa"/>
            <w:vAlign w:val="bottom"/>
            <w:tcBorders>
              <w:top w:val="single" w:sz="8" w:color="D1D2D4"/>
              <w:bottom w:val="single" w:sz="8" w:color="D1D2D4"/>
            </w:tcBorders>
            <w:shd w:val="clear" w:color="auto" w:fill="D1D2D4"/>
          </w:tcPr>
          <w:p>
            <w:pPr>
              <w:spacing w:after="0"/>
              <w:rPr>
                <w:sz w:val="15"/>
                <w:szCs w:val="15"/>
                <w:color w:val="auto"/>
              </w:rPr>
            </w:pPr>
          </w:p>
        </w:tc>
        <w:tc>
          <w:tcPr>
            <w:tcW w:w="1740" w:type="dxa"/>
            <w:vAlign w:val="bottom"/>
            <w:tcBorders>
              <w:top w:val="single" w:sz="8" w:color="D1D2D4"/>
              <w:bottom w:val="single" w:sz="8" w:color="D1D2D4"/>
            </w:tcBorders>
            <w:shd w:val="clear" w:color="auto" w:fill="D1D2D4"/>
          </w:tcPr>
          <w:p>
            <w:pPr>
              <w:spacing w:after="0"/>
              <w:rPr>
                <w:sz w:val="15"/>
                <w:szCs w:val="15"/>
                <w:color w:val="auto"/>
              </w:rPr>
            </w:pPr>
          </w:p>
        </w:tc>
        <w:tc>
          <w:tcPr>
            <w:tcW w:w="920" w:type="dxa"/>
            <w:vAlign w:val="bottom"/>
            <w:tcBorders>
              <w:top w:val="single" w:sz="8" w:color="D1D2D4"/>
              <w:bottom w:val="single" w:sz="8" w:color="D1D2D4"/>
            </w:tcBorders>
            <w:shd w:val="clear" w:color="auto" w:fill="D1D2D4"/>
          </w:tcPr>
          <w:p>
            <w:pPr>
              <w:spacing w:after="0"/>
              <w:rPr>
                <w:sz w:val="15"/>
                <w:szCs w:val="15"/>
                <w:color w:val="auto"/>
              </w:rPr>
            </w:pPr>
          </w:p>
        </w:tc>
        <w:tc>
          <w:tcPr>
            <w:tcW w:w="1060" w:type="dxa"/>
            <w:vAlign w:val="bottom"/>
            <w:tcBorders>
              <w:top w:val="single" w:sz="8" w:color="D1D2D4"/>
              <w:bottom w:val="single" w:sz="8" w:color="D1D2D4"/>
            </w:tcBorders>
            <w:shd w:val="clear" w:color="auto" w:fill="D1D2D4"/>
          </w:tcPr>
          <w:p>
            <w:pPr>
              <w:spacing w:after="0"/>
              <w:rPr>
                <w:sz w:val="15"/>
                <w:szCs w:val="15"/>
                <w:color w:val="auto"/>
              </w:rPr>
            </w:pPr>
          </w:p>
        </w:tc>
        <w:tc>
          <w:tcPr>
            <w:tcW w:w="92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5620" w:type="dxa"/>
            <w:vAlign w:val="bottom"/>
            <w:gridSpan w:val="18"/>
          </w:tcPr>
          <w:p>
            <w:pPr>
              <w:spacing w:after="0" w:line="189" w:lineRule="exact"/>
              <w:rPr>
                <w:rFonts w:ascii="Arial" w:cs="Arial" w:eastAsia="Arial" w:hAnsi="Arial"/>
                <w:sz w:val="18"/>
                <w:szCs w:val="18"/>
                <w:color w:val="auto"/>
              </w:rPr>
            </w:pPr>
            <w:hyperlink r:id="rId156">
              <w:r>
                <w:rPr>
                  <w:rFonts w:ascii="Arial" w:cs="Arial" w:eastAsia="Arial" w:hAnsi="Arial"/>
                  <w:sz w:val="18"/>
                  <w:szCs w:val="18"/>
                  <w:color w:val="auto"/>
                </w:rPr>
                <w:t>Form of Note for Micron Technology, Inc.’s 5.65% Senior Notes due</w:t>
              </w:r>
            </w:hyperlink>
          </w:p>
        </w:tc>
        <w:tc>
          <w:tcPr>
            <w:tcW w:w="1740" w:type="dxa"/>
            <w:vAlign w:val="bottom"/>
          </w:tcPr>
          <w:p>
            <w:pPr>
              <w:jc w:val="center"/>
              <w:ind w:left="890"/>
              <w:spacing w:after="0" w:line="189" w:lineRule="exact"/>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5"/>
              </w:rPr>
              <w:t>4.3</w:t>
            </w:r>
          </w:p>
        </w:tc>
        <w:tc>
          <w:tcPr>
            <w:tcW w:w="920" w:type="dxa"/>
            <w:vAlign w:val="bottom"/>
          </w:tcPr>
          <w:p>
            <w:pPr>
              <w:jc w:val="center"/>
              <w:spacing w:after="0" w:line="189" w:lineRule="exact"/>
              <w:rPr>
                <w:sz w:val="20"/>
                <w:szCs w:val="20"/>
                <w:color w:val="auto"/>
              </w:rPr>
            </w:pPr>
            <w:r>
              <w:rPr>
                <w:rFonts w:ascii="Arial" w:cs="Arial" w:eastAsia="Arial" w:hAnsi="Arial"/>
                <w:sz w:val="18"/>
                <w:szCs w:val="18"/>
                <w:color w:val="auto"/>
                <w:w w:val="99"/>
              </w:rPr>
              <w:t>4/29/25</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360" w:type="dxa"/>
            <w:vAlign w:val="bottom"/>
            <w:tcBorders>
              <w:top w:val="single" w:sz="8" w:color="auto"/>
            </w:tcBorders>
            <w:gridSpan w:val="14"/>
          </w:tcPr>
          <w:p>
            <w:pPr>
              <w:spacing w:after="0" w:line="169" w:lineRule="exact"/>
              <w:rPr>
                <w:rFonts w:ascii="Arial" w:cs="Arial" w:eastAsia="Arial" w:hAnsi="Arial"/>
                <w:sz w:val="18"/>
                <w:szCs w:val="18"/>
                <w:color w:val="auto"/>
              </w:rPr>
            </w:pPr>
            <w:hyperlink r:id="rId156">
              <w:r>
                <w:rPr>
                  <w:rFonts w:ascii="Arial" w:cs="Arial" w:eastAsia="Arial" w:hAnsi="Arial"/>
                  <w:sz w:val="18"/>
                  <w:szCs w:val="18"/>
                  <w:color w:val="auto"/>
                </w:rPr>
                <w:t>2032 (included in Exhibit 4.1)</w:t>
              </w:r>
            </w:hyperlink>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4.3</w:t>
            </w:r>
          </w:p>
        </w:tc>
        <w:tc>
          <w:tcPr>
            <w:tcW w:w="5620" w:type="dxa"/>
            <w:vAlign w:val="bottom"/>
            <w:gridSpan w:val="18"/>
            <w:shd w:val="clear" w:color="auto" w:fill="D1D2D4"/>
          </w:tcPr>
          <w:p>
            <w:pPr>
              <w:spacing w:after="0" w:line="189" w:lineRule="exact"/>
              <w:rPr>
                <w:rFonts w:ascii="Arial" w:cs="Arial" w:eastAsia="Arial" w:hAnsi="Arial"/>
                <w:sz w:val="18"/>
                <w:szCs w:val="18"/>
                <w:color w:val="auto"/>
              </w:rPr>
            </w:pPr>
            <w:hyperlink r:id="rId156">
              <w:r>
                <w:rPr>
                  <w:rFonts w:ascii="Arial" w:cs="Arial" w:eastAsia="Arial" w:hAnsi="Arial"/>
                  <w:sz w:val="18"/>
                  <w:szCs w:val="18"/>
                  <w:color w:val="auto"/>
                </w:rPr>
                <w:t>Form of Note for Micron Technology, Inc.’s 6.05% Senior Notes due</w:t>
              </w:r>
            </w:hyperlink>
          </w:p>
        </w:tc>
        <w:tc>
          <w:tcPr>
            <w:tcW w:w="1740" w:type="dxa"/>
            <w:vAlign w:val="bottom"/>
            <w:shd w:val="clear" w:color="auto" w:fill="D1D2D4"/>
          </w:tcPr>
          <w:p>
            <w:pPr>
              <w:jc w:val="center"/>
              <w:ind w:left="890"/>
              <w:spacing w:after="0" w:line="189" w:lineRule="exact"/>
              <w:rPr>
                <w:sz w:val="20"/>
                <w:szCs w:val="20"/>
                <w:color w:val="auto"/>
              </w:rPr>
            </w:pPr>
            <w:r>
              <w:rPr>
                <w:rFonts w:ascii="Arial" w:cs="Arial" w:eastAsia="Arial" w:hAnsi="Arial"/>
                <w:sz w:val="18"/>
                <w:szCs w:val="18"/>
                <w:color w:val="auto"/>
                <w:w w:val="99"/>
              </w:rPr>
              <w:t>8-K</w:t>
            </w:r>
          </w:p>
        </w:tc>
        <w:tc>
          <w:tcPr>
            <w:tcW w:w="920" w:type="dxa"/>
            <w:vAlign w:val="bottom"/>
            <w:shd w:val="clear" w:color="auto" w:fill="D1D2D4"/>
          </w:tcPr>
          <w:p>
            <w:pPr>
              <w:spacing w:after="0"/>
              <w:rPr>
                <w:sz w:val="16"/>
                <w:szCs w:val="16"/>
                <w:color w:val="auto"/>
              </w:rPr>
            </w:pPr>
          </w:p>
        </w:tc>
        <w:tc>
          <w:tcPr>
            <w:tcW w:w="106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5"/>
              </w:rPr>
              <w:t>4.4</w:t>
            </w:r>
          </w:p>
        </w:tc>
        <w:tc>
          <w:tcPr>
            <w:tcW w:w="92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9"/>
              </w:rPr>
              <w:t>4/29/25</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360" w:type="dxa"/>
            <w:vAlign w:val="bottom"/>
            <w:tcBorders>
              <w:top w:val="single" w:sz="8" w:color="auto"/>
            </w:tcBorders>
            <w:gridSpan w:val="14"/>
            <w:shd w:val="clear" w:color="auto" w:fill="D1D2D4"/>
          </w:tcPr>
          <w:p>
            <w:pPr>
              <w:spacing w:after="0" w:line="169" w:lineRule="exact"/>
              <w:rPr>
                <w:rFonts w:ascii="Arial" w:cs="Arial" w:eastAsia="Arial" w:hAnsi="Arial"/>
                <w:sz w:val="18"/>
                <w:szCs w:val="18"/>
                <w:color w:val="auto"/>
              </w:rPr>
            </w:pPr>
            <w:hyperlink r:id="rId156">
              <w:r>
                <w:rPr>
                  <w:rFonts w:ascii="Arial" w:cs="Arial" w:eastAsia="Arial" w:hAnsi="Arial"/>
                  <w:sz w:val="18"/>
                  <w:szCs w:val="18"/>
                  <w:color w:val="auto"/>
                </w:rPr>
                <w:t>2035 (included in Exhibit 4.1)</w:t>
              </w:r>
            </w:hyperlink>
          </w:p>
        </w:tc>
        <w:tc>
          <w:tcPr>
            <w:tcW w:w="20" w:type="dxa"/>
            <w:vAlign w:val="bottom"/>
            <w:tcBorders>
              <w:top w:val="single" w:sz="8" w:color="D1D2D4"/>
            </w:tcBorders>
            <w:shd w:val="clear" w:color="auto" w:fill="D1D2D4"/>
          </w:tcPr>
          <w:p>
            <w:pPr>
              <w:spacing w:after="0"/>
              <w:rPr>
                <w:sz w:val="14"/>
                <w:szCs w:val="14"/>
                <w:color w:val="auto"/>
              </w:rPr>
            </w:pPr>
          </w:p>
        </w:tc>
        <w:tc>
          <w:tcPr>
            <w:tcW w:w="160" w:type="dxa"/>
            <w:vAlign w:val="bottom"/>
            <w:tcBorders>
              <w:top w:val="single" w:sz="8" w:color="D1D2D4"/>
            </w:tcBorders>
            <w:gridSpan w:val="2"/>
            <w:shd w:val="clear" w:color="auto" w:fill="D1D2D4"/>
          </w:tcPr>
          <w:p>
            <w:pPr>
              <w:spacing w:after="0"/>
              <w:rPr>
                <w:sz w:val="14"/>
                <w:szCs w:val="14"/>
                <w:color w:val="auto"/>
              </w:rPr>
            </w:pPr>
          </w:p>
        </w:tc>
        <w:tc>
          <w:tcPr>
            <w:tcW w:w="80" w:type="dxa"/>
            <w:vAlign w:val="bottom"/>
            <w:tcBorders>
              <w:top w:val="single" w:sz="8" w:color="D1D2D4"/>
            </w:tcBorders>
            <w:shd w:val="clear" w:color="auto" w:fill="D1D2D4"/>
          </w:tcPr>
          <w:p>
            <w:pPr>
              <w:spacing w:after="0"/>
              <w:rPr>
                <w:sz w:val="14"/>
                <w:szCs w:val="14"/>
                <w:color w:val="auto"/>
              </w:rPr>
            </w:pPr>
          </w:p>
        </w:tc>
        <w:tc>
          <w:tcPr>
            <w:tcW w:w="1740" w:type="dxa"/>
            <w:vAlign w:val="bottom"/>
            <w:tcBorders>
              <w:top w:val="single" w:sz="8" w:color="D1D2D4"/>
            </w:tcBorders>
            <w:shd w:val="clear" w:color="auto" w:fill="D1D2D4"/>
          </w:tcPr>
          <w:p>
            <w:pPr>
              <w:spacing w:after="0"/>
              <w:rPr>
                <w:sz w:val="14"/>
                <w:szCs w:val="14"/>
                <w:color w:val="auto"/>
              </w:rPr>
            </w:pPr>
          </w:p>
        </w:tc>
        <w:tc>
          <w:tcPr>
            <w:tcW w:w="920" w:type="dxa"/>
            <w:vAlign w:val="bottom"/>
            <w:tcBorders>
              <w:top w:val="single" w:sz="8" w:color="D1D2D4"/>
            </w:tcBorders>
            <w:shd w:val="clear" w:color="auto" w:fill="D1D2D4"/>
          </w:tcPr>
          <w:p>
            <w:pPr>
              <w:spacing w:after="0"/>
              <w:rPr>
                <w:sz w:val="14"/>
                <w:szCs w:val="14"/>
                <w:color w:val="auto"/>
              </w:rPr>
            </w:pPr>
          </w:p>
        </w:tc>
        <w:tc>
          <w:tcPr>
            <w:tcW w:w="1060" w:type="dxa"/>
            <w:vAlign w:val="bottom"/>
            <w:tcBorders>
              <w:top w:val="single" w:sz="8" w:color="D1D2D4"/>
            </w:tcBorders>
            <w:shd w:val="clear" w:color="auto" w:fill="D1D2D4"/>
          </w:tcPr>
          <w:p>
            <w:pPr>
              <w:spacing w:after="0"/>
              <w:rPr>
                <w:sz w:val="14"/>
                <w:szCs w:val="14"/>
                <w:color w:val="auto"/>
              </w:rPr>
            </w:pPr>
          </w:p>
        </w:tc>
        <w:tc>
          <w:tcPr>
            <w:tcW w:w="92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1320" w:type="dxa"/>
            <w:vAlign w:val="bottom"/>
            <w:tcBorders>
              <w:top w:val="single" w:sz="8" w:color="auto"/>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420" w:type="dxa"/>
            <w:vAlign w:val="bottom"/>
            <w:tcBorders>
              <w:top w:val="single" w:sz="8" w:color="D1D2D4"/>
            </w:tcBorders>
            <w:shd w:val="clear" w:color="auto" w:fill="D1D2D4"/>
          </w:tcPr>
          <w:p>
            <w:pPr>
              <w:spacing w:after="0" w:line="20" w:lineRule="exact"/>
              <w:rPr>
                <w:sz w:val="1"/>
                <w:szCs w:val="1"/>
                <w:color w:val="auto"/>
              </w:rPr>
            </w:pPr>
          </w:p>
        </w:tc>
        <w:tc>
          <w:tcPr>
            <w:tcW w:w="12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0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740" w:type="dxa"/>
            <w:vAlign w:val="bottom"/>
            <w:tcBorders>
              <w:top w:val="single" w:sz="8" w:color="D1D2D4"/>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1060" w:type="dxa"/>
            <w:vAlign w:val="bottom"/>
            <w:tcBorders>
              <w:top w:val="single" w:sz="8" w:color="D1D2D4"/>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5620" w:type="dxa"/>
            <w:vAlign w:val="bottom"/>
            <w:gridSpan w:val="18"/>
          </w:tcPr>
          <w:p>
            <w:pPr>
              <w:spacing w:after="0" w:line="189" w:lineRule="exact"/>
              <w:rPr>
                <w:rFonts w:ascii="Arial" w:cs="Arial" w:eastAsia="Arial" w:hAnsi="Arial"/>
                <w:sz w:val="18"/>
                <w:szCs w:val="18"/>
                <w:color w:val="auto"/>
              </w:rPr>
            </w:pPr>
            <w:hyperlink r:id="rId157">
              <w:r>
                <w:rPr>
                  <w:rFonts w:ascii="Arial" w:cs="Arial" w:eastAsia="Arial" w:hAnsi="Arial"/>
                  <w:sz w:val="18"/>
                  <w:szCs w:val="18"/>
                  <w:color w:val="auto"/>
                </w:rPr>
                <w:t>Credit Agreement, dated as of March 12, 2025, by and among Micron</w:t>
              </w:r>
            </w:hyperlink>
          </w:p>
        </w:tc>
        <w:tc>
          <w:tcPr>
            <w:tcW w:w="1740" w:type="dxa"/>
            <w:vAlign w:val="bottom"/>
          </w:tcPr>
          <w:p>
            <w:pPr>
              <w:jc w:val="center"/>
              <w:ind w:left="890"/>
              <w:spacing w:after="0" w:line="189" w:lineRule="exact"/>
              <w:rPr>
                <w:sz w:val="20"/>
                <w:szCs w:val="20"/>
                <w:color w:val="auto"/>
              </w:rPr>
            </w:pPr>
            <w:r>
              <w:rPr>
                <w:rFonts w:ascii="Arial" w:cs="Arial" w:eastAsia="Arial" w:hAnsi="Arial"/>
                <w:sz w:val="18"/>
                <w:szCs w:val="18"/>
                <w:color w:val="auto"/>
                <w:w w:val="99"/>
              </w:rPr>
              <w:t>10-Q</w:t>
            </w:r>
          </w:p>
        </w:tc>
        <w:tc>
          <w:tcPr>
            <w:tcW w:w="92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7"/>
              </w:rPr>
              <w:t>10.10</w:t>
            </w:r>
          </w:p>
        </w:tc>
        <w:tc>
          <w:tcPr>
            <w:tcW w:w="920" w:type="dxa"/>
            <w:vAlign w:val="bottom"/>
          </w:tcPr>
          <w:p>
            <w:pPr>
              <w:jc w:val="center"/>
              <w:spacing w:after="0" w:line="189" w:lineRule="exact"/>
              <w:rPr>
                <w:sz w:val="20"/>
                <w:szCs w:val="20"/>
                <w:color w:val="auto"/>
              </w:rPr>
            </w:pPr>
            <w:r>
              <w:rPr>
                <w:rFonts w:ascii="Arial" w:cs="Arial" w:eastAsia="Arial" w:hAnsi="Arial"/>
                <w:sz w:val="18"/>
                <w:szCs w:val="18"/>
                <w:color w:val="auto"/>
                <w:w w:val="99"/>
              </w:rPr>
              <w:t>3/21/25</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000" w:type="dxa"/>
            <w:vAlign w:val="bottom"/>
            <w:tcBorders>
              <w:top w:val="single" w:sz="8" w:color="auto"/>
              <w:bottom w:val="single" w:sz="8" w:color="auto"/>
            </w:tcBorders>
            <w:gridSpan w:val="4"/>
          </w:tcPr>
          <w:p>
            <w:pPr>
              <w:spacing w:after="0" w:line="169" w:lineRule="exact"/>
              <w:rPr>
                <w:rFonts w:ascii="Arial" w:cs="Arial" w:eastAsia="Arial" w:hAnsi="Arial"/>
                <w:sz w:val="18"/>
                <w:szCs w:val="18"/>
                <w:color w:val="auto"/>
              </w:rPr>
            </w:pPr>
            <w:hyperlink r:id="rId157">
              <w:r>
                <w:rPr>
                  <w:rFonts w:ascii="Arial" w:cs="Arial" w:eastAsia="Arial" w:hAnsi="Arial"/>
                  <w:sz w:val="18"/>
                  <w:szCs w:val="18"/>
                  <w:color w:val="auto"/>
                </w:rPr>
                <w:t>Technology, Inc., as borrower, HSBC</w:t>
              </w:r>
            </w:hyperlink>
          </w:p>
        </w:tc>
        <w:tc>
          <w:tcPr>
            <w:tcW w:w="1580" w:type="dxa"/>
            <w:vAlign w:val="bottom"/>
            <w:tcBorders>
              <w:top w:val="single" w:sz="8" w:color="auto"/>
              <w:bottom w:val="single" w:sz="8" w:color="auto"/>
            </w:tcBorders>
            <w:gridSpan w:val="4"/>
          </w:tcPr>
          <w:p>
            <w:pPr>
              <w:spacing w:after="0" w:line="169" w:lineRule="exact"/>
              <w:rPr>
                <w:rFonts w:ascii="Arial" w:cs="Arial" w:eastAsia="Arial" w:hAnsi="Arial"/>
                <w:sz w:val="18"/>
                <w:szCs w:val="18"/>
                <w:color w:val="auto"/>
                <w:w w:val="98"/>
              </w:rPr>
            </w:pPr>
            <w:hyperlink r:id="rId157">
              <w:r>
                <w:rPr>
                  <w:rFonts w:ascii="Arial" w:cs="Arial" w:eastAsia="Arial" w:hAnsi="Arial"/>
                  <w:sz w:val="18"/>
                  <w:szCs w:val="18"/>
                  <w:color w:val="auto"/>
                  <w:w w:val="98"/>
                </w:rPr>
                <w:t>Bank USA, National</w:t>
              </w:r>
            </w:hyperlink>
          </w:p>
        </w:tc>
        <w:tc>
          <w:tcPr>
            <w:tcW w:w="960" w:type="dxa"/>
            <w:vAlign w:val="bottom"/>
            <w:tcBorders>
              <w:top w:val="single" w:sz="8" w:color="auto"/>
            </w:tcBorders>
            <w:gridSpan w:val="9"/>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0" w:type="dxa"/>
            <w:vAlign w:val="bottom"/>
          </w:tcPr>
          <w:p>
            <w:pPr>
              <w:spacing w:after="0" w:line="156" w:lineRule="exact"/>
              <w:rPr>
                <w:rFonts w:ascii="Arial" w:cs="Arial" w:eastAsia="Arial" w:hAnsi="Arial"/>
                <w:sz w:val="18"/>
                <w:szCs w:val="18"/>
                <w:color w:val="auto"/>
              </w:rPr>
            </w:pPr>
            <w:hyperlink r:id="rId157">
              <w:r>
                <w:rPr>
                  <w:rFonts w:ascii="Arial" w:cs="Arial" w:eastAsia="Arial" w:hAnsi="Arial"/>
                  <w:sz w:val="18"/>
                  <w:szCs w:val="18"/>
                  <w:color w:val="auto"/>
                </w:rPr>
                <w:t>Association,</w:t>
              </w:r>
            </w:hyperlink>
          </w:p>
        </w:tc>
        <w:tc>
          <w:tcPr>
            <w:tcW w:w="4620" w:type="dxa"/>
            <w:vAlign w:val="bottom"/>
            <w:gridSpan w:val="17"/>
          </w:tcPr>
          <w:p>
            <w:pPr>
              <w:ind w:left="20"/>
              <w:spacing w:after="0" w:line="156" w:lineRule="exact"/>
              <w:rPr>
                <w:rFonts w:ascii="Arial" w:cs="Arial" w:eastAsia="Arial" w:hAnsi="Arial"/>
                <w:sz w:val="18"/>
                <w:szCs w:val="18"/>
                <w:color w:val="auto"/>
              </w:rPr>
            </w:pPr>
            <w:hyperlink r:id="rId157">
              <w:r>
                <w:rPr>
                  <w:rFonts w:ascii="Arial" w:cs="Arial" w:eastAsia="Arial" w:hAnsi="Arial"/>
                  <w:sz w:val="18"/>
                  <w:szCs w:val="18"/>
                  <w:color w:val="auto"/>
                </w:rPr>
                <w:t>as administrative agent, the other agents party thereto,</w:t>
              </w:r>
            </w:hyperlink>
          </w:p>
        </w:tc>
        <w:tc>
          <w:tcPr>
            <w:tcW w:w="1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380" w:type="dxa"/>
            <w:vAlign w:val="bottom"/>
            <w:tcBorders>
              <w:top w:val="single" w:sz="8" w:color="auto"/>
            </w:tcBorders>
            <w:gridSpan w:val="15"/>
          </w:tcPr>
          <w:p>
            <w:pPr>
              <w:spacing w:after="0" w:line="156" w:lineRule="exact"/>
              <w:rPr>
                <w:rFonts w:ascii="Arial" w:cs="Arial" w:eastAsia="Arial" w:hAnsi="Arial"/>
                <w:sz w:val="18"/>
                <w:szCs w:val="18"/>
                <w:color w:val="auto"/>
              </w:rPr>
            </w:pPr>
            <w:hyperlink r:id="rId157">
              <w:r>
                <w:rPr>
                  <w:rFonts w:ascii="Arial" w:cs="Arial" w:eastAsia="Arial" w:hAnsi="Arial"/>
                  <w:sz w:val="18"/>
                  <w:szCs w:val="18"/>
                  <w:color w:val="auto"/>
                </w:rPr>
                <w:t>and each financial institution party from time to time thereto</w:t>
              </w:r>
            </w:hyperlink>
          </w:p>
        </w:tc>
        <w:tc>
          <w:tcPr>
            <w:tcW w:w="240" w:type="dxa"/>
            <w:vAlign w:val="bottom"/>
            <w:gridSpan w:val="3"/>
          </w:tcPr>
          <w:p>
            <w:pPr>
              <w:spacing w:after="0"/>
              <w:rPr>
                <w:sz w:val="13"/>
                <w:szCs w:val="13"/>
                <w:color w:val="auto"/>
              </w:rPr>
            </w:pPr>
          </w:p>
        </w:tc>
        <w:tc>
          <w:tcPr>
            <w:tcW w:w="1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31.1</w:t>
            </w:r>
          </w:p>
        </w:tc>
        <w:tc>
          <w:tcPr>
            <w:tcW w:w="5620" w:type="dxa"/>
            <w:vAlign w:val="bottom"/>
            <w:gridSpan w:val="18"/>
            <w:shd w:val="clear" w:color="auto" w:fill="D1D2D4"/>
          </w:tcPr>
          <w:p>
            <w:pPr>
              <w:spacing w:after="0" w:line="189" w:lineRule="exact"/>
              <w:rPr>
                <w:sz w:val="20"/>
                <w:szCs w:val="20"/>
                <w:color w:val="auto"/>
              </w:rPr>
            </w:pPr>
            <w:r>
              <w:rPr>
                <w:rFonts w:ascii="Arial" w:cs="Arial" w:eastAsia="Arial" w:hAnsi="Arial"/>
                <w:sz w:val="18"/>
                <w:szCs w:val="18"/>
                <w:color w:val="auto"/>
              </w:rPr>
              <w:t>Rule 13a-14(a) Certification of Chief Executive Officer</w:t>
            </w:r>
          </w:p>
        </w:tc>
        <w:tc>
          <w:tcPr>
            <w:tcW w:w="1740" w:type="dxa"/>
            <w:vAlign w:val="bottom"/>
            <w:shd w:val="clear" w:color="auto" w:fill="D1D2D4"/>
          </w:tcPr>
          <w:p>
            <w:pPr>
              <w:jc w:val="center"/>
              <w:ind w:right="770"/>
              <w:spacing w:after="0" w:line="189" w:lineRule="exact"/>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8"/>
                <w:szCs w:val="18"/>
                <w:color w:val="auto"/>
              </w:rPr>
            </w:pPr>
          </w:p>
        </w:tc>
        <w:tc>
          <w:tcPr>
            <w:tcW w:w="106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31.2</w:t>
            </w:r>
          </w:p>
        </w:tc>
        <w:tc>
          <w:tcPr>
            <w:tcW w:w="4280" w:type="dxa"/>
            <w:vAlign w:val="bottom"/>
            <w:tcBorders>
              <w:top w:val="single" w:sz="8" w:color="auto"/>
            </w:tcBorders>
            <w:gridSpan w:val="7"/>
          </w:tcPr>
          <w:p>
            <w:pPr>
              <w:spacing w:after="0" w:line="189" w:lineRule="exact"/>
              <w:rPr>
                <w:sz w:val="20"/>
                <w:szCs w:val="20"/>
                <w:color w:val="auto"/>
              </w:rPr>
            </w:pPr>
            <w:r>
              <w:rPr>
                <w:rFonts w:ascii="Arial" w:cs="Arial" w:eastAsia="Arial" w:hAnsi="Arial"/>
                <w:sz w:val="18"/>
                <w:szCs w:val="18"/>
                <w:color w:val="auto"/>
              </w:rPr>
              <w:t>Rule 13a-14(a) Certification of Chief Financial Officer</w:t>
            </w:r>
          </w:p>
        </w:tc>
        <w:tc>
          <w:tcPr>
            <w:tcW w:w="1340" w:type="dxa"/>
            <w:vAlign w:val="bottom"/>
            <w:tcBorders>
              <w:top w:val="single" w:sz="8" w:color="D1D2D4"/>
            </w:tcBorders>
            <w:gridSpan w:val="11"/>
          </w:tcPr>
          <w:p>
            <w:pPr>
              <w:spacing w:after="0"/>
              <w:rPr>
                <w:sz w:val="16"/>
                <w:szCs w:val="16"/>
                <w:color w:val="auto"/>
              </w:rPr>
            </w:pPr>
          </w:p>
        </w:tc>
        <w:tc>
          <w:tcPr>
            <w:tcW w:w="1740" w:type="dxa"/>
            <w:vAlign w:val="bottom"/>
            <w:tcBorders>
              <w:top w:val="single" w:sz="8" w:color="D1D2D4"/>
            </w:tcBorders>
          </w:tcPr>
          <w:p>
            <w:pPr>
              <w:jc w:val="center"/>
              <w:ind w:right="770"/>
              <w:spacing w:after="0" w:line="189" w:lineRule="exact"/>
              <w:rPr>
                <w:sz w:val="20"/>
                <w:szCs w:val="20"/>
                <w:color w:val="auto"/>
              </w:rPr>
            </w:pPr>
            <w:r>
              <w:rPr>
                <w:rFonts w:ascii="Arial" w:cs="Arial" w:eastAsia="Arial" w:hAnsi="Arial"/>
                <w:sz w:val="18"/>
                <w:szCs w:val="18"/>
                <w:color w:val="auto"/>
                <w:w w:val="99"/>
              </w:rPr>
              <w:t>X</w:t>
            </w:r>
          </w:p>
        </w:tc>
        <w:tc>
          <w:tcPr>
            <w:tcW w:w="920" w:type="dxa"/>
            <w:vAlign w:val="bottom"/>
            <w:tcBorders>
              <w:top w:val="single" w:sz="8" w:color="D1D2D4"/>
            </w:tcBorders>
          </w:tcPr>
          <w:p>
            <w:pPr>
              <w:spacing w:after="0"/>
              <w:rPr>
                <w:sz w:val="16"/>
                <w:szCs w:val="16"/>
                <w:color w:val="auto"/>
              </w:rPr>
            </w:pPr>
          </w:p>
        </w:tc>
        <w:tc>
          <w:tcPr>
            <w:tcW w:w="1060" w:type="dxa"/>
            <w:vAlign w:val="bottom"/>
            <w:tcBorders>
              <w:top w:val="single" w:sz="8" w:color="D1D2D4"/>
            </w:tcBorders>
          </w:tcPr>
          <w:p>
            <w:pPr>
              <w:spacing w:after="0"/>
              <w:rPr>
                <w:sz w:val="16"/>
                <w:szCs w:val="16"/>
                <w:color w:val="auto"/>
              </w:rPr>
            </w:pPr>
          </w:p>
        </w:tc>
        <w:tc>
          <w:tcPr>
            <w:tcW w:w="92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32.1</w:t>
            </w:r>
          </w:p>
        </w:tc>
        <w:tc>
          <w:tcPr>
            <w:tcW w:w="5620" w:type="dxa"/>
            <w:vAlign w:val="bottom"/>
            <w:gridSpan w:val="18"/>
            <w:shd w:val="clear" w:color="auto" w:fill="D1D2D4"/>
          </w:tcPr>
          <w:p>
            <w:pPr>
              <w:spacing w:after="0" w:line="189" w:lineRule="exact"/>
              <w:rPr>
                <w:sz w:val="20"/>
                <w:szCs w:val="20"/>
                <w:color w:val="auto"/>
              </w:rPr>
            </w:pPr>
            <w:r>
              <w:rPr>
                <w:rFonts w:ascii="Arial" w:cs="Arial" w:eastAsia="Arial" w:hAnsi="Arial"/>
                <w:sz w:val="18"/>
                <w:szCs w:val="18"/>
                <w:color w:val="auto"/>
              </w:rPr>
              <w:t>Certification of Chief Executive Officer Pursuant to 18 U.S.C. 1350</w:t>
            </w:r>
          </w:p>
        </w:tc>
        <w:tc>
          <w:tcPr>
            <w:tcW w:w="1740" w:type="dxa"/>
            <w:vAlign w:val="bottom"/>
            <w:shd w:val="clear" w:color="auto" w:fill="D1D2D4"/>
          </w:tcPr>
          <w:p>
            <w:pPr>
              <w:jc w:val="center"/>
              <w:ind w:right="770"/>
              <w:spacing w:after="0" w:line="189" w:lineRule="exact"/>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8"/>
                <w:szCs w:val="18"/>
                <w:color w:val="auto"/>
              </w:rPr>
            </w:pPr>
          </w:p>
        </w:tc>
        <w:tc>
          <w:tcPr>
            <w:tcW w:w="106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32.2</w:t>
            </w:r>
          </w:p>
        </w:tc>
        <w:tc>
          <w:tcPr>
            <w:tcW w:w="5280" w:type="dxa"/>
            <w:vAlign w:val="bottom"/>
            <w:tcBorders>
              <w:top w:val="single" w:sz="8" w:color="auto"/>
            </w:tcBorders>
            <w:gridSpan w:val="13"/>
          </w:tcPr>
          <w:p>
            <w:pPr>
              <w:spacing w:after="0" w:line="189" w:lineRule="exact"/>
              <w:rPr>
                <w:sz w:val="20"/>
                <w:szCs w:val="20"/>
                <w:color w:val="auto"/>
              </w:rPr>
            </w:pPr>
            <w:r>
              <w:rPr>
                <w:rFonts w:ascii="Arial" w:cs="Arial" w:eastAsia="Arial" w:hAnsi="Arial"/>
                <w:sz w:val="18"/>
                <w:szCs w:val="18"/>
                <w:color w:val="auto"/>
              </w:rPr>
              <w:t>Certification of Chief Financial Officer Pursuant to 18 U.S.C. 1350</w:t>
            </w:r>
          </w:p>
        </w:tc>
        <w:tc>
          <w:tcPr>
            <w:tcW w:w="340" w:type="dxa"/>
            <w:vAlign w:val="bottom"/>
            <w:tcBorders>
              <w:top w:val="single" w:sz="8" w:color="D1D2D4"/>
            </w:tcBorders>
            <w:gridSpan w:val="5"/>
          </w:tcPr>
          <w:p>
            <w:pPr>
              <w:spacing w:after="0"/>
              <w:rPr>
                <w:sz w:val="16"/>
                <w:szCs w:val="16"/>
                <w:color w:val="auto"/>
              </w:rPr>
            </w:pPr>
          </w:p>
        </w:tc>
        <w:tc>
          <w:tcPr>
            <w:tcW w:w="1740" w:type="dxa"/>
            <w:vAlign w:val="bottom"/>
            <w:tcBorders>
              <w:top w:val="single" w:sz="8" w:color="D1D2D4"/>
            </w:tcBorders>
          </w:tcPr>
          <w:p>
            <w:pPr>
              <w:jc w:val="center"/>
              <w:ind w:right="770"/>
              <w:spacing w:after="0" w:line="189" w:lineRule="exact"/>
              <w:rPr>
                <w:sz w:val="20"/>
                <w:szCs w:val="20"/>
                <w:color w:val="auto"/>
              </w:rPr>
            </w:pPr>
            <w:r>
              <w:rPr>
                <w:rFonts w:ascii="Arial" w:cs="Arial" w:eastAsia="Arial" w:hAnsi="Arial"/>
                <w:sz w:val="18"/>
                <w:szCs w:val="18"/>
                <w:color w:val="auto"/>
                <w:w w:val="99"/>
              </w:rPr>
              <w:t>X</w:t>
            </w:r>
          </w:p>
        </w:tc>
        <w:tc>
          <w:tcPr>
            <w:tcW w:w="920" w:type="dxa"/>
            <w:vAlign w:val="bottom"/>
            <w:tcBorders>
              <w:top w:val="single" w:sz="8" w:color="D1D2D4"/>
            </w:tcBorders>
          </w:tcPr>
          <w:p>
            <w:pPr>
              <w:spacing w:after="0"/>
              <w:rPr>
                <w:sz w:val="16"/>
                <w:szCs w:val="16"/>
                <w:color w:val="auto"/>
              </w:rPr>
            </w:pPr>
          </w:p>
        </w:tc>
        <w:tc>
          <w:tcPr>
            <w:tcW w:w="1060" w:type="dxa"/>
            <w:vAlign w:val="bottom"/>
            <w:tcBorders>
              <w:top w:val="single" w:sz="8" w:color="D1D2D4"/>
            </w:tcBorders>
          </w:tcPr>
          <w:p>
            <w:pPr>
              <w:spacing w:after="0"/>
              <w:rPr>
                <w:sz w:val="16"/>
                <w:szCs w:val="16"/>
                <w:color w:val="auto"/>
              </w:rPr>
            </w:pPr>
          </w:p>
        </w:tc>
        <w:tc>
          <w:tcPr>
            <w:tcW w:w="92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8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101.INS</w:t>
            </w:r>
          </w:p>
        </w:tc>
        <w:tc>
          <w:tcPr>
            <w:tcW w:w="5620" w:type="dxa"/>
            <w:vAlign w:val="bottom"/>
            <w:gridSpan w:val="18"/>
            <w:shd w:val="clear" w:color="auto" w:fill="D1D2D4"/>
          </w:tcPr>
          <w:p>
            <w:pPr>
              <w:spacing w:after="0" w:line="183" w:lineRule="exact"/>
              <w:rPr>
                <w:sz w:val="20"/>
                <w:szCs w:val="20"/>
                <w:color w:val="auto"/>
              </w:rPr>
            </w:pPr>
            <w:r>
              <w:rPr>
                <w:rFonts w:ascii="Arial" w:cs="Arial" w:eastAsia="Arial" w:hAnsi="Arial"/>
                <w:sz w:val="18"/>
                <w:szCs w:val="18"/>
                <w:color w:val="auto"/>
              </w:rPr>
              <w:t>Inline XBRL Instance Document – the instance document does not</w:t>
            </w:r>
          </w:p>
        </w:tc>
        <w:tc>
          <w:tcPr>
            <w:tcW w:w="1740" w:type="dxa"/>
            <w:vAlign w:val="bottom"/>
            <w:shd w:val="clear" w:color="auto" w:fill="D1D2D4"/>
          </w:tcPr>
          <w:p>
            <w:pPr>
              <w:jc w:val="center"/>
              <w:ind w:right="770"/>
              <w:spacing w:after="0" w:line="183" w:lineRule="exact"/>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spacing w:after="0"/>
              <w:rPr>
                <w:sz w:val="15"/>
                <w:szCs w:val="15"/>
                <w:color w:val="auto"/>
              </w:rPr>
            </w:pPr>
          </w:p>
        </w:tc>
        <w:tc>
          <w:tcPr>
            <w:tcW w:w="9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80" w:type="dxa"/>
            <w:vAlign w:val="bottom"/>
            <w:shd w:val="clear" w:color="auto" w:fill="D1D2D4"/>
          </w:tcPr>
          <w:p>
            <w:pPr>
              <w:spacing w:after="0"/>
              <w:rPr>
                <w:sz w:val="15"/>
                <w:szCs w:val="15"/>
                <w:color w:val="auto"/>
              </w:rPr>
            </w:pPr>
          </w:p>
        </w:tc>
        <w:tc>
          <w:tcPr>
            <w:tcW w:w="5620" w:type="dxa"/>
            <w:vAlign w:val="bottom"/>
            <w:gridSpan w:val="18"/>
            <w:shd w:val="clear" w:color="auto" w:fill="D1D2D4"/>
          </w:tcPr>
          <w:p>
            <w:pPr>
              <w:spacing w:after="0" w:line="181" w:lineRule="exact"/>
              <w:rPr>
                <w:sz w:val="20"/>
                <w:szCs w:val="20"/>
                <w:color w:val="auto"/>
              </w:rPr>
            </w:pPr>
            <w:r>
              <w:rPr>
                <w:rFonts w:ascii="Arial" w:cs="Arial" w:eastAsia="Arial" w:hAnsi="Arial"/>
                <w:sz w:val="18"/>
                <w:szCs w:val="18"/>
                <w:color w:val="auto"/>
              </w:rPr>
              <w:t>appear in the Interactive Data File because its XBRL tags are</w:t>
            </w:r>
          </w:p>
        </w:tc>
        <w:tc>
          <w:tcPr>
            <w:tcW w:w="1740" w:type="dxa"/>
            <w:vAlign w:val="bottom"/>
            <w:shd w:val="clear" w:color="auto" w:fill="D1D2D4"/>
          </w:tcPr>
          <w:p>
            <w:pPr>
              <w:spacing w:after="0"/>
              <w:rPr>
                <w:sz w:val="15"/>
                <w:szCs w:val="15"/>
                <w:color w:val="auto"/>
              </w:rPr>
            </w:pP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spacing w:after="0"/>
              <w:rPr>
                <w:sz w:val="15"/>
                <w:szCs w:val="15"/>
                <w:color w:val="auto"/>
              </w:rPr>
            </w:pPr>
          </w:p>
        </w:tc>
        <w:tc>
          <w:tcPr>
            <w:tcW w:w="9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spacing w:after="0"/>
              <w:rPr>
                <w:sz w:val="19"/>
                <w:szCs w:val="19"/>
                <w:color w:val="auto"/>
              </w:rPr>
            </w:pPr>
          </w:p>
        </w:tc>
        <w:tc>
          <w:tcPr>
            <w:tcW w:w="5620" w:type="dxa"/>
            <w:vAlign w:val="bottom"/>
            <w:gridSpan w:val="18"/>
            <w:shd w:val="clear" w:color="auto" w:fill="D1D2D4"/>
          </w:tcPr>
          <w:p>
            <w:pPr>
              <w:spacing w:after="0"/>
              <w:rPr>
                <w:sz w:val="20"/>
                <w:szCs w:val="20"/>
                <w:color w:val="auto"/>
              </w:rPr>
            </w:pPr>
            <w:r>
              <w:rPr>
                <w:rFonts w:ascii="Arial" w:cs="Arial" w:eastAsia="Arial" w:hAnsi="Arial"/>
                <w:sz w:val="18"/>
                <w:szCs w:val="18"/>
                <w:color w:val="auto"/>
              </w:rPr>
              <w:t>embedded within the Inline XBRL document</w:t>
            </w:r>
          </w:p>
        </w:tc>
        <w:tc>
          <w:tcPr>
            <w:tcW w:w="174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562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1740" w:type="dxa"/>
            <w:vAlign w:val="bottom"/>
          </w:tcPr>
          <w:p>
            <w:pPr>
              <w:jc w:val="center"/>
              <w:ind w:right="77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620" w:type="dxa"/>
            <w:vAlign w:val="bottom"/>
            <w:gridSpan w:val="18"/>
            <w:shd w:val="clear" w:color="auto" w:fill="D1D2D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740" w:type="dxa"/>
            <w:vAlign w:val="bottom"/>
            <w:shd w:val="clear" w:color="auto" w:fill="D1D2D4"/>
          </w:tcPr>
          <w:p>
            <w:pPr>
              <w:jc w:val="center"/>
              <w:ind w:right="77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562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740" w:type="dxa"/>
            <w:vAlign w:val="bottom"/>
          </w:tcPr>
          <w:p>
            <w:pPr>
              <w:jc w:val="center"/>
              <w:ind w:right="77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620" w:type="dxa"/>
            <w:vAlign w:val="bottom"/>
            <w:gridSpan w:val="18"/>
            <w:shd w:val="clear" w:color="auto" w:fill="D1D2D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740" w:type="dxa"/>
            <w:vAlign w:val="bottom"/>
            <w:shd w:val="clear" w:color="auto" w:fill="D1D2D4"/>
          </w:tcPr>
          <w:p>
            <w:pPr>
              <w:jc w:val="center"/>
              <w:ind w:right="77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562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740" w:type="dxa"/>
            <w:vAlign w:val="bottom"/>
          </w:tcPr>
          <w:p>
            <w:pPr>
              <w:jc w:val="center"/>
              <w:ind w:right="77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98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104</w:t>
            </w:r>
          </w:p>
        </w:tc>
        <w:tc>
          <w:tcPr>
            <w:tcW w:w="5620" w:type="dxa"/>
            <w:vAlign w:val="bottom"/>
            <w:gridSpan w:val="18"/>
            <w:shd w:val="clear" w:color="auto" w:fill="D1D2D4"/>
          </w:tcPr>
          <w:p>
            <w:pPr>
              <w:spacing w:after="0" w:line="183" w:lineRule="exact"/>
              <w:rPr>
                <w:sz w:val="20"/>
                <w:szCs w:val="20"/>
                <w:color w:val="auto"/>
              </w:rPr>
            </w:pPr>
            <w:r>
              <w:rPr>
                <w:rFonts w:ascii="Arial" w:cs="Arial" w:eastAsia="Arial" w:hAnsi="Arial"/>
                <w:sz w:val="18"/>
                <w:szCs w:val="18"/>
                <w:color w:val="auto"/>
              </w:rPr>
              <w:t>Cover Page Interactive Data File (formatted as Inline XBRL and</w:t>
            </w:r>
          </w:p>
        </w:tc>
        <w:tc>
          <w:tcPr>
            <w:tcW w:w="1740" w:type="dxa"/>
            <w:vAlign w:val="bottom"/>
            <w:shd w:val="clear" w:color="auto" w:fill="D1D2D4"/>
          </w:tcPr>
          <w:p>
            <w:pPr>
              <w:jc w:val="center"/>
              <w:ind w:right="770"/>
              <w:spacing w:after="0" w:line="183" w:lineRule="exact"/>
              <w:rPr>
                <w:sz w:val="20"/>
                <w:szCs w:val="20"/>
                <w:color w:val="auto"/>
              </w:rPr>
            </w:pPr>
            <w:r>
              <w:rPr>
                <w:rFonts w:ascii="Arial" w:cs="Arial" w:eastAsia="Arial" w:hAnsi="Arial"/>
                <w:sz w:val="18"/>
                <w:szCs w:val="18"/>
                <w:color w:val="auto"/>
                <w:w w:val="99"/>
              </w:rPr>
              <w:t>X</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spacing w:after="0"/>
              <w:rPr>
                <w:sz w:val="15"/>
                <w:szCs w:val="15"/>
                <w:color w:val="auto"/>
              </w:rPr>
            </w:pPr>
          </w:p>
        </w:tc>
        <w:tc>
          <w:tcPr>
            <w:tcW w:w="9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80" w:type="dxa"/>
            <w:vAlign w:val="bottom"/>
            <w:shd w:val="clear" w:color="auto" w:fill="D1D2D4"/>
          </w:tcPr>
          <w:p>
            <w:pPr>
              <w:spacing w:after="0"/>
              <w:rPr>
                <w:sz w:val="20"/>
                <w:szCs w:val="20"/>
                <w:color w:val="auto"/>
              </w:rPr>
            </w:pPr>
          </w:p>
        </w:tc>
        <w:tc>
          <w:tcPr>
            <w:tcW w:w="5620" w:type="dxa"/>
            <w:vAlign w:val="bottom"/>
            <w:gridSpan w:val="18"/>
            <w:shd w:val="clear" w:color="auto" w:fill="D1D2D4"/>
          </w:tcPr>
          <w:p>
            <w:pPr>
              <w:spacing w:after="0"/>
              <w:rPr>
                <w:sz w:val="20"/>
                <w:szCs w:val="20"/>
                <w:color w:val="auto"/>
              </w:rPr>
            </w:pPr>
            <w:r>
              <w:rPr>
                <w:rFonts w:ascii="Arial" w:cs="Arial" w:eastAsia="Arial" w:hAnsi="Arial"/>
                <w:sz w:val="18"/>
                <w:szCs w:val="18"/>
                <w:color w:val="auto"/>
              </w:rPr>
              <w:t>contained in Exhibit 101)</w:t>
            </w:r>
          </w:p>
        </w:tc>
        <w:tc>
          <w:tcPr>
            <w:tcW w:w="1740" w:type="dxa"/>
            <w:vAlign w:val="bottom"/>
            <w:shd w:val="clear" w:color="auto" w:fill="D1D2D4"/>
          </w:tcPr>
          <w:p>
            <w:pPr>
              <w:spacing w:after="0"/>
              <w:rPr>
                <w:sz w:val="20"/>
                <w:szCs w:val="20"/>
                <w:color w:val="auto"/>
              </w:rPr>
            </w:pPr>
          </w:p>
        </w:tc>
        <w:tc>
          <w:tcPr>
            <w:tcW w:w="920" w:type="dxa"/>
            <w:vAlign w:val="bottom"/>
            <w:shd w:val="clear" w:color="auto" w:fill="D1D2D4"/>
          </w:tcPr>
          <w:p>
            <w:pPr>
              <w:spacing w:after="0"/>
              <w:rPr>
                <w:sz w:val="20"/>
                <w:szCs w:val="20"/>
                <w:color w:val="auto"/>
              </w:rPr>
            </w:pPr>
          </w:p>
        </w:tc>
        <w:tc>
          <w:tcPr>
            <w:tcW w:w="1060" w:type="dxa"/>
            <w:vAlign w:val="bottom"/>
            <w:shd w:val="clear" w:color="auto" w:fill="D1D2D4"/>
          </w:tcPr>
          <w:p>
            <w:pPr>
              <w:spacing w:after="0"/>
              <w:rPr>
                <w:sz w:val="20"/>
                <w:szCs w:val="20"/>
                <w:color w:val="auto"/>
              </w:rPr>
            </w:pPr>
          </w:p>
        </w:tc>
        <w:tc>
          <w:tcPr>
            <w:tcW w:w="9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61 | 2025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780" w:val="left"/>
          <w:tab w:leader="none" w:pos="5120" w:val="left"/>
          <w:tab w:leader="none" w:pos="5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Mark Murphy</w:t>
      </w:r>
    </w:p>
    <w:p>
      <w:pPr>
        <w:spacing w:after="0" w:line="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Financial Officer)</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16510</wp:posOffset>
            </wp:positionV>
            <wp:extent cx="35915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Scott Allen</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Corporate Vice President and Chief Accounting Officer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62</w:t>
      </w:r>
    </w:p>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31.1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25, 2025</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33261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989"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31.2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Mark Murphy, certify that:</w:t>
      </w:r>
    </w:p>
    <w:p>
      <w:pPr>
        <w:spacing w:after="0" w:line="17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June 25, 2025</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572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9"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May 29, 2025,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June 25, 2025</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17780</wp:posOffset>
            </wp:positionV>
            <wp:extent cx="35572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989"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 Mark Murphy, certify, pursuant to 18 U.S.C. 1350, as adopted pursuant to Section 906 of the Sarbanes-Oxley Act of 2002, that the Quarterly Report of Micron Technology, Inc. on Form 10-Q for the period ended May 29, 2025,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June 25, 2025</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endash "/>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jpe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54" Type="http://schemas.openxmlformats.org/officeDocument/2006/relationships/hyperlink" Target="https://www.sec.gov/Archives/edgar/data/723125/000110465915004447/a15-3005_2ex99d2.htm" TargetMode="External"/><Relationship Id="rId155" Type="http://schemas.openxmlformats.org/officeDocument/2006/relationships/hyperlink" Target="https://www.sec.gov/Archives/edgar/data/723125/000110465924112626/tm2425615d2_ex3-1.htm" TargetMode="External"/><Relationship Id="rId156" Type="http://schemas.openxmlformats.org/officeDocument/2006/relationships/hyperlink" Target="https://www.sec.gov/Archives/edgar/data/723125/000110465925041201/tm2513434d1_ex4-2.htm" TargetMode="External"/><Relationship Id="rId157" Type="http://schemas.openxmlformats.org/officeDocument/2006/relationships/hyperlink" Target="https://www.sec.gov/Archives/edgar/data/723125/000072312525000009/ex1010micron2025rcf-revol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2025-06-26T05:17:46Z</dcterms:created>
  <dcterms:modified xsi:type="dcterms:W3CDTF">2025-06-26T05:17:46Z</dcterms:modified>
</cp:coreProperties>
</file>