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19"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7"/>
          <w:szCs w:val="17"/>
          <w:color w:val="auto"/>
        </w:rPr>
        <w:t>)</w:t>
      </w:r>
      <w:r>
        <w:rPr>
          <w:rFonts w:ascii="Arial" w:cs="Arial" w:eastAsia="Arial" w:hAnsi="Arial"/>
          <w:sz w:val="24"/>
          <w:szCs w:val="24"/>
          <w:color w:val="auto"/>
          <w:vertAlign w:val="superscript"/>
        </w:rPr>
        <w:t>*</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May 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8"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80" w:type="dxa"/>
            <w:vAlign w:val="bottom"/>
            <w:gridSpan w:val="2"/>
          </w:tcPr>
          <w:p>
            <w:pPr>
              <w:ind w:left="1460"/>
              <w:spacing w:after="0"/>
              <w:rPr>
                <w:sz w:val="20"/>
                <w:szCs w:val="20"/>
                <w:color w:val="auto"/>
              </w:rPr>
            </w:pPr>
            <w:r>
              <w:rPr>
                <w:rFonts w:ascii="Arial" w:cs="Arial" w:eastAsia="Arial" w:hAnsi="Arial"/>
                <w:sz w:val="22"/>
                <w:szCs w:val="22"/>
                <w:b w:val="1"/>
                <w:bCs w:val="1"/>
                <w:color w:val="auto"/>
              </w:rPr>
              <w:t>SCHEDULE 13G</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58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0" w:type="dxa"/>
            <w:vAlign w:val="bottom"/>
            <w:tcBorders>
              <w:right w:val="single" w:sz="8" w:color="auto"/>
            </w:tcBorders>
          </w:tcPr>
          <w:p>
            <w:pPr>
              <w:spacing w:after="0"/>
              <w:rPr>
                <w:sz w:val="24"/>
                <w:szCs w:val="24"/>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b w:val="1"/>
                <w:bCs w:val="1"/>
                <w:color w:val="auto"/>
              </w:rPr>
              <w:t>CUSIP NO. 595112103</w:t>
            </w:r>
          </w:p>
        </w:tc>
        <w:tc>
          <w:tcPr>
            <w:tcW w:w="8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w w:val="93"/>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105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25"/>
                <w:szCs w:val="25"/>
                <w:color w:val="auto"/>
              </w:rPr>
              <w:t>1</w:t>
            </w:r>
          </w:p>
        </w:tc>
        <w:tc>
          <w:tcPr>
            <w:tcW w:w="380" w:type="dxa"/>
            <w:vAlign w:val="bottom"/>
            <w:tcBorders>
              <w:right w:val="single" w:sz="8" w:color="auto"/>
            </w:tcBorders>
          </w:tcPr>
          <w:p>
            <w:pPr>
              <w:spacing w:after="0"/>
              <w:rPr>
                <w:sz w:val="20"/>
                <w:szCs w:val="20"/>
                <w:color w:val="auto"/>
              </w:rPr>
            </w:pPr>
          </w:p>
        </w:tc>
        <w:tc>
          <w:tcPr>
            <w:tcW w:w="10500" w:type="dxa"/>
            <w:vAlign w:val="bottom"/>
            <w:gridSpan w:val="5"/>
          </w:tcPr>
          <w:p>
            <w:pPr>
              <w:ind w:left="4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0500" w:type="dxa"/>
            <w:vAlign w:val="bottom"/>
            <w:gridSpan w:val="5"/>
          </w:tcPr>
          <w:p>
            <w:pPr>
              <w:ind w:left="40"/>
              <w:spacing w:after="0"/>
              <w:rPr>
                <w:sz w:val="20"/>
                <w:szCs w:val="20"/>
                <w:color w:val="auto"/>
              </w:rPr>
            </w:pPr>
            <w:r>
              <w:rPr>
                <w:rFonts w:ascii="Arial" w:cs="Arial" w:eastAsia="Arial" w:hAnsi="Arial"/>
                <w:sz w:val="18"/>
                <w:szCs w:val="18"/>
                <w:color w:val="auto"/>
              </w:rPr>
              <w:t>STMICROELECTRONICS, N.V.</w:t>
            </w: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105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5"/>
                <w:szCs w:val="25"/>
                <w:color w:val="auto"/>
              </w:rPr>
              <w:t>2</w:t>
            </w:r>
          </w:p>
        </w:tc>
        <w:tc>
          <w:tcPr>
            <w:tcW w:w="380" w:type="dxa"/>
            <w:vAlign w:val="bottom"/>
            <w:tcBorders>
              <w:right w:val="single" w:sz="8" w:color="auto"/>
            </w:tcBorders>
          </w:tcPr>
          <w:p>
            <w:pPr>
              <w:spacing w:after="0"/>
              <w:rPr>
                <w:sz w:val="24"/>
                <w:szCs w:val="24"/>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00" w:type="dxa"/>
            <w:vAlign w:val="bottom"/>
          </w:tcPr>
          <w:p>
            <w:pPr>
              <w:ind w:left="276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4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3400" w:type="dxa"/>
            <w:vAlign w:val="bottom"/>
            <w:vMerge w:val="restart"/>
          </w:tcPr>
          <w:p>
            <w:pPr>
              <w:ind w:left="276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58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 w:type="dxa"/>
            <w:vAlign w:val="bottom"/>
            <w:vMerge w:val="restart"/>
          </w:tcPr>
          <w:p>
            <w:pPr>
              <w:jc w:val="right"/>
              <w:spacing w:after="0"/>
              <w:rPr>
                <w:sz w:val="20"/>
                <w:szCs w:val="20"/>
                <w:color w:val="auto"/>
              </w:rPr>
            </w:pPr>
            <w:r>
              <w:rPr>
                <w:rFonts w:ascii="Arial" w:cs="Arial" w:eastAsia="Arial" w:hAnsi="Arial"/>
                <w:sz w:val="25"/>
                <w:szCs w:val="25"/>
                <w:color w:val="auto"/>
              </w:rPr>
              <w:t>3</w:t>
            </w:r>
          </w:p>
        </w:tc>
        <w:tc>
          <w:tcPr>
            <w:tcW w:w="38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00" w:type="dxa"/>
            <w:vAlign w:val="bottom"/>
            <w:vMerge w:val="continue"/>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 w:type="dxa"/>
            <w:vAlign w:val="bottom"/>
            <w:vMerge w:val="restart"/>
          </w:tcPr>
          <w:p>
            <w:pPr>
              <w:jc w:val="right"/>
              <w:spacing w:after="0"/>
              <w:rPr>
                <w:sz w:val="20"/>
                <w:szCs w:val="20"/>
                <w:color w:val="auto"/>
              </w:rPr>
            </w:pPr>
            <w:r>
              <w:rPr>
                <w:rFonts w:ascii="Arial" w:cs="Arial" w:eastAsia="Arial" w:hAnsi="Arial"/>
                <w:sz w:val="25"/>
                <w:szCs w:val="25"/>
                <w:color w:val="auto"/>
              </w:rPr>
              <w:t>4</w:t>
            </w:r>
          </w:p>
        </w:tc>
        <w:tc>
          <w:tcPr>
            <w:tcW w:w="380" w:type="dxa"/>
            <w:vAlign w:val="bottom"/>
            <w:tcBorders>
              <w:right w:val="single" w:sz="8" w:color="auto"/>
            </w:tcBorders>
          </w:tcPr>
          <w:p>
            <w:pPr>
              <w:spacing w:after="0"/>
              <w:rPr>
                <w:sz w:val="22"/>
                <w:szCs w:val="22"/>
                <w:color w:val="auto"/>
              </w:rPr>
            </w:pPr>
          </w:p>
        </w:tc>
        <w:tc>
          <w:tcPr>
            <w:tcW w:w="105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00" w:type="dxa"/>
            <w:vAlign w:val="bottom"/>
            <w:vMerge w:val="continue"/>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The Netherlands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gridSpan w:val="3"/>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69,169,366*</w:t>
            </w: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tcBorders>
              <w:right w:val="single" w:sz="8" w:color="auto"/>
            </w:tcBorders>
            <w:gridSpan w:val="2"/>
            <w:vMerge w:val="restart"/>
          </w:tcPr>
          <w:p>
            <w:pPr>
              <w:jc w:val="center"/>
              <w:ind w:right="45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gridSpan w:val="3"/>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69,169,366*</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gridSpan w:val="3"/>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-4133215</wp:posOffset>
            </wp:positionV>
            <wp:extent cx="7246620" cy="6054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05472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69,169,366*</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6.9%*</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560070</wp:posOffset>
            </wp:positionV>
            <wp:extent cx="147066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w:t>
      </w:r>
      <w:r>
        <w:rPr>
          <w:rFonts w:ascii="Arial" w:cs="Arial" w:eastAsia="Arial" w:hAnsi="Arial"/>
          <w:sz w:val="18"/>
          <w:szCs w:val="18"/>
          <w:color w:val="auto"/>
        </w:rPr>
        <w:t>) See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980" w:type="dxa"/>
            <w:vAlign w:val="bottom"/>
            <w:gridSpan w:val="2"/>
          </w:tcPr>
          <w:p>
            <w:pPr>
              <w:ind w:left="1460"/>
              <w:spacing w:after="0"/>
              <w:rPr>
                <w:sz w:val="20"/>
                <w:szCs w:val="20"/>
                <w:color w:val="auto"/>
              </w:rPr>
            </w:pPr>
            <w:r>
              <w:rPr>
                <w:rFonts w:ascii="Arial" w:cs="Arial" w:eastAsia="Arial" w:hAnsi="Arial"/>
                <w:sz w:val="22"/>
                <w:szCs w:val="22"/>
                <w:b w:val="1"/>
                <w:bCs w:val="1"/>
                <w:color w:val="auto"/>
              </w:rPr>
              <w:t>SCHEDULE 13G</w:t>
            </w:r>
          </w:p>
        </w:tc>
      </w:tr>
      <w:tr>
        <w:trPr>
          <w:trHeight w:val="237"/>
        </w:trPr>
        <w:tc>
          <w:tcPr>
            <w:tcW w:w="40" w:type="dxa"/>
            <w:vAlign w:val="bottom"/>
          </w:tcPr>
          <w:p>
            <w:pPr>
              <w:spacing w:after="0"/>
              <w:rPr>
                <w:sz w:val="20"/>
                <w:szCs w:val="20"/>
                <w:color w:val="auto"/>
              </w:rPr>
            </w:pPr>
          </w:p>
        </w:tc>
        <w:tc>
          <w:tcPr>
            <w:tcW w:w="3400" w:type="dxa"/>
            <w:vAlign w:val="bottom"/>
            <w:tcBorders>
              <w:bottom w:val="single" w:sz="8" w:color="auto"/>
            </w:tcBorders>
            <w:gridSpan w:val="2"/>
          </w:tcPr>
          <w:p>
            <w:pPr>
              <w:spacing w:after="0"/>
              <w:rPr>
                <w:sz w:val="20"/>
                <w:szCs w:val="20"/>
                <w:color w:val="auto"/>
              </w:rPr>
            </w:pPr>
          </w:p>
        </w:tc>
        <w:tc>
          <w:tcPr>
            <w:tcW w:w="458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r>
        <w:trPr>
          <w:trHeight w:val="328"/>
        </w:trPr>
        <w:tc>
          <w:tcPr>
            <w:tcW w:w="4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CUSIP NO. 595112103</w:t>
            </w:r>
          </w:p>
        </w:tc>
        <w:tc>
          <w:tcPr>
            <w:tcW w:w="458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w w:val="93"/>
              </w:rPr>
              <w:t>Page 3 of 6 Pages</w:t>
            </w:r>
          </w:p>
        </w:tc>
      </w:tr>
      <w:tr>
        <w:trPr>
          <w:trHeight w:val="112"/>
        </w:trPr>
        <w:tc>
          <w:tcPr>
            <w:tcW w:w="40" w:type="dxa"/>
            <w:vAlign w:val="bottom"/>
            <w:tcBorders>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r>
        <w:trPr>
          <w:trHeight w:val="46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 (a)</w:t>
            </w:r>
          </w:p>
        </w:tc>
        <w:tc>
          <w:tcPr>
            <w:tcW w:w="240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c>
          <w:tcPr>
            <w:tcW w:w="458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Micron Technology, Inc.</w:t>
            </w: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 (b)</w:t>
            </w:r>
          </w:p>
        </w:tc>
        <w:tc>
          <w:tcPr>
            <w:tcW w:w="10380" w:type="dxa"/>
            <w:vAlign w:val="bottom"/>
            <w:gridSpan w:val="2"/>
          </w:tcPr>
          <w:p>
            <w:pPr>
              <w:ind w:left="2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59"/>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8000 South Federal Way, Boise, Idaho 83716-9632</w:t>
            </w: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 (a)</w:t>
            </w:r>
          </w:p>
        </w:tc>
        <w:tc>
          <w:tcPr>
            <w:tcW w:w="10380" w:type="dxa"/>
            <w:vAlign w:val="bottom"/>
            <w:gridSpan w:val="2"/>
          </w:tcPr>
          <w:p>
            <w:pPr>
              <w:ind w:left="260"/>
              <w:spacing w:after="0"/>
              <w:rPr>
                <w:sz w:val="20"/>
                <w:szCs w:val="20"/>
                <w:color w:val="auto"/>
              </w:rPr>
            </w:pPr>
            <w:r>
              <w:rPr>
                <w:rFonts w:ascii="Arial" w:cs="Arial" w:eastAsia="Arial" w:hAnsi="Arial"/>
                <w:sz w:val="18"/>
                <w:szCs w:val="18"/>
                <w:b w:val="1"/>
                <w:bCs w:val="1"/>
                <w:color w:val="auto"/>
              </w:rPr>
              <w:t>Name of Person Filing:</w:t>
            </w:r>
          </w:p>
        </w:tc>
      </w:tr>
      <w:tr>
        <w:trPr>
          <w:trHeight w:val="459"/>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STMicroelectronics, N.V.</w:t>
            </w: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 (b)</w:t>
            </w:r>
          </w:p>
        </w:tc>
        <w:tc>
          <w:tcPr>
            <w:tcW w:w="10380" w:type="dxa"/>
            <w:vAlign w:val="bottom"/>
            <w:gridSpan w:val="2"/>
          </w:tcPr>
          <w:p>
            <w:pPr>
              <w:ind w:left="260"/>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459"/>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The address of the principal business office of the filing person is:</w:t>
            </w:r>
          </w:p>
        </w:tc>
      </w:tr>
      <w:tr>
        <w:trPr>
          <w:trHeight w:val="445"/>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Chemin Du Champ-Des-Filles, 39</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1228 Plan-Les-Ouates</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Geneva, Switzerland</w:t>
            </w: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 (c)</w:t>
            </w:r>
          </w:p>
        </w:tc>
        <w:tc>
          <w:tcPr>
            <w:tcW w:w="10380" w:type="dxa"/>
            <w:vAlign w:val="bottom"/>
            <w:gridSpan w:val="2"/>
          </w:tcPr>
          <w:p>
            <w:pPr>
              <w:ind w:left="260"/>
              <w:spacing w:after="0"/>
              <w:rPr>
                <w:sz w:val="20"/>
                <w:szCs w:val="20"/>
                <w:color w:val="auto"/>
              </w:rPr>
            </w:pPr>
            <w:r>
              <w:rPr>
                <w:rFonts w:ascii="Arial" w:cs="Arial" w:eastAsia="Arial" w:hAnsi="Arial"/>
                <w:sz w:val="18"/>
                <w:szCs w:val="18"/>
                <w:b w:val="1"/>
                <w:bCs w:val="1"/>
                <w:color w:val="auto"/>
              </w:rPr>
              <w:t>Citizenship:</w:t>
            </w:r>
          </w:p>
        </w:tc>
      </w:tr>
      <w:tr>
        <w:trPr>
          <w:trHeight w:val="459"/>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The Netherlands</w:t>
            </w: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 (d)</w:t>
            </w:r>
          </w:p>
        </w:tc>
        <w:tc>
          <w:tcPr>
            <w:tcW w:w="10380" w:type="dxa"/>
            <w:vAlign w:val="bottom"/>
            <w:gridSpan w:val="2"/>
          </w:tcPr>
          <w:p>
            <w:pPr>
              <w:ind w:left="260"/>
              <w:spacing w:after="0"/>
              <w:rPr>
                <w:sz w:val="20"/>
                <w:szCs w:val="20"/>
                <w:color w:val="auto"/>
              </w:rPr>
            </w:pPr>
            <w:r>
              <w:rPr>
                <w:rFonts w:ascii="Arial" w:cs="Arial" w:eastAsia="Arial" w:hAnsi="Arial"/>
                <w:sz w:val="18"/>
                <w:szCs w:val="18"/>
                <w:b w:val="1"/>
                <w:bCs w:val="1"/>
                <w:color w:val="auto"/>
              </w:rPr>
              <w:t>Title of Class of Securities:</w:t>
            </w:r>
          </w:p>
        </w:tc>
      </w:tr>
      <w:tr>
        <w:trPr>
          <w:trHeight w:val="459"/>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Common Stock, par value $0.01 per share</w:t>
            </w: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 (e)</w:t>
            </w:r>
          </w:p>
        </w:tc>
        <w:tc>
          <w:tcPr>
            <w:tcW w:w="10380" w:type="dxa"/>
            <w:vAlign w:val="bottom"/>
            <w:gridSpan w:val="2"/>
          </w:tcPr>
          <w:p>
            <w:pPr>
              <w:ind w:left="260"/>
              <w:spacing w:after="0"/>
              <w:rPr>
                <w:sz w:val="20"/>
                <w:szCs w:val="20"/>
                <w:color w:val="auto"/>
              </w:rPr>
            </w:pPr>
            <w:r>
              <w:rPr>
                <w:rFonts w:ascii="Arial" w:cs="Arial" w:eastAsia="Arial" w:hAnsi="Arial"/>
                <w:sz w:val="18"/>
                <w:szCs w:val="18"/>
                <w:b w:val="1"/>
                <w:bCs w:val="1"/>
                <w:color w:val="auto"/>
              </w:rPr>
              <w:t>CUSIP Number:</w:t>
            </w:r>
          </w:p>
        </w:tc>
      </w:tr>
      <w:tr>
        <w:trPr>
          <w:trHeight w:val="459"/>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595112103</w:t>
            </w: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rPr>
              <w:t>Not applicable.</w:t>
            </w: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380" w:type="dxa"/>
            <w:vAlign w:val="bottom"/>
            <w:gridSpan w:val="2"/>
          </w:tcPr>
          <w:p>
            <w:pPr>
              <w:ind w:left="260"/>
              <w:spacing w:after="0"/>
              <w:rPr>
                <w:sz w:val="20"/>
                <w:szCs w:val="20"/>
                <w:color w:val="auto"/>
              </w:rPr>
            </w:pPr>
            <w:r>
              <w:rPr>
                <w:rFonts w:ascii="Arial" w:cs="Arial" w:eastAsia="Arial" w:hAnsi="Arial"/>
                <w:sz w:val="18"/>
                <w:szCs w:val="18"/>
                <w:b w:val="1"/>
                <w:bCs w:val="1"/>
                <w:color w:val="auto"/>
              </w:rPr>
              <w:t>Ownership:</w:t>
            </w:r>
          </w:p>
        </w:tc>
      </w:tr>
      <w:tr>
        <w:trPr>
          <w:trHeight w:val="459"/>
        </w:trPr>
        <w:tc>
          <w:tcPr>
            <w:tcW w:w="1040" w:type="dxa"/>
            <w:vAlign w:val="bottom"/>
          </w:tcPr>
          <w:p>
            <w:pPr>
              <w:spacing w:after="0"/>
              <w:rPr>
                <w:sz w:val="24"/>
                <w:szCs w:val="24"/>
                <w:color w:val="auto"/>
              </w:rPr>
            </w:pPr>
          </w:p>
        </w:tc>
        <w:tc>
          <w:tcPr>
            <w:tcW w:w="10380" w:type="dxa"/>
            <w:vAlign w:val="bottom"/>
            <w:gridSpan w:val="2"/>
          </w:tcPr>
          <w:p>
            <w:pPr>
              <w:ind w:left="260"/>
              <w:spacing w:after="0"/>
              <w:rPr>
                <w:sz w:val="20"/>
                <w:szCs w:val="20"/>
                <w:color w:val="auto"/>
              </w:rPr>
            </w:pPr>
            <w:r>
              <w:rPr>
                <w:rFonts w:ascii="Arial" w:cs="Arial" w:eastAsia="Arial" w:hAnsi="Arial"/>
                <w:sz w:val="18"/>
                <w:szCs w:val="18"/>
                <w:color w:val="auto"/>
                <w:w w:val="91"/>
              </w:rPr>
              <w:t>Provide the following information regarding the aggregate number and percentage of the class of securities of the issuer identified in Item 1.</w:t>
            </w:r>
          </w:p>
        </w:tc>
      </w:tr>
      <w:tr>
        <w:trPr>
          <w:trHeight w:val="445"/>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(a)</w:t>
            </w:r>
          </w:p>
        </w:tc>
        <w:tc>
          <w:tcPr>
            <w:tcW w:w="9680" w:type="dxa"/>
            <w:vAlign w:val="bottom"/>
          </w:tcPr>
          <w:p>
            <w:pPr>
              <w:ind w:left="220"/>
              <w:spacing w:after="0"/>
              <w:rPr>
                <w:sz w:val="20"/>
                <w:szCs w:val="20"/>
                <w:color w:val="auto"/>
              </w:rPr>
            </w:pPr>
            <w:r>
              <w:rPr>
                <w:rFonts w:ascii="Arial" w:cs="Arial" w:eastAsia="Arial" w:hAnsi="Arial"/>
                <w:sz w:val="18"/>
                <w:szCs w:val="18"/>
                <w:color w:val="auto"/>
              </w:rPr>
              <w:t>Amount beneficially owned:</w:t>
            </w:r>
          </w:p>
        </w:tc>
      </w:tr>
      <w:tr>
        <w:trPr>
          <w:trHeight w:val="230"/>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80" w:type="dxa"/>
            <w:vAlign w:val="bottom"/>
          </w:tcPr>
          <w:p>
            <w:pPr>
              <w:ind w:left="220"/>
              <w:spacing w:after="0"/>
              <w:rPr>
                <w:sz w:val="20"/>
                <w:szCs w:val="20"/>
                <w:color w:val="auto"/>
              </w:rPr>
            </w:pPr>
            <w:r>
              <w:rPr>
                <w:rFonts w:ascii="Arial" w:cs="Arial" w:eastAsia="Arial" w:hAnsi="Arial"/>
                <w:sz w:val="18"/>
                <w:szCs w:val="18"/>
                <w:color w:val="auto"/>
              </w:rPr>
              <w:t>69,169,366 shares</w:t>
            </w:r>
          </w:p>
        </w:tc>
      </w:tr>
      <w:tr>
        <w:trPr>
          <w:trHeight w:val="445"/>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(b)</w:t>
            </w:r>
          </w:p>
        </w:tc>
        <w:tc>
          <w:tcPr>
            <w:tcW w:w="9680" w:type="dxa"/>
            <w:vAlign w:val="bottom"/>
          </w:tcPr>
          <w:p>
            <w:pPr>
              <w:ind w:left="220"/>
              <w:spacing w:after="0"/>
              <w:rPr>
                <w:sz w:val="20"/>
                <w:szCs w:val="20"/>
                <w:color w:val="auto"/>
              </w:rPr>
            </w:pPr>
            <w:r>
              <w:rPr>
                <w:rFonts w:ascii="Arial" w:cs="Arial" w:eastAsia="Arial" w:hAnsi="Arial"/>
                <w:sz w:val="18"/>
                <w:szCs w:val="18"/>
                <w:color w:val="auto"/>
              </w:rPr>
              <w:t>Percent of class:</w:t>
            </w:r>
          </w:p>
        </w:tc>
      </w:tr>
      <w:tr>
        <w:trPr>
          <w:trHeight w:val="230"/>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80" w:type="dxa"/>
            <w:vAlign w:val="bottom"/>
          </w:tcPr>
          <w:p>
            <w:pPr>
              <w:ind w:left="220"/>
              <w:spacing w:after="0"/>
              <w:rPr>
                <w:sz w:val="20"/>
                <w:szCs w:val="20"/>
                <w:color w:val="auto"/>
              </w:rPr>
            </w:pPr>
            <w:r>
              <w:rPr>
                <w:rFonts w:ascii="Arial" w:cs="Arial" w:eastAsia="Arial" w:hAnsi="Arial"/>
                <w:sz w:val="18"/>
                <w:szCs w:val="18"/>
                <w:color w:val="auto"/>
              </w:rPr>
              <w:t>6.9%*</w:t>
            </w:r>
          </w:p>
        </w:tc>
      </w:tr>
      <w:tr>
        <w:trPr>
          <w:trHeight w:val="659"/>
        </w:trPr>
        <w:tc>
          <w:tcPr>
            <w:tcW w:w="10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9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2"/>
          </w:tcPr>
          <w:p>
            <w:pPr>
              <w:ind w:left="1460"/>
              <w:spacing w:after="0"/>
              <w:rPr>
                <w:sz w:val="20"/>
                <w:szCs w:val="20"/>
                <w:color w:val="auto"/>
              </w:rPr>
            </w:pPr>
            <w:r>
              <w:rPr>
                <w:rFonts w:ascii="Arial" w:cs="Arial" w:eastAsia="Arial" w:hAnsi="Arial"/>
                <w:sz w:val="22"/>
                <w:szCs w:val="22"/>
                <w:b w:val="1"/>
                <w:bCs w:val="1"/>
                <w:color w:val="auto"/>
              </w:rPr>
              <w:t>SCHEDULE 13G</w:t>
            </w:r>
          </w:p>
        </w:tc>
      </w:tr>
      <w:tr>
        <w:trPr>
          <w:trHeight w:val="237"/>
        </w:trPr>
        <w:tc>
          <w:tcPr>
            <w:tcW w:w="40" w:type="dxa"/>
            <w:vAlign w:val="bottom"/>
          </w:tcPr>
          <w:p>
            <w:pPr>
              <w:spacing w:after="0"/>
              <w:rPr>
                <w:sz w:val="20"/>
                <w:szCs w:val="20"/>
                <w:color w:val="auto"/>
              </w:rPr>
            </w:pPr>
          </w:p>
        </w:tc>
        <w:tc>
          <w:tcPr>
            <w:tcW w:w="190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58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r>
        <w:trPr>
          <w:trHeight w:val="328"/>
        </w:trPr>
        <w:tc>
          <w:tcPr>
            <w:tcW w:w="40" w:type="dxa"/>
            <w:vAlign w:val="bottom"/>
            <w:tcBorders>
              <w:right w:val="single" w:sz="8" w:color="auto"/>
            </w:tcBorders>
          </w:tcPr>
          <w:p>
            <w:pPr>
              <w:spacing w:after="0"/>
              <w:rPr>
                <w:sz w:val="24"/>
                <w:szCs w:val="24"/>
                <w:color w:val="auto"/>
              </w:rPr>
            </w:pPr>
          </w:p>
        </w:tc>
        <w:tc>
          <w:tcPr>
            <w:tcW w:w="190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CUSIP NO. 595112103</w:t>
            </w:r>
          </w:p>
        </w:tc>
        <w:tc>
          <w:tcPr>
            <w:tcW w:w="34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w w:val="93"/>
              </w:rPr>
              <w:t>Page 4 of 6 Pages</w:t>
            </w:r>
          </w:p>
        </w:tc>
      </w:tr>
      <w:tr>
        <w:trPr>
          <w:trHeight w:val="112"/>
        </w:trPr>
        <w:tc>
          <w:tcPr>
            <w:tcW w:w="40" w:type="dxa"/>
            <w:vAlign w:val="bottom"/>
            <w:tcBorders>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gridSpan w:val="2"/>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r>
        <w:trPr>
          <w:trHeight w:val="448"/>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(c)</w:t>
            </w:r>
          </w:p>
        </w:tc>
        <w:tc>
          <w:tcPr>
            <w:tcW w:w="9480" w:type="dxa"/>
            <w:vAlign w:val="bottom"/>
            <w:gridSpan w:val="4"/>
          </w:tcPr>
          <w:p>
            <w:pPr>
              <w:ind w:left="20"/>
              <w:spacing w:after="0"/>
              <w:rPr>
                <w:sz w:val="20"/>
                <w:szCs w:val="20"/>
                <w:color w:val="auto"/>
              </w:rPr>
            </w:pPr>
            <w:r>
              <w:rPr>
                <w:rFonts w:ascii="Arial" w:cs="Arial" w:eastAsia="Arial" w:hAnsi="Arial"/>
                <w:sz w:val="18"/>
                <w:szCs w:val="18"/>
                <w:color w:val="auto"/>
              </w:rPr>
              <w:t>Number of shares as to which such person has:</w:t>
            </w: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(i)</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Sole power to vote or to direct the vote:</w:t>
            </w: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69,169,366</w:t>
            </w:r>
          </w:p>
        </w:tc>
        <w:tc>
          <w:tcPr>
            <w:tcW w:w="458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80" w:type="dxa"/>
            <w:vAlign w:val="bottom"/>
            <w:gridSpan w:val="4"/>
          </w:tcPr>
          <w:p>
            <w:pPr>
              <w:ind w:left="20"/>
              <w:spacing w:after="0"/>
              <w:rPr>
                <w:sz w:val="20"/>
                <w:szCs w:val="20"/>
                <w:color w:val="auto"/>
              </w:rPr>
            </w:pPr>
            <w:r>
              <w:rPr>
                <w:rFonts w:ascii="Arial" w:cs="Arial" w:eastAsia="Arial" w:hAnsi="Arial"/>
                <w:sz w:val="18"/>
                <w:szCs w:val="18"/>
                <w:color w:val="auto"/>
              </w:rPr>
              <w:t>(ii)   Shared power to vote or direct the vote:</w:t>
            </w: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Not applicable.</w:t>
            </w: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80" w:type="dxa"/>
            <w:vAlign w:val="bottom"/>
            <w:gridSpan w:val="4"/>
          </w:tcPr>
          <w:p>
            <w:pPr>
              <w:ind w:left="20"/>
              <w:spacing w:after="0"/>
              <w:rPr>
                <w:sz w:val="20"/>
                <w:szCs w:val="20"/>
                <w:color w:val="auto"/>
              </w:rPr>
            </w:pPr>
            <w:r>
              <w:rPr>
                <w:rFonts w:ascii="Arial" w:cs="Arial" w:eastAsia="Arial" w:hAnsi="Arial"/>
                <w:sz w:val="18"/>
                <w:szCs w:val="18"/>
                <w:color w:val="auto"/>
              </w:rPr>
              <w:t>(iii)   Sole power to dispose or direct the disposition of:</w:t>
            </w: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69,169,366</w:t>
            </w:r>
          </w:p>
        </w:tc>
        <w:tc>
          <w:tcPr>
            <w:tcW w:w="458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80" w:type="dxa"/>
            <w:vAlign w:val="bottom"/>
            <w:gridSpan w:val="4"/>
          </w:tcPr>
          <w:p>
            <w:pPr>
              <w:ind w:left="20"/>
              <w:spacing w:after="0"/>
              <w:rPr>
                <w:sz w:val="20"/>
                <w:szCs w:val="20"/>
                <w:color w:val="auto"/>
              </w:rPr>
            </w:pPr>
            <w:r>
              <w:rPr>
                <w:rFonts w:ascii="Arial" w:cs="Arial" w:eastAsia="Arial" w:hAnsi="Arial"/>
                <w:sz w:val="18"/>
                <w:szCs w:val="18"/>
                <w:color w:val="auto"/>
              </w:rPr>
              <w:t>(iv)   Shared power to dispose or direct the disposition of:</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Not applicable.</w:t>
            </w:r>
          </w:p>
        </w:tc>
      </w:tr>
      <w:tr>
        <w:trPr>
          <w:trHeight w:val="459"/>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rPr>
              <w:t>(*) Based upon information provided by Micron as of May 7, 2010, reflecting 993,819,110 shares outstanding.</w:t>
            </w:r>
          </w:p>
        </w:tc>
      </w:tr>
      <w:tr>
        <w:trPr>
          <w:trHeight w:val="445"/>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w w:val="94"/>
              </w:rPr>
              <w:t>ST acquired the Micron shares in connection with the acquisition by Micron of Numonyx Holdings B.V., a joint venture among ST, Intel</w:t>
            </w: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w w:val="92"/>
              </w:rPr>
              <w:t>Corporation and Francisco Partners. ST has agreed that it will transfer approximately 2.3 million Micron shares to Intel in connection with</w:t>
            </w: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w w:val="91"/>
              </w:rPr>
              <w:t>the purchase of a Numonyx facility by ST. These shares will be transferred to Intel upon the closing of the purchase of the facility, which is</w:t>
            </w: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w w:val="91"/>
              </w:rPr>
              <w:t>subject to standard closing conditions and is expected to occur in approximately 45 days. Following the transfer of these shares to Intel, ST</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rPr>
              <w:t>will own approximately 66.88 million Micron shares.</w:t>
            </w:r>
          </w:p>
        </w:tc>
      </w:tr>
      <w:tr>
        <w:trPr>
          <w:trHeight w:val="459"/>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520" w:type="dxa"/>
            <w:vAlign w:val="bottom"/>
            <w:gridSpan w:val="5"/>
          </w:tcPr>
          <w:p>
            <w:pPr>
              <w:ind w:left="40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59"/>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rPr>
              <w:t>Not Applicable.</w:t>
            </w:r>
          </w:p>
        </w:tc>
      </w:tr>
      <w:tr>
        <w:trPr>
          <w:trHeight w:val="459"/>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5"/>
          </w:tcPr>
          <w:p>
            <w:pPr>
              <w:ind w:left="4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59"/>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rPr>
              <w:t>Not Applicable.</w:t>
            </w:r>
          </w:p>
        </w:tc>
      </w:tr>
      <w:tr>
        <w:trPr>
          <w:trHeight w:val="441"/>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10520" w:type="dxa"/>
            <w:vAlign w:val="bottom"/>
            <w:gridSpan w:val="5"/>
          </w:tcPr>
          <w:p>
            <w:pPr>
              <w:ind w:left="40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b w:val="1"/>
                <w:bCs w:val="1"/>
                <w:color w:val="auto"/>
              </w:rPr>
              <w:t>Company or Control Person:</w:t>
            </w:r>
          </w:p>
        </w:tc>
      </w:tr>
      <w:tr>
        <w:trPr>
          <w:trHeight w:val="459"/>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rPr>
              <w:t>Not Applicable.</w:t>
            </w:r>
          </w:p>
        </w:tc>
      </w:tr>
      <w:tr>
        <w:trPr>
          <w:trHeight w:val="459"/>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520" w:type="dxa"/>
            <w:vAlign w:val="bottom"/>
            <w:gridSpan w:val="5"/>
          </w:tcPr>
          <w:p>
            <w:pPr>
              <w:ind w:left="40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59"/>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rPr>
              <w:t>Not Applicable.</w:t>
            </w:r>
          </w:p>
        </w:tc>
      </w:tr>
      <w:tr>
        <w:trPr>
          <w:trHeight w:val="459"/>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9</w:t>
            </w:r>
          </w:p>
        </w:tc>
        <w:tc>
          <w:tcPr>
            <w:tcW w:w="10520" w:type="dxa"/>
            <w:vAlign w:val="bottom"/>
            <w:gridSpan w:val="5"/>
          </w:tcPr>
          <w:p>
            <w:pPr>
              <w:ind w:left="400"/>
              <w:spacing w:after="0"/>
              <w:rPr>
                <w:sz w:val="20"/>
                <w:szCs w:val="20"/>
                <w:color w:val="auto"/>
              </w:rPr>
            </w:pPr>
            <w:r>
              <w:rPr>
                <w:rFonts w:ascii="Arial" w:cs="Arial" w:eastAsia="Arial" w:hAnsi="Arial"/>
                <w:sz w:val="18"/>
                <w:szCs w:val="18"/>
                <w:b w:val="1"/>
                <w:bCs w:val="1"/>
                <w:color w:val="auto"/>
              </w:rPr>
              <w:t>Notice of Dissolution of Group:</w:t>
            </w:r>
          </w:p>
        </w:tc>
      </w:tr>
      <w:tr>
        <w:trPr>
          <w:trHeight w:val="459"/>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20" w:type="dxa"/>
            <w:vAlign w:val="bottom"/>
            <w:gridSpan w:val="5"/>
          </w:tcPr>
          <w:p>
            <w:pPr>
              <w:ind w:left="400"/>
              <w:spacing w:after="0"/>
              <w:rPr>
                <w:sz w:val="20"/>
                <w:szCs w:val="20"/>
                <w:color w:val="auto"/>
              </w:rPr>
            </w:pPr>
            <w:r>
              <w:rPr>
                <w:rFonts w:ascii="Arial" w:cs="Arial" w:eastAsia="Arial" w:hAnsi="Arial"/>
                <w:sz w:val="18"/>
                <w:szCs w:val="18"/>
                <w:color w:val="auto"/>
              </w:rPr>
              <w:t>Not Applicable.</w:t>
            </w:r>
          </w:p>
        </w:tc>
      </w:tr>
      <w:tr>
        <w:trPr>
          <w:trHeight w:val="659"/>
        </w:trPr>
        <w:tc>
          <w:tcPr>
            <w:tcW w:w="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980" w:type="dxa"/>
            <w:vAlign w:val="bottom"/>
            <w:gridSpan w:val="2"/>
          </w:tcPr>
          <w:p>
            <w:pPr>
              <w:ind w:left="1460"/>
              <w:spacing w:after="0"/>
              <w:rPr>
                <w:sz w:val="20"/>
                <w:szCs w:val="20"/>
                <w:color w:val="auto"/>
              </w:rPr>
            </w:pPr>
            <w:r>
              <w:rPr>
                <w:rFonts w:ascii="Arial" w:cs="Arial" w:eastAsia="Arial" w:hAnsi="Arial"/>
                <w:sz w:val="22"/>
                <w:szCs w:val="22"/>
                <w:b w:val="1"/>
                <w:bCs w:val="1"/>
                <w:color w:val="auto"/>
              </w:rPr>
              <w:t>SCHEDULE 13G</w:t>
            </w:r>
          </w:p>
        </w:tc>
      </w:tr>
      <w:tr>
        <w:trPr>
          <w:trHeight w:val="237"/>
        </w:trPr>
        <w:tc>
          <w:tcPr>
            <w:tcW w:w="40" w:type="dxa"/>
            <w:vAlign w:val="bottom"/>
          </w:tcPr>
          <w:p>
            <w:pPr>
              <w:spacing w:after="0"/>
              <w:rPr>
                <w:sz w:val="20"/>
                <w:szCs w:val="20"/>
                <w:color w:val="auto"/>
              </w:rPr>
            </w:pPr>
          </w:p>
        </w:tc>
        <w:tc>
          <w:tcPr>
            <w:tcW w:w="3400" w:type="dxa"/>
            <w:vAlign w:val="bottom"/>
            <w:tcBorders>
              <w:bottom w:val="single" w:sz="8" w:color="auto"/>
            </w:tcBorders>
            <w:gridSpan w:val="2"/>
          </w:tcPr>
          <w:p>
            <w:pPr>
              <w:spacing w:after="0"/>
              <w:rPr>
                <w:sz w:val="20"/>
                <w:szCs w:val="20"/>
                <w:color w:val="auto"/>
              </w:rPr>
            </w:pPr>
          </w:p>
        </w:tc>
        <w:tc>
          <w:tcPr>
            <w:tcW w:w="458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r>
        <w:trPr>
          <w:trHeight w:val="328"/>
        </w:trPr>
        <w:tc>
          <w:tcPr>
            <w:tcW w:w="4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CUSIP NO. 595112103</w:t>
            </w:r>
          </w:p>
        </w:tc>
        <w:tc>
          <w:tcPr>
            <w:tcW w:w="458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tcPr>
          <w:p>
            <w:pPr>
              <w:ind w:left="1980"/>
              <w:spacing w:after="0"/>
              <w:rPr>
                <w:sz w:val="20"/>
                <w:szCs w:val="20"/>
                <w:color w:val="auto"/>
              </w:rPr>
            </w:pPr>
            <w:r>
              <w:rPr>
                <w:rFonts w:ascii="Arial" w:cs="Arial" w:eastAsia="Arial" w:hAnsi="Arial"/>
                <w:sz w:val="18"/>
                <w:szCs w:val="18"/>
                <w:color w:val="auto"/>
                <w:w w:val="93"/>
              </w:rPr>
              <w:t>Page 5 of 6 Pages</w:t>
            </w:r>
          </w:p>
        </w:tc>
      </w:tr>
      <w:tr>
        <w:trPr>
          <w:trHeight w:val="112"/>
        </w:trPr>
        <w:tc>
          <w:tcPr>
            <w:tcW w:w="40" w:type="dxa"/>
            <w:vAlign w:val="bottom"/>
            <w:tcBorders>
              <w:right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r>
        <w:trPr>
          <w:trHeight w:val="463"/>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10</w:t>
            </w:r>
          </w:p>
        </w:tc>
        <w:tc>
          <w:tcPr>
            <w:tcW w:w="2500" w:type="dxa"/>
            <w:vAlign w:val="bottom"/>
          </w:tcPr>
          <w:p>
            <w:pPr>
              <w:ind w:left="360"/>
              <w:spacing w:after="0"/>
              <w:rPr>
                <w:sz w:val="20"/>
                <w:szCs w:val="20"/>
                <w:color w:val="auto"/>
              </w:rPr>
            </w:pPr>
            <w:r>
              <w:rPr>
                <w:rFonts w:ascii="Arial" w:cs="Arial" w:eastAsia="Arial" w:hAnsi="Arial"/>
                <w:sz w:val="18"/>
                <w:szCs w:val="18"/>
                <w:b w:val="1"/>
                <w:bCs w:val="1"/>
                <w:color w:val="auto"/>
              </w:rPr>
              <w:t>Certification:</w:t>
            </w:r>
          </w:p>
        </w:tc>
        <w:tc>
          <w:tcPr>
            <w:tcW w:w="458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pacing w:after="0" w:line="229" w:lineRule="exact"/>
        <w:rPr>
          <w:sz w:val="20"/>
          <w:szCs w:val="20"/>
          <w:color w:val="auto"/>
        </w:rPr>
      </w:pPr>
    </w:p>
    <w:p>
      <w:pPr>
        <w:jc w:val="both"/>
        <w:ind w:left="1300" w:right="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2"/>
          <w:szCs w:val="22"/>
          <w:b w:val="1"/>
          <w:bCs w:val="1"/>
          <w:color w:val="auto"/>
        </w:rPr>
        <w:t>SCHEDULE 13G</w:t>
      </w:r>
    </w:p>
    <w:p>
      <w:pPr>
        <w:spacing w:after="0" w:line="244"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595112103</w:t>
            </w:r>
          </w:p>
        </w:tc>
        <w:tc>
          <w:tcPr>
            <w:tcW w:w="458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color w:val="auto"/>
                <w:w w:val="93"/>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660" w:type="dxa"/>
            <w:vAlign w:val="bottom"/>
            <w:gridSpan w:val="2"/>
          </w:tcPr>
          <w:p>
            <w:pPr>
              <w:ind w:left="2100"/>
              <w:spacing w:after="0"/>
              <w:rPr>
                <w:sz w:val="20"/>
                <w:szCs w:val="20"/>
                <w:color w:val="auto"/>
              </w:rPr>
            </w:pPr>
            <w:r>
              <w:rPr>
                <w:rFonts w:ascii="Arial" w:cs="Arial" w:eastAsia="Arial" w:hAnsi="Arial"/>
                <w:sz w:val="18"/>
                <w:szCs w:val="18"/>
                <w:color w:val="auto"/>
              </w:rPr>
              <w:t>STMICROELECTRONICS, N.V.</w:t>
            </w:r>
          </w:p>
        </w:tc>
        <w:tc>
          <w:tcPr>
            <w:tcW w:w="1160" w:type="dxa"/>
            <w:vAlign w:val="bottom"/>
          </w:tcPr>
          <w:p>
            <w:pPr>
              <w:spacing w:after="0"/>
              <w:rPr>
                <w:sz w:val="20"/>
                <w:szCs w:val="20"/>
                <w:color w:val="auto"/>
              </w:rPr>
            </w:pPr>
          </w:p>
        </w:tc>
      </w:tr>
      <w:tr>
        <w:trPr>
          <w:trHeight w:val="655"/>
        </w:trPr>
        <w:tc>
          <w:tcPr>
            <w:tcW w:w="3620" w:type="dxa"/>
            <w:vAlign w:val="bottom"/>
          </w:tcPr>
          <w:p>
            <w:pPr>
              <w:spacing w:after="0"/>
              <w:rPr>
                <w:sz w:val="20"/>
                <w:szCs w:val="20"/>
                <w:color w:val="auto"/>
              </w:rPr>
            </w:pPr>
            <w:r>
              <w:rPr>
                <w:rFonts w:ascii="Arial" w:cs="Arial" w:eastAsia="Arial" w:hAnsi="Arial"/>
                <w:sz w:val="18"/>
                <w:szCs w:val="18"/>
                <w:color w:val="auto"/>
              </w:rPr>
              <w:t>Dated: May 17, 2010</w:t>
            </w:r>
          </w:p>
        </w:tc>
        <w:tc>
          <w:tcPr>
            <w:tcW w:w="2680" w:type="dxa"/>
            <w:vAlign w:val="bottom"/>
          </w:tcPr>
          <w:p>
            <w:pPr>
              <w:ind w:left="21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 Ferro</w:t>
            </w:r>
          </w:p>
        </w:tc>
        <w:tc>
          <w:tcPr>
            <w:tcW w:w="1160" w:type="dxa"/>
            <w:vAlign w:val="bottom"/>
          </w:tcPr>
          <w:p>
            <w:pPr>
              <w:spacing w:after="0"/>
              <w:rPr>
                <w:sz w:val="24"/>
                <w:szCs w:val="24"/>
                <w:color w:val="auto"/>
              </w:rPr>
            </w:pPr>
          </w:p>
        </w:tc>
      </w:tr>
      <w:tr>
        <w:trPr>
          <w:trHeight w:val="229"/>
        </w:trPr>
        <w:tc>
          <w:tcPr>
            <w:tcW w:w="3620" w:type="dxa"/>
            <w:vAlign w:val="bottom"/>
          </w:tcPr>
          <w:p>
            <w:pPr>
              <w:spacing w:after="0"/>
              <w:rPr>
                <w:sz w:val="19"/>
                <w:szCs w:val="19"/>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Carlo Ferro</w:t>
            </w:r>
          </w:p>
        </w:tc>
        <w:tc>
          <w:tcPr>
            <w:tcW w:w="11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60" w:type="dxa"/>
            <w:vAlign w:val="bottom"/>
          </w:tcPr>
          <w:p>
            <w:pPr>
              <w:spacing w:after="0"/>
              <w:rPr>
                <w:sz w:val="20"/>
                <w:szCs w:val="20"/>
                <w:color w:val="auto"/>
              </w:rPr>
            </w:pPr>
          </w:p>
        </w:tc>
      </w:tr>
      <w:tr>
        <w:trPr>
          <w:trHeight w:val="1793"/>
        </w:trPr>
        <w:tc>
          <w:tcPr>
            <w:tcW w:w="362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0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2019-12-10T05:25:07Z</dcterms:created>
  <dcterms:modified xsi:type="dcterms:W3CDTF">2019-12-10T05:25:07Z</dcterms:modified>
</cp:coreProperties>
</file>