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311150</wp:posOffset>
            </wp:positionH>
            <wp:positionV relativeFrom="page">
              <wp:posOffset>680720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706120</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31" w:lineRule="exact"/>
        <w:rPr>
          <w:sz w:val="24"/>
          <w:szCs w:val="24"/>
          <w:color w:val="auto"/>
        </w:rPr>
      </w:pPr>
    </w:p>
    <w:p>
      <w:pPr>
        <w:ind w:left="258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67"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June 30, 2022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117475</wp:posOffset>
            </wp:positionV>
            <wp:extent cx="1551305" cy="420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305"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24130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312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1-10658</w:t>
            </w:r>
          </w:p>
        </w:tc>
        <w:tc>
          <w:tcPr>
            <w:tcW w:w="392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75-1618004</w:t>
            </w:r>
          </w:p>
        </w:tc>
      </w:tr>
      <w:tr>
        <w:trPr>
          <w:trHeight w:val="232"/>
        </w:trPr>
        <w:tc>
          <w:tcPr>
            <w:tcW w:w="4200" w:type="dxa"/>
            <w:vAlign w:val="bottom"/>
          </w:tcPr>
          <w:p>
            <w:pPr>
              <w:jc w:val="center"/>
              <w:spacing w:after="0"/>
              <w:rPr>
                <w:sz w:val="20"/>
                <w:szCs w:val="20"/>
                <w:color w:val="auto"/>
              </w:rPr>
            </w:pPr>
            <w:r>
              <w:rPr>
                <w:rFonts w:ascii="Arial" w:cs="Arial" w:eastAsia="Arial" w:hAnsi="Arial"/>
                <w:sz w:val="18"/>
                <w:szCs w:val="18"/>
                <w:color w:val="auto"/>
                <w:w w:val="99"/>
              </w:rPr>
              <w:t>(State or other jurisdiction of incorporation)</w:t>
            </w:r>
          </w:p>
        </w:tc>
        <w:tc>
          <w:tcPr>
            <w:tcW w:w="3120" w:type="dxa"/>
            <w:vAlign w:val="bottom"/>
          </w:tcPr>
          <w:p>
            <w:pPr>
              <w:jc w:val="center"/>
              <w:ind w:right="90"/>
              <w:spacing w:after="0"/>
              <w:rPr>
                <w:sz w:val="20"/>
                <w:szCs w:val="20"/>
                <w:color w:val="auto"/>
              </w:rPr>
            </w:pPr>
            <w:r>
              <w:rPr>
                <w:rFonts w:ascii="Arial" w:cs="Arial" w:eastAsia="Arial" w:hAnsi="Arial"/>
                <w:sz w:val="18"/>
                <w:szCs w:val="18"/>
                <w:color w:val="auto"/>
                <w:w w:val="99"/>
              </w:rPr>
              <w:t>(Commission File Number)</w:t>
            </w:r>
          </w:p>
        </w:tc>
        <w:tc>
          <w:tcPr>
            <w:tcW w:w="3920" w:type="dxa"/>
            <w:vAlign w:val="bottom"/>
          </w:tcPr>
          <w:p>
            <w:pPr>
              <w:jc w:val="center"/>
              <w:ind w:right="50"/>
              <w:spacing w:after="0"/>
              <w:rPr>
                <w:sz w:val="20"/>
                <w:szCs w:val="20"/>
                <w:color w:val="auto"/>
              </w:rPr>
            </w:pPr>
            <w:r>
              <w:rPr>
                <w:rFonts w:ascii="Arial" w:cs="Arial" w:eastAsia="Arial" w:hAnsi="Arial"/>
                <w:sz w:val="18"/>
                <w:szCs w:val="18"/>
                <w:color w:val="auto"/>
                <w:w w:val="99"/>
              </w:rPr>
              <w:t>(IRS Employer Identification No.)</w:t>
            </w:r>
          </w:p>
        </w:tc>
      </w:tr>
    </w:tbl>
    <w:p>
      <w:pPr>
        <w:spacing w:after="0" w:line="93"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8000 South Federal Way</w:t>
      </w:r>
    </w:p>
    <w:p>
      <w:pPr>
        <w:spacing w:after="0" w:line="40"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6985</wp:posOffset>
            </wp:positionV>
            <wp:extent cx="32486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(Address of principal executive offices and Zip Code)</w:t>
      </w:r>
    </w:p>
    <w:p>
      <w:pPr>
        <w:spacing w:after="0" w:line="140"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17780</wp:posOffset>
            </wp:positionV>
            <wp:extent cx="32404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43" w:lineRule="exact"/>
        <w:rPr>
          <w:sz w:val="24"/>
          <w:szCs w:val="24"/>
          <w:color w:val="auto"/>
        </w:rPr>
      </w:pPr>
    </w:p>
    <w:p>
      <w:pPr>
        <w:ind w:right="140"/>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660" w:type="dxa"/>
            <w:vAlign w:val="bottom"/>
            <w:gridSpan w:val="2"/>
          </w:tcPr>
          <w:p>
            <w:pPr>
              <w:jc w:val="center"/>
              <w:ind w:right="80"/>
              <w:spacing w:after="0"/>
              <w:rPr>
                <w:sz w:val="20"/>
                <w:szCs w:val="20"/>
                <w:color w:val="auto"/>
              </w:rPr>
            </w:pPr>
            <w:r>
              <w:rPr>
                <w:rFonts w:ascii="Arial" w:cs="Arial" w:eastAsia="Arial" w:hAnsi="Arial"/>
                <w:sz w:val="18"/>
                <w:szCs w:val="18"/>
                <w:color w:val="auto"/>
              </w:rPr>
              <w:t>Securities registered pursuant to Section 12(b) of the Act:</w:t>
            </w: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80" w:type="dxa"/>
            <w:vAlign w:val="bottom"/>
          </w:tcPr>
          <w:p>
            <w:pPr>
              <w:spacing w:after="0"/>
              <w:rPr>
                <w:sz w:val="20"/>
                <w:szCs w:val="20"/>
                <w:color w:val="auto"/>
              </w:rPr>
            </w:pPr>
          </w:p>
        </w:tc>
      </w:tr>
      <w:tr>
        <w:trPr>
          <w:trHeight w:val="253"/>
        </w:trPr>
        <w:tc>
          <w:tcPr>
            <w:tcW w:w="4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Title of each class</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Trading symbol</w:t>
            </w:r>
          </w:p>
        </w:tc>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32"/>
        </w:trPr>
        <w:tc>
          <w:tcPr>
            <w:tcW w:w="4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$0.10 per share</w:t>
            </w:r>
          </w:p>
        </w:tc>
        <w:tc>
          <w:tcPr>
            <w:tcW w:w="100" w:type="dxa"/>
            <w:vAlign w:val="bottom"/>
          </w:tcPr>
          <w:p>
            <w:pPr>
              <w:spacing w:after="0"/>
              <w:rPr>
                <w:sz w:val="20"/>
                <w:szCs w:val="20"/>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MU</w:t>
            </w:r>
          </w:p>
        </w:tc>
        <w:tc>
          <w:tcPr>
            <w:tcW w:w="100" w:type="dxa"/>
            <w:vAlign w:val="bottom"/>
          </w:tcPr>
          <w:p>
            <w:pPr>
              <w:spacing w:after="0"/>
              <w:rPr>
                <w:sz w:val="20"/>
                <w:szCs w:val="20"/>
                <w:color w:val="auto"/>
              </w:rPr>
            </w:pPr>
          </w:p>
        </w:tc>
        <w:tc>
          <w:tcPr>
            <w:tcW w:w="4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66"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815340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6926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6926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1240"/>
          </w:cols>
          <w:pgMar w:left="320" w:top="1428" w:right="339" w:bottom="1440" w:gutter="0" w:footer="0" w:header="0"/>
        </w:sectPr>
      </w:pPr>
    </w:p>
    <w:bookmarkStart w:id="1" w:name="page2"/>
    <w:bookmarkEnd w:id="1"/>
    <w:p>
      <w:pPr>
        <w:ind w:left="20"/>
        <w:spacing w:after="0"/>
        <w:tabs>
          <w:tab w:leader="none" w:pos="13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8"/>
          <w:szCs w:val="18"/>
          <w:b w:val="1"/>
          <w:bCs w:val="1"/>
          <w:color w:val="auto"/>
        </w:rPr>
        <w:t>Results of Operations and Financial Condition.</w:t>
      </w:r>
    </w:p>
    <w:p>
      <w:pPr>
        <w:spacing w:after="0" w:line="185"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On June 30, 2022, we announced the financial results for our third quarter of fiscal 2022 ended June 2, 2022. The full text of the press release issued in connection with the announcement is attached as Exhibit 99.1 to this Current Report on Form 8-K.</w:t>
      </w:r>
    </w:p>
    <w:p>
      <w:pPr>
        <w:spacing w:after="0" w:line="27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information in Item 2.02 of this Current Report on Form 8-K shall not be deemed "filed" for the purposes of Section 18 of the Securities Exchange Act of 1934, as amended (the "Exchange Act"), or otherwise subject to the liabilities of that section. The information in Item 2.02 of this Current Report on Form 8-K shall not be incorporated by reference into any filing or other document pursuant to the Securities Act of 1933, as amended, or the Exchange Act, except as shall be expressly set forth by specific reference in such filing or document.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160" w:type="dxa"/>
            <w:vAlign w:val="bottom"/>
          </w:tcPr>
          <w:p>
            <w:pPr>
              <w:ind w:left="20"/>
              <w:spacing w:after="0"/>
              <w:rPr>
                <w:sz w:val="20"/>
                <w:szCs w:val="20"/>
                <w:color w:val="auto"/>
              </w:rPr>
            </w:pPr>
            <w:r>
              <w:rPr>
                <w:rFonts w:ascii="Arial" w:cs="Arial" w:eastAsia="Arial" w:hAnsi="Arial"/>
                <w:sz w:val="18"/>
                <w:szCs w:val="18"/>
                <w:b w:val="1"/>
                <w:bCs w:val="1"/>
                <w:color w:val="auto"/>
              </w:rPr>
              <w:t>Item 9.01.</w:t>
            </w:r>
          </w:p>
        </w:tc>
        <w:tc>
          <w:tcPr>
            <w:tcW w:w="10080" w:type="dxa"/>
            <w:vAlign w:val="bottom"/>
            <w:gridSpan w:val="5"/>
          </w:tcPr>
          <w:p>
            <w:pPr>
              <w:ind w:left="18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78"/>
        </w:trPr>
        <w:tc>
          <w:tcPr>
            <w:tcW w:w="1160" w:type="dxa"/>
            <w:vAlign w:val="bottom"/>
          </w:tcPr>
          <w:p>
            <w:pPr>
              <w:spacing w:after="0"/>
              <w:rPr>
                <w:sz w:val="24"/>
                <w:szCs w:val="24"/>
                <w:color w:val="auto"/>
              </w:rPr>
            </w:pPr>
          </w:p>
        </w:tc>
        <w:tc>
          <w:tcPr>
            <w:tcW w:w="10080" w:type="dxa"/>
            <w:vAlign w:val="bottom"/>
            <w:gridSpan w:val="5"/>
          </w:tcPr>
          <w:p>
            <w:pPr>
              <w:ind w:left="180"/>
              <w:spacing w:after="0"/>
              <w:rPr>
                <w:sz w:val="20"/>
                <w:szCs w:val="20"/>
                <w:color w:val="auto"/>
              </w:rPr>
            </w:pPr>
            <w:r>
              <w:rPr>
                <w:rFonts w:ascii="Arial" w:cs="Arial" w:eastAsia="Arial" w:hAnsi="Arial"/>
                <w:sz w:val="18"/>
                <w:szCs w:val="18"/>
                <w:color w:val="auto"/>
              </w:rPr>
              <w:t>(d) Exhibits.</w:t>
            </w:r>
          </w:p>
        </w:tc>
      </w:tr>
      <w:tr>
        <w:trPr>
          <w:trHeight w:val="684"/>
        </w:trPr>
        <w:tc>
          <w:tcPr>
            <w:tcW w:w="1160" w:type="dxa"/>
            <w:vAlign w:val="bottom"/>
          </w:tcPr>
          <w:p>
            <w:pPr>
              <w:ind w:left="20"/>
              <w:spacing w:after="0"/>
              <w:rPr>
                <w:sz w:val="20"/>
                <w:szCs w:val="20"/>
                <w:color w:val="auto"/>
              </w:rPr>
            </w:pPr>
            <w:r>
              <w:rPr>
                <w:rFonts w:ascii="Arial" w:cs="Arial" w:eastAsia="Arial" w:hAnsi="Arial"/>
                <w:sz w:val="18"/>
                <w:szCs w:val="18"/>
                <w:b w:val="1"/>
                <w:bCs w:val="1"/>
                <w:color w:val="auto"/>
              </w:rPr>
              <w:t>Exhibit No.</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183"/>
        </w:trPr>
        <w:tc>
          <w:tcPr>
            <w:tcW w:w="1160" w:type="dxa"/>
            <w:vAlign w:val="bottom"/>
            <w:tcBorders>
              <w:top w:val="single" w:sz="8" w:color="auto"/>
            </w:tcBorders>
          </w:tcPr>
          <w:p>
            <w:pPr>
              <w:jc w:val="right"/>
              <w:ind w:right="310"/>
              <w:spacing w:after="0" w:line="182" w:lineRule="exact"/>
              <w:rPr>
                <w:sz w:val="20"/>
                <w:szCs w:val="20"/>
                <w:color w:val="auto"/>
              </w:rPr>
            </w:pPr>
            <w:r>
              <w:rPr>
                <w:rFonts w:ascii="Arial" w:cs="Arial" w:eastAsia="Arial" w:hAnsi="Arial"/>
                <w:sz w:val="18"/>
                <w:szCs w:val="18"/>
                <w:color w:val="auto"/>
              </w:rPr>
              <w:t>99.1</w:t>
            </w:r>
          </w:p>
        </w:tc>
        <w:tc>
          <w:tcPr>
            <w:tcW w:w="2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180" w:type="dxa"/>
            <w:vAlign w:val="bottom"/>
            <w:tcBorders>
              <w:top w:val="single" w:sz="8" w:color="auto"/>
              <w:bottom w:val="single" w:sz="8" w:color="0000FF"/>
            </w:tcBorders>
          </w:tcPr>
          <w:p>
            <w:pPr>
              <w:spacing w:after="0" w:line="182" w:lineRule="exact"/>
              <w:rPr>
                <w:sz w:val="20"/>
                <w:szCs w:val="20"/>
                <w:color w:val="auto"/>
              </w:rPr>
            </w:pPr>
            <w:r>
              <w:rPr>
                <w:rFonts w:ascii="Arial" w:cs="Arial" w:eastAsia="Arial" w:hAnsi="Arial"/>
                <w:sz w:val="18"/>
                <w:szCs w:val="18"/>
                <w:color w:val="0000FF"/>
                <w:w w:val="99"/>
              </w:rPr>
              <w:t>Press Release issued on June 30, 2022</w:t>
            </w:r>
          </w:p>
        </w:tc>
        <w:tc>
          <w:tcPr>
            <w:tcW w:w="5200" w:type="dxa"/>
            <w:vAlign w:val="bottom"/>
            <w:tcBorders>
              <w:top w:val="single" w:sz="8" w:color="auto"/>
            </w:tcBorders>
          </w:tcPr>
          <w:p>
            <w:pPr>
              <w:spacing w:after="0"/>
              <w:rPr>
                <w:sz w:val="15"/>
                <w:szCs w:val="15"/>
                <w:color w:val="auto"/>
              </w:rPr>
            </w:pPr>
          </w:p>
        </w:tc>
        <w:tc>
          <w:tcPr>
            <w:tcW w:w="1440" w:type="dxa"/>
            <w:vAlign w:val="bottom"/>
          </w:tcPr>
          <w:p>
            <w:pPr>
              <w:spacing w:after="0"/>
              <w:rPr>
                <w:sz w:val="15"/>
                <w:szCs w:val="15"/>
                <w:color w:val="auto"/>
              </w:rPr>
            </w:pPr>
          </w:p>
        </w:tc>
      </w:tr>
      <w:tr>
        <w:trPr>
          <w:trHeight w:val="254"/>
        </w:trPr>
        <w:tc>
          <w:tcPr>
            <w:tcW w:w="1160" w:type="dxa"/>
            <w:vAlign w:val="bottom"/>
          </w:tcPr>
          <w:p>
            <w:pPr>
              <w:jc w:val="right"/>
              <w:ind w:right="33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2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447"/>
        </w:trPr>
        <w:tc>
          <w:tcPr>
            <w:tcW w:w="1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340" w:type="dxa"/>
            <w:vAlign w:val="bottom"/>
          </w:tcPr>
          <w:p>
            <w:pPr>
              <w:spacing w:after="0"/>
              <w:rPr>
                <w:sz w:val="21"/>
                <w:szCs w:val="21"/>
                <w:color w:val="auto"/>
              </w:rPr>
            </w:pPr>
          </w:p>
        </w:tc>
        <w:tc>
          <w:tcPr>
            <w:tcW w:w="7820" w:type="dxa"/>
            <w:vAlign w:val="bottom"/>
            <w:gridSpan w:val="2"/>
          </w:tcPr>
          <w:p>
            <w:pPr>
              <w:ind w:left="1460"/>
              <w:spacing w:after="0"/>
              <w:rPr>
                <w:sz w:val="20"/>
                <w:szCs w:val="20"/>
                <w:color w:val="auto"/>
              </w:rPr>
            </w:pPr>
            <w:r>
              <w:rPr>
                <w:rFonts w:ascii="Arial" w:cs="Arial" w:eastAsia="Arial" w:hAnsi="Arial"/>
                <w:sz w:val="18"/>
                <w:szCs w:val="18"/>
                <w:b w:val="1"/>
                <w:bCs w:val="1"/>
                <w:color w:val="auto"/>
              </w:rPr>
              <w:t>MICRON TECHNOLOGY, INC.</w:t>
            </w:r>
          </w:p>
        </w:tc>
      </w:tr>
      <w:tr>
        <w:trPr>
          <w:trHeight w:val="731"/>
        </w:trPr>
        <w:tc>
          <w:tcPr>
            <w:tcW w:w="3340" w:type="dxa"/>
            <w:vAlign w:val="bottom"/>
          </w:tcPr>
          <w:p>
            <w:pPr>
              <w:spacing w:after="0"/>
              <w:rPr>
                <w:sz w:val="20"/>
                <w:szCs w:val="20"/>
                <w:color w:val="auto"/>
              </w:rPr>
            </w:pPr>
            <w:r>
              <w:rPr>
                <w:rFonts w:ascii="Arial" w:cs="Arial" w:eastAsia="Arial" w:hAnsi="Arial"/>
                <w:sz w:val="18"/>
                <w:szCs w:val="18"/>
                <w:color w:val="auto"/>
              </w:rPr>
              <w:t>Date:   June 30, 2022</w:t>
            </w:r>
          </w:p>
        </w:tc>
        <w:tc>
          <w:tcPr>
            <w:tcW w:w="2380" w:type="dxa"/>
            <w:vAlign w:val="bottom"/>
          </w:tcPr>
          <w:p>
            <w:pPr>
              <w:ind w:left="1460"/>
              <w:spacing w:after="0"/>
              <w:rPr>
                <w:sz w:val="20"/>
                <w:szCs w:val="20"/>
                <w:color w:val="auto"/>
              </w:rPr>
            </w:pPr>
            <w:r>
              <w:rPr>
                <w:rFonts w:ascii="Arial" w:cs="Arial" w:eastAsia="Arial" w:hAnsi="Arial"/>
                <w:sz w:val="18"/>
                <w:szCs w:val="18"/>
                <w:color w:val="auto"/>
              </w:rPr>
              <w:t>By:</w:t>
            </w:r>
          </w:p>
        </w:tc>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Mark Murphy</w:t>
            </w:r>
          </w:p>
        </w:tc>
      </w:tr>
      <w:tr>
        <w:trPr>
          <w:trHeight w:val="218"/>
        </w:trPr>
        <w:tc>
          <w:tcPr>
            <w:tcW w:w="3340" w:type="dxa"/>
            <w:vAlign w:val="bottom"/>
          </w:tcPr>
          <w:p>
            <w:pPr>
              <w:spacing w:after="0"/>
              <w:rPr>
                <w:sz w:val="18"/>
                <w:szCs w:val="18"/>
                <w:color w:val="auto"/>
              </w:rPr>
            </w:pPr>
          </w:p>
        </w:tc>
        <w:tc>
          <w:tcPr>
            <w:tcW w:w="2380" w:type="dxa"/>
            <w:vAlign w:val="bottom"/>
          </w:tcPr>
          <w:p>
            <w:pPr>
              <w:ind w:left="1460"/>
              <w:spacing w:after="0"/>
              <w:rPr>
                <w:sz w:val="20"/>
                <w:szCs w:val="20"/>
                <w:color w:val="auto"/>
              </w:rPr>
            </w:pPr>
            <w:r>
              <w:rPr>
                <w:rFonts w:ascii="Arial" w:cs="Arial" w:eastAsia="Arial" w:hAnsi="Arial"/>
                <w:sz w:val="18"/>
                <w:szCs w:val="18"/>
                <w:color w:val="auto"/>
              </w:rPr>
              <w:t>Name:</w:t>
            </w:r>
          </w:p>
        </w:tc>
        <w:tc>
          <w:tcPr>
            <w:tcW w:w="5440" w:type="dxa"/>
            <w:vAlign w:val="bottom"/>
          </w:tcPr>
          <w:p>
            <w:pPr>
              <w:ind w:left="20"/>
              <w:spacing w:after="0"/>
              <w:rPr>
                <w:sz w:val="20"/>
                <w:szCs w:val="20"/>
                <w:color w:val="auto"/>
              </w:rPr>
            </w:pPr>
            <w:r>
              <w:rPr>
                <w:rFonts w:ascii="Arial" w:cs="Arial" w:eastAsia="Arial" w:hAnsi="Arial"/>
                <w:sz w:val="18"/>
                <w:szCs w:val="18"/>
                <w:color w:val="auto"/>
              </w:rPr>
              <w:t>Mark Murphy</w:t>
            </w:r>
          </w:p>
        </w:tc>
      </w:tr>
      <w:tr>
        <w:trPr>
          <w:trHeight w:val="293"/>
        </w:trPr>
        <w:tc>
          <w:tcPr>
            <w:tcW w:w="3340" w:type="dxa"/>
            <w:vAlign w:val="bottom"/>
          </w:tcPr>
          <w:p>
            <w:pPr>
              <w:spacing w:after="0"/>
              <w:rPr>
                <w:sz w:val="24"/>
                <w:szCs w:val="24"/>
                <w:color w:val="auto"/>
              </w:rPr>
            </w:pPr>
          </w:p>
        </w:tc>
        <w:tc>
          <w:tcPr>
            <w:tcW w:w="2380" w:type="dxa"/>
            <w:vAlign w:val="bottom"/>
          </w:tcPr>
          <w:p>
            <w:pPr>
              <w:ind w:left="1460"/>
              <w:spacing w:after="0"/>
              <w:rPr>
                <w:sz w:val="20"/>
                <w:szCs w:val="20"/>
                <w:color w:val="auto"/>
              </w:rPr>
            </w:pPr>
            <w:r>
              <w:rPr>
                <w:rFonts w:ascii="Arial" w:cs="Arial" w:eastAsia="Arial" w:hAnsi="Arial"/>
                <w:sz w:val="18"/>
                <w:szCs w:val="18"/>
                <w:color w:val="auto"/>
              </w:rPr>
              <w:t>Title:</w:t>
            </w:r>
          </w:p>
        </w:tc>
        <w:tc>
          <w:tcPr>
            <w:tcW w:w="544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200"/>
          </w:cols>
          <w:pgMar w:left="320" w:top="1133"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3" w:lineRule="exact"/>
        <w:rPr>
          <w:sz w:val="20"/>
          <w:szCs w:val="20"/>
          <w:color w:val="auto"/>
        </w:rPr>
      </w:pPr>
    </w:p>
    <w:tbl>
      <w:tblPr>
        <w:tblLayout w:type="fixed"/>
        <w:tblInd w:w="260" w:type="dxa"/>
        <w:tblCellMar>
          <w:top w:w="0" w:type="dxa"/>
          <w:left w:w="0" w:type="dxa"/>
          <w:bottom w:w="0" w:type="dxa"/>
          <w:right w:w="0" w:type="dxa"/>
        </w:tblCellMar>
      </w:tblPr>
      <w:tr>
        <w:trPr>
          <w:trHeight w:val="225"/>
        </w:trPr>
        <w:tc>
          <w:tcPr>
            <w:tcW w:w="1500" w:type="dxa"/>
            <w:vAlign w:val="bottom"/>
          </w:tcPr>
          <w:p>
            <w:pPr>
              <w:spacing w:after="0"/>
              <w:rPr>
                <w:sz w:val="20"/>
                <w:szCs w:val="20"/>
                <w:color w:val="auto"/>
              </w:rPr>
            </w:pPr>
            <w:r>
              <w:rPr>
                <w:rFonts w:ascii="Arial" w:cs="Arial" w:eastAsia="Arial" w:hAnsi="Arial"/>
                <w:sz w:val="18"/>
                <w:szCs w:val="18"/>
                <w:color w:val="auto"/>
              </w:rPr>
              <w:t>Contacts:</w:t>
            </w:r>
          </w:p>
        </w:tc>
        <w:tc>
          <w:tcPr>
            <w:tcW w:w="3100" w:type="dxa"/>
            <w:vAlign w:val="bottom"/>
            <w:gridSpan w:val="2"/>
          </w:tcPr>
          <w:p>
            <w:pPr>
              <w:spacing w:after="0"/>
              <w:rPr>
                <w:sz w:val="20"/>
                <w:szCs w:val="20"/>
                <w:color w:val="auto"/>
              </w:rPr>
            </w:pPr>
            <w:r>
              <w:rPr>
                <w:rFonts w:ascii="Arial" w:cs="Arial" w:eastAsia="Arial" w:hAnsi="Arial"/>
                <w:sz w:val="18"/>
                <w:szCs w:val="18"/>
                <w:color w:val="auto"/>
              </w:rPr>
              <w:t>Farhan Ahmad</w:t>
            </w:r>
          </w:p>
        </w:tc>
        <w:tc>
          <w:tcPr>
            <w:tcW w:w="2000" w:type="dxa"/>
            <w:vAlign w:val="bottom"/>
            <w:gridSpan w:val="2"/>
          </w:tcPr>
          <w:p>
            <w:pPr>
              <w:spacing w:after="0"/>
              <w:rPr>
                <w:sz w:val="20"/>
                <w:szCs w:val="20"/>
                <w:color w:val="auto"/>
              </w:rPr>
            </w:pPr>
            <w:r>
              <w:rPr>
                <w:rFonts w:ascii="Arial" w:cs="Arial" w:eastAsia="Arial" w:hAnsi="Arial"/>
                <w:sz w:val="18"/>
                <w:szCs w:val="18"/>
                <w:color w:val="auto"/>
                <w:w w:val="98"/>
              </w:rPr>
              <w:t>Erica Rodriguez Pompen</w:t>
            </w:r>
          </w:p>
        </w:tc>
      </w:tr>
      <w:tr>
        <w:trPr>
          <w:trHeight w:val="230"/>
        </w:trPr>
        <w:tc>
          <w:tcPr>
            <w:tcW w:w="150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2000" w:type="dxa"/>
            <w:vAlign w:val="bottom"/>
            <w:gridSpan w:val="2"/>
          </w:tcPr>
          <w:p>
            <w:pPr>
              <w:spacing w:after="0"/>
              <w:rPr>
                <w:sz w:val="20"/>
                <w:szCs w:val="20"/>
                <w:color w:val="auto"/>
              </w:rPr>
            </w:pPr>
            <w:r>
              <w:rPr>
                <w:rFonts w:ascii="Arial" w:cs="Arial" w:eastAsia="Arial" w:hAnsi="Arial"/>
                <w:sz w:val="18"/>
                <w:szCs w:val="18"/>
                <w:color w:val="auto"/>
              </w:rPr>
              <w:t>Media Relations</w:t>
            </w:r>
          </w:p>
        </w:tc>
      </w:tr>
      <w:tr>
        <w:trPr>
          <w:trHeight w:val="194"/>
        </w:trPr>
        <w:tc>
          <w:tcPr>
            <w:tcW w:w="1500" w:type="dxa"/>
            <w:vAlign w:val="bottom"/>
          </w:tcPr>
          <w:p>
            <w:pPr>
              <w:spacing w:after="0"/>
              <w:rPr>
                <w:sz w:val="16"/>
                <w:szCs w:val="16"/>
                <w:color w:val="auto"/>
              </w:rPr>
            </w:pPr>
          </w:p>
        </w:tc>
        <w:tc>
          <w:tcPr>
            <w:tcW w:w="3100" w:type="dxa"/>
            <w:vAlign w:val="bottom"/>
            <w:gridSpan w:val="2"/>
          </w:tcPr>
          <w:p>
            <w:pPr>
              <w:spacing w:after="0" w:line="195" w:lineRule="exact"/>
              <w:rPr>
                <w:sz w:val="20"/>
                <w:szCs w:val="20"/>
                <w:color w:val="auto"/>
              </w:rPr>
            </w:pPr>
            <w:r>
              <w:rPr>
                <w:rFonts w:ascii="Arial" w:cs="Arial" w:eastAsia="Arial" w:hAnsi="Arial"/>
                <w:sz w:val="18"/>
                <w:szCs w:val="18"/>
                <w:color w:val="0090DA"/>
              </w:rPr>
              <w:t>farhanahmad@micron.com</w:t>
            </w:r>
          </w:p>
        </w:tc>
        <w:tc>
          <w:tcPr>
            <w:tcW w:w="2000" w:type="dxa"/>
            <w:vAlign w:val="bottom"/>
            <w:gridSpan w:val="2"/>
          </w:tcPr>
          <w:p>
            <w:pPr>
              <w:spacing w:after="0" w:line="195" w:lineRule="exact"/>
              <w:rPr>
                <w:sz w:val="20"/>
                <w:szCs w:val="20"/>
                <w:color w:val="auto"/>
              </w:rPr>
            </w:pPr>
            <w:r>
              <w:rPr>
                <w:rFonts w:ascii="Arial" w:cs="Arial" w:eastAsia="Arial" w:hAnsi="Arial"/>
                <w:sz w:val="18"/>
                <w:szCs w:val="18"/>
                <w:color w:val="0090DA"/>
              </w:rPr>
              <w:t>epompen@micron.com</w:t>
            </w:r>
          </w:p>
        </w:tc>
      </w:tr>
      <w:tr>
        <w:trPr>
          <w:trHeight w:val="254"/>
        </w:trPr>
        <w:tc>
          <w:tcPr>
            <w:tcW w:w="1500" w:type="dxa"/>
            <w:vAlign w:val="bottom"/>
          </w:tcPr>
          <w:p>
            <w:pPr>
              <w:spacing w:after="0"/>
              <w:rPr>
                <w:sz w:val="22"/>
                <w:szCs w:val="22"/>
                <w:color w:val="auto"/>
              </w:rPr>
            </w:pPr>
          </w:p>
        </w:tc>
        <w:tc>
          <w:tcPr>
            <w:tcW w:w="2160" w:type="dxa"/>
            <w:vAlign w:val="bottom"/>
            <w:tcBorders>
              <w:top w:val="single" w:sz="8" w:color="0090DA"/>
            </w:tcBorders>
          </w:tcPr>
          <w:p>
            <w:pPr>
              <w:spacing w:after="0"/>
              <w:rPr>
                <w:sz w:val="20"/>
                <w:szCs w:val="20"/>
                <w:color w:val="auto"/>
              </w:rPr>
            </w:pPr>
            <w:r>
              <w:rPr>
                <w:rFonts w:ascii="Arial" w:cs="Arial" w:eastAsia="Arial" w:hAnsi="Arial"/>
                <w:sz w:val="18"/>
                <w:szCs w:val="18"/>
                <w:color w:val="auto"/>
              </w:rPr>
              <w:t>(408) 834-1927</w:t>
            </w:r>
          </w:p>
        </w:tc>
        <w:tc>
          <w:tcPr>
            <w:tcW w:w="940" w:type="dxa"/>
            <w:vAlign w:val="bottom"/>
          </w:tcPr>
          <w:p>
            <w:pPr>
              <w:spacing w:after="0"/>
              <w:rPr>
                <w:sz w:val="22"/>
                <w:szCs w:val="22"/>
                <w:color w:val="auto"/>
              </w:rPr>
            </w:pPr>
          </w:p>
        </w:tc>
        <w:tc>
          <w:tcPr>
            <w:tcW w:w="1860" w:type="dxa"/>
            <w:vAlign w:val="bottom"/>
            <w:tcBorders>
              <w:top w:val="single" w:sz="8" w:color="0090DA"/>
            </w:tcBorders>
          </w:tcPr>
          <w:p>
            <w:pPr>
              <w:spacing w:after="0"/>
              <w:rPr>
                <w:sz w:val="20"/>
                <w:szCs w:val="20"/>
                <w:color w:val="auto"/>
              </w:rPr>
            </w:pPr>
            <w:r>
              <w:rPr>
                <w:rFonts w:ascii="Arial" w:cs="Arial" w:eastAsia="Arial" w:hAnsi="Arial"/>
                <w:sz w:val="18"/>
                <w:szCs w:val="18"/>
                <w:color w:val="auto"/>
              </w:rPr>
              <w:t>(408) 834-1873</w:t>
            </w:r>
          </w:p>
        </w:tc>
        <w:tc>
          <w:tcPr>
            <w:tcW w:w="14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MICRON TECHNOLOGY, INC. REPORTS RESULTS FOR THE</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QUARTER OF FISCAL 2022</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Multiple end-market and product revenue records reflect broad portfolio momentum</w:t>
      </w:r>
    </w:p>
    <w:p>
      <w:pPr>
        <w:spacing w:after="0" w:line="232"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color w:val="auto"/>
        </w:rPr>
        <w:t xml:space="preserve">BOISE, Idaho, </w:t>
      </w:r>
      <w:r>
        <w:rPr>
          <w:rFonts w:ascii="Arial" w:cs="Arial" w:eastAsia="Arial" w:hAnsi="Arial"/>
          <w:sz w:val="18"/>
          <w:szCs w:val="18"/>
          <w:color w:val="auto"/>
        </w:rPr>
        <w:t>June 30, 2022 – Micron Technology, Inc. (Nasdaq: MU) today announced results for its third quarter of fiscal 2022, which</w:t>
      </w:r>
      <w:r>
        <w:rPr>
          <w:rFonts w:ascii="Arial" w:cs="Arial" w:eastAsia="Arial" w:hAnsi="Arial"/>
          <w:sz w:val="18"/>
          <w:szCs w:val="18"/>
          <w:b w:val="1"/>
          <w:bCs w:val="1"/>
          <w:color w:val="auto"/>
        </w:rPr>
        <w:t xml:space="preserve"> </w:t>
      </w:r>
      <w:r>
        <w:rPr>
          <w:rFonts w:ascii="Arial" w:cs="Arial" w:eastAsia="Arial" w:hAnsi="Arial"/>
          <w:sz w:val="18"/>
          <w:szCs w:val="18"/>
          <w:color w:val="auto"/>
        </w:rPr>
        <w:t>ended June 2, 2022.</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Fiscal Q3 2022 highlights</w:t>
      </w:r>
    </w:p>
    <w:p>
      <w:pPr>
        <w:spacing w:after="0" w:line="27" w:lineRule="exact"/>
        <w:rPr>
          <w:sz w:val="20"/>
          <w:szCs w:val="20"/>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of $8.64 billion versus $7.79 billion for the prior quarter and $7.42 billion for the same period last year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net income of $2.63 billion, or $2.34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Non-GAAP net income of $2.94 billion, or $2.59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cash flow of $3.84 billion versus $3.63 billion for the prior quarter and $3.56 billion for the same period last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“Micron delivered record revenue in the fiscal third quarter driven by our team’s excellent execution across technology, products and</w:t>
      </w:r>
    </w:p>
    <w:p>
      <w:pPr>
        <w:spacing w:after="0" w:line="14" w:lineRule="exact"/>
        <w:rPr>
          <w:sz w:val="20"/>
          <w:szCs w:val="20"/>
          <w:color w:val="auto"/>
        </w:rPr>
      </w:pPr>
    </w:p>
    <w:p>
      <w:pPr>
        <w:ind w:right="200"/>
        <w:spacing w:after="0" w:line="231" w:lineRule="auto"/>
        <w:rPr>
          <w:sz w:val="20"/>
          <w:szCs w:val="20"/>
          <w:color w:val="auto"/>
        </w:rPr>
      </w:pPr>
      <w:r>
        <w:rPr>
          <w:rFonts w:ascii="Arial" w:cs="Arial" w:eastAsia="Arial" w:hAnsi="Arial"/>
          <w:sz w:val="18"/>
          <w:szCs w:val="18"/>
          <w:color w:val="auto"/>
        </w:rPr>
        <w:t>manufacturing,” said Micron Technology President and CEO Sanjay Mehrotra. “Recently, the industry demand environment has weakened, and we are taking action to moderate our supply growth in fiscal 2023. We are confident about the long-term secular demand for memory and storage and are well positioned to deliver strong cross-cycle financial performance.”</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Quarterly Financial Results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260" w:type="dxa"/>
            <w:vAlign w:val="bottom"/>
          </w:tcPr>
          <w:p>
            <w:pPr>
              <w:spacing w:after="0"/>
              <w:rPr>
                <w:sz w:val="23"/>
                <w:szCs w:val="23"/>
                <w:color w:val="auto"/>
              </w:rPr>
            </w:pPr>
          </w:p>
        </w:tc>
        <w:tc>
          <w:tcPr>
            <w:tcW w:w="200" w:type="dxa"/>
            <w:vAlign w:val="bottom"/>
            <w:tcBorders>
              <w:bottom w:val="single" w:sz="8" w:color="0090DA"/>
            </w:tcBorders>
          </w:tcPr>
          <w:p>
            <w:pPr>
              <w:spacing w:after="0"/>
              <w:rPr>
                <w:sz w:val="23"/>
                <w:szCs w:val="23"/>
                <w:color w:val="auto"/>
              </w:rPr>
            </w:pPr>
          </w:p>
        </w:tc>
        <w:tc>
          <w:tcPr>
            <w:tcW w:w="940" w:type="dxa"/>
            <w:vAlign w:val="bottom"/>
            <w:tcBorders>
              <w:bottom w:val="single" w:sz="8" w:color="0090DA"/>
            </w:tcBorders>
          </w:tcPr>
          <w:p>
            <w:pPr>
              <w:spacing w:after="0"/>
              <w:rPr>
                <w:sz w:val="23"/>
                <w:szCs w:val="23"/>
                <w:color w:val="auto"/>
              </w:rPr>
            </w:pPr>
          </w:p>
        </w:tc>
        <w:tc>
          <w:tcPr>
            <w:tcW w:w="180" w:type="dxa"/>
            <w:vAlign w:val="bottom"/>
            <w:tcBorders>
              <w:bottom w:val="single" w:sz="8" w:color="0090DA"/>
            </w:tcBorders>
          </w:tcPr>
          <w:p>
            <w:pPr>
              <w:spacing w:after="0"/>
              <w:rPr>
                <w:sz w:val="23"/>
                <w:szCs w:val="23"/>
                <w:color w:val="auto"/>
              </w:rPr>
            </w:pPr>
          </w:p>
        </w:tc>
        <w:tc>
          <w:tcPr>
            <w:tcW w:w="960" w:type="dxa"/>
            <w:vAlign w:val="bottom"/>
            <w:tcBorders>
              <w:bottom w:val="single" w:sz="8" w:color="0090DA"/>
            </w:tcBorders>
          </w:tcPr>
          <w:p>
            <w:pPr>
              <w:jc w:val="right"/>
              <w:ind w:right="130"/>
              <w:spacing w:after="0"/>
              <w:rPr>
                <w:sz w:val="20"/>
                <w:szCs w:val="20"/>
                <w:color w:val="auto"/>
              </w:rPr>
            </w:pPr>
            <w:r>
              <w:rPr>
                <w:rFonts w:ascii="Arial" w:cs="Arial" w:eastAsia="Arial" w:hAnsi="Arial"/>
                <w:sz w:val="18"/>
                <w:szCs w:val="18"/>
                <w:b w:val="1"/>
                <w:bCs w:val="1"/>
                <w:color w:val="auto"/>
              </w:rPr>
              <w:t>GAAP</w:t>
            </w:r>
            <w:r>
              <w:rPr>
                <w:rFonts w:ascii="Arial" w:cs="Arial" w:eastAsia="Arial" w:hAnsi="Arial"/>
                <w:sz w:val="23"/>
                <w:szCs w:val="23"/>
                <w:b w:val="1"/>
                <w:bCs w:val="1"/>
                <w:color w:val="auto"/>
                <w:vertAlign w:val="superscript"/>
              </w:rPr>
              <w:t>(1)</w:t>
            </w:r>
          </w:p>
        </w:tc>
        <w:tc>
          <w:tcPr>
            <w:tcW w:w="200" w:type="dxa"/>
            <w:vAlign w:val="bottom"/>
            <w:tcBorders>
              <w:bottom w:val="single" w:sz="8" w:color="0090DA"/>
            </w:tcBorders>
          </w:tcPr>
          <w:p>
            <w:pPr>
              <w:spacing w:after="0"/>
              <w:rPr>
                <w:sz w:val="23"/>
                <w:szCs w:val="23"/>
                <w:color w:val="auto"/>
              </w:rPr>
            </w:pPr>
          </w:p>
        </w:tc>
        <w:tc>
          <w:tcPr>
            <w:tcW w:w="960" w:type="dxa"/>
            <w:vAlign w:val="bottom"/>
            <w:tcBorders>
              <w:bottom w:val="single" w:sz="8" w:color="0090DA"/>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bottom w:val="single" w:sz="8" w:color="0090DA"/>
            </w:tcBorders>
          </w:tcPr>
          <w:p>
            <w:pPr>
              <w:spacing w:after="0"/>
              <w:rPr>
                <w:sz w:val="23"/>
                <w:szCs w:val="23"/>
                <w:color w:val="auto"/>
              </w:rPr>
            </w:pPr>
          </w:p>
        </w:tc>
        <w:tc>
          <w:tcPr>
            <w:tcW w:w="940" w:type="dxa"/>
            <w:vAlign w:val="bottom"/>
            <w:tcBorders>
              <w:bottom w:val="single" w:sz="8" w:color="0090DA"/>
            </w:tcBorders>
          </w:tcPr>
          <w:p>
            <w:pPr>
              <w:spacing w:after="0"/>
              <w:rPr>
                <w:sz w:val="23"/>
                <w:szCs w:val="23"/>
                <w:color w:val="auto"/>
              </w:rPr>
            </w:pPr>
          </w:p>
        </w:tc>
        <w:tc>
          <w:tcPr>
            <w:tcW w:w="1140" w:type="dxa"/>
            <w:vAlign w:val="bottom"/>
            <w:tcBorders>
              <w:bottom w:val="single" w:sz="8" w:color="0090DA"/>
            </w:tcBorders>
            <w:gridSpan w:val="2"/>
          </w:tcPr>
          <w:p>
            <w:pPr>
              <w:ind w:left="40"/>
              <w:spacing w:after="0"/>
              <w:rPr>
                <w:sz w:val="20"/>
                <w:szCs w:val="20"/>
                <w:color w:val="auto"/>
              </w:rPr>
            </w:pPr>
            <w:r>
              <w:rPr>
                <w:rFonts w:ascii="Arial" w:cs="Arial" w:eastAsia="Arial" w:hAnsi="Arial"/>
                <w:sz w:val="18"/>
                <w:szCs w:val="18"/>
                <w:b w:val="1"/>
                <w:bCs w:val="1"/>
                <w:color w:val="auto"/>
                <w:w w:val="96"/>
              </w:rPr>
              <w:t>Non-GAAP</w:t>
            </w:r>
            <w:r>
              <w:rPr>
                <w:rFonts w:ascii="Arial" w:cs="Arial" w:eastAsia="Arial" w:hAnsi="Arial"/>
                <w:sz w:val="23"/>
                <w:szCs w:val="23"/>
                <w:b w:val="1"/>
                <w:bCs w:val="1"/>
                <w:color w:val="auto"/>
                <w:w w:val="96"/>
                <w:vertAlign w:val="superscript"/>
              </w:rPr>
              <w:t>(2)</w:t>
            </w:r>
          </w:p>
        </w:tc>
        <w:tc>
          <w:tcPr>
            <w:tcW w:w="200" w:type="dxa"/>
            <w:vAlign w:val="bottom"/>
            <w:tcBorders>
              <w:bottom w:val="single" w:sz="8" w:color="0090DA"/>
            </w:tcBorders>
          </w:tcPr>
          <w:p>
            <w:pPr>
              <w:spacing w:after="0"/>
              <w:rPr>
                <w:sz w:val="23"/>
                <w:szCs w:val="23"/>
                <w:color w:val="auto"/>
              </w:rPr>
            </w:pPr>
          </w:p>
        </w:tc>
        <w:tc>
          <w:tcPr>
            <w:tcW w:w="960" w:type="dxa"/>
            <w:vAlign w:val="bottom"/>
            <w:tcBorders>
              <w:bottom w:val="single" w:sz="8" w:color="0090DA"/>
            </w:tcBorders>
          </w:tcPr>
          <w:p>
            <w:pPr>
              <w:spacing w:after="0"/>
              <w:rPr>
                <w:sz w:val="23"/>
                <w:szCs w:val="23"/>
                <w:color w:val="auto"/>
              </w:rPr>
            </w:pPr>
          </w:p>
        </w:tc>
      </w:tr>
      <w:tr>
        <w:trPr>
          <w:trHeight w:val="250"/>
        </w:trPr>
        <w:tc>
          <w:tcPr>
            <w:tcW w:w="4260" w:type="dxa"/>
            <w:vAlign w:val="bottom"/>
          </w:tcPr>
          <w:p>
            <w:pPr>
              <w:ind w:left="20"/>
              <w:spacing w:after="0"/>
              <w:rPr>
                <w:sz w:val="20"/>
                <w:szCs w:val="20"/>
                <w:color w:val="auto"/>
              </w:rPr>
            </w:pPr>
            <w:r>
              <w:rPr>
                <w:rFonts w:ascii="Arial" w:cs="Arial" w:eastAsia="Arial" w:hAnsi="Arial"/>
                <w:sz w:val="18"/>
                <w:szCs w:val="18"/>
                <w:i w:val="1"/>
                <w:iCs w:val="1"/>
                <w:color w:val="auto"/>
              </w:rPr>
              <w:t>(in millions, except per share amounts)</w:t>
            </w:r>
          </w:p>
        </w:tc>
        <w:tc>
          <w:tcPr>
            <w:tcW w:w="200" w:type="dxa"/>
            <w:vAlign w:val="bottom"/>
          </w:tcPr>
          <w:p>
            <w:pPr>
              <w:spacing w:after="0"/>
              <w:rPr>
                <w:sz w:val="21"/>
                <w:szCs w:val="21"/>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rPr>
              <w:t>FQ3-22</w:t>
            </w:r>
          </w:p>
        </w:tc>
        <w:tc>
          <w:tcPr>
            <w:tcW w:w="180" w:type="dxa"/>
            <w:vAlign w:val="bottom"/>
          </w:tcPr>
          <w:p>
            <w:pPr>
              <w:spacing w:after="0"/>
              <w:rPr>
                <w:sz w:val="21"/>
                <w:szCs w:val="21"/>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rPr>
              <w:t>FQ2-22</w:t>
            </w:r>
          </w:p>
        </w:tc>
        <w:tc>
          <w:tcPr>
            <w:tcW w:w="200" w:type="dxa"/>
            <w:vAlign w:val="bottom"/>
          </w:tcPr>
          <w:p>
            <w:pPr>
              <w:spacing w:after="0"/>
              <w:rPr>
                <w:sz w:val="21"/>
                <w:szCs w:val="21"/>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FQ3-21</w:t>
            </w:r>
          </w:p>
        </w:tc>
        <w:tc>
          <w:tcPr>
            <w:tcW w:w="200" w:type="dxa"/>
            <w:vAlign w:val="bottom"/>
          </w:tcPr>
          <w:p>
            <w:pPr>
              <w:spacing w:after="0"/>
              <w:rPr>
                <w:sz w:val="21"/>
                <w:szCs w:val="21"/>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rPr>
              <w:t>FQ3-22</w:t>
            </w:r>
          </w:p>
        </w:tc>
        <w:tc>
          <w:tcPr>
            <w:tcW w:w="200" w:type="dxa"/>
            <w:vAlign w:val="bottom"/>
          </w:tcPr>
          <w:p>
            <w:pPr>
              <w:spacing w:after="0"/>
              <w:rPr>
                <w:sz w:val="21"/>
                <w:szCs w:val="21"/>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rPr>
              <w:t>FQ2-22</w:t>
            </w:r>
          </w:p>
        </w:tc>
        <w:tc>
          <w:tcPr>
            <w:tcW w:w="200" w:type="dxa"/>
            <w:vAlign w:val="bottom"/>
          </w:tcPr>
          <w:p>
            <w:pPr>
              <w:spacing w:after="0"/>
              <w:rPr>
                <w:sz w:val="21"/>
                <w:szCs w:val="21"/>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rPr>
              <w:t>FQ3-21</w:t>
            </w:r>
          </w:p>
        </w:tc>
      </w:tr>
      <w:tr>
        <w:trPr>
          <w:trHeight w:val="34"/>
        </w:trPr>
        <w:tc>
          <w:tcPr>
            <w:tcW w:w="426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940" w:type="dxa"/>
            <w:vAlign w:val="bottom"/>
            <w:tcBorders>
              <w:top w:val="single" w:sz="8" w:color="0090DA"/>
            </w:tcBorders>
          </w:tcPr>
          <w:p>
            <w:pPr>
              <w:spacing w:after="0"/>
              <w:rPr>
                <w:sz w:val="2"/>
                <w:szCs w:val="2"/>
                <w:color w:val="auto"/>
              </w:rPr>
            </w:pPr>
          </w:p>
        </w:tc>
        <w:tc>
          <w:tcPr>
            <w:tcW w:w="180" w:type="dxa"/>
            <w:vAlign w:val="bottom"/>
            <w:tcBorders>
              <w:top w:val="single" w:sz="8" w:color="0090DA"/>
            </w:tcBorders>
          </w:tcPr>
          <w:p>
            <w:pPr>
              <w:spacing w:after="0"/>
              <w:rPr>
                <w:sz w:val="2"/>
                <w:szCs w:val="2"/>
                <w:color w:val="auto"/>
              </w:rPr>
            </w:pPr>
          </w:p>
        </w:tc>
        <w:tc>
          <w:tcPr>
            <w:tcW w:w="96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960" w:type="dxa"/>
            <w:vAlign w:val="bottom"/>
            <w:tcBorders>
              <w:top w:val="single" w:sz="8" w:color="0090DA"/>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94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94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960" w:type="dxa"/>
            <w:vAlign w:val="bottom"/>
            <w:tcBorders>
              <w:top w:val="single" w:sz="8" w:color="0090DA"/>
            </w:tcBorders>
          </w:tcPr>
          <w:p>
            <w:pPr>
              <w:spacing w:after="0"/>
              <w:rPr>
                <w:sz w:val="2"/>
                <w:szCs w:val="2"/>
                <w:color w:val="auto"/>
              </w:rPr>
            </w:pPr>
          </w:p>
        </w:tc>
      </w:tr>
      <w:tr>
        <w:trPr>
          <w:trHeight w:val="230"/>
        </w:trPr>
        <w:tc>
          <w:tcPr>
            <w:tcW w:w="426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8,642</w:t>
            </w:r>
          </w:p>
        </w:tc>
        <w:tc>
          <w:tcPr>
            <w:tcW w:w="18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7,786</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7,422</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8,642</w:t>
            </w:r>
          </w:p>
        </w:tc>
        <w:tc>
          <w:tcPr>
            <w:tcW w:w="200" w:type="dxa"/>
            <w:vAlign w:val="bottom"/>
            <w:shd w:val="clear" w:color="auto" w:fill="DDDDDD"/>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7,786</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7,422</w:t>
            </w: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4,035</w:t>
            </w:r>
          </w:p>
        </w:tc>
        <w:tc>
          <w:tcPr>
            <w:tcW w:w="18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3,676</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3,126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4,097</w:t>
            </w:r>
          </w:p>
        </w:tc>
        <w:tc>
          <w:tcPr>
            <w:tcW w:w="2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3,724</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3,185</w:t>
            </w:r>
          </w:p>
        </w:tc>
      </w:tr>
      <w:tr>
        <w:trPr>
          <w:trHeight w:val="230"/>
        </w:trPr>
        <w:tc>
          <w:tcPr>
            <w:tcW w:w="4260" w:type="dxa"/>
            <w:vAlign w:val="bottom"/>
            <w:shd w:val="clear" w:color="auto" w:fill="DDDDDD"/>
          </w:tcPr>
          <w:p>
            <w:pPr>
              <w:ind w:left="20"/>
              <w:spacing w:after="0"/>
              <w:rPr>
                <w:sz w:val="20"/>
                <w:szCs w:val="20"/>
                <w:color w:val="auto"/>
              </w:rPr>
            </w:pPr>
            <w:r>
              <w:rPr>
                <w:rFonts w:ascii="Arial" w:cs="Arial" w:eastAsia="Arial" w:hAnsi="Arial"/>
                <w:sz w:val="18"/>
                <w:szCs w:val="18"/>
                <w:i w:val="1"/>
                <w:iCs w:val="1"/>
                <w:color w:val="auto"/>
              </w:rPr>
              <w:t>percent of revenue</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46.7 %</w:t>
            </w:r>
          </w:p>
        </w:tc>
        <w:tc>
          <w:tcPr>
            <w:tcW w:w="18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47.2 %</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42.1 %</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47.4 %</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47.8 %</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42.9 %</w:t>
            </w: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1,031</w:t>
            </w:r>
          </w:p>
        </w:tc>
        <w:tc>
          <w:tcPr>
            <w:tcW w:w="18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1,130</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953</w:t>
            </w:r>
          </w:p>
        </w:tc>
        <w:tc>
          <w:tcPr>
            <w:tcW w:w="2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974</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821</w:t>
            </w:r>
          </w:p>
        </w:tc>
      </w:tr>
      <w:tr>
        <w:trPr>
          <w:trHeight w:val="230"/>
        </w:trPr>
        <w:tc>
          <w:tcPr>
            <w:tcW w:w="4260" w:type="dxa"/>
            <w:vAlign w:val="bottom"/>
            <w:shd w:val="clear" w:color="auto" w:fill="DDDDDD"/>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3,004</w:t>
            </w:r>
          </w:p>
        </w:tc>
        <w:tc>
          <w:tcPr>
            <w:tcW w:w="18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2,546</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1,799</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3,144</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2,750</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2,364</w:t>
            </w: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i w:val="1"/>
                <w:iCs w:val="1"/>
                <w:color w:val="auto"/>
              </w:rPr>
              <w:t>percent of revenue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34.8 %</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32.7 %</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24.2 %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36.4 %</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35.3 %</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31.9 %</w:t>
            </w:r>
          </w:p>
        </w:tc>
      </w:tr>
      <w:tr>
        <w:trPr>
          <w:trHeight w:val="230"/>
        </w:trPr>
        <w:tc>
          <w:tcPr>
            <w:tcW w:w="4260" w:type="dxa"/>
            <w:vAlign w:val="bottom"/>
            <w:shd w:val="clear" w:color="auto" w:fill="DDDDDD"/>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2,626</w:t>
            </w:r>
          </w:p>
        </w:tc>
        <w:tc>
          <w:tcPr>
            <w:tcW w:w="18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2,263</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1,735</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2,939</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2,444</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2,173</w:t>
            </w:r>
          </w:p>
        </w:tc>
      </w:tr>
      <w:tr>
        <w:trPr>
          <w:trHeight w:val="239"/>
        </w:trPr>
        <w:tc>
          <w:tcPr>
            <w:tcW w:w="426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20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2.34</w:t>
            </w:r>
          </w:p>
        </w:tc>
        <w:tc>
          <w:tcPr>
            <w:tcW w:w="180" w:type="dxa"/>
            <w:vAlign w:val="bottom"/>
          </w:tcPr>
          <w:p>
            <w:pPr>
              <w:spacing w:after="0"/>
              <w:rPr>
                <w:sz w:val="20"/>
                <w:szCs w:val="20"/>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2.59</w:t>
            </w:r>
          </w:p>
        </w:tc>
        <w:tc>
          <w:tcPr>
            <w:tcW w:w="20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2.14</w:t>
            </w:r>
          </w:p>
        </w:tc>
        <w:tc>
          <w:tcPr>
            <w:tcW w:w="20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1.88</w:t>
            </w:r>
          </w:p>
        </w:tc>
      </w:tr>
    </w:tbl>
    <w:p>
      <w:pPr>
        <w:spacing w:after="0" w:line="296" w:lineRule="exact"/>
        <w:rPr>
          <w:sz w:val="20"/>
          <w:szCs w:val="20"/>
          <w:color w:val="auto"/>
        </w:rPr>
      </w:pPr>
    </w:p>
    <w:p>
      <w:pPr>
        <w:jc w:val="both"/>
        <w:ind w:right="80"/>
        <w:spacing w:after="0" w:line="264" w:lineRule="auto"/>
        <w:rPr>
          <w:sz w:val="20"/>
          <w:szCs w:val="20"/>
          <w:color w:val="auto"/>
        </w:rPr>
      </w:pPr>
      <w:r>
        <w:rPr>
          <w:rFonts w:ascii="Arial" w:cs="Arial" w:eastAsia="Arial" w:hAnsi="Arial"/>
          <w:sz w:val="17"/>
          <w:szCs w:val="17"/>
          <w:color w:val="auto"/>
        </w:rPr>
        <w:t>Investments in capital expenditures, net</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were $2.53 billion for the third quarter of 2022, which resulted in adjusted free cash flow</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of $ 1.31 billion. Micron repurchased approximately 13.8 million shares of its common stock for $981 million during the third quarter of fiscal 2022 and ended the quarter with cash, marketable investments, and restricted cash of $11.98 billion, for a net cash</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position of $5.01 billion.</w:t>
      </w:r>
    </w:p>
    <w:p>
      <w:pPr>
        <w:spacing w:after="0" w:line="119" w:lineRule="exact"/>
        <w:rPr>
          <w:sz w:val="20"/>
          <w:szCs w:val="20"/>
          <w:color w:val="auto"/>
        </w:rPr>
      </w:pPr>
    </w:p>
    <w:p>
      <w:pPr>
        <w:ind w:right="1020"/>
        <w:spacing w:after="0" w:line="287" w:lineRule="auto"/>
        <w:rPr>
          <w:sz w:val="20"/>
          <w:szCs w:val="20"/>
          <w:color w:val="auto"/>
        </w:rPr>
      </w:pPr>
      <w:r>
        <w:rPr>
          <w:rFonts w:ascii="Arial" w:cs="Arial" w:eastAsia="Arial" w:hAnsi="Arial"/>
          <w:sz w:val="18"/>
          <w:szCs w:val="18"/>
          <w:color w:val="auto"/>
        </w:rPr>
        <w:t>On June 30, 2022, our Board of Directors declared a quarterly dividend of $0.115 per share, payable in cash on July 26, 2022, to shareholders of record as of the close of business on July 11,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4"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47"/>
        </w:trPr>
        <w:tc>
          <w:tcPr>
            <w:tcW w:w="6420" w:type="dxa"/>
            <w:vAlign w:val="bottom"/>
          </w:tcPr>
          <w:p>
            <w:pPr>
              <w:spacing w:after="0"/>
              <w:rPr>
                <w:sz w:val="20"/>
                <w:szCs w:val="20"/>
                <w:color w:val="auto"/>
              </w:rPr>
            </w:pPr>
            <w:r>
              <w:rPr>
                <w:rFonts w:ascii="Arial" w:cs="Arial" w:eastAsia="Arial" w:hAnsi="Arial"/>
                <w:sz w:val="18"/>
                <w:szCs w:val="18"/>
                <w:b w:val="1"/>
                <w:bCs w:val="1"/>
                <w:color w:val="auto"/>
              </w:rPr>
              <w:t>Business Outlook</w:t>
            </w:r>
          </w:p>
        </w:tc>
        <w:tc>
          <w:tcPr>
            <w:tcW w:w="2540" w:type="dxa"/>
            <w:vAlign w:val="bottom"/>
          </w:tcPr>
          <w:p>
            <w:pPr>
              <w:spacing w:after="0"/>
              <w:rPr>
                <w:sz w:val="21"/>
                <w:szCs w:val="21"/>
                <w:color w:val="auto"/>
              </w:rPr>
            </w:pPr>
          </w:p>
        </w:tc>
        <w:tc>
          <w:tcPr>
            <w:tcW w:w="2280" w:type="dxa"/>
            <w:vAlign w:val="bottom"/>
          </w:tcPr>
          <w:p>
            <w:pPr>
              <w:spacing w:after="0"/>
              <w:rPr>
                <w:sz w:val="21"/>
                <w:szCs w:val="21"/>
                <w:color w:val="auto"/>
              </w:rPr>
            </w:pPr>
          </w:p>
        </w:tc>
      </w:tr>
      <w:tr>
        <w:trPr>
          <w:trHeight w:val="451"/>
        </w:trPr>
        <w:tc>
          <w:tcPr>
            <w:tcW w:w="6420" w:type="dxa"/>
            <w:vAlign w:val="bottom"/>
          </w:tcPr>
          <w:p>
            <w:pPr>
              <w:spacing w:after="0"/>
              <w:rPr>
                <w:sz w:val="20"/>
                <w:szCs w:val="20"/>
                <w:color w:val="auto"/>
              </w:rPr>
            </w:pPr>
            <w:r>
              <w:rPr>
                <w:rFonts w:ascii="Arial" w:cs="Arial" w:eastAsia="Arial" w:hAnsi="Arial"/>
                <w:sz w:val="18"/>
                <w:szCs w:val="18"/>
                <w:color w:val="auto"/>
              </w:rPr>
              <w:t>The following table presents Micron’s guidance for the fourth quarter of 2022:</w:t>
            </w:r>
          </w:p>
        </w:tc>
        <w:tc>
          <w:tcPr>
            <w:tcW w:w="25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52"/>
        </w:trPr>
        <w:tc>
          <w:tcPr>
            <w:tcW w:w="642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FQ4-22</w:t>
            </w:r>
          </w:p>
        </w:tc>
        <w:tc>
          <w:tcPr>
            <w:tcW w:w="2540" w:type="dxa"/>
            <w:vAlign w:val="bottom"/>
            <w:tcBorders>
              <w:bottom w:val="single" w:sz="8" w:color="0090DA"/>
            </w:tcBorders>
          </w:tcPr>
          <w:p>
            <w:pPr>
              <w:jc w:val="right"/>
              <w:ind w:right="150"/>
              <w:spacing w:after="0" w:line="253" w:lineRule="exact"/>
              <w:rPr>
                <w:sz w:val="20"/>
                <w:szCs w:val="20"/>
                <w:color w:val="auto"/>
              </w:rPr>
            </w:pPr>
            <w:r>
              <w:rPr>
                <w:rFonts w:ascii="Arial" w:cs="Arial" w:eastAsia="Arial" w:hAnsi="Arial"/>
                <w:sz w:val="18"/>
                <w:szCs w:val="18"/>
                <w:b w:val="1"/>
                <w:bCs w:val="1"/>
                <w:color w:val="auto"/>
              </w:rPr>
              <w:t>GAAP</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Outlook</w:t>
            </w:r>
          </w:p>
        </w:tc>
        <w:tc>
          <w:tcPr>
            <w:tcW w:w="2280" w:type="dxa"/>
            <w:vAlign w:val="bottom"/>
            <w:tcBorders>
              <w:bottom w:val="single" w:sz="8" w:color="0090DA"/>
            </w:tcBorders>
          </w:tcPr>
          <w:p>
            <w:pPr>
              <w:jc w:val="right"/>
              <w:spacing w:after="0" w:line="253" w:lineRule="exact"/>
              <w:rPr>
                <w:sz w:val="20"/>
                <w:szCs w:val="20"/>
                <w:color w:val="auto"/>
              </w:rPr>
            </w:pPr>
            <w:r>
              <w:rPr>
                <w:rFonts w:ascii="Arial" w:cs="Arial" w:eastAsia="Arial" w:hAnsi="Arial"/>
                <w:sz w:val="18"/>
                <w:szCs w:val="18"/>
                <w:b w:val="1"/>
                <w:bCs w:val="1"/>
                <w:color w:val="auto"/>
              </w:rPr>
              <w:t>Non-GAAP</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 xml:space="preserve"> Outlook</w:t>
            </w:r>
          </w:p>
        </w:tc>
      </w:tr>
      <w:tr>
        <w:trPr>
          <w:trHeight w:val="34"/>
        </w:trPr>
        <w:tc>
          <w:tcPr>
            <w:tcW w:w="64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0"/>
        </w:trPr>
        <w:tc>
          <w:tcPr>
            <w:tcW w:w="642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Revenue</w:t>
            </w:r>
          </w:p>
        </w:tc>
        <w:tc>
          <w:tcPr>
            <w:tcW w:w="25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$7.2 billion ± $400 million</w:t>
            </w:r>
          </w:p>
        </w:tc>
        <w:tc>
          <w:tcPr>
            <w:tcW w:w="22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$7.2 billion ± $400 million</w:t>
            </w: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540" w:type="dxa"/>
            <w:vAlign w:val="bottom"/>
          </w:tcPr>
          <w:p>
            <w:pPr>
              <w:jc w:val="right"/>
              <w:ind w:right="150"/>
              <w:spacing w:after="0"/>
              <w:rPr>
                <w:sz w:val="20"/>
                <w:szCs w:val="20"/>
                <w:color w:val="auto"/>
              </w:rPr>
            </w:pPr>
            <w:r>
              <w:rPr>
                <w:rFonts w:ascii="Arial" w:cs="Arial" w:eastAsia="Arial" w:hAnsi="Arial"/>
                <w:sz w:val="18"/>
                <w:szCs w:val="18"/>
                <w:color w:val="auto"/>
              </w:rPr>
              <w:t>41.5% ± 1.5%</w:t>
            </w:r>
          </w:p>
        </w:tc>
        <w:tc>
          <w:tcPr>
            <w:tcW w:w="2280" w:type="dxa"/>
            <w:vAlign w:val="bottom"/>
          </w:tcPr>
          <w:p>
            <w:pPr>
              <w:jc w:val="right"/>
              <w:spacing w:after="0"/>
              <w:rPr>
                <w:sz w:val="20"/>
                <w:szCs w:val="20"/>
                <w:color w:val="auto"/>
              </w:rPr>
            </w:pPr>
            <w:r>
              <w:rPr>
                <w:rFonts w:ascii="Arial" w:cs="Arial" w:eastAsia="Arial" w:hAnsi="Arial"/>
                <w:sz w:val="18"/>
                <w:szCs w:val="18"/>
                <w:color w:val="auto"/>
              </w:rPr>
              <w:t>42.5% ± 1.5%</w:t>
            </w:r>
          </w:p>
        </w:tc>
      </w:tr>
      <w:tr>
        <w:trPr>
          <w:trHeight w:val="229"/>
        </w:trPr>
        <w:tc>
          <w:tcPr>
            <w:tcW w:w="6420" w:type="dxa"/>
            <w:vAlign w:val="bottom"/>
            <w:shd w:val="clear" w:color="auto" w:fill="DDDDDD"/>
          </w:tcPr>
          <w:p>
            <w:pPr>
              <w:ind w:left="20"/>
              <w:spacing w:after="0"/>
              <w:rPr>
                <w:sz w:val="20"/>
                <w:szCs w:val="20"/>
                <w:color w:val="auto"/>
              </w:rPr>
            </w:pPr>
            <w:r>
              <w:rPr>
                <w:rFonts w:ascii="Arial" w:cs="Arial" w:eastAsia="Arial" w:hAnsi="Arial"/>
                <w:sz w:val="18"/>
                <w:szCs w:val="18"/>
                <w:color w:val="auto"/>
              </w:rPr>
              <w:t>Operating expenses</w:t>
            </w:r>
          </w:p>
        </w:tc>
        <w:tc>
          <w:tcPr>
            <w:tcW w:w="25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$1.13 billion ± $25 million</w:t>
            </w:r>
          </w:p>
        </w:tc>
        <w:tc>
          <w:tcPr>
            <w:tcW w:w="22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$1.05 billion ± $25 million</w:t>
            </w:r>
          </w:p>
        </w:tc>
      </w:tr>
      <w:tr>
        <w:trPr>
          <w:trHeight w:val="239"/>
        </w:trPr>
        <w:tc>
          <w:tcPr>
            <w:tcW w:w="642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2540" w:type="dxa"/>
            <w:vAlign w:val="bottom"/>
          </w:tcPr>
          <w:p>
            <w:pPr>
              <w:jc w:val="right"/>
              <w:ind w:right="150"/>
              <w:spacing w:after="0"/>
              <w:rPr>
                <w:sz w:val="20"/>
                <w:szCs w:val="20"/>
                <w:color w:val="auto"/>
              </w:rPr>
            </w:pPr>
            <w:r>
              <w:rPr>
                <w:rFonts w:ascii="Arial" w:cs="Arial" w:eastAsia="Arial" w:hAnsi="Arial"/>
                <w:sz w:val="18"/>
                <w:szCs w:val="18"/>
                <w:color w:val="auto"/>
              </w:rPr>
              <w:t>$1.52 ± $0.20</w:t>
            </w:r>
          </w:p>
        </w:tc>
        <w:tc>
          <w:tcPr>
            <w:tcW w:w="2280" w:type="dxa"/>
            <w:vAlign w:val="bottom"/>
          </w:tcPr>
          <w:p>
            <w:pPr>
              <w:jc w:val="right"/>
              <w:spacing w:after="0"/>
              <w:rPr>
                <w:sz w:val="20"/>
                <w:szCs w:val="20"/>
                <w:color w:val="auto"/>
              </w:rPr>
            </w:pPr>
            <w:r>
              <w:rPr>
                <w:rFonts w:ascii="Arial" w:cs="Arial" w:eastAsia="Arial" w:hAnsi="Arial"/>
                <w:sz w:val="18"/>
                <w:szCs w:val="18"/>
                <w:color w:val="auto"/>
              </w:rPr>
              <w:t>$1.63 ± $0.20</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Further information regarding Micron’s business outlook is included in the prepared remarks and slides, which have been posted at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90DA"/>
        </w:rPr>
        <w:t>investors.micron.com</w:t>
      </w:r>
      <w:r>
        <w:rPr>
          <w:rFonts w:ascii="Arial" w:cs="Arial" w:eastAsia="Arial" w:hAnsi="Arial"/>
          <w:sz w:val="18"/>
          <w:szCs w:val="18"/>
          <w:color w:val="000000"/>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Webcast</w:t>
      </w:r>
    </w:p>
    <w:p>
      <w:pPr>
        <w:spacing w:after="0" w:line="252"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 xml:space="preserve">Micron will host a conference call on Thursday, June 30, 2022 at 2:30 p.m. Mountain time to discuss its third quarter financial results and provide forward-looking guidance for its fourth quarter. A live webcast of the call will be available online at </w:t>
      </w:r>
      <w:r>
        <w:rPr>
          <w:rFonts w:ascii="Arial" w:cs="Arial" w:eastAsia="Arial" w:hAnsi="Arial"/>
          <w:sz w:val="17"/>
          <w:szCs w:val="17"/>
          <w:u w:val="single" w:color="auto"/>
          <w:color w:val="0090DA"/>
        </w:rPr>
        <w:t>investors.micron.com</w:t>
      </w:r>
      <w:r>
        <w:rPr>
          <w:rFonts w:ascii="Arial" w:cs="Arial" w:eastAsia="Arial" w:hAnsi="Arial"/>
          <w:sz w:val="17"/>
          <w:szCs w:val="17"/>
          <w:color w:val="auto"/>
        </w:rPr>
        <w:t>. A webcast replay will be available for one year after the call. For Investor Relations and other company updates, follow @MicronTech on Twitter at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90DA"/>
        </w:rPr>
        <w:t>twitter.com/MicronTech</w:t>
      </w:r>
      <w:r>
        <w:rPr>
          <w:rFonts w:ascii="Arial" w:cs="Arial" w:eastAsia="Arial" w:hAnsi="Arial"/>
          <w:sz w:val="18"/>
          <w:szCs w:val="18"/>
          <w:color w:val="000000"/>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Micron Technology, Inc.</w:t>
      </w:r>
    </w:p>
    <w:p>
      <w:pPr>
        <w:spacing w:after="0" w:line="252"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 xml:space="preserve">We are an industry leader in innovative memory and storage solutions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xml:space="preserve">. With a relentless focus on our customers, technology leadership, and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and 5G applications that unleash opportunities — from the data center to the intelligent edge and across the client and mobile user experience. To learn more about Micron Technology, Inc. (Nasdaq: MU), visit </w:t>
      </w:r>
      <w:r>
        <w:rPr>
          <w:rFonts w:ascii="Arial" w:cs="Arial" w:eastAsia="Arial" w:hAnsi="Arial"/>
          <w:sz w:val="18"/>
          <w:szCs w:val="18"/>
          <w:u w:val="single" w:color="auto"/>
          <w:color w:val="0090DA"/>
        </w:rPr>
        <w:t>micron.com</w:t>
      </w:r>
      <w:r>
        <w:rPr>
          <w:rFonts w:ascii="Arial" w:cs="Arial" w:eastAsia="Arial" w:hAnsi="Arial"/>
          <w:sz w:val="18"/>
          <w:szCs w:val="18"/>
          <w:color w:val="auto"/>
        </w:rPr>
        <w:t>.</w:t>
      </w:r>
    </w:p>
    <w:p>
      <w:pPr>
        <w:spacing w:after="0" w:line="219" w:lineRule="exact"/>
        <w:rPr>
          <w:sz w:val="20"/>
          <w:szCs w:val="20"/>
          <w:color w:val="auto"/>
        </w:rPr>
      </w:pPr>
    </w:p>
    <w:p>
      <w:pPr>
        <w:ind w:right="520" w:firstLine="8"/>
        <w:spacing w:after="0" w:line="269" w:lineRule="auto"/>
        <w:tabs>
          <w:tab w:leader="none" w:pos="183"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2022 Micron Technology, Inc. All rights reserved. Micron, the Micron logo, and all other Micron trademarks are the property of Micron Technology, Inc. All other trademarks are the property of their respective owners.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This press release contains forward-looking statements regarding our industry, demand for our products, our strategic position, and our financial and operating results. These forward-looking statements are subject to a number of risks and uncertainties that could cause actual results to differ materially. Please refer to the documents we file with the Securities and Exchange Commission, specifically our most recent Form 10-K and Form 10-Q. These documents contain and identify important factors that could cause our actual results to differ materially from those contained in these forward-looking statements. These certain factors can be found at </w:t>
      </w:r>
      <w:r>
        <w:rPr>
          <w:rFonts w:ascii="Arial" w:cs="Arial" w:eastAsia="Arial" w:hAnsi="Arial"/>
          <w:sz w:val="18"/>
          <w:szCs w:val="18"/>
          <w:u w:val="single" w:color="auto"/>
          <w:color w:val="0090DA"/>
        </w:rPr>
        <w:t>micron.com/certainfactors</w:t>
      </w:r>
      <w:r>
        <w:rPr>
          <w:rFonts w:ascii="Arial" w:cs="Arial" w:eastAsia="Arial" w:hAnsi="Arial"/>
          <w:sz w:val="18"/>
          <w:szCs w:val="18"/>
          <w:color w:val="auto"/>
        </w:rPr>
        <w:t>. Although we believe that the expectations reflected in the forward-looking statements are reasonable, we cannot guarantee future results, levels of activity, performance, or achievements. We are under no duty to update any of the forward-looking statements to conform these statements to actual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20" w:hanging="312"/>
        <w:spacing w:after="0"/>
        <w:tabs>
          <w:tab w:leader="none" w:pos="32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GAAP represents U.S. Generally Accepted Accounting Principles.</w:t>
      </w:r>
    </w:p>
    <w:p>
      <w:pPr>
        <w:ind w:left="340" w:right="240" w:hanging="332"/>
        <w:spacing w:after="0" w:line="235" w:lineRule="auto"/>
        <w:tabs>
          <w:tab w:leader="none" w:pos="334"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Non-GAAP represents GAAP excluding the impact of certain activities, which management excludes in analyzing our operating results and understanding trends in our earnings, adjusted free cash flow, net cash, and business outlook. Further information regarding Micron’s use of non-GAAP measures and reconciliations between GAAP and non-GAAP measures are included within this press release.</w:t>
      </w: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89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3rd Qtr.</w:t>
            </w:r>
          </w:p>
        </w:tc>
        <w:tc>
          <w:tcPr>
            <w:tcW w:w="200" w:type="dxa"/>
            <w:vAlign w:val="bottom"/>
          </w:tcPr>
          <w:p>
            <w:pPr>
              <w:spacing w:after="0"/>
              <w:rPr>
                <w:sz w:val="19"/>
                <w:szCs w:val="19"/>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98"/>
              </w:rPr>
              <w:t>2nd Qtr.</w:t>
            </w:r>
          </w:p>
        </w:tc>
        <w:tc>
          <w:tcPr>
            <w:tcW w:w="240" w:type="dxa"/>
            <w:vAlign w:val="bottom"/>
          </w:tcPr>
          <w:p>
            <w:pPr>
              <w:spacing w:after="0"/>
              <w:rPr>
                <w:sz w:val="19"/>
                <w:szCs w:val="19"/>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3rd Qtr.</w:t>
            </w:r>
          </w:p>
        </w:tc>
        <w:tc>
          <w:tcPr>
            <w:tcW w:w="240" w:type="dxa"/>
            <w:vAlign w:val="bottom"/>
          </w:tcPr>
          <w:p>
            <w:pPr>
              <w:spacing w:after="0"/>
              <w:rPr>
                <w:sz w:val="19"/>
                <w:szCs w:val="19"/>
                <w:color w:val="auto"/>
              </w:rPr>
            </w:pPr>
          </w:p>
        </w:tc>
        <w:tc>
          <w:tcPr>
            <w:tcW w:w="244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Nine months ended</w:t>
            </w:r>
          </w:p>
        </w:tc>
      </w:tr>
      <w:tr>
        <w:trPr>
          <w:trHeight w:val="181"/>
        </w:trPr>
        <w:tc>
          <w:tcPr>
            <w:tcW w:w="4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center"/>
              <w:ind w:right="150"/>
              <w:spacing w:after="0" w:line="181" w:lineRule="exact"/>
              <w:rPr>
                <w:sz w:val="20"/>
                <w:szCs w:val="20"/>
                <w:color w:val="auto"/>
              </w:rPr>
            </w:pPr>
            <w:r>
              <w:rPr>
                <w:rFonts w:ascii="Arial" w:cs="Arial" w:eastAsia="Arial" w:hAnsi="Arial"/>
                <w:sz w:val="18"/>
                <w:szCs w:val="18"/>
                <w:b w:val="1"/>
                <w:bCs w:val="1"/>
                <w:color w:val="auto"/>
                <w:w w:val="99"/>
              </w:rPr>
              <w:t>June 2,</w:t>
            </w:r>
          </w:p>
        </w:tc>
        <w:tc>
          <w:tcPr>
            <w:tcW w:w="200" w:type="dxa"/>
            <w:vAlign w:val="bottom"/>
          </w:tcPr>
          <w:p>
            <w:pPr>
              <w:spacing w:after="0"/>
              <w:rPr>
                <w:sz w:val="15"/>
                <w:szCs w:val="15"/>
                <w:color w:val="auto"/>
              </w:rPr>
            </w:pPr>
          </w:p>
        </w:tc>
        <w:tc>
          <w:tcPr>
            <w:tcW w:w="1120" w:type="dxa"/>
            <w:vAlign w:val="bottom"/>
          </w:tcPr>
          <w:p>
            <w:pPr>
              <w:jc w:val="center"/>
              <w:ind w:right="110"/>
              <w:spacing w:after="0" w:line="181" w:lineRule="exact"/>
              <w:rPr>
                <w:sz w:val="20"/>
                <w:szCs w:val="20"/>
                <w:color w:val="auto"/>
              </w:rPr>
            </w:pPr>
            <w:r>
              <w:rPr>
                <w:rFonts w:ascii="Arial" w:cs="Arial" w:eastAsia="Arial" w:hAnsi="Arial"/>
                <w:sz w:val="18"/>
                <w:szCs w:val="18"/>
                <w:b w:val="1"/>
                <w:bCs w:val="1"/>
                <w:color w:val="auto"/>
                <w:w w:val="98"/>
              </w:rPr>
              <w:t>March 3,</w:t>
            </w:r>
          </w:p>
        </w:tc>
        <w:tc>
          <w:tcPr>
            <w:tcW w:w="240" w:type="dxa"/>
            <w:vAlign w:val="bottom"/>
          </w:tcPr>
          <w:p>
            <w:pPr>
              <w:spacing w:after="0"/>
              <w:rPr>
                <w:sz w:val="15"/>
                <w:szCs w:val="15"/>
                <w:color w:val="auto"/>
              </w:rPr>
            </w:pPr>
          </w:p>
        </w:tc>
        <w:tc>
          <w:tcPr>
            <w:tcW w:w="1080" w:type="dxa"/>
            <w:vAlign w:val="bottom"/>
          </w:tcPr>
          <w:p>
            <w:pPr>
              <w:jc w:val="center"/>
              <w:ind w:right="130"/>
              <w:spacing w:after="0" w:line="181" w:lineRule="exact"/>
              <w:rPr>
                <w:sz w:val="20"/>
                <w:szCs w:val="20"/>
                <w:color w:val="auto"/>
              </w:rPr>
            </w:pPr>
            <w:r>
              <w:rPr>
                <w:rFonts w:ascii="Arial" w:cs="Arial" w:eastAsia="Arial" w:hAnsi="Arial"/>
                <w:sz w:val="18"/>
                <w:szCs w:val="18"/>
                <w:b w:val="1"/>
                <w:bCs w:val="1"/>
                <w:color w:val="auto"/>
                <w:w w:val="99"/>
              </w:rPr>
              <w:t>June 3,</w:t>
            </w:r>
          </w:p>
        </w:tc>
        <w:tc>
          <w:tcPr>
            <w:tcW w:w="240" w:type="dxa"/>
            <w:vAlign w:val="bottom"/>
          </w:tcPr>
          <w:p>
            <w:pPr>
              <w:spacing w:after="0"/>
              <w:rPr>
                <w:sz w:val="15"/>
                <w:szCs w:val="15"/>
                <w:color w:val="auto"/>
              </w:rPr>
            </w:pPr>
          </w:p>
        </w:tc>
        <w:tc>
          <w:tcPr>
            <w:tcW w:w="1100" w:type="dxa"/>
            <w:vAlign w:val="bottom"/>
          </w:tcPr>
          <w:p>
            <w:pPr>
              <w:jc w:val="right"/>
              <w:ind w:right="270"/>
              <w:spacing w:after="0" w:line="181" w:lineRule="exact"/>
              <w:rPr>
                <w:sz w:val="20"/>
                <w:szCs w:val="20"/>
                <w:color w:val="auto"/>
              </w:rPr>
            </w:pPr>
            <w:r>
              <w:rPr>
                <w:rFonts w:ascii="Arial" w:cs="Arial" w:eastAsia="Arial" w:hAnsi="Arial"/>
                <w:sz w:val="18"/>
                <w:szCs w:val="18"/>
                <w:b w:val="1"/>
                <w:bCs w:val="1"/>
                <w:color w:val="auto"/>
              </w:rPr>
              <w:t>June 2,</w:t>
            </w:r>
          </w:p>
        </w:tc>
        <w:tc>
          <w:tcPr>
            <w:tcW w:w="240" w:type="dxa"/>
            <w:vAlign w:val="bottom"/>
          </w:tcPr>
          <w:p>
            <w:pPr>
              <w:spacing w:after="0"/>
              <w:rPr>
                <w:sz w:val="15"/>
                <w:szCs w:val="15"/>
                <w:color w:val="auto"/>
              </w:rPr>
            </w:pPr>
          </w:p>
        </w:tc>
        <w:tc>
          <w:tcPr>
            <w:tcW w:w="1100" w:type="dxa"/>
            <w:vAlign w:val="bottom"/>
          </w:tcPr>
          <w:p>
            <w:pPr>
              <w:jc w:val="right"/>
              <w:ind w:right="270"/>
              <w:spacing w:after="0" w:line="181" w:lineRule="exact"/>
              <w:rPr>
                <w:sz w:val="20"/>
                <w:szCs w:val="20"/>
                <w:color w:val="auto"/>
              </w:rPr>
            </w:pPr>
            <w:r>
              <w:rPr>
                <w:rFonts w:ascii="Arial" w:cs="Arial" w:eastAsia="Arial" w:hAnsi="Arial"/>
                <w:sz w:val="18"/>
                <w:szCs w:val="18"/>
                <w:b w:val="1"/>
                <w:bCs w:val="1"/>
                <w:color w:val="auto"/>
              </w:rPr>
              <w:t>June 3,</w:t>
            </w:r>
          </w:p>
        </w:tc>
      </w:tr>
      <w:tr>
        <w:trPr>
          <w:trHeight w:val="243"/>
        </w:trPr>
        <w:tc>
          <w:tcPr>
            <w:tcW w:w="4600" w:type="dxa"/>
            <w:vAlign w:val="bottom"/>
            <w:tcBorders>
              <w:bottom w:val="single" w:sz="8" w:color="0090DA"/>
            </w:tcBorders>
          </w:tcPr>
          <w:p>
            <w:pPr>
              <w:spacing w:after="0"/>
              <w:rPr>
                <w:sz w:val="21"/>
                <w:szCs w:val="21"/>
                <w:color w:val="auto"/>
              </w:rPr>
            </w:pPr>
          </w:p>
        </w:tc>
        <w:tc>
          <w:tcPr>
            <w:tcW w:w="220" w:type="dxa"/>
            <w:vAlign w:val="bottom"/>
            <w:tcBorders>
              <w:bottom w:val="single" w:sz="8" w:color="0090DA"/>
            </w:tcBorders>
          </w:tcPr>
          <w:p>
            <w:pPr>
              <w:spacing w:after="0"/>
              <w:rPr>
                <w:sz w:val="21"/>
                <w:szCs w:val="21"/>
                <w:color w:val="auto"/>
              </w:rPr>
            </w:pPr>
          </w:p>
        </w:tc>
        <w:tc>
          <w:tcPr>
            <w:tcW w:w="1100" w:type="dxa"/>
            <w:vAlign w:val="bottom"/>
            <w:tcBorders>
              <w:bottom w:val="single" w:sz="8" w:color="0090DA"/>
            </w:tcBorders>
          </w:tcPr>
          <w:p>
            <w:pPr>
              <w:jc w:val="center"/>
              <w:ind w:right="130"/>
              <w:spacing w:after="0"/>
              <w:rPr>
                <w:sz w:val="20"/>
                <w:szCs w:val="20"/>
                <w:color w:val="auto"/>
              </w:rPr>
            </w:pPr>
            <w:r>
              <w:rPr>
                <w:rFonts w:ascii="Arial" w:cs="Arial" w:eastAsia="Arial" w:hAnsi="Arial"/>
                <w:sz w:val="18"/>
                <w:szCs w:val="18"/>
                <w:b w:val="1"/>
                <w:bCs w:val="1"/>
                <w:color w:val="auto"/>
                <w:w w:val="99"/>
              </w:rPr>
              <w:t>2022</w:t>
            </w:r>
          </w:p>
        </w:tc>
        <w:tc>
          <w:tcPr>
            <w:tcW w:w="200" w:type="dxa"/>
            <w:vAlign w:val="bottom"/>
            <w:tcBorders>
              <w:bottom w:val="single" w:sz="8" w:color="0090DA"/>
            </w:tcBorders>
          </w:tcPr>
          <w:p>
            <w:pPr>
              <w:spacing w:after="0"/>
              <w:rPr>
                <w:sz w:val="21"/>
                <w:szCs w:val="21"/>
                <w:color w:val="auto"/>
              </w:rPr>
            </w:pPr>
          </w:p>
        </w:tc>
        <w:tc>
          <w:tcPr>
            <w:tcW w:w="1120" w:type="dxa"/>
            <w:vAlign w:val="bottom"/>
            <w:tcBorders>
              <w:bottom w:val="single" w:sz="8" w:color="0090DA"/>
            </w:tcBorders>
          </w:tcPr>
          <w:p>
            <w:pPr>
              <w:jc w:val="center"/>
              <w:ind w:right="110"/>
              <w:spacing w:after="0"/>
              <w:rPr>
                <w:sz w:val="20"/>
                <w:szCs w:val="20"/>
                <w:color w:val="auto"/>
              </w:rPr>
            </w:pPr>
            <w:r>
              <w:rPr>
                <w:rFonts w:ascii="Arial" w:cs="Arial" w:eastAsia="Arial" w:hAnsi="Arial"/>
                <w:sz w:val="18"/>
                <w:szCs w:val="18"/>
                <w:b w:val="1"/>
                <w:bCs w:val="1"/>
                <w:color w:val="auto"/>
                <w:w w:val="99"/>
              </w:rPr>
              <w:t>2022</w:t>
            </w:r>
          </w:p>
        </w:tc>
        <w:tc>
          <w:tcPr>
            <w:tcW w:w="240" w:type="dxa"/>
            <w:vAlign w:val="bottom"/>
            <w:tcBorders>
              <w:bottom w:val="single" w:sz="8" w:color="0090DA"/>
            </w:tcBorders>
          </w:tcPr>
          <w:p>
            <w:pPr>
              <w:spacing w:after="0"/>
              <w:rPr>
                <w:sz w:val="21"/>
                <w:szCs w:val="21"/>
                <w:color w:val="auto"/>
              </w:rPr>
            </w:pPr>
          </w:p>
        </w:tc>
        <w:tc>
          <w:tcPr>
            <w:tcW w:w="1080" w:type="dxa"/>
            <w:vAlign w:val="bottom"/>
            <w:tcBorders>
              <w:bottom w:val="single" w:sz="8" w:color="0090DA"/>
            </w:tcBorders>
          </w:tcPr>
          <w:p>
            <w:pPr>
              <w:jc w:val="center"/>
              <w:ind w:right="150"/>
              <w:spacing w:after="0"/>
              <w:rPr>
                <w:sz w:val="20"/>
                <w:szCs w:val="20"/>
                <w:color w:val="auto"/>
              </w:rPr>
            </w:pPr>
            <w:r>
              <w:rPr>
                <w:rFonts w:ascii="Arial" w:cs="Arial" w:eastAsia="Arial" w:hAnsi="Arial"/>
                <w:sz w:val="18"/>
                <w:szCs w:val="18"/>
                <w:b w:val="1"/>
                <w:bCs w:val="1"/>
                <w:color w:val="auto"/>
                <w:w w:val="99"/>
              </w:rPr>
              <w:t>2021</w:t>
            </w:r>
          </w:p>
        </w:tc>
        <w:tc>
          <w:tcPr>
            <w:tcW w:w="240" w:type="dxa"/>
            <w:vAlign w:val="bottom"/>
            <w:tcBorders>
              <w:bottom w:val="single" w:sz="8" w:color="0090DA"/>
            </w:tcBorders>
          </w:tcPr>
          <w:p>
            <w:pPr>
              <w:spacing w:after="0"/>
              <w:rPr>
                <w:sz w:val="21"/>
                <w:szCs w:val="21"/>
                <w:color w:val="auto"/>
              </w:rPr>
            </w:pPr>
          </w:p>
        </w:tc>
        <w:tc>
          <w:tcPr>
            <w:tcW w:w="110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0090DA"/>
            </w:tcBorders>
          </w:tcPr>
          <w:p>
            <w:pPr>
              <w:spacing w:after="0"/>
              <w:rPr>
                <w:sz w:val="21"/>
                <w:szCs w:val="21"/>
                <w:color w:val="auto"/>
              </w:rPr>
            </w:pPr>
          </w:p>
        </w:tc>
        <w:tc>
          <w:tcPr>
            <w:tcW w:w="110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2021</w:t>
            </w:r>
          </w:p>
        </w:tc>
      </w:tr>
      <w:tr>
        <w:trPr>
          <w:trHeight w:val="34"/>
        </w:trPr>
        <w:tc>
          <w:tcPr>
            <w:tcW w:w="4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0"/>
        </w:trPr>
        <w:tc>
          <w:tcPr>
            <w:tcW w:w="4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8,642</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7,786</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7,422</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24,115</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19,431</w:t>
            </w:r>
          </w:p>
        </w:tc>
      </w:tr>
      <w:tr>
        <w:trPr>
          <w:trHeight w:val="229"/>
        </w:trPr>
        <w:tc>
          <w:tcPr>
            <w:tcW w:w="46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4,607</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4,110</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4,296</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12,839</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12,920</w:t>
            </w:r>
          </w:p>
        </w:tc>
      </w:tr>
      <w:tr>
        <w:trPr>
          <w:trHeight w:val="223"/>
        </w:trPr>
        <w:tc>
          <w:tcPr>
            <w:tcW w:w="46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Gross margin</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4,035</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3,676</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3,126</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11,276</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6,511</w:t>
            </w:r>
          </w:p>
        </w:tc>
      </w:tr>
      <w:tr>
        <w:trPr>
          <w:trHeight w:val="257"/>
        </w:trPr>
        <w:tc>
          <w:tcPr>
            <w:tcW w:w="4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29"/>
        </w:trPr>
        <w:tc>
          <w:tcPr>
            <w:tcW w:w="4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773</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792</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670</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2,277</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1,958</w:t>
            </w: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264</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263</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230</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786</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658</w:t>
            </w:r>
          </w:p>
        </w:tc>
      </w:tr>
      <w:tr>
        <w:trPr>
          <w:trHeight w:val="230"/>
        </w:trPr>
        <w:tc>
          <w:tcPr>
            <w:tcW w:w="4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Restructure and asset impairments</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453</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466</w:t>
            </w:r>
          </w:p>
        </w:tc>
      </w:tr>
      <w:tr>
        <w:trPr>
          <w:trHeight w:val="229"/>
        </w:trPr>
        <w:tc>
          <w:tcPr>
            <w:tcW w:w="46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operating (income) expense, net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r>
      <w:tr>
        <w:trPr>
          <w:trHeight w:val="223"/>
        </w:trPr>
        <w:tc>
          <w:tcPr>
            <w:tcW w:w="46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3,004</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2,546</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1,799</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8,181</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3,328</w:t>
            </w:r>
          </w:p>
        </w:tc>
      </w:tr>
      <w:tr>
        <w:trPr>
          <w:trHeight w:val="256"/>
        </w:trPr>
        <w:tc>
          <w:tcPr>
            <w:tcW w:w="4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30"/>
        </w:trPr>
        <w:tc>
          <w:tcPr>
            <w:tcW w:w="4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30"/>
        </w:trPr>
        <w:tc>
          <w:tcPr>
            <w:tcW w:w="4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non-operating income (expense), net</w:t>
            </w:r>
          </w:p>
        </w:tc>
        <w:tc>
          <w:tcPr>
            <w:tcW w:w="22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45</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(61)</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62</w:t>
            </w:r>
          </w:p>
        </w:tc>
      </w:tr>
      <w:tr>
        <w:trPr>
          <w:trHeight w:val="223"/>
        </w:trPr>
        <w:tc>
          <w:tcPr>
            <w:tcW w:w="4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2,988</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2,509</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1,806</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8,018</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3,282</w:t>
            </w:r>
          </w:p>
        </w:tc>
      </w:tr>
      <w:tr>
        <w:trPr>
          <w:trHeight w:val="257"/>
        </w:trPr>
        <w:tc>
          <w:tcPr>
            <w:tcW w:w="460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200" w:type="dxa"/>
            <w:vAlign w:val="bottom"/>
            <w:shd w:val="clear" w:color="auto" w:fill="D1D2D4"/>
          </w:tcPr>
          <w:p>
            <w:pPr>
              <w:spacing w:after="0"/>
              <w:rPr>
                <w:sz w:val="22"/>
                <w:szCs w:val="22"/>
                <w:color w:val="auto"/>
              </w:rPr>
            </w:pPr>
          </w:p>
        </w:tc>
        <w:tc>
          <w:tcPr>
            <w:tcW w:w="112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08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(358)</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(255)</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(832)</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30"/>
        </w:trPr>
        <w:tc>
          <w:tcPr>
            <w:tcW w:w="4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Equity in net income (loss) of equity method investees</w:t>
            </w:r>
          </w:p>
        </w:tc>
        <w:tc>
          <w:tcPr>
            <w:tcW w:w="22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460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2,263</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7,195</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3,141</w:t>
            </w:r>
          </w:p>
        </w:tc>
      </w:tr>
      <w:tr>
        <w:trPr>
          <w:trHeight w:val="20"/>
        </w:trPr>
        <w:tc>
          <w:tcPr>
            <w:tcW w:w="4600" w:type="dxa"/>
            <w:vAlign w:val="bottom"/>
            <w:tcBorders>
              <w:bottom w:val="single" w:sz="8" w:color="D1D2D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4"/>
        </w:trPr>
        <w:tc>
          <w:tcPr>
            <w:tcW w:w="46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6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2.36</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2.02</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1.55</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6.44</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2.81</w:t>
            </w:r>
          </w:p>
        </w:tc>
      </w:tr>
      <w:tr>
        <w:trPr>
          <w:trHeight w:val="230"/>
        </w:trPr>
        <w:tc>
          <w:tcPr>
            <w:tcW w:w="4600" w:type="dxa"/>
            <w:vAlign w:val="bottom"/>
          </w:tcPr>
          <w:p>
            <w:pPr>
              <w:ind w:left="22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2.34</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1.52</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6.38</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2.75</w:t>
            </w:r>
          </w:p>
        </w:tc>
      </w:tr>
      <w:tr>
        <w:trPr>
          <w:trHeight w:val="257"/>
        </w:trPr>
        <w:tc>
          <w:tcPr>
            <w:tcW w:w="460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200" w:type="dxa"/>
            <w:vAlign w:val="bottom"/>
            <w:shd w:val="clear" w:color="auto" w:fill="D1D2D4"/>
          </w:tcPr>
          <w:p>
            <w:pPr>
              <w:spacing w:after="0"/>
              <w:rPr>
                <w:sz w:val="22"/>
                <w:szCs w:val="22"/>
                <w:color w:val="auto"/>
              </w:rPr>
            </w:pPr>
          </w:p>
        </w:tc>
        <w:tc>
          <w:tcPr>
            <w:tcW w:w="112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08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Number of shares used in per share calculations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6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1,112</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1,119</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1,121</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1,117</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1,119</w:t>
            </w:r>
          </w:p>
        </w:tc>
      </w:tr>
      <w:tr>
        <w:trPr>
          <w:trHeight w:val="239"/>
        </w:trPr>
        <w:tc>
          <w:tcPr>
            <w:tcW w:w="4600" w:type="dxa"/>
            <w:vAlign w:val="bottom"/>
          </w:tcPr>
          <w:p>
            <w:pPr>
              <w:ind w:left="22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1,121</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1,130</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1,145</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1,127</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13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20" w:type="dxa"/>
            <w:vAlign w:val="bottom"/>
          </w:tcPr>
          <w:p>
            <w:pPr>
              <w:spacing w:after="0"/>
              <w:rPr>
                <w:sz w:val="17"/>
                <w:szCs w:val="17"/>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June 2,</w:t>
            </w:r>
          </w:p>
        </w:tc>
        <w:tc>
          <w:tcPr>
            <w:tcW w:w="220" w:type="dxa"/>
            <w:vAlign w:val="bottom"/>
          </w:tcPr>
          <w:p>
            <w:pPr>
              <w:spacing w:after="0"/>
              <w:rPr>
                <w:sz w:val="17"/>
                <w:szCs w:val="17"/>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March 3,</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September 2,</w:t>
            </w:r>
          </w:p>
        </w:tc>
        <w:tc>
          <w:tcPr>
            <w:tcW w:w="0" w:type="dxa"/>
            <w:vAlign w:val="bottom"/>
          </w:tcPr>
          <w:p>
            <w:pPr>
              <w:spacing w:after="0"/>
              <w:rPr>
                <w:sz w:val="1"/>
                <w:szCs w:val="1"/>
                <w:color w:val="auto"/>
              </w:rPr>
            </w:pPr>
          </w:p>
        </w:tc>
      </w:tr>
      <w:tr>
        <w:trPr>
          <w:trHeight w:val="243"/>
        </w:trPr>
        <w:tc>
          <w:tcPr>
            <w:tcW w:w="7240" w:type="dxa"/>
            <w:vAlign w:val="bottom"/>
            <w:tcBorders>
              <w:bottom w:val="single" w:sz="8" w:color="0090DA"/>
            </w:tcBorders>
            <w:vMerge w:val="continue"/>
          </w:tcPr>
          <w:p>
            <w:pPr>
              <w:spacing w:after="0"/>
              <w:rPr>
                <w:sz w:val="21"/>
                <w:szCs w:val="21"/>
                <w:color w:val="auto"/>
              </w:rPr>
            </w:pPr>
          </w:p>
        </w:tc>
        <w:tc>
          <w:tcPr>
            <w:tcW w:w="220" w:type="dxa"/>
            <w:vAlign w:val="bottom"/>
            <w:tcBorders>
              <w:bottom w:val="single" w:sz="8" w:color="0090DA"/>
            </w:tcBorders>
          </w:tcPr>
          <w:p>
            <w:pPr>
              <w:spacing w:after="0"/>
              <w:rPr>
                <w:sz w:val="21"/>
                <w:szCs w:val="21"/>
                <w:color w:val="auto"/>
              </w:rPr>
            </w:pPr>
          </w:p>
        </w:tc>
        <w:tc>
          <w:tcPr>
            <w:tcW w:w="110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0090DA"/>
            </w:tcBorders>
          </w:tcPr>
          <w:p>
            <w:pPr>
              <w:spacing w:after="0"/>
              <w:rPr>
                <w:sz w:val="21"/>
                <w:szCs w:val="21"/>
                <w:color w:val="auto"/>
              </w:rPr>
            </w:pPr>
          </w:p>
        </w:tc>
        <w:tc>
          <w:tcPr>
            <w:tcW w:w="112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bottom w:val="single" w:sz="8" w:color="0090DA"/>
            </w:tcBorders>
          </w:tcPr>
          <w:p>
            <w:pPr>
              <w:spacing w:after="0"/>
              <w:rPr>
                <w:sz w:val="21"/>
                <w:szCs w:val="21"/>
                <w:color w:val="auto"/>
              </w:rPr>
            </w:pPr>
          </w:p>
        </w:tc>
        <w:tc>
          <w:tcPr>
            <w:tcW w:w="104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34"/>
        </w:trPr>
        <w:tc>
          <w:tcPr>
            <w:tcW w:w="7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Cash and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9,157</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9,116</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7,763</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Short-term investments</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1,070</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1,006</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6,229</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5,384</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5,311</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5,629</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5,383</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4,487</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Assets held for sale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608</w:t>
            </w:r>
          </w:p>
        </w:tc>
        <w:tc>
          <w:tcPr>
            <w:tcW w:w="2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600</w:t>
            </w: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23"/>
        </w:trPr>
        <w:tc>
          <w:tcPr>
            <w:tcW w:w="724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22,708</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21,502</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19,907</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Long-term marketable investments</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1,646</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1,717</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36,665</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36,171</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33,213</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690</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587</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415</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414</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Deferred tax assets</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682</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762</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1,228</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1,228</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1,262</w:t>
            </w:r>
          </w:p>
        </w:tc>
        <w:tc>
          <w:tcPr>
            <w:tcW w:w="2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1,315</w:t>
            </w: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23"/>
        </w:trPr>
        <w:tc>
          <w:tcPr>
            <w:tcW w:w="7240" w:type="dxa"/>
            <w:vAlign w:val="bottom"/>
          </w:tcPr>
          <w:p>
            <w:pPr>
              <w:ind w:left="48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65,296</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63,696</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58,849</w:t>
            </w:r>
          </w:p>
        </w:tc>
        <w:tc>
          <w:tcPr>
            <w:tcW w:w="0" w:type="dxa"/>
            <w:vAlign w:val="bottom"/>
          </w:tcPr>
          <w:p>
            <w:pPr>
              <w:spacing w:after="0"/>
              <w:rPr>
                <w:sz w:val="1"/>
                <w:szCs w:val="1"/>
                <w:color w:val="auto"/>
              </w:rPr>
            </w:pPr>
          </w:p>
        </w:tc>
      </w:tr>
      <w:tr>
        <w:trPr>
          <w:trHeight w:val="20"/>
        </w:trPr>
        <w:tc>
          <w:tcPr>
            <w:tcW w:w="7240" w:type="dxa"/>
            <w:vAlign w:val="bottom"/>
            <w:tcBorders>
              <w:bottom w:val="single" w:sz="8" w:color="D1D2D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240" w:type="dxa"/>
            <w:vAlign w:val="bottom"/>
            <w:shd w:val="clear" w:color="auto" w:fill="D1D2D4"/>
          </w:tcPr>
          <w:p>
            <w:pPr>
              <w:spacing w:after="0"/>
              <w:rPr>
                <w:sz w:val="15"/>
                <w:szCs w:val="15"/>
                <w:color w:val="auto"/>
              </w:rPr>
            </w:pPr>
          </w:p>
        </w:tc>
        <w:tc>
          <w:tcPr>
            <w:tcW w:w="220" w:type="dxa"/>
            <w:vAlign w:val="bottom"/>
            <w:shd w:val="clear" w:color="auto" w:fill="D1D2D4"/>
          </w:tcPr>
          <w:p>
            <w:pPr>
              <w:spacing w:after="0"/>
              <w:rPr>
                <w:sz w:val="15"/>
                <w:szCs w:val="15"/>
                <w:color w:val="auto"/>
              </w:rPr>
            </w:pPr>
          </w:p>
        </w:tc>
        <w:tc>
          <w:tcPr>
            <w:tcW w:w="1100" w:type="dxa"/>
            <w:vAlign w:val="bottom"/>
            <w:shd w:val="clear" w:color="auto" w:fill="D1D2D4"/>
          </w:tcPr>
          <w:p>
            <w:pPr>
              <w:spacing w:after="0"/>
              <w:rPr>
                <w:sz w:val="15"/>
                <w:szCs w:val="15"/>
                <w:color w:val="auto"/>
              </w:rPr>
            </w:pPr>
          </w:p>
        </w:tc>
        <w:tc>
          <w:tcPr>
            <w:tcW w:w="220" w:type="dxa"/>
            <w:vAlign w:val="bottom"/>
            <w:shd w:val="clear" w:color="auto" w:fill="D1D2D4"/>
          </w:tcPr>
          <w:p>
            <w:pPr>
              <w:spacing w:after="0"/>
              <w:rPr>
                <w:sz w:val="15"/>
                <w:szCs w:val="15"/>
                <w:color w:val="auto"/>
              </w:rPr>
            </w:pPr>
          </w:p>
        </w:tc>
        <w:tc>
          <w:tcPr>
            <w:tcW w:w="1120" w:type="dxa"/>
            <w:vAlign w:val="bottom"/>
            <w:shd w:val="clear" w:color="auto" w:fill="D1D2D4"/>
          </w:tcPr>
          <w:p>
            <w:pPr>
              <w:spacing w:after="0"/>
              <w:rPr>
                <w:sz w:val="15"/>
                <w:szCs w:val="15"/>
                <w:color w:val="auto"/>
              </w:rPr>
            </w:pPr>
          </w:p>
        </w:tc>
        <w:tc>
          <w:tcPr>
            <w:tcW w:w="300" w:type="dxa"/>
            <w:vAlign w:val="bottom"/>
            <w:shd w:val="clear" w:color="auto" w:fill="D1D2D4"/>
          </w:tcPr>
          <w:p>
            <w:pPr>
              <w:spacing w:after="0"/>
              <w:rPr>
                <w:sz w:val="15"/>
                <w:szCs w:val="15"/>
                <w:color w:val="auto"/>
              </w:rPr>
            </w:pPr>
          </w:p>
        </w:tc>
        <w:tc>
          <w:tcPr>
            <w:tcW w:w="104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5,788</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5,650</w:t>
            </w:r>
          </w:p>
        </w:tc>
        <w:tc>
          <w:tcPr>
            <w:tcW w:w="30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5,325</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Current debt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1,114</w:t>
            </w:r>
          </w:p>
        </w:tc>
        <w:tc>
          <w:tcPr>
            <w:tcW w:w="2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1,145</w:t>
            </w: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23"/>
        </w:trPr>
        <w:tc>
          <w:tcPr>
            <w:tcW w:w="724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7,009</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6,918</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6,424</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6,856</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6,953</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6,621</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Noncurrent operating lease liabilities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629</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535</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Noncurrent unearned government incentives</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663</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704</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23"/>
        </w:trPr>
        <w:tc>
          <w:tcPr>
            <w:tcW w:w="7240" w:type="dxa"/>
            <w:vAlign w:val="bottom"/>
            <w:shd w:val="clear" w:color="auto" w:fill="D1D2D4"/>
          </w:tcPr>
          <w:p>
            <w:pPr>
              <w:ind w:left="4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16,015</w:t>
            </w:r>
          </w:p>
        </w:tc>
        <w:tc>
          <w:tcPr>
            <w:tcW w:w="2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15,851</w:t>
            </w: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14,916</w:t>
            </w:r>
          </w:p>
        </w:tc>
        <w:tc>
          <w:tcPr>
            <w:tcW w:w="0" w:type="dxa"/>
            <w:vAlign w:val="bottom"/>
          </w:tcPr>
          <w:p>
            <w:pPr>
              <w:spacing w:after="0"/>
              <w:rPr>
                <w:sz w:val="1"/>
                <w:szCs w:val="1"/>
                <w:color w:val="auto"/>
              </w:rPr>
            </w:pPr>
          </w:p>
        </w:tc>
      </w:tr>
      <w:tr>
        <w:trPr>
          <w:trHeight w:val="196"/>
        </w:trPr>
        <w:tc>
          <w:tcPr>
            <w:tcW w:w="7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Commitments and contingencies</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Shareholders’ equity</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100"/>
              <w:spacing w:after="0"/>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100"/>
              <w:spacing w:after="0"/>
              <w:rPr>
                <w:sz w:val="20"/>
                <w:szCs w:val="20"/>
                <w:color w:val="auto"/>
              </w:rPr>
            </w:pPr>
            <w:r>
              <w:rPr>
                <w:rFonts w:ascii="Arial" w:cs="Arial" w:eastAsia="Arial" w:hAnsi="Arial"/>
                <w:sz w:val="18"/>
                <w:szCs w:val="18"/>
                <w:color w:val="auto"/>
              </w:rPr>
              <w:t>Additional capital</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9,950</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9,816</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9,453</w:t>
            </w:r>
          </w:p>
        </w:tc>
        <w:tc>
          <w:tcPr>
            <w:tcW w:w="0" w:type="dxa"/>
            <w:vAlign w:val="bottom"/>
          </w:tcPr>
          <w:p>
            <w:pPr>
              <w:spacing w:after="0"/>
              <w:rPr>
                <w:sz w:val="1"/>
                <w:szCs w:val="1"/>
                <w:color w:val="auto"/>
              </w:rPr>
            </w:pPr>
          </w:p>
        </w:tc>
      </w:tr>
      <w:tr>
        <w:trPr>
          <w:trHeight w:val="230"/>
        </w:trPr>
        <w:tc>
          <w:tcPr>
            <w:tcW w:w="7240" w:type="dxa"/>
            <w:vAlign w:val="bottom"/>
          </w:tcPr>
          <w:p>
            <w:pPr>
              <w:ind w:left="10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45,916</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43,407</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39,051</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100"/>
              <w:spacing w:after="0"/>
              <w:rPr>
                <w:sz w:val="20"/>
                <w:szCs w:val="20"/>
                <w:color w:val="auto"/>
              </w:rPr>
            </w:pPr>
            <w:r>
              <w:rPr>
                <w:rFonts w:ascii="Arial" w:cs="Arial" w:eastAsia="Arial" w:hAnsi="Arial"/>
                <w:sz w:val="18"/>
                <w:szCs w:val="18"/>
                <w:color w:val="auto"/>
              </w:rPr>
              <w:t>Treasury stock</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(6,343)</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(5,362)</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(4,695)</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D1D2D4"/>
            </w:tcBorders>
          </w:tcPr>
          <w:p>
            <w:pPr>
              <w:ind w:left="100"/>
              <w:spacing w:after="0"/>
              <w:rPr>
                <w:sz w:val="20"/>
                <w:szCs w:val="20"/>
                <w:color w:val="auto"/>
              </w:rPr>
            </w:pPr>
            <w:r>
              <w:rPr>
                <w:rFonts w:ascii="Arial" w:cs="Arial" w:eastAsia="Arial" w:hAnsi="Arial"/>
                <w:sz w:val="18"/>
                <w:szCs w:val="18"/>
                <w:color w:val="auto"/>
              </w:rPr>
              <w:t>Accumulated other comprehensive income (loss)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7240" w:type="dxa"/>
            <w:vAlign w:val="bottom"/>
            <w:shd w:val="clear" w:color="auto" w:fill="D1D2D4"/>
          </w:tcPr>
          <w:p>
            <w:pPr>
              <w:ind w:left="480"/>
              <w:spacing w:after="0"/>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49,281</w:t>
            </w:r>
          </w:p>
        </w:tc>
        <w:tc>
          <w:tcPr>
            <w:tcW w:w="2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47,845</w:t>
            </w: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43,933</w:t>
            </w:r>
          </w:p>
        </w:tc>
        <w:tc>
          <w:tcPr>
            <w:tcW w:w="0" w:type="dxa"/>
            <w:vAlign w:val="bottom"/>
          </w:tcPr>
          <w:p>
            <w:pPr>
              <w:spacing w:after="0"/>
              <w:rPr>
                <w:sz w:val="1"/>
                <w:szCs w:val="1"/>
                <w:color w:val="auto"/>
              </w:rPr>
            </w:pPr>
          </w:p>
        </w:tc>
      </w:tr>
      <w:tr>
        <w:trPr>
          <w:trHeight w:val="223"/>
        </w:trPr>
        <w:tc>
          <w:tcPr>
            <w:tcW w:w="7240" w:type="dxa"/>
            <w:vAlign w:val="bottom"/>
          </w:tcPr>
          <w:p>
            <w:pPr>
              <w:ind w:left="480"/>
              <w:spacing w:after="0"/>
              <w:rPr>
                <w:sz w:val="20"/>
                <w:szCs w:val="20"/>
                <w:color w:val="auto"/>
              </w:rPr>
            </w:pPr>
            <w:r>
              <w:rPr>
                <w:rFonts w:ascii="Arial" w:cs="Arial" w:eastAsia="Arial" w:hAnsi="Arial"/>
                <w:sz w:val="18"/>
                <w:szCs w:val="18"/>
                <w:color w:val="auto"/>
              </w:rPr>
              <w:t>Total liabilities and equity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65,296</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63,696</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58,849</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89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Nine months ended</w:t>
            </w:r>
          </w:p>
        </w:tc>
        <w:tc>
          <w:tcPr>
            <w:tcW w:w="260" w:type="dxa"/>
            <w:vAlign w:val="bottom"/>
          </w:tcPr>
          <w:p>
            <w:pPr>
              <w:spacing w:after="0"/>
              <w:rPr>
                <w:sz w:val="17"/>
                <w:szCs w:val="17"/>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June 2,</w:t>
            </w:r>
          </w:p>
        </w:tc>
        <w:tc>
          <w:tcPr>
            <w:tcW w:w="260" w:type="dxa"/>
            <w:vAlign w:val="bottom"/>
          </w:tcPr>
          <w:p>
            <w:pPr>
              <w:spacing w:after="0"/>
              <w:rPr>
                <w:sz w:val="17"/>
                <w:szCs w:val="17"/>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June 3,</w:t>
            </w:r>
          </w:p>
        </w:tc>
        <w:tc>
          <w:tcPr>
            <w:tcW w:w="0" w:type="dxa"/>
            <w:vAlign w:val="bottom"/>
          </w:tcPr>
          <w:p>
            <w:pPr>
              <w:spacing w:after="0"/>
              <w:rPr>
                <w:sz w:val="1"/>
                <w:szCs w:val="1"/>
                <w:color w:val="auto"/>
              </w:rPr>
            </w:pPr>
          </w:p>
        </w:tc>
      </w:tr>
      <w:tr>
        <w:trPr>
          <w:trHeight w:val="243"/>
        </w:trPr>
        <w:tc>
          <w:tcPr>
            <w:tcW w:w="8360" w:type="dxa"/>
            <w:vAlign w:val="bottom"/>
            <w:tcBorders>
              <w:bottom w:val="single" w:sz="8" w:color="0090DA"/>
            </w:tcBorders>
            <w:vMerge w:val="continue"/>
          </w:tcPr>
          <w:p>
            <w:pPr>
              <w:spacing w:after="0"/>
              <w:rPr>
                <w:sz w:val="21"/>
                <w:szCs w:val="21"/>
                <w:color w:val="auto"/>
              </w:rPr>
            </w:pPr>
          </w:p>
        </w:tc>
        <w:tc>
          <w:tcPr>
            <w:tcW w:w="260" w:type="dxa"/>
            <w:vAlign w:val="bottom"/>
            <w:tcBorders>
              <w:bottom w:val="single" w:sz="8" w:color="0090DA"/>
            </w:tcBorders>
          </w:tcPr>
          <w:p>
            <w:pPr>
              <w:spacing w:after="0"/>
              <w:rPr>
                <w:sz w:val="21"/>
                <w:szCs w:val="21"/>
                <w:color w:val="auto"/>
              </w:rPr>
            </w:pPr>
          </w:p>
        </w:tc>
        <w:tc>
          <w:tcPr>
            <w:tcW w:w="11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0090DA"/>
            </w:tcBorders>
          </w:tcPr>
          <w:p>
            <w:pPr>
              <w:spacing w:after="0"/>
              <w:rPr>
                <w:sz w:val="21"/>
                <w:szCs w:val="21"/>
                <w:color w:val="auto"/>
              </w:rPr>
            </w:pPr>
          </w:p>
        </w:tc>
        <w:tc>
          <w:tcPr>
            <w:tcW w:w="11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7,195</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3,141</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Depreciation expense and amortization of intangible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5,234</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4,593</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378</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(Gain) loss on debt repurchases and conversions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Restructure and asset impairments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Change in operating assets and liabilities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480"/>
              <w:spacing w:after="0"/>
              <w:rPr>
                <w:sz w:val="20"/>
                <w:szCs w:val="20"/>
                <w:color w:val="auto"/>
              </w:rPr>
            </w:pPr>
            <w:r>
              <w:rPr>
                <w:rFonts w:ascii="Arial" w:cs="Arial" w:eastAsia="Arial" w:hAnsi="Arial"/>
                <w:sz w:val="18"/>
                <w:szCs w:val="18"/>
                <w:color w:val="auto"/>
              </w:rPr>
              <w:t>Receivables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(906)</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29"/>
        </w:trPr>
        <w:tc>
          <w:tcPr>
            <w:tcW w:w="836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(1,146)</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48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382</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D1D2D4"/>
            </w:tcBorders>
          </w:tcPr>
          <w:p>
            <w:pPr>
              <w:ind w:left="2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11,404</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8,584</w:t>
            </w:r>
          </w:p>
        </w:tc>
        <w:tc>
          <w:tcPr>
            <w:tcW w:w="0" w:type="dxa"/>
            <w:vAlign w:val="bottom"/>
          </w:tcPr>
          <w:p>
            <w:pPr>
              <w:spacing w:after="0"/>
              <w:rPr>
                <w:sz w:val="1"/>
                <w:szCs w:val="1"/>
                <w:color w:val="auto"/>
              </w:rPr>
            </w:pPr>
          </w:p>
        </w:tc>
      </w:tr>
      <w:tr>
        <w:trPr>
          <w:trHeight w:val="236"/>
        </w:trPr>
        <w:tc>
          <w:tcPr>
            <w:tcW w:w="8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(8,454)</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(8,015)</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Purchases of available-for-sale securities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(1,359)</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(1,919)</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sale of Lehi, Utah fab</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888</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maturities of available-for-sale securities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964</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sales of available-for-sale securities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258</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government incentives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104</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(used for) investing activities</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(7,761)</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(8,055)</w:t>
            </w:r>
          </w:p>
        </w:tc>
        <w:tc>
          <w:tcPr>
            <w:tcW w:w="0" w:type="dxa"/>
            <w:vAlign w:val="bottom"/>
          </w:tcPr>
          <w:p>
            <w:pPr>
              <w:spacing w:after="0"/>
              <w:rPr>
                <w:sz w:val="1"/>
                <w:szCs w:val="1"/>
                <w:color w:val="auto"/>
              </w:rPr>
            </w:pPr>
          </w:p>
        </w:tc>
      </w:tr>
      <w:tr>
        <w:trPr>
          <w:trHeight w:val="237"/>
        </w:trPr>
        <w:tc>
          <w:tcPr>
            <w:tcW w:w="8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Repayments of debt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(2,008)</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Repurchases of common stock - repurchase program</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(1,648)</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Payments of dividends to shareholders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(335)</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(132)</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Repurchases of common stock - withholdings on employee equity awards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(116)</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issuance of debt</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2,000</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(used for) financing activities</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(2,140)</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36"/>
        </w:trPr>
        <w:tc>
          <w:tcPr>
            <w:tcW w:w="8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(71)</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57"/>
        </w:trPr>
        <w:tc>
          <w:tcPr>
            <w:tcW w:w="8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1,432</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7,829</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7,690</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26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9,261</w:t>
            </w:r>
          </w:p>
        </w:tc>
        <w:tc>
          <w:tcPr>
            <w:tcW w:w="26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7,826</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89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Lehi, Utah Fab and 3D XPoint</w:t>
      </w:r>
    </w:p>
    <w:p>
      <w:pPr>
        <w:spacing w:after="0" w:line="239"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In the second quarter of 2021, we updated our portfolio strategy to further strengthen our focus on memory and storage innovations for the data center market. In connection therewith, we determined that there was insufficient market validation to justify the ongoing investments required to commercialize 3D XPoint at scale. Accordingly, we ceased development of 3D XPoint technology and engaged in discussions with potential buyers for the sale of our facility located in Lehi that was dedicated to 3D XPoint production. As a result, we classified the property, plant, and equipment as held for sale and ceased depreciating the assets. On June 30, 2021, we announced a definitive agreement to sell our Lehi facility to Texas Instruments Incorporated (“TI”) and closed the sale on October 22, 2021.</w:t>
      </w:r>
    </w:p>
    <w:p>
      <w:pPr>
        <w:spacing w:after="0" w:line="202"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In the first quarter of 2022, we received $893 million from TI for the sale of the Lehi facility and disposed of $918 million of net assets, consisting primarily of property, plant, and equipment of $ 921 million; $55 million of other assets, consisting primarily of a receivable for reimbursement of property taxes, equipment spare parts, and raw materials; and $58 million of liabilities, consisting primarily of a finance lease obligation. As a result of the disposition of the Lehi facility, we recognized a loss of $23 million included in restructure and asset impairments in the first quarter of 2022.</w:t>
      </w:r>
    </w:p>
    <w:p>
      <w:pPr>
        <w:spacing w:after="0" w:line="20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the third quarter of 2021, we recognized a charge of $435 million included in restructure and asset impairments in connection with the definitive agreement with TI (and a tax benefit of $104 million included in income tax (provision) benefit) to write down the assets held for sale to the expected consideration, net of estimated selling costs. In the second quarter of 2021, we also recognized a charge of $49 million in cost of goods sold to write down 3D XPoint inventory in connection with our decision to cease further development of this technology.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Debt Activity</w:t>
      </w:r>
    </w:p>
    <w:p>
      <w:pPr>
        <w:spacing w:after="0" w:line="25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On November 1, 2021, we issued in a public offering $ 1.00 billion in principal amount of 2.703% senior notes due 2032 (green bonds), $500 million in principal amount of 3.366% senior notes due 2041, and $500 million in principal amount of 3.477% senior notes due 2051, and received aggregate net proceeds of $1.99 billion.</w:t>
      </w:r>
    </w:p>
    <w:p>
      <w:pPr>
        <w:spacing w:after="0" w:line="198"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On November 17, 2021, we redeemed $1.25 billion in principal amount of our 2.497% senior notes due 2023 and $600 million in principal amount of our 4.640% senior notes due 2024 for $1.93 billion in cash and recognized a non-operating loss of $83 million.</w:t>
      </w: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90" w:right="339" w:bottom="1440" w:gutter="0" w:footer="0" w:header="0"/>
        </w:sectPr>
      </w:pPr>
    </w:p>
    <w:bookmarkStart w:id="9" w:name="page10"/>
    <w:bookmarkEnd w:id="9"/>
    <w:p>
      <w:pPr>
        <w:ind w:left="4380"/>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RECONCILIATION OF GAAP TO NON-GAAP MEASURES</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(In millions, except per share amounts)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3rd Qtr.</w:t>
            </w:r>
          </w:p>
        </w:tc>
        <w:tc>
          <w:tcPr>
            <w:tcW w:w="220" w:type="dxa"/>
            <w:vAlign w:val="bottom"/>
          </w:tcPr>
          <w:p>
            <w:pPr>
              <w:spacing w:after="0"/>
              <w:rPr>
                <w:sz w:val="19"/>
                <w:szCs w:val="19"/>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98"/>
              </w:rPr>
              <w:t>2nd Qtr.</w:t>
            </w:r>
          </w:p>
        </w:tc>
        <w:tc>
          <w:tcPr>
            <w:tcW w:w="240" w:type="dxa"/>
            <w:vAlign w:val="bottom"/>
          </w:tcPr>
          <w:p>
            <w:pPr>
              <w:spacing w:after="0"/>
              <w:rPr>
                <w:sz w:val="19"/>
                <w:szCs w:val="19"/>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3rd Qtr.</w:t>
            </w:r>
          </w:p>
        </w:tc>
      </w:tr>
      <w:tr>
        <w:trPr>
          <w:trHeight w:val="181"/>
        </w:trPr>
        <w:tc>
          <w:tcPr>
            <w:tcW w:w="7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center"/>
              <w:ind w:right="150"/>
              <w:spacing w:after="0" w:line="181" w:lineRule="exact"/>
              <w:rPr>
                <w:sz w:val="20"/>
                <w:szCs w:val="20"/>
                <w:color w:val="auto"/>
              </w:rPr>
            </w:pPr>
            <w:r>
              <w:rPr>
                <w:rFonts w:ascii="Arial" w:cs="Arial" w:eastAsia="Arial" w:hAnsi="Arial"/>
                <w:sz w:val="18"/>
                <w:szCs w:val="18"/>
                <w:b w:val="1"/>
                <w:bCs w:val="1"/>
                <w:color w:val="auto"/>
                <w:w w:val="99"/>
              </w:rPr>
              <w:t>June 2,</w:t>
            </w:r>
          </w:p>
        </w:tc>
        <w:tc>
          <w:tcPr>
            <w:tcW w:w="220" w:type="dxa"/>
            <w:vAlign w:val="bottom"/>
          </w:tcPr>
          <w:p>
            <w:pPr>
              <w:spacing w:after="0"/>
              <w:rPr>
                <w:sz w:val="15"/>
                <w:szCs w:val="15"/>
                <w:color w:val="auto"/>
              </w:rPr>
            </w:pPr>
          </w:p>
        </w:tc>
        <w:tc>
          <w:tcPr>
            <w:tcW w:w="1120" w:type="dxa"/>
            <w:vAlign w:val="bottom"/>
          </w:tcPr>
          <w:p>
            <w:pPr>
              <w:jc w:val="center"/>
              <w:ind w:right="110"/>
              <w:spacing w:after="0" w:line="181" w:lineRule="exact"/>
              <w:rPr>
                <w:sz w:val="20"/>
                <w:szCs w:val="20"/>
                <w:color w:val="auto"/>
              </w:rPr>
            </w:pPr>
            <w:r>
              <w:rPr>
                <w:rFonts w:ascii="Arial" w:cs="Arial" w:eastAsia="Arial" w:hAnsi="Arial"/>
                <w:sz w:val="18"/>
                <w:szCs w:val="18"/>
                <w:b w:val="1"/>
                <w:bCs w:val="1"/>
                <w:color w:val="auto"/>
                <w:w w:val="98"/>
              </w:rPr>
              <w:t>March 3,</w:t>
            </w:r>
          </w:p>
        </w:tc>
        <w:tc>
          <w:tcPr>
            <w:tcW w:w="240" w:type="dxa"/>
            <w:vAlign w:val="bottom"/>
          </w:tcPr>
          <w:p>
            <w:pPr>
              <w:spacing w:after="0"/>
              <w:rPr>
                <w:sz w:val="15"/>
                <w:szCs w:val="15"/>
                <w:color w:val="auto"/>
              </w:rPr>
            </w:pPr>
          </w:p>
        </w:tc>
        <w:tc>
          <w:tcPr>
            <w:tcW w:w="1100" w:type="dxa"/>
            <w:vAlign w:val="bottom"/>
          </w:tcPr>
          <w:p>
            <w:pPr>
              <w:jc w:val="center"/>
              <w:ind w:right="150"/>
              <w:spacing w:after="0" w:line="181" w:lineRule="exact"/>
              <w:rPr>
                <w:sz w:val="20"/>
                <w:szCs w:val="20"/>
                <w:color w:val="auto"/>
              </w:rPr>
            </w:pPr>
            <w:r>
              <w:rPr>
                <w:rFonts w:ascii="Arial" w:cs="Arial" w:eastAsia="Arial" w:hAnsi="Arial"/>
                <w:sz w:val="18"/>
                <w:szCs w:val="18"/>
                <w:b w:val="1"/>
                <w:bCs w:val="1"/>
                <w:color w:val="auto"/>
                <w:w w:val="99"/>
              </w:rPr>
              <w:t>June 3,</w:t>
            </w:r>
          </w:p>
        </w:tc>
      </w:tr>
      <w:tr>
        <w:trPr>
          <w:trHeight w:val="243"/>
        </w:trPr>
        <w:tc>
          <w:tcPr>
            <w:tcW w:w="7240" w:type="dxa"/>
            <w:vAlign w:val="bottom"/>
            <w:tcBorders>
              <w:bottom w:val="single" w:sz="8" w:color="0090DA"/>
            </w:tcBorders>
          </w:tcPr>
          <w:p>
            <w:pPr>
              <w:spacing w:after="0"/>
              <w:rPr>
                <w:sz w:val="21"/>
                <w:szCs w:val="21"/>
                <w:color w:val="auto"/>
              </w:rPr>
            </w:pPr>
          </w:p>
        </w:tc>
        <w:tc>
          <w:tcPr>
            <w:tcW w:w="220" w:type="dxa"/>
            <w:vAlign w:val="bottom"/>
            <w:tcBorders>
              <w:bottom w:val="single" w:sz="8" w:color="0090DA"/>
            </w:tcBorders>
          </w:tcPr>
          <w:p>
            <w:pPr>
              <w:spacing w:after="0"/>
              <w:rPr>
                <w:sz w:val="21"/>
                <w:szCs w:val="21"/>
                <w:color w:val="auto"/>
              </w:rPr>
            </w:pPr>
          </w:p>
        </w:tc>
        <w:tc>
          <w:tcPr>
            <w:tcW w:w="1100" w:type="dxa"/>
            <w:vAlign w:val="bottom"/>
            <w:tcBorders>
              <w:bottom w:val="single" w:sz="8" w:color="0090DA"/>
            </w:tcBorders>
          </w:tcPr>
          <w:p>
            <w:pPr>
              <w:jc w:val="center"/>
              <w:ind w:right="130"/>
              <w:spacing w:after="0"/>
              <w:rPr>
                <w:sz w:val="20"/>
                <w:szCs w:val="20"/>
                <w:color w:val="auto"/>
              </w:rPr>
            </w:pPr>
            <w:r>
              <w:rPr>
                <w:rFonts w:ascii="Arial" w:cs="Arial" w:eastAsia="Arial" w:hAnsi="Arial"/>
                <w:sz w:val="18"/>
                <w:szCs w:val="18"/>
                <w:b w:val="1"/>
                <w:bCs w:val="1"/>
                <w:color w:val="auto"/>
                <w:w w:val="99"/>
              </w:rPr>
              <w:t>2022</w:t>
            </w:r>
          </w:p>
        </w:tc>
        <w:tc>
          <w:tcPr>
            <w:tcW w:w="220" w:type="dxa"/>
            <w:vAlign w:val="bottom"/>
            <w:tcBorders>
              <w:bottom w:val="single" w:sz="8" w:color="0090DA"/>
            </w:tcBorders>
          </w:tcPr>
          <w:p>
            <w:pPr>
              <w:spacing w:after="0"/>
              <w:rPr>
                <w:sz w:val="21"/>
                <w:szCs w:val="21"/>
                <w:color w:val="auto"/>
              </w:rPr>
            </w:pPr>
          </w:p>
        </w:tc>
        <w:tc>
          <w:tcPr>
            <w:tcW w:w="1120" w:type="dxa"/>
            <w:vAlign w:val="bottom"/>
            <w:tcBorders>
              <w:bottom w:val="single" w:sz="8" w:color="0090DA"/>
            </w:tcBorders>
          </w:tcPr>
          <w:p>
            <w:pPr>
              <w:jc w:val="center"/>
              <w:ind w:right="110"/>
              <w:spacing w:after="0"/>
              <w:rPr>
                <w:sz w:val="20"/>
                <w:szCs w:val="20"/>
                <w:color w:val="auto"/>
              </w:rPr>
            </w:pPr>
            <w:r>
              <w:rPr>
                <w:rFonts w:ascii="Arial" w:cs="Arial" w:eastAsia="Arial" w:hAnsi="Arial"/>
                <w:sz w:val="18"/>
                <w:szCs w:val="18"/>
                <w:b w:val="1"/>
                <w:bCs w:val="1"/>
                <w:color w:val="auto"/>
                <w:w w:val="99"/>
              </w:rPr>
              <w:t>2022</w:t>
            </w:r>
          </w:p>
        </w:tc>
        <w:tc>
          <w:tcPr>
            <w:tcW w:w="240" w:type="dxa"/>
            <w:vAlign w:val="bottom"/>
            <w:tcBorders>
              <w:bottom w:val="single" w:sz="8" w:color="0090DA"/>
            </w:tcBorders>
          </w:tcPr>
          <w:p>
            <w:pPr>
              <w:spacing w:after="0"/>
              <w:rPr>
                <w:sz w:val="21"/>
                <w:szCs w:val="21"/>
                <w:color w:val="auto"/>
              </w:rPr>
            </w:pPr>
          </w:p>
        </w:tc>
        <w:tc>
          <w:tcPr>
            <w:tcW w:w="1100" w:type="dxa"/>
            <w:vAlign w:val="bottom"/>
            <w:tcBorders>
              <w:bottom w:val="single" w:sz="8" w:color="0090DA"/>
            </w:tcBorders>
          </w:tcPr>
          <w:p>
            <w:pPr>
              <w:jc w:val="center"/>
              <w:ind w:right="130"/>
              <w:spacing w:after="0"/>
              <w:rPr>
                <w:sz w:val="20"/>
                <w:szCs w:val="20"/>
                <w:color w:val="auto"/>
              </w:rPr>
            </w:pPr>
            <w:r>
              <w:rPr>
                <w:rFonts w:ascii="Arial" w:cs="Arial" w:eastAsia="Arial" w:hAnsi="Arial"/>
                <w:sz w:val="18"/>
                <w:szCs w:val="18"/>
                <w:b w:val="1"/>
                <w:bCs w:val="1"/>
                <w:color w:val="auto"/>
                <w:w w:val="99"/>
              </w:rPr>
              <w:t>2021</w:t>
            </w:r>
          </w:p>
        </w:tc>
      </w:tr>
      <w:tr>
        <w:trPr>
          <w:trHeight w:val="34"/>
        </w:trPr>
        <w:tc>
          <w:tcPr>
            <w:tcW w:w="7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GAAP gross margin</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4,035</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3,676</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3,126</w:t>
            </w:r>
          </w:p>
        </w:tc>
      </w:tr>
      <w:tr>
        <w:trPr>
          <w:trHeight w:val="229"/>
        </w:trPr>
        <w:tc>
          <w:tcPr>
            <w:tcW w:w="724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7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Non-GAAP gross margin</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4,097</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3,724</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3,185</w:t>
            </w:r>
          </w:p>
        </w:tc>
      </w:tr>
      <w:tr>
        <w:trPr>
          <w:trHeight w:val="20"/>
        </w:trPr>
        <w:tc>
          <w:tcPr>
            <w:tcW w:w="7240" w:type="dxa"/>
            <w:vAlign w:val="bottom"/>
            <w:tcBorders>
              <w:bottom w:val="single" w:sz="8" w:color="D1D2D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7240" w:type="dxa"/>
            <w:vAlign w:val="bottom"/>
            <w:shd w:val="clear" w:color="auto" w:fill="D1D2D4"/>
          </w:tcPr>
          <w:p>
            <w:pPr>
              <w:spacing w:after="0"/>
              <w:rPr>
                <w:sz w:val="15"/>
                <w:szCs w:val="15"/>
                <w:color w:val="auto"/>
              </w:rPr>
            </w:pPr>
          </w:p>
        </w:tc>
        <w:tc>
          <w:tcPr>
            <w:tcW w:w="220" w:type="dxa"/>
            <w:vAlign w:val="bottom"/>
            <w:shd w:val="clear" w:color="auto" w:fill="D1D2D4"/>
          </w:tcPr>
          <w:p>
            <w:pPr>
              <w:spacing w:after="0"/>
              <w:rPr>
                <w:sz w:val="15"/>
                <w:szCs w:val="15"/>
                <w:color w:val="auto"/>
              </w:rPr>
            </w:pPr>
          </w:p>
        </w:tc>
        <w:tc>
          <w:tcPr>
            <w:tcW w:w="1100" w:type="dxa"/>
            <w:vAlign w:val="bottom"/>
            <w:shd w:val="clear" w:color="auto" w:fill="D1D2D4"/>
          </w:tcPr>
          <w:p>
            <w:pPr>
              <w:spacing w:after="0"/>
              <w:rPr>
                <w:sz w:val="15"/>
                <w:szCs w:val="15"/>
                <w:color w:val="auto"/>
              </w:rPr>
            </w:pPr>
          </w:p>
        </w:tc>
        <w:tc>
          <w:tcPr>
            <w:tcW w:w="220" w:type="dxa"/>
            <w:vAlign w:val="bottom"/>
            <w:shd w:val="clear" w:color="auto" w:fill="D1D2D4"/>
          </w:tcPr>
          <w:p>
            <w:pPr>
              <w:spacing w:after="0"/>
              <w:rPr>
                <w:sz w:val="15"/>
                <w:szCs w:val="15"/>
                <w:color w:val="auto"/>
              </w:rPr>
            </w:pPr>
          </w:p>
        </w:tc>
        <w:tc>
          <w:tcPr>
            <w:tcW w:w="1120" w:type="dxa"/>
            <w:vAlign w:val="bottom"/>
            <w:shd w:val="clear" w:color="auto" w:fill="D1D2D4"/>
          </w:tcPr>
          <w:p>
            <w:pPr>
              <w:spacing w:after="0"/>
              <w:rPr>
                <w:sz w:val="15"/>
                <w:szCs w:val="15"/>
                <w:color w:val="auto"/>
              </w:rPr>
            </w:pPr>
          </w:p>
        </w:tc>
        <w:tc>
          <w:tcPr>
            <w:tcW w:w="240" w:type="dxa"/>
            <w:vAlign w:val="bottom"/>
            <w:shd w:val="clear" w:color="auto" w:fill="D1D2D4"/>
          </w:tcPr>
          <w:p>
            <w:pPr>
              <w:spacing w:after="0"/>
              <w:rPr>
                <w:sz w:val="15"/>
                <w:szCs w:val="15"/>
                <w:color w:val="auto"/>
              </w:rPr>
            </w:pPr>
          </w:p>
        </w:tc>
        <w:tc>
          <w:tcPr>
            <w:tcW w:w="1100" w:type="dxa"/>
            <w:vAlign w:val="bottom"/>
            <w:shd w:val="clear" w:color="auto" w:fill="D1D2D4"/>
          </w:tcPr>
          <w:p>
            <w:pPr>
              <w:spacing w:after="0"/>
              <w:rPr>
                <w:sz w:val="15"/>
                <w:szCs w:val="15"/>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GAAP operating expenses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1,031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1,130</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1,327</w:t>
            </w:r>
          </w:p>
        </w:tc>
      </w:tr>
      <w:tr>
        <w:trPr>
          <w:trHeight w:val="229"/>
        </w:trPr>
        <w:tc>
          <w:tcPr>
            <w:tcW w:w="7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(78)</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7240" w:type="dxa"/>
            <w:vAlign w:val="bottom"/>
          </w:tcPr>
          <w:p>
            <w:pPr>
              <w:ind w:left="140"/>
              <w:spacing w:after="0"/>
              <w:rPr>
                <w:sz w:val="20"/>
                <w:szCs w:val="20"/>
                <w:color w:val="auto"/>
              </w:rPr>
            </w:pPr>
            <w:r>
              <w:rPr>
                <w:rFonts w:ascii="Arial" w:cs="Arial" w:eastAsia="Arial" w:hAnsi="Arial"/>
                <w:sz w:val="18"/>
                <w:szCs w:val="18"/>
                <w:color w:val="auto"/>
              </w:rPr>
              <w:t>Restructure and asset impairments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(453)</w:t>
            </w:r>
          </w:p>
        </w:tc>
      </w:tr>
      <w:tr>
        <w:trPr>
          <w:trHeight w:val="229"/>
        </w:trPr>
        <w:tc>
          <w:tcPr>
            <w:tcW w:w="7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(76)</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240" w:type="dxa"/>
            <w:vAlign w:val="bottom"/>
          </w:tcPr>
          <w:p>
            <w:pPr>
              <w:ind w:left="40"/>
              <w:spacing w:after="0"/>
              <w:rPr>
                <w:sz w:val="20"/>
                <w:szCs w:val="20"/>
                <w:color w:val="auto"/>
              </w:rPr>
            </w:pPr>
            <w:r>
              <w:rPr>
                <w:rFonts w:ascii="Arial" w:cs="Arial" w:eastAsia="Arial" w:hAnsi="Arial"/>
                <w:sz w:val="18"/>
                <w:szCs w:val="18"/>
                <w:b w:val="1"/>
                <w:bCs w:val="1"/>
                <w:color w:val="auto"/>
              </w:rPr>
              <w:t>Non-GAAP operating expenses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w:t>
            </w:r>
          </w:p>
        </w:tc>
      </w:tr>
      <w:tr>
        <w:trPr>
          <w:trHeight w:val="20"/>
        </w:trPr>
        <w:tc>
          <w:tcPr>
            <w:tcW w:w="7240" w:type="dxa"/>
            <w:vAlign w:val="bottom"/>
            <w:tcBorders>
              <w:bottom w:val="single" w:sz="8" w:color="D1D2D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7240" w:type="dxa"/>
            <w:vAlign w:val="bottom"/>
            <w:shd w:val="clear" w:color="auto" w:fill="D1D2D4"/>
          </w:tcPr>
          <w:p>
            <w:pPr>
              <w:spacing w:after="0"/>
              <w:rPr>
                <w:sz w:val="15"/>
                <w:szCs w:val="15"/>
                <w:color w:val="auto"/>
              </w:rPr>
            </w:pPr>
          </w:p>
        </w:tc>
        <w:tc>
          <w:tcPr>
            <w:tcW w:w="220" w:type="dxa"/>
            <w:vAlign w:val="bottom"/>
            <w:shd w:val="clear" w:color="auto" w:fill="D1D2D4"/>
          </w:tcPr>
          <w:p>
            <w:pPr>
              <w:spacing w:after="0"/>
              <w:rPr>
                <w:sz w:val="15"/>
                <w:szCs w:val="15"/>
                <w:color w:val="auto"/>
              </w:rPr>
            </w:pPr>
          </w:p>
        </w:tc>
        <w:tc>
          <w:tcPr>
            <w:tcW w:w="1100" w:type="dxa"/>
            <w:vAlign w:val="bottom"/>
            <w:shd w:val="clear" w:color="auto" w:fill="D1D2D4"/>
          </w:tcPr>
          <w:p>
            <w:pPr>
              <w:spacing w:after="0"/>
              <w:rPr>
                <w:sz w:val="15"/>
                <w:szCs w:val="15"/>
                <w:color w:val="auto"/>
              </w:rPr>
            </w:pPr>
          </w:p>
        </w:tc>
        <w:tc>
          <w:tcPr>
            <w:tcW w:w="220" w:type="dxa"/>
            <w:vAlign w:val="bottom"/>
            <w:shd w:val="clear" w:color="auto" w:fill="D1D2D4"/>
          </w:tcPr>
          <w:p>
            <w:pPr>
              <w:spacing w:after="0"/>
              <w:rPr>
                <w:sz w:val="15"/>
                <w:szCs w:val="15"/>
                <w:color w:val="auto"/>
              </w:rPr>
            </w:pPr>
          </w:p>
        </w:tc>
        <w:tc>
          <w:tcPr>
            <w:tcW w:w="1120" w:type="dxa"/>
            <w:vAlign w:val="bottom"/>
            <w:shd w:val="clear" w:color="auto" w:fill="D1D2D4"/>
          </w:tcPr>
          <w:p>
            <w:pPr>
              <w:spacing w:after="0"/>
              <w:rPr>
                <w:sz w:val="15"/>
                <w:szCs w:val="15"/>
                <w:color w:val="auto"/>
              </w:rPr>
            </w:pPr>
          </w:p>
        </w:tc>
        <w:tc>
          <w:tcPr>
            <w:tcW w:w="240" w:type="dxa"/>
            <w:vAlign w:val="bottom"/>
            <w:shd w:val="clear" w:color="auto" w:fill="D1D2D4"/>
          </w:tcPr>
          <w:p>
            <w:pPr>
              <w:spacing w:after="0"/>
              <w:rPr>
                <w:sz w:val="15"/>
                <w:szCs w:val="15"/>
                <w:color w:val="auto"/>
              </w:rPr>
            </w:pPr>
          </w:p>
        </w:tc>
        <w:tc>
          <w:tcPr>
            <w:tcW w:w="1100" w:type="dxa"/>
            <w:vAlign w:val="bottom"/>
            <w:shd w:val="clear" w:color="auto" w:fill="D1D2D4"/>
          </w:tcPr>
          <w:p>
            <w:pPr>
              <w:spacing w:after="0"/>
              <w:rPr>
                <w:sz w:val="15"/>
                <w:szCs w:val="15"/>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GAAP operating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3,004</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2,546</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1,799</w:t>
            </w:r>
          </w:p>
        </w:tc>
      </w:tr>
      <w:tr>
        <w:trPr>
          <w:trHeight w:val="229"/>
        </w:trPr>
        <w:tc>
          <w:tcPr>
            <w:tcW w:w="7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119</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98</w:t>
            </w:r>
          </w:p>
        </w:tc>
      </w:tr>
      <w:tr>
        <w:trPr>
          <w:trHeight w:val="229"/>
        </w:trPr>
        <w:tc>
          <w:tcPr>
            <w:tcW w:w="7240" w:type="dxa"/>
            <w:vAlign w:val="bottom"/>
          </w:tcPr>
          <w:p>
            <w:pPr>
              <w:ind w:left="140"/>
              <w:spacing w:after="0"/>
              <w:rPr>
                <w:sz w:val="20"/>
                <w:szCs w:val="20"/>
                <w:color w:val="auto"/>
              </w:rPr>
            </w:pPr>
            <w:r>
              <w:rPr>
                <w:rFonts w:ascii="Arial" w:cs="Arial" w:eastAsia="Arial" w:hAnsi="Arial"/>
                <w:sz w:val="18"/>
                <w:szCs w:val="18"/>
                <w:color w:val="auto"/>
              </w:rPr>
              <w:t>Restructure and asset impairments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453</w:t>
            </w:r>
          </w:p>
        </w:tc>
      </w:tr>
      <w:tr>
        <w:trPr>
          <w:trHeight w:val="230"/>
        </w:trPr>
        <w:tc>
          <w:tcPr>
            <w:tcW w:w="7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80</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Non-GAAP operating income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3,144</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2,364</w:t>
            </w:r>
          </w:p>
        </w:tc>
      </w:tr>
      <w:tr>
        <w:trPr>
          <w:trHeight w:val="20"/>
        </w:trPr>
        <w:tc>
          <w:tcPr>
            <w:tcW w:w="7240" w:type="dxa"/>
            <w:vAlign w:val="bottom"/>
            <w:tcBorders>
              <w:bottom w:val="single" w:sz="8" w:color="D1D2D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7240" w:type="dxa"/>
            <w:vAlign w:val="bottom"/>
            <w:shd w:val="clear" w:color="auto" w:fill="D1D2D4"/>
          </w:tcPr>
          <w:p>
            <w:pPr>
              <w:spacing w:after="0"/>
              <w:rPr>
                <w:sz w:val="15"/>
                <w:szCs w:val="15"/>
                <w:color w:val="auto"/>
              </w:rPr>
            </w:pPr>
          </w:p>
        </w:tc>
        <w:tc>
          <w:tcPr>
            <w:tcW w:w="220" w:type="dxa"/>
            <w:vAlign w:val="bottom"/>
            <w:shd w:val="clear" w:color="auto" w:fill="D1D2D4"/>
          </w:tcPr>
          <w:p>
            <w:pPr>
              <w:spacing w:after="0"/>
              <w:rPr>
                <w:sz w:val="15"/>
                <w:szCs w:val="15"/>
                <w:color w:val="auto"/>
              </w:rPr>
            </w:pPr>
          </w:p>
        </w:tc>
        <w:tc>
          <w:tcPr>
            <w:tcW w:w="1100" w:type="dxa"/>
            <w:vAlign w:val="bottom"/>
            <w:shd w:val="clear" w:color="auto" w:fill="D1D2D4"/>
          </w:tcPr>
          <w:p>
            <w:pPr>
              <w:spacing w:after="0"/>
              <w:rPr>
                <w:sz w:val="15"/>
                <w:szCs w:val="15"/>
                <w:color w:val="auto"/>
              </w:rPr>
            </w:pPr>
          </w:p>
        </w:tc>
        <w:tc>
          <w:tcPr>
            <w:tcW w:w="220" w:type="dxa"/>
            <w:vAlign w:val="bottom"/>
            <w:shd w:val="clear" w:color="auto" w:fill="D1D2D4"/>
          </w:tcPr>
          <w:p>
            <w:pPr>
              <w:spacing w:after="0"/>
              <w:rPr>
                <w:sz w:val="15"/>
                <w:szCs w:val="15"/>
                <w:color w:val="auto"/>
              </w:rPr>
            </w:pPr>
          </w:p>
        </w:tc>
        <w:tc>
          <w:tcPr>
            <w:tcW w:w="1120" w:type="dxa"/>
            <w:vAlign w:val="bottom"/>
            <w:shd w:val="clear" w:color="auto" w:fill="D1D2D4"/>
          </w:tcPr>
          <w:p>
            <w:pPr>
              <w:spacing w:after="0"/>
              <w:rPr>
                <w:sz w:val="15"/>
                <w:szCs w:val="15"/>
                <w:color w:val="auto"/>
              </w:rPr>
            </w:pPr>
          </w:p>
        </w:tc>
        <w:tc>
          <w:tcPr>
            <w:tcW w:w="240" w:type="dxa"/>
            <w:vAlign w:val="bottom"/>
            <w:shd w:val="clear" w:color="auto" w:fill="D1D2D4"/>
          </w:tcPr>
          <w:p>
            <w:pPr>
              <w:spacing w:after="0"/>
              <w:rPr>
                <w:sz w:val="15"/>
                <w:szCs w:val="15"/>
                <w:color w:val="auto"/>
              </w:rPr>
            </w:pPr>
          </w:p>
        </w:tc>
        <w:tc>
          <w:tcPr>
            <w:tcW w:w="1100" w:type="dxa"/>
            <w:vAlign w:val="bottom"/>
            <w:shd w:val="clear" w:color="auto" w:fill="D1D2D4"/>
          </w:tcPr>
          <w:p>
            <w:pPr>
              <w:spacing w:after="0"/>
              <w:rPr>
                <w:sz w:val="15"/>
                <w:szCs w:val="15"/>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GAAP 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2,626</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2,263</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1,735</w:t>
            </w:r>
          </w:p>
        </w:tc>
      </w:tr>
      <w:tr>
        <w:trPr>
          <w:trHeight w:val="230"/>
        </w:trPr>
        <w:tc>
          <w:tcPr>
            <w:tcW w:w="7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119</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7240" w:type="dxa"/>
            <w:vAlign w:val="bottom"/>
          </w:tcPr>
          <w:p>
            <w:pPr>
              <w:ind w:left="140"/>
              <w:spacing w:after="0"/>
              <w:rPr>
                <w:sz w:val="20"/>
                <w:szCs w:val="20"/>
                <w:color w:val="auto"/>
              </w:rPr>
            </w:pPr>
            <w:r>
              <w:rPr>
                <w:rFonts w:ascii="Arial" w:cs="Arial" w:eastAsia="Arial" w:hAnsi="Arial"/>
                <w:sz w:val="18"/>
                <w:szCs w:val="18"/>
                <w:color w:val="auto"/>
              </w:rPr>
              <w:t>Restructure and asset impairments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453</w:t>
            </w:r>
          </w:p>
        </w:tc>
      </w:tr>
      <w:tr>
        <w:trPr>
          <w:trHeight w:val="230"/>
        </w:trPr>
        <w:tc>
          <w:tcPr>
            <w:tcW w:w="7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Amortization of debt discount and other costs</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7240" w:type="dxa"/>
            <w:vAlign w:val="bottom"/>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7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Impact of Idaho income tax reform</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189</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4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Estimated tax effects of above and other tax adjustments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r>
      <w:tr>
        <w:trPr>
          <w:trHeight w:val="248"/>
        </w:trPr>
        <w:tc>
          <w:tcPr>
            <w:tcW w:w="724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b w:val="1"/>
                <w:bCs w:val="1"/>
                <w:color w:val="auto"/>
              </w:rPr>
              <w:t>Non-GAAP net income</w:t>
            </w: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2,939</w:t>
            </w:r>
          </w:p>
        </w:tc>
        <w:tc>
          <w:tcPr>
            <w:tcW w:w="22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2,444</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2,173</w:t>
            </w:r>
          </w:p>
        </w:tc>
      </w:tr>
      <w:tr>
        <w:trPr>
          <w:trHeight w:val="20"/>
        </w:trPr>
        <w:tc>
          <w:tcPr>
            <w:tcW w:w="724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r>
      <w:tr>
        <w:trPr>
          <w:trHeight w:val="163"/>
        </w:trPr>
        <w:tc>
          <w:tcPr>
            <w:tcW w:w="7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GAAP weighted-average common shares outstanding - Diluted</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1,121</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1,130</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1,145</w:t>
            </w:r>
          </w:p>
        </w:tc>
      </w:tr>
      <w:tr>
        <w:trPr>
          <w:trHeight w:val="230"/>
        </w:trPr>
        <w:tc>
          <w:tcPr>
            <w:tcW w:w="724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Adjustment for stock-based compensation</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48"/>
        </w:trPr>
        <w:tc>
          <w:tcPr>
            <w:tcW w:w="724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b w:val="1"/>
                <w:bCs w:val="1"/>
                <w:color w:val="auto"/>
              </w:rPr>
              <w:t>Non-GAAP weighted-average common shares outstanding - Diluted</w:t>
            </w:r>
          </w:p>
        </w:tc>
        <w:tc>
          <w:tcPr>
            <w:tcW w:w="220" w:type="dxa"/>
            <w:vAlign w:val="bottom"/>
            <w:tcBorders>
              <w:bottom w:val="single" w:sz="8" w:color="auto"/>
            </w:tcBorders>
            <w:shd w:val="clear" w:color="auto" w:fill="D1D2D4"/>
          </w:tcPr>
          <w:p>
            <w:pPr>
              <w:spacing w:after="0"/>
              <w:rPr>
                <w:sz w:val="21"/>
                <w:szCs w:val="21"/>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1,136</w:t>
            </w:r>
          </w:p>
        </w:tc>
        <w:tc>
          <w:tcPr>
            <w:tcW w:w="220" w:type="dxa"/>
            <w:vAlign w:val="bottom"/>
            <w:tcBorders>
              <w:bottom w:val="single" w:sz="8" w:color="auto"/>
            </w:tcBorders>
            <w:shd w:val="clear" w:color="auto" w:fill="D1D2D4"/>
          </w:tcPr>
          <w:p>
            <w:pPr>
              <w:spacing w:after="0"/>
              <w:rPr>
                <w:sz w:val="21"/>
                <w:szCs w:val="21"/>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1,143</w:t>
            </w:r>
          </w:p>
        </w:tc>
        <w:tc>
          <w:tcPr>
            <w:tcW w:w="240" w:type="dxa"/>
            <w:vAlign w:val="bottom"/>
            <w:tcBorders>
              <w:bottom w:val="single" w:sz="8" w:color="auto"/>
            </w:tcBorders>
            <w:shd w:val="clear" w:color="auto" w:fill="D1D2D4"/>
          </w:tcPr>
          <w:p>
            <w:pPr>
              <w:spacing w:after="0"/>
              <w:rPr>
                <w:sz w:val="21"/>
                <w:szCs w:val="21"/>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1,154</w:t>
            </w:r>
          </w:p>
        </w:tc>
      </w:tr>
      <w:tr>
        <w:trPr>
          <w:trHeight w:val="20"/>
        </w:trPr>
        <w:tc>
          <w:tcPr>
            <w:tcW w:w="724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r>
      <w:tr>
        <w:trPr>
          <w:trHeight w:val="163"/>
        </w:trPr>
        <w:tc>
          <w:tcPr>
            <w:tcW w:w="7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GAAP diluted earnings per share</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2.34</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2.00</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1.52</w:t>
            </w:r>
          </w:p>
        </w:tc>
      </w:tr>
      <w:tr>
        <w:trPr>
          <w:trHeight w:val="230"/>
        </w:trPr>
        <w:tc>
          <w:tcPr>
            <w:tcW w:w="724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Effects of the above adjustments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r>
      <w:tr>
        <w:trPr>
          <w:trHeight w:val="248"/>
        </w:trPr>
        <w:tc>
          <w:tcPr>
            <w:tcW w:w="724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b w:val="1"/>
                <w:bCs w:val="1"/>
                <w:color w:val="auto"/>
              </w:rPr>
              <w:t>Non-GAAP diluted earnings per share</w:t>
            </w: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2.59</w:t>
            </w:r>
          </w:p>
        </w:tc>
        <w:tc>
          <w:tcPr>
            <w:tcW w:w="22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2.14</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1.88</w:t>
            </w:r>
          </w:p>
        </w:tc>
      </w:tr>
      <w:tr>
        <w:trPr>
          <w:trHeight w:val="20"/>
        </w:trPr>
        <w:tc>
          <w:tcPr>
            <w:tcW w:w="724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r>
      <w:tr>
        <w:trPr>
          <w:trHeight w:val="842"/>
        </w:trPr>
        <w:tc>
          <w:tcPr>
            <w:tcW w:w="7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240"/>
          </w:cols>
          <w:pgMar w:left="320" w:top="890"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878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RECONCILIATION OF GAAP TO NON-GAAP MEASURES, Continued</w:t>
            </w: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2"/>
        </w:trPr>
        <w:tc>
          <w:tcPr>
            <w:tcW w:w="7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3rd Qtr.</w:t>
            </w:r>
          </w:p>
        </w:tc>
        <w:tc>
          <w:tcPr>
            <w:tcW w:w="220" w:type="dxa"/>
            <w:vAlign w:val="bottom"/>
          </w:tcPr>
          <w:p>
            <w:pPr>
              <w:spacing w:after="0"/>
              <w:rPr>
                <w:sz w:val="24"/>
                <w:szCs w:val="24"/>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98"/>
              </w:rPr>
              <w:t>2nd Qtr.</w:t>
            </w:r>
          </w:p>
        </w:tc>
        <w:tc>
          <w:tcPr>
            <w:tcW w:w="240" w:type="dxa"/>
            <w:vAlign w:val="bottom"/>
          </w:tcPr>
          <w:p>
            <w:pPr>
              <w:spacing w:after="0"/>
              <w:rPr>
                <w:sz w:val="24"/>
                <w:szCs w:val="24"/>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3rd Qtr.</w:t>
            </w:r>
          </w:p>
        </w:tc>
        <w:tc>
          <w:tcPr>
            <w:tcW w:w="0" w:type="dxa"/>
            <w:vAlign w:val="bottom"/>
          </w:tcPr>
          <w:p>
            <w:pPr>
              <w:spacing w:after="0"/>
              <w:rPr>
                <w:sz w:val="1"/>
                <w:szCs w:val="1"/>
                <w:color w:val="auto"/>
              </w:rPr>
            </w:pPr>
          </w:p>
        </w:tc>
      </w:tr>
      <w:tr>
        <w:trPr>
          <w:trHeight w:val="181"/>
        </w:trPr>
        <w:tc>
          <w:tcPr>
            <w:tcW w:w="7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center"/>
              <w:ind w:right="150"/>
              <w:spacing w:after="0" w:line="181" w:lineRule="exact"/>
              <w:rPr>
                <w:sz w:val="20"/>
                <w:szCs w:val="20"/>
                <w:color w:val="auto"/>
              </w:rPr>
            </w:pPr>
            <w:r>
              <w:rPr>
                <w:rFonts w:ascii="Arial" w:cs="Arial" w:eastAsia="Arial" w:hAnsi="Arial"/>
                <w:sz w:val="18"/>
                <w:szCs w:val="18"/>
                <w:b w:val="1"/>
                <w:bCs w:val="1"/>
                <w:color w:val="auto"/>
                <w:w w:val="99"/>
              </w:rPr>
              <w:t>June 2,</w:t>
            </w:r>
          </w:p>
        </w:tc>
        <w:tc>
          <w:tcPr>
            <w:tcW w:w="220" w:type="dxa"/>
            <w:vAlign w:val="bottom"/>
          </w:tcPr>
          <w:p>
            <w:pPr>
              <w:spacing w:after="0"/>
              <w:rPr>
                <w:sz w:val="15"/>
                <w:szCs w:val="15"/>
                <w:color w:val="auto"/>
              </w:rPr>
            </w:pPr>
          </w:p>
        </w:tc>
        <w:tc>
          <w:tcPr>
            <w:tcW w:w="1120" w:type="dxa"/>
            <w:vAlign w:val="bottom"/>
          </w:tcPr>
          <w:p>
            <w:pPr>
              <w:jc w:val="center"/>
              <w:ind w:right="110"/>
              <w:spacing w:after="0" w:line="181" w:lineRule="exact"/>
              <w:rPr>
                <w:sz w:val="20"/>
                <w:szCs w:val="20"/>
                <w:color w:val="auto"/>
              </w:rPr>
            </w:pPr>
            <w:r>
              <w:rPr>
                <w:rFonts w:ascii="Arial" w:cs="Arial" w:eastAsia="Arial" w:hAnsi="Arial"/>
                <w:sz w:val="18"/>
                <w:szCs w:val="18"/>
                <w:b w:val="1"/>
                <w:bCs w:val="1"/>
                <w:color w:val="auto"/>
                <w:w w:val="98"/>
              </w:rPr>
              <w:t>March 3,</w:t>
            </w:r>
          </w:p>
        </w:tc>
        <w:tc>
          <w:tcPr>
            <w:tcW w:w="240" w:type="dxa"/>
            <w:vAlign w:val="bottom"/>
          </w:tcPr>
          <w:p>
            <w:pPr>
              <w:spacing w:after="0"/>
              <w:rPr>
                <w:sz w:val="15"/>
                <w:szCs w:val="15"/>
                <w:color w:val="auto"/>
              </w:rPr>
            </w:pPr>
          </w:p>
        </w:tc>
        <w:tc>
          <w:tcPr>
            <w:tcW w:w="1100" w:type="dxa"/>
            <w:vAlign w:val="bottom"/>
          </w:tcPr>
          <w:p>
            <w:pPr>
              <w:jc w:val="center"/>
              <w:ind w:right="150"/>
              <w:spacing w:after="0" w:line="181" w:lineRule="exact"/>
              <w:rPr>
                <w:sz w:val="20"/>
                <w:szCs w:val="20"/>
                <w:color w:val="auto"/>
              </w:rPr>
            </w:pPr>
            <w:r>
              <w:rPr>
                <w:rFonts w:ascii="Arial" w:cs="Arial" w:eastAsia="Arial" w:hAnsi="Arial"/>
                <w:sz w:val="18"/>
                <w:szCs w:val="18"/>
                <w:b w:val="1"/>
                <w:bCs w:val="1"/>
                <w:color w:val="auto"/>
                <w:w w:val="99"/>
              </w:rPr>
              <w:t>June 3,</w:t>
            </w:r>
          </w:p>
        </w:tc>
        <w:tc>
          <w:tcPr>
            <w:tcW w:w="0" w:type="dxa"/>
            <w:vAlign w:val="bottom"/>
          </w:tcPr>
          <w:p>
            <w:pPr>
              <w:spacing w:after="0"/>
              <w:rPr>
                <w:sz w:val="1"/>
                <w:szCs w:val="1"/>
                <w:color w:val="auto"/>
              </w:rPr>
            </w:pPr>
          </w:p>
        </w:tc>
      </w:tr>
      <w:tr>
        <w:trPr>
          <w:trHeight w:val="243"/>
        </w:trPr>
        <w:tc>
          <w:tcPr>
            <w:tcW w:w="7240" w:type="dxa"/>
            <w:vAlign w:val="bottom"/>
            <w:tcBorders>
              <w:bottom w:val="single" w:sz="8" w:color="0090DA"/>
            </w:tcBorders>
          </w:tcPr>
          <w:p>
            <w:pPr>
              <w:spacing w:after="0"/>
              <w:rPr>
                <w:sz w:val="21"/>
                <w:szCs w:val="21"/>
                <w:color w:val="auto"/>
              </w:rPr>
            </w:pPr>
          </w:p>
        </w:tc>
        <w:tc>
          <w:tcPr>
            <w:tcW w:w="220" w:type="dxa"/>
            <w:vAlign w:val="bottom"/>
            <w:tcBorders>
              <w:bottom w:val="single" w:sz="8" w:color="0090DA"/>
            </w:tcBorders>
          </w:tcPr>
          <w:p>
            <w:pPr>
              <w:spacing w:after="0"/>
              <w:rPr>
                <w:sz w:val="21"/>
                <w:szCs w:val="21"/>
                <w:color w:val="auto"/>
              </w:rPr>
            </w:pPr>
          </w:p>
        </w:tc>
        <w:tc>
          <w:tcPr>
            <w:tcW w:w="1100" w:type="dxa"/>
            <w:vAlign w:val="bottom"/>
            <w:tcBorders>
              <w:bottom w:val="single" w:sz="8" w:color="0090DA"/>
            </w:tcBorders>
          </w:tcPr>
          <w:p>
            <w:pPr>
              <w:jc w:val="center"/>
              <w:ind w:right="130"/>
              <w:spacing w:after="0"/>
              <w:rPr>
                <w:sz w:val="20"/>
                <w:szCs w:val="20"/>
                <w:color w:val="auto"/>
              </w:rPr>
            </w:pPr>
            <w:r>
              <w:rPr>
                <w:rFonts w:ascii="Arial" w:cs="Arial" w:eastAsia="Arial" w:hAnsi="Arial"/>
                <w:sz w:val="18"/>
                <w:szCs w:val="18"/>
                <w:b w:val="1"/>
                <w:bCs w:val="1"/>
                <w:color w:val="auto"/>
                <w:w w:val="99"/>
              </w:rPr>
              <w:t>2022</w:t>
            </w:r>
          </w:p>
        </w:tc>
        <w:tc>
          <w:tcPr>
            <w:tcW w:w="220" w:type="dxa"/>
            <w:vAlign w:val="bottom"/>
            <w:tcBorders>
              <w:bottom w:val="single" w:sz="8" w:color="0090DA"/>
            </w:tcBorders>
          </w:tcPr>
          <w:p>
            <w:pPr>
              <w:spacing w:after="0"/>
              <w:rPr>
                <w:sz w:val="21"/>
                <w:szCs w:val="21"/>
                <w:color w:val="auto"/>
              </w:rPr>
            </w:pPr>
          </w:p>
        </w:tc>
        <w:tc>
          <w:tcPr>
            <w:tcW w:w="1120" w:type="dxa"/>
            <w:vAlign w:val="bottom"/>
            <w:tcBorders>
              <w:bottom w:val="single" w:sz="8" w:color="0090DA"/>
            </w:tcBorders>
          </w:tcPr>
          <w:p>
            <w:pPr>
              <w:jc w:val="center"/>
              <w:ind w:right="110"/>
              <w:spacing w:after="0"/>
              <w:rPr>
                <w:sz w:val="20"/>
                <w:szCs w:val="20"/>
                <w:color w:val="auto"/>
              </w:rPr>
            </w:pPr>
            <w:r>
              <w:rPr>
                <w:rFonts w:ascii="Arial" w:cs="Arial" w:eastAsia="Arial" w:hAnsi="Arial"/>
                <w:sz w:val="18"/>
                <w:szCs w:val="18"/>
                <w:b w:val="1"/>
                <w:bCs w:val="1"/>
                <w:color w:val="auto"/>
                <w:w w:val="99"/>
              </w:rPr>
              <w:t>2022</w:t>
            </w:r>
          </w:p>
        </w:tc>
        <w:tc>
          <w:tcPr>
            <w:tcW w:w="240" w:type="dxa"/>
            <w:vAlign w:val="bottom"/>
            <w:tcBorders>
              <w:bottom w:val="single" w:sz="8" w:color="0090DA"/>
            </w:tcBorders>
          </w:tcPr>
          <w:p>
            <w:pPr>
              <w:spacing w:after="0"/>
              <w:rPr>
                <w:sz w:val="21"/>
                <w:szCs w:val="21"/>
                <w:color w:val="auto"/>
              </w:rPr>
            </w:pPr>
          </w:p>
        </w:tc>
        <w:tc>
          <w:tcPr>
            <w:tcW w:w="1100" w:type="dxa"/>
            <w:vAlign w:val="bottom"/>
            <w:tcBorders>
              <w:bottom w:val="single" w:sz="8" w:color="0090DA"/>
            </w:tcBorders>
          </w:tcPr>
          <w:p>
            <w:pPr>
              <w:jc w:val="center"/>
              <w:ind w:right="130"/>
              <w:spacing w:after="0"/>
              <w:rPr>
                <w:sz w:val="20"/>
                <w:szCs w:val="20"/>
                <w:color w:val="auto"/>
              </w:rPr>
            </w:pPr>
            <w:r>
              <w:rPr>
                <w:rFonts w:ascii="Arial" w:cs="Arial" w:eastAsia="Arial" w:hAnsi="Arial"/>
                <w:sz w:val="18"/>
                <w:szCs w:val="18"/>
                <w:b w:val="1"/>
                <w:bCs w:val="1"/>
                <w:color w:val="auto"/>
                <w:w w:val="99"/>
              </w:rPr>
              <w:t>2021</w:t>
            </w:r>
          </w:p>
        </w:tc>
        <w:tc>
          <w:tcPr>
            <w:tcW w:w="0" w:type="dxa"/>
            <w:vAlign w:val="bottom"/>
          </w:tcPr>
          <w:p>
            <w:pPr>
              <w:spacing w:after="0"/>
              <w:rPr>
                <w:sz w:val="1"/>
                <w:szCs w:val="1"/>
                <w:color w:val="auto"/>
              </w:rPr>
            </w:pPr>
          </w:p>
        </w:tc>
      </w:tr>
      <w:tr>
        <w:trPr>
          <w:trHeight w:val="34"/>
        </w:trPr>
        <w:tc>
          <w:tcPr>
            <w:tcW w:w="7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GAAP net cash provided by operating activities</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3,838</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3,628</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3,560</w:t>
            </w:r>
          </w:p>
        </w:tc>
        <w:tc>
          <w:tcPr>
            <w:tcW w:w="0" w:type="dxa"/>
            <w:vAlign w:val="bottom"/>
          </w:tcPr>
          <w:p>
            <w:pPr>
              <w:spacing w:after="0"/>
              <w:rPr>
                <w:sz w:val="1"/>
                <w:szCs w:val="1"/>
                <w:color w:val="auto"/>
              </w:rPr>
            </w:pPr>
          </w:p>
        </w:tc>
      </w:tr>
      <w:tr>
        <w:trPr>
          <w:trHeight w:val="256"/>
        </w:trPr>
        <w:tc>
          <w:tcPr>
            <w:tcW w:w="7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(2,578)</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(2,611)</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(2,259)</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Proceeds from sales of property, plant, and equipment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Amounts funded by partners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3"/>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Investments in capital expenditures, net</w:t>
            </w:r>
          </w:p>
        </w:tc>
        <w:tc>
          <w:tcPr>
            <w:tcW w:w="22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(2,528)</w:t>
            </w:r>
          </w:p>
        </w:tc>
        <w:tc>
          <w:tcPr>
            <w:tcW w:w="2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(2,600)</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(2,042)</w:t>
            </w:r>
          </w:p>
        </w:tc>
        <w:tc>
          <w:tcPr>
            <w:tcW w:w="0" w:type="dxa"/>
            <w:vAlign w:val="bottom"/>
          </w:tcPr>
          <w:p>
            <w:pPr>
              <w:spacing w:after="0"/>
              <w:rPr>
                <w:sz w:val="1"/>
                <w:szCs w:val="1"/>
                <w:color w:val="auto"/>
              </w:rPr>
            </w:pPr>
          </w:p>
        </w:tc>
      </w:tr>
      <w:tr>
        <w:trPr>
          <w:trHeight w:val="223"/>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Adjusted free cash flow</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1"/>
        </w:trPr>
        <w:tc>
          <w:tcPr>
            <w:tcW w:w="7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7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20" w:type="dxa"/>
            <w:vAlign w:val="bottom"/>
          </w:tcPr>
          <w:p>
            <w:pPr>
              <w:spacing w:after="0"/>
              <w:rPr>
                <w:sz w:val="24"/>
                <w:szCs w:val="24"/>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June 2,</w:t>
            </w:r>
          </w:p>
        </w:tc>
        <w:tc>
          <w:tcPr>
            <w:tcW w:w="220" w:type="dxa"/>
            <w:vAlign w:val="bottom"/>
          </w:tcPr>
          <w:p>
            <w:pPr>
              <w:spacing w:after="0"/>
              <w:rPr>
                <w:sz w:val="24"/>
                <w:szCs w:val="24"/>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98"/>
              </w:rPr>
              <w:t>March 3,</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rPr>
              <w:t>September 2,</w:t>
            </w:r>
          </w:p>
        </w:tc>
        <w:tc>
          <w:tcPr>
            <w:tcW w:w="0" w:type="dxa"/>
            <w:vAlign w:val="bottom"/>
          </w:tcPr>
          <w:p>
            <w:pPr>
              <w:spacing w:after="0"/>
              <w:rPr>
                <w:sz w:val="1"/>
                <w:szCs w:val="1"/>
                <w:color w:val="auto"/>
              </w:rPr>
            </w:pPr>
          </w:p>
        </w:tc>
      </w:tr>
      <w:tr>
        <w:trPr>
          <w:trHeight w:val="243"/>
        </w:trPr>
        <w:tc>
          <w:tcPr>
            <w:tcW w:w="7240" w:type="dxa"/>
            <w:vAlign w:val="bottom"/>
            <w:tcBorders>
              <w:bottom w:val="single" w:sz="8" w:color="0090DA"/>
            </w:tcBorders>
            <w:vMerge w:val="continue"/>
          </w:tcPr>
          <w:p>
            <w:pPr>
              <w:spacing w:after="0"/>
              <w:rPr>
                <w:sz w:val="21"/>
                <w:szCs w:val="21"/>
                <w:color w:val="auto"/>
              </w:rPr>
            </w:pPr>
          </w:p>
        </w:tc>
        <w:tc>
          <w:tcPr>
            <w:tcW w:w="220" w:type="dxa"/>
            <w:vAlign w:val="bottom"/>
            <w:tcBorders>
              <w:bottom w:val="single" w:sz="8" w:color="0090DA"/>
            </w:tcBorders>
          </w:tcPr>
          <w:p>
            <w:pPr>
              <w:spacing w:after="0"/>
              <w:rPr>
                <w:sz w:val="21"/>
                <w:szCs w:val="21"/>
                <w:color w:val="auto"/>
              </w:rPr>
            </w:pPr>
          </w:p>
        </w:tc>
        <w:tc>
          <w:tcPr>
            <w:tcW w:w="1100" w:type="dxa"/>
            <w:vAlign w:val="bottom"/>
            <w:tcBorders>
              <w:bottom w:val="single" w:sz="8" w:color="0090DA"/>
            </w:tcBorders>
          </w:tcPr>
          <w:p>
            <w:pPr>
              <w:jc w:val="center"/>
              <w:ind w:right="130"/>
              <w:spacing w:after="0"/>
              <w:rPr>
                <w:sz w:val="20"/>
                <w:szCs w:val="20"/>
                <w:color w:val="auto"/>
              </w:rPr>
            </w:pPr>
            <w:r>
              <w:rPr>
                <w:rFonts w:ascii="Arial" w:cs="Arial" w:eastAsia="Arial" w:hAnsi="Arial"/>
                <w:sz w:val="18"/>
                <w:szCs w:val="18"/>
                <w:b w:val="1"/>
                <w:bCs w:val="1"/>
                <w:color w:val="auto"/>
                <w:w w:val="99"/>
              </w:rPr>
              <w:t>2022</w:t>
            </w:r>
          </w:p>
        </w:tc>
        <w:tc>
          <w:tcPr>
            <w:tcW w:w="220" w:type="dxa"/>
            <w:vAlign w:val="bottom"/>
            <w:tcBorders>
              <w:bottom w:val="single" w:sz="8" w:color="0090DA"/>
            </w:tcBorders>
          </w:tcPr>
          <w:p>
            <w:pPr>
              <w:spacing w:after="0"/>
              <w:rPr>
                <w:sz w:val="21"/>
                <w:szCs w:val="21"/>
                <w:color w:val="auto"/>
              </w:rPr>
            </w:pPr>
          </w:p>
        </w:tc>
        <w:tc>
          <w:tcPr>
            <w:tcW w:w="1120" w:type="dxa"/>
            <w:vAlign w:val="bottom"/>
            <w:tcBorders>
              <w:bottom w:val="single" w:sz="8" w:color="0090DA"/>
            </w:tcBorders>
          </w:tcPr>
          <w:p>
            <w:pPr>
              <w:jc w:val="center"/>
              <w:ind w:right="110"/>
              <w:spacing w:after="0"/>
              <w:rPr>
                <w:sz w:val="20"/>
                <w:szCs w:val="20"/>
                <w:color w:val="auto"/>
              </w:rPr>
            </w:pPr>
            <w:r>
              <w:rPr>
                <w:rFonts w:ascii="Arial" w:cs="Arial" w:eastAsia="Arial" w:hAnsi="Arial"/>
                <w:sz w:val="18"/>
                <w:szCs w:val="18"/>
                <w:b w:val="1"/>
                <w:bCs w:val="1"/>
                <w:color w:val="auto"/>
                <w:w w:val="99"/>
              </w:rPr>
              <w:t>2022</w:t>
            </w:r>
          </w:p>
        </w:tc>
        <w:tc>
          <w:tcPr>
            <w:tcW w:w="240" w:type="dxa"/>
            <w:vAlign w:val="bottom"/>
            <w:tcBorders>
              <w:bottom w:val="single" w:sz="8" w:color="0090DA"/>
            </w:tcBorders>
          </w:tcPr>
          <w:p>
            <w:pPr>
              <w:spacing w:after="0"/>
              <w:rPr>
                <w:sz w:val="21"/>
                <w:szCs w:val="21"/>
                <w:color w:val="auto"/>
              </w:rPr>
            </w:pPr>
          </w:p>
        </w:tc>
        <w:tc>
          <w:tcPr>
            <w:tcW w:w="1100" w:type="dxa"/>
            <w:vAlign w:val="bottom"/>
            <w:tcBorders>
              <w:bottom w:val="single" w:sz="8" w:color="0090DA"/>
            </w:tcBorders>
          </w:tcPr>
          <w:p>
            <w:pPr>
              <w:jc w:val="center"/>
              <w:ind w:right="130"/>
              <w:spacing w:after="0"/>
              <w:rPr>
                <w:sz w:val="20"/>
                <w:szCs w:val="20"/>
                <w:color w:val="auto"/>
              </w:rPr>
            </w:pPr>
            <w:r>
              <w:rPr>
                <w:rFonts w:ascii="Arial" w:cs="Arial" w:eastAsia="Arial" w:hAnsi="Arial"/>
                <w:sz w:val="18"/>
                <w:szCs w:val="18"/>
                <w:b w:val="1"/>
                <w:bCs w:val="1"/>
                <w:color w:val="auto"/>
                <w:w w:val="99"/>
              </w:rPr>
              <w:t>2021</w:t>
            </w:r>
          </w:p>
        </w:tc>
        <w:tc>
          <w:tcPr>
            <w:tcW w:w="0" w:type="dxa"/>
            <w:vAlign w:val="bottom"/>
          </w:tcPr>
          <w:p>
            <w:pPr>
              <w:spacing w:after="0"/>
              <w:rPr>
                <w:sz w:val="1"/>
                <w:szCs w:val="1"/>
                <w:color w:val="auto"/>
              </w:rPr>
            </w:pPr>
          </w:p>
        </w:tc>
      </w:tr>
    </w:tbl>
    <w:p>
      <w:pPr>
        <w:spacing w:after="0" w:line="35" w:lineRule="exact"/>
        <w:rPr>
          <w:sz w:val="20"/>
          <w:szCs w:val="20"/>
          <w:color w:val="auto"/>
        </w:rPr>
      </w:pPr>
    </w:p>
    <w:p>
      <w:pPr>
        <w:sectPr>
          <w:pgSz w:w="11900" w:h="16838" w:orient="portrait"/>
          <w:cols w:equalWidth="0" w:num="1">
            <w:col w:w="11240"/>
          </w:cols>
          <w:pgMar w:left="320" w:top="890" w:right="339" w:bottom="1440" w:gutter="0" w:footer="0" w:header="0"/>
        </w:sectPr>
      </w:pPr>
    </w:p>
    <w:p>
      <w:pPr>
        <w:ind w:left="40"/>
        <w:spacing w:after="0"/>
        <w:rPr>
          <w:sz w:val="20"/>
          <w:szCs w:val="20"/>
          <w:color w:val="auto"/>
        </w:rPr>
      </w:pPr>
      <w:r>
        <w:rPr>
          <w:rFonts w:ascii="Arial" w:cs="Arial" w:eastAsia="Arial" w:hAnsi="Arial"/>
          <w:sz w:val="18"/>
          <w:szCs w:val="18"/>
          <w:color w:val="auto"/>
        </w:rPr>
        <w:t>Cash and short-term investments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Current and noncurrent restricted cash</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Long-term marketable investments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 and long-term debt</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Net cash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10,227</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10,122</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8,633</w:t>
            </w:r>
          </w:p>
        </w:tc>
      </w:tr>
      <w:tr>
        <w:trPr>
          <w:trHeight w:val="229"/>
        </w:trPr>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1,646</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1,717</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1,765</w:t>
            </w:r>
          </w:p>
        </w:tc>
      </w:tr>
      <w:tr>
        <w:trPr>
          <w:trHeight w:val="235"/>
        </w:trPr>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(6,963)</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(7,076)</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(6,776)</w:t>
            </w:r>
          </w:p>
        </w:tc>
      </w:tr>
      <w:tr>
        <w:trPr>
          <w:trHeight w:val="223"/>
        </w:trPr>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5,014</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4,871</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3,688</w:t>
            </w:r>
          </w:p>
        </w:tc>
      </w:tr>
      <w:tr>
        <w:trPr>
          <w:trHeight w:val="21"/>
        </w:trPr>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-4591685</wp:posOffset>
            </wp:positionH>
            <wp:positionV relativeFrom="paragraph">
              <wp:posOffset>-770890</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-479425</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-187960</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20" w:space="720"/>
            <w:col w:w="4000"/>
          </w:cols>
          <w:pgMar w:left="320" w:top="890" w:right="339" w:bottom="1440" w:gutter="0" w:footer="0" w:header="0"/>
          <w:type w:val="continuous"/>
        </w:sectPr>
      </w:pPr>
    </w:p>
    <w:p>
      <w:pPr>
        <w:spacing w:after="0" w:line="10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tables above reconcile GAAP to non-GAAP measures of gross margin, operating expenses, operating income, net income, diluted shares, diluted earnings per share, adjusted free cash flow, and net cash. The non-GAAP adjustments above may or may not be infrequent or nonrecurring in nature, but are a result of periodic or non-core operating activities. We believe this non-GAAP information is helpful in understanding trends and in analyzing our operating results and earnings. We are providing this information to investors to assist in performing analysis of our operating results. When evaluating performance and making decisions on how to allocate our resources, management uses this non-GAAP information and believes investors should have access to similar data when making their investment decisions. We believe these non-GAAP financial measures increase transparency by providing investors with useful supplemental information about the financial performance of our business, enabling enhanced comparison of our operating results between periods and with peer companies. The presentation of these adjusted amounts varies from amounts presented in accordance with U.S. GAAP and therefore may not be comparable to amounts reported by other companies. Our management excludes the following items in analyzing our operating results and understanding trends in our earnings:</w:t>
      </w:r>
    </w:p>
    <w:p>
      <w:pPr>
        <w:spacing w:after="0" w:line="20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Flow-through of business acquisition-related inventory adjustments;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Acquisition-related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Employee severance;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Gains and losses from settlements and patent license charges;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Restructure and asset impairments;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Amortization of debt discount and other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Gains and losses from debt repurchases and conversions;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Gains and losses from business acquisition activities; and</w:t>
      </w:r>
    </w:p>
    <w:p>
      <w:pPr>
        <w:spacing w:after="0" w:line="9" w:lineRule="exact"/>
        <w:rPr>
          <w:rFonts w:ascii="Arial" w:cs="Arial" w:eastAsia="Arial" w:hAnsi="Arial"/>
          <w:sz w:val="18"/>
          <w:szCs w:val="18"/>
          <w:color w:val="auto"/>
        </w:rPr>
      </w:pPr>
    </w:p>
    <w:p>
      <w:pPr>
        <w:ind w:left="660" w:right="500" w:hanging="328"/>
        <w:spacing w:after="0" w:line="26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estimated tax effects of above, non-cash changes in net deferred income taxes, assessments of tax exposures, certain tax matters related to prior fiscal periods, and significant changes in tax law.</w:t>
      </w:r>
    </w:p>
    <w:p>
      <w:pPr>
        <w:spacing w:after="0" w:line="198"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Non-GAAP diluted shares are adjusted for the impact of additional shares resulting from the exclusion of stock-based compensation from non-GAAP income.</w:t>
      </w:r>
    </w:p>
    <w:p>
      <w:pPr>
        <w:sectPr>
          <w:pgSz w:w="11900" w:h="16838" w:orient="portrait"/>
          <w:cols w:equalWidth="0" w:num="1">
            <w:col w:w="11240"/>
          </w:cols>
          <w:pgMar w:left="320" w:top="89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40"/>
          </w:cols>
          <w:pgMar w:left="320" w:top="890"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OUTLOOK</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FQ4-22</w:t>
            </w:r>
          </w:p>
        </w:tc>
        <w:tc>
          <w:tcPr>
            <w:tcW w:w="2240" w:type="dxa"/>
            <w:vAlign w:val="bottom"/>
            <w:gridSpan w:val="2"/>
          </w:tcPr>
          <w:p>
            <w:pPr>
              <w:ind w:left="360"/>
              <w:spacing w:after="0"/>
              <w:rPr>
                <w:sz w:val="20"/>
                <w:szCs w:val="20"/>
                <w:color w:val="auto"/>
              </w:rPr>
            </w:pPr>
            <w:r>
              <w:rPr>
                <w:rFonts w:ascii="Arial" w:cs="Arial" w:eastAsia="Arial" w:hAnsi="Arial"/>
                <w:sz w:val="18"/>
                <w:szCs w:val="18"/>
                <w:b w:val="1"/>
                <w:bCs w:val="1"/>
                <w:color w:val="auto"/>
              </w:rPr>
              <w:t>GAAP Outlook</w:t>
            </w:r>
          </w:p>
        </w:tc>
        <w:tc>
          <w:tcPr>
            <w:tcW w:w="2600" w:type="dxa"/>
            <w:vAlign w:val="bottom"/>
            <w:gridSpan w:val="3"/>
          </w:tcPr>
          <w:p>
            <w:pPr>
              <w:jc w:val="right"/>
              <w:ind w:right="810"/>
              <w:spacing w:after="0"/>
              <w:rPr>
                <w:sz w:val="20"/>
                <w:szCs w:val="20"/>
                <w:color w:val="auto"/>
              </w:rPr>
            </w:pPr>
            <w:r>
              <w:rPr>
                <w:rFonts w:ascii="Arial" w:cs="Arial" w:eastAsia="Arial" w:hAnsi="Arial"/>
                <w:sz w:val="18"/>
                <w:szCs w:val="18"/>
                <w:b w:val="1"/>
                <w:bCs w:val="1"/>
                <w:color w:val="auto"/>
              </w:rPr>
              <w:t>Adjustments</w:t>
            </w:r>
          </w:p>
        </w:tc>
        <w:tc>
          <w:tcPr>
            <w:tcW w:w="2120" w:type="dxa"/>
            <w:vAlign w:val="bottom"/>
          </w:tcPr>
          <w:p>
            <w:pPr>
              <w:jc w:val="right"/>
              <w:ind w:right="230"/>
              <w:spacing w:after="0"/>
              <w:rPr>
                <w:sz w:val="20"/>
                <w:szCs w:val="20"/>
                <w:color w:val="auto"/>
              </w:rPr>
            </w:pPr>
            <w:r>
              <w:rPr>
                <w:rFonts w:ascii="Arial" w:cs="Arial" w:eastAsia="Arial" w:hAnsi="Arial"/>
                <w:sz w:val="18"/>
                <w:szCs w:val="18"/>
                <w:b w:val="1"/>
                <w:bCs w:val="1"/>
                <w:color w:val="auto"/>
              </w:rPr>
              <w:t>Non-GAAP Outlook</w:t>
            </w:r>
          </w:p>
        </w:tc>
      </w:tr>
      <w:tr>
        <w:trPr>
          <w:trHeight w:val="34"/>
        </w:trPr>
        <w:tc>
          <w:tcPr>
            <w:tcW w:w="4280" w:type="dxa"/>
            <w:vAlign w:val="bottom"/>
            <w:tcBorders>
              <w:top w:val="single" w:sz="8" w:color="0090DA"/>
            </w:tcBorders>
          </w:tcPr>
          <w:p>
            <w:pPr>
              <w:spacing w:after="0"/>
              <w:rPr>
                <w:sz w:val="2"/>
                <w:szCs w:val="2"/>
                <w:color w:val="auto"/>
              </w:rPr>
            </w:pPr>
          </w:p>
        </w:tc>
        <w:tc>
          <w:tcPr>
            <w:tcW w:w="2140" w:type="dxa"/>
            <w:vAlign w:val="bottom"/>
            <w:tcBorders>
              <w:top w:val="single" w:sz="8" w:color="0090DA"/>
            </w:tcBorders>
          </w:tcPr>
          <w:p>
            <w:pPr>
              <w:spacing w:after="0"/>
              <w:rPr>
                <w:sz w:val="2"/>
                <w:szCs w:val="2"/>
                <w:color w:val="auto"/>
              </w:rPr>
            </w:pPr>
          </w:p>
        </w:tc>
        <w:tc>
          <w:tcPr>
            <w:tcW w:w="100" w:type="dxa"/>
            <w:vAlign w:val="bottom"/>
          </w:tcPr>
          <w:p>
            <w:pPr>
              <w:spacing w:after="0"/>
              <w:rPr>
                <w:sz w:val="2"/>
                <w:szCs w:val="2"/>
                <w:color w:val="auto"/>
              </w:rPr>
            </w:pPr>
          </w:p>
        </w:tc>
        <w:tc>
          <w:tcPr>
            <w:tcW w:w="2320" w:type="dxa"/>
            <w:vAlign w:val="bottom"/>
            <w:tcBorders>
              <w:top w:val="single" w:sz="8" w:color="0090DA"/>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90DA"/>
            </w:tcBorders>
          </w:tcPr>
          <w:p>
            <w:pPr>
              <w:spacing w:after="0"/>
              <w:rPr>
                <w:sz w:val="2"/>
                <w:szCs w:val="2"/>
                <w:color w:val="auto"/>
              </w:rPr>
            </w:pPr>
          </w:p>
        </w:tc>
        <w:tc>
          <w:tcPr>
            <w:tcW w:w="2120" w:type="dxa"/>
            <w:vAlign w:val="bottom"/>
            <w:tcBorders>
              <w:top w:val="single" w:sz="8" w:color="0090DA"/>
            </w:tcBorders>
          </w:tcPr>
          <w:p>
            <w:pPr>
              <w:spacing w:after="0"/>
              <w:rPr>
                <w:sz w:val="2"/>
                <w:szCs w:val="2"/>
                <w:color w:val="auto"/>
              </w:rPr>
            </w:pPr>
          </w:p>
        </w:tc>
      </w:tr>
      <w:tr>
        <w:trPr>
          <w:trHeight w:val="229"/>
        </w:trPr>
        <w:tc>
          <w:tcPr>
            <w:tcW w:w="42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2240" w:type="dxa"/>
            <w:vAlign w:val="bottom"/>
            <w:gridSpan w:val="2"/>
            <w:shd w:val="clear" w:color="auto" w:fill="D1D2D4"/>
          </w:tcPr>
          <w:p>
            <w:pPr>
              <w:ind w:left="100"/>
              <w:spacing w:after="0"/>
              <w:rPr>
                <w:sz w:val="20"/>
                <w:szCs w:val="20"/>
                <w:color w:val="auto"/>
              </w:rPr>
            </w:pPr>
            <w:r>
              <w:rPr>
                <w:rFonts w:ascii="Arial" w:cs="Arial" w:eastAsia="Arial" w:hAnsi="Arial"/>
                <w:sz w:val="18"/>
                <w:szCs w:val="18"/>
                <w:color w:val="auto"/>
              </w:rPr>
              <w:t>$7.2 billion ± $400 million</w:t>
            </w:r>
          </w:p>
        </w:tc>
        <w:tc>
          <w:tcPr>
            <w:tcW w:w="2600" w:type="dxa"/>
            <w:vAlign w:val="bottom"/>
            <w:gridSpan w:val="3"/>
            <w:shd w:val="clear" w:color="auto" w:fill="D1D2D4"/>
          </w:tcPr>
          <w:p>
            <w:pPr>
              <w:jc w:val="right"/>
              <w:ind w:right="1250"/>
              <w:spacing w:after="0"/>
              <w:rPr>
                <w:sz w:val="20"/>
                <w:szCs w:val="20"/>
                <w:color w:val="auto"/>
              </w:rPr>
            </w:pPr>
            <w:r>
              <w:rPr>
                <w:rFonts w:ascii="Arial" w:cs="Arial" w:eastAsia="Arial" w:hAnsi="Arial"/>
                <w:sz w:val="18"/>
                <w:szCs w:val="18"/>
                <w:color w:val="auto"/>
              </w:rPr>
              <w:t>—</w:t>
            </w:r>
          </w:p>
        </w:tc>
        <w:tc>
          <w:tcPr>
            <w:tcW w:w="2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$7.2 billion ± $400 million</w:t>
            </w: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140" w:type="dxa"/>
            <w:vAlign w:val="bottom"/>
          </w:tcPr>
          <w:p>
            <w:pPr>
              <w:jc w:val="right"/>
              <w:spacing w:after="0"/>
              <w:rPr>
                <w:sz w:val="20"/>
                <w:szCs w:val="20"/>
                <w:color w:val="auto"/>
              </w:rPr>
            </w:pPr>
            <w:r>
              <w:rPr>
                <w:rFonts w:ascii="Arial" w:cs="Arial" w:eastAsia="Arial" w:hAnsi="Arial"/>
                <w:sz w:val="18"/>
                <w:szCs w:val="18"/>
                <w:color w:val="auto"/>
              </w:rPr>
              <w:t>41.5% ± 1.5%</w:t>
            </w:r>
          </w:p>
        </w:tc>
        <w:tc>
          <w:tcPr>
            <w:tcW w:w="100" w:type="dxa"/>
            <w:vAlign w:val="bottom"/>
          </w:tcPr>
          <w:p>
            <w:pPr>
              <w:spacing w:after="0"/>
              <w:rPr>
                <w:sz w:val="19"/>
                <w:szCs w:val="19"/>
                <w:color w:val="auto"/>
              </w:rPr>
            </w:pPr>
          </w:p>
        </w:tc>
        <w:tc>
          <w:tcPr>
            <w:tcW w:w="2600" w:type="dxa"/>
            <w:vAlign w:val="bottom"/>
            <w:gridSpan w:val="3"/>
          </w:tcPr>
          <w:p>
            <w:pPr>
              <w:jc w:val="right"/>
              <w:ind w:right="1050"/>
              <w:spacing w:after="0"/>
              <w:rPr>
                <w:sz w:val="20"/>
                <w:szCs w:val="20"/>
                <w:color w:val="auto"/>
              </w:rPr>
            </w:pPr>
            <w:r>
              <w:rPr>
                <w:rFonts w:ascii="Arial" w:cs="Arial" w:eastAsia="Arial" w:hAnsi="Arial"/>
                <w:sz w:val="18"/>
                <w:szCs w:val="18"/>
                <w:color w:val="auto"/>
              </w:rPr>
              <w:t>1% A</w:t>
            </w:r>
          </w:p>
        </w:tc>
        <w:tc>
          <w:tcPr>
            <w:tcW w:w="2120" w:type="dxa"/>
            <w:vAlign w:val="bottom"/>
          </w:tcPr>
          <w:p>
            <w:pPr>
              <w:jc w:val="right"/>
              <w:spacing w:after="0"/>
              <w:rPr>
                <w:sz w:val="20"/>
                <w:szCs w:val="20"/>
                <w:color w:val="auto"/>
              </w:rPr>
            </w:pPr>
            <w:r>
              <w:rPr>
                <w:rFonts w:ascii="Arial" w:cs="Arial" w:eastAsia="Arial" w:hAnsi="Arial"/>
                <w:sz w:val="18"/>
                <w:szCs w:val="18"/>
                <w:color w:val="auto"/>
              </w:rPr>
              <w:t>42.5% ± 1.5%</w:t>
            </w:r>
          </w:p>
        </w:tc>
      </w:tr>
      <w:tr>
        <w:trPr>
          <w:trHeight w:val="230"/>
        </w:trPr>
        <w:tc>
          <w:tcPr>
            <w:tcW w:w="42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expenses</w:t>
            </w:r>
          </w:p>
        </w:tc>
        <w:tc>
          <w:tcPr>
            <w:tcW w:w="2240" w:type="dxa"/>
            <w:vAlign w:val="bottom"/>
            <w:gridSpan w:val="2"/>
            <w:shd w:val="clear" w:color="auto" w:fill="D1D2D4"/>
          </w:tcPr>
          <w:p>
            <w:pPr>
              <w:ind w:left="100"/>
              <w:spacing w:after="0"/>
              <w:rPr>
                <w:sz w:val="20"/>
                <w:szCs w:val="20"/>
                <w:color w:val="auto"/>
              </w:rPr>
            </w:pPr>
            <w:r>
              <w:rPr>
                <w:rFonts w:ascii="Arial" w:cs="Arial" w:eastAsia="Arial" w:hAnsi="Arial"/>
                <w:sz w:val="18"/>
                <w:szCs w:val="18"/>
                <w:color w:val="auto"/>
              </w:rPr>
              <w:t>$1.13 billion ± $25 million</w:t>
            </w:r>
          </w:p>
        </w:tc>
        <w:tc>
          <w:tcPr>
            <w:tcW w:w="2600" w:type="dxa"/>
            <w:vAlign w:val="bottom"/>
            <w:gridSpan w:val="3"/>
            <w:shd w:val="clear" w:color="auto" w:fill="D1D2D4"/>
          </w:tcPr>
          <w:p>
            <w:pPr>
              <w:jc w:val="right"/>
              <w:ind w:right="1050"/>
              <w:spacing w:after="0"/>
              <w:rPr>
                <w:sz w:val="20"/>
                <w:szCs w:val="20"/>
                <w:color w:val="auto"/>
              </w:rPr>
            </w:pPr>
            <w:r>
              <w:rPr>
                <w:rFonts w:ascii="Arial" w:cs="Arial" w:eastAsia="Arial" w:hAnsi="Arial"/>
                <w:sz w:val="18"/>
                <w:szCs w:val="18"/>
                <w:color w:val="auto"/>
              </w:rPr>
              <w:t>$83 million B</w:t>
            </w:r>
          </w:p>
        </w:tc>
        <w:tc>
          <w:tcPr>
            <w:tcW w:w="2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$1.05 billion ± $25 million</w:t>
            </w:r>
          </w:p>
        </w:tc>
      </w:tr>
      <w:tr>
        <w:trPr>
          <w:trHeight w:val="311"/>
        </w:trPr>
        <w:tc>
          <w:tcPr>
            <w:tcW w:w="4280" w:type="dxa"/>
            <w:vAlign w:val="bottom"/>
          </w:tcPr>
          <w:p>
            <w:pPr>
              <w:ind w:left="20"/>
              <w:spacing w:after="0"/>
              <w:rPr>
                <w:sz w:val="20"/>
                <w:szCs w:val="20"/>
                <w:color w:val="auto"/>
              </w:rPr>
            </w:pPr>
            <w:r>
              <w:rPr>
                <w:rFonts w:ascii="Arial" w:cs="Arial" w:eastAsia="Arial" w:hAnsi="Arial"/>
                <w:sz w:val="18"/>
                <w:szCs w:val="18"/>
                <w:color w:val="auto"/>
              </w:rPr>
              <w:t>Diluted earnings per share</w:t>
            </w:r>
            <w:r>
              <w:rPr>
                <w:rFonts w:ascii="Arial" w:cs="Arial" w:eastAsia="Arial" w:hAnsi="Arial"/>
                <w:sz w:val="23"/>
                <w:szCs w:val="23"/>
                <w:color w:val="auto"/>
                <w:vertAlign w:val="superscript"/>
              </w:rPr>
              <w:t>(1)</w:t>
            </w:r>
          </w:p>
        </w:tc>
        <w:tc>
          <w:tcPr>
            <w:tcW w:w="2140" w:type="dxa"/>
            <w:vAlign w:val="bottom"/>
          </w:tcPr>
          <w:p>
            <w:pPr>
              <w:jc w:val="right"/>
              <w:spacing w:after="0"/>
              <w:rPr>
                <w:sz w:val="20"/>
                <w:szCs w:val="20"/>
                <w:color w:val="auto"/>
              </w:rPr>
            </w:pPr>
            <w:r>
              <w:rPr>
                <w:rFonts w:ascii="Arial" w:cs="Arial" w:eastAsia="Arial" w:hAnsi="Arial"/>
                <w:sz w:val="18"/>
                <w:szCs w:val="18"/>
                <w:color w:val="auto"/>
              </w:rPr>
              <w:t>$1.52 ± $0.20</w:t>
            </w:r>
          </w:p>
        </w:tc>
        <w:tc>
          <w:tcPr>
            <w:tcW w:w="100" w:type="dxa"/>
            <w:vAlign w:val="bottom"/>
          </w:tcPr>
          <w:p>
            <w:pPr>
              <w:spacing w:after="0"/>
              <w:rPr>
                <w:sz w:val="24"/>
                <w:szCs w:val="24"/>
                <w:color w:val="auto"/>
              </w:rPr>
            </w:pPr>
          </w:p>
        </w:tc>
        <w:tc>
          <w:tcPr>
            <w:tcW w:w="2600" w:type="dxa"/>
            <w:vAlign w:val="bottom"/>
            <w:gridSpan w:val="3"/>
          </w:tcPr>
          <w:p>
            <w:pPr>
              <w:jc w:val="right"/>
              <w:ind w:right="590"/>
              <w:spacing w:after="0"/>
              <w:rPr>
                <w:sz w:val="20"/>
                <w:szCs w:val="20"/>
                <w:color w:val="auto"/>
              </w:rPr>
            </w:pPr>
            <w:r>
              <w:rPr>
                <w:rFonts w:ascii="Arial" w:cs="Arial" w:eastAsia="Arial" w:hAnsi="Arial"/>
                <w:sz w:val="18"/>
                <w:szCs w:val="18"/>
                <w:color w:val="auto"/>
              </w:rPr>
              <w:t>$0.11 A, B, C</w:t>
            </w:r>
          </w:p>
        </w:tc>
        <w:tc>
          <w:tcPr>
            <w:tcW w:w="2120" w:type="dxa"/>
            <w:vAlign w:val="bottom"/>
          </w:tcPr>
          <w:p>
            <w:pPr>
              <w:jc w:val="right"/>
              <w:spacing w:after="0"/>
              <w:rPr>
                <w:sz w:val="20"/>
                <w:szCs w:val="20"/>
                <w:color w:val="auto"/>
              </w:rPr>
            </w:pPr>
            <w:r>
              <w:rPr>
                <w:rFonts w:ascii="Arial" w:cs="Arial" w:eastAsia="Arial" w:hAnsi="Arial"/>
                <w:sz w:val="18"/>
                <w:szCs w:val="18"/>
                <w:color w:val="auto"/>
              </w:rPr>
              <w:t>$1.63 ± $0.20</w:t>
            </w:r>
          </w:p>
        </w:tc>
      </w:tr>
      <w:tr>
        <w:trPr>
          <w:trHeight w:val="216"/>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Non-GAAP Adjustments</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40"/>
        </w:trPr>
        <w:tc>
          <w:tcPr>
            <w:tcW w:w="4280" w:type="dxa"/>
            <w:vAlign w:val="bottom"/>
            <w:tcBorders>
              <w:bottom w:val="single" w:sz="8" w:color="0090DA"/>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140" w:type="dxa"/>
            <w:vAlign w:val="bottom"/>
            <w:tcBorders>
              <w:bottom w:val="single" w:sz="8" w:color="0090DA"/>
            </w:tcBorders>
          </w:tcPr>
          <w:p>
            <w:pPr>
              <w:spacing w:after="0"/>
              <w:rPr>
                <w:sz w:val="20"/>
                <w:szCs w:val="20"/>
                <w:color w:val="auto"/>
              </w:rPr>
            </w:pPr>
          </w:p>
        </w:tc>
        <w:tc>
          <w:tcPr>
            <w:tcW w:w="100" w:type="dxa"/>
            <w:vAlign w:val="bottom"/>
            <w:tcBorders>
              <w:bottom w:val="single" w:sz="8" w:color="0090DA"/>
            </w:tcBorders>
          </w:tcPr>
          <w:p>
            <w:pPr>
              <w:spacing w:after="0"/>
              <w:rPr>
                <w:sz w:val="20"/>
                <w:szCs w:val="20"/>
                <w:color w:val="auto"/>
              </w:rPr>
            </w:pPr>
          </w:p>
        </w:tc>
        <w:tc>
          <w:tcPr>
            <w:tcW w:w="2320" w:type="dxa"/>
            <w:vAlign w:val="bottom"/>
            <w:tcBorders>
              <w:bottom w:val="single" w:sz="8" w:color="0090DA"/>
            </w:tcBorders>
          </w:tcPr>
          <w:p>
            <w:pPr>
              <w:spacing w:after="0"/>
              <w:rPr>
                <w:sz w:val="20"/>
                <w:szCs w:val="20"/>
                <w:color w:val="auto"/>
              </w:rPr>
            </w:pPr>
          </w:p>
        </w:tc>
        <w:tc>
          <w:tcPr>
            <w:tcW w:w="100" w:type="dxa"/>
            <w:vAlign w:val="bottom"/>
            <w:tcBorders>
              <w:bottom w:val="single" w:sz="8" w:color="0090DA"/>
            </w:tcBorders>
          </w:tcPr>
          <w:p>
            <w:pPr>
              <w:spacing w:after="0"/>
              <w:rPr>
                <w:sz w:val="20"/>
                <w:szCs w:val="20"/>
                <w:color w:val="auto"/>
              </w:rPr>
            </w:pPr>
          </w:p>
        </w:tc>
        <w:tc>
          <w:tcPr>
            <w:tcW w:w="180" w:type="dxa"/>
            <w:vAlign w:val="bottom"/>
            <w:tcBorders>
              <w:bottom w:val="single" w:sz="8" w:color="0090DA"/>
            </w:tcBorders>
          </w:tcPr>
          <w:p>
            <w:pPr>
              <w:spacing w:after="0"/>
              <w:rPr>
                <w:sz w:val="20"/>
                <w:szCs w:val="20"/>
                <w:color w:val="auto"/>
              </w:rPr>
            </w:pPr>
          </w:p>
        </w:tc>
        <w:tc>
          <w:tcPr>
            <w:tcW w:w="2120" w:type="dxa"/>
            <w:vAlign w:val="bottom"/>
            <w:tcBorders>
              <w:bottom w:val="single" w:sz="8" w:color="0090DA"/>
            </w:tcBorders>
          </w:tcPr>
          <w:p>
            <w:pPr>
              <w:spacing w:after="0"/>
              <w:rPr>
                <w:sz w:val="20"/>
                <w:szCs w:val="20"/>
                <w:color w:val="auto"/>
              </w:rPr>
            </w:pPr>
          </w:p>
        </w:tc>
      </w:tr>
      <w:tr>
        <w:trPr>
          <w:trHeight w:val="37"/>
        </w:trPr>
        <w:tc>
          <w:tcPr>
            <w:tcW w:w="42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120" w:type="dxa"/>
            <w:vAlign w:val="bottom"/>
          </w:tcPr>
          <w:p>
            <w:pPr>
              <w:spacing w:after="0"/>
              <w:rPr>
                <w:sz w:val="3"/>
                <w:szCs w:val="3"/>
                <w:color w:val="auto"/>
              </w:rPr>
            </w:pPr>
          </w:p>
        </w:tc>
      </w:tr>
      <w:tr>
        <w:trPr>
          <w:trHeight w:val="229"/>
        </w:trPr>
        <w:tc>
          <w:tcPr>
            <w:tcW w:w="4280" w:type="dxa"/>
            <w:vAlign w:val="bottom"/>
            <w:shd w:val="clear" w:color="auto" w:fill="D1D2D4"/>
          </w:tcPr>
          <w:p>
            <w:pPr>
              <w:ind w:left="20"/>
              <w:spacing w:after="0"/>
              <w:rPr>
                <w:sz w:val="20"/>
                <w:szCs w:val="20"/>
                <w:color w:val="auto"/>
              </w:rPr>
            </w:pPr>
            <w:r>
              <w:rPr>
                <w:rFonts w:ascii="Arial" w:cs="Arial" w:eastAsia="Arial" w:hAnsi="Arial"/>
                <w:sz w:val="18"/>
                <w:szCs w:val="18"/>
                <w:color w:val="auto"/>
              </w:rPr>
              <w:t>A  Stock-based compensation – cost of goods sold</w:t>
            </w:r>
          </w:p>
        </w:tc>
        <w:tc>
          <w:tcPr>
            <w:tcW w:w="214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600" w:type="dxa"/>
            <w:vAlign w:val="bottom"/>
            <w:gridSpan w:val="3"/>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A  Other – cost of goods sold</w:t>
            </w: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6520" w:type="dxa"/>
            <w:vAlign w:val="bottom"/>
            <w:gridSpan w:val="3"/>
            <w:shd w:val="clear" w:color="auto" w:fill="D1D2D4"/>
          </w:tcPr>
          <w:p>
            <w:pPr>
              <w:ind w:left="20"/>
              <w:spacing w:after="0"/>
              <w:rPr>
                <w:sz w:val="20"/>
                <w:szCs w:val="20"/>
                <w:color w:val="auto"/>
              </w:rPr>
            </w:pPr>
            <w:r>
              <w:rPr>
                <w:rFonts w:ascii="Arial" w:cs="Arial" w:eastAsia="Arial" w:hAnsi="Arial"/>
                <w:sz w:val="18"/>
                <w:szCs w:val="18"/>
                <w:color w:val="auto"/>
              </w:rPr>
              <w:t>B  Stock-based compensation – research and development</w:t>
            </w:r>
          </w:p>
        </w:tc>
        <w:tc>
          <w:tcPr>
            <w:tcW w:w="23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2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w:t>
            </w:r>
          </w:p>
        </w:tc>
      </w:tr>
      <w:tr>
        <w:trPr>
          <w:trHeight w:val="229"/>
        </w:trPr>
        <w:tc>
          <w:tcPr>
            <w:tcW w:w="6520" w:type="dxa"/>
            <w:vAlign w:val="bottom"/>
            <w:gridSpan w:val="3"/>
          </w:tcPr>
          <w:p>
            <w:pPr>
              <w:ind w:left="20"/>
              <w:spacing w:after="0"/>
              <w:rPr>
                <w:sz w:val="20"/>
                <w:szCs w:val="20"/>
                <w:color w:val="auto"/>
              </w:rPr>
            </w:pPr>
            <w:r>
              <w:rPr>
                <w:rFonts w:ascii="Arial" w:cs="Arial" w:eastAsia="Arial" w:hAnsi="Arial"/>
                <w:sz w:val="18"/>
                <w:szCs w:val="18"/>
                <w:color w:val="auto"/>
              </w:rPr>
              <w:t>B  Stock-based compensation – sales, general, and administrative</w:t>
            </w: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6520" w:type="dxa"/>
            <w:vAlign w:val="bottom"/>
            <w:gridSpan w:val="3"/>
            <w:shd w:val="clear" w:color="auto" w:fill="D1D2D4"/>
          </w:tcPr>
          <w:p>
            <w:pPr>
              <w:ind w:left="20"/>
              <w:spacing w:after="0"/>
              <w:rPr>
                <w:sz w:val="20"/>
                <w:szCs w:val="20"/>
                <w:color w:val="auto"/>
              </w:rPr>
            </w:pPr>
            <w:r>
              <w:rPr>
                <w:rFonts w:ascii="Arial" w:cs="Arial" w:eastAsia="Arial" w:hAnsi="Arial"/>
                <w:sz w:val="18"/>
                <w:szCs w:val="18"/>
                <w:color w:val="auto"/>
              </w:rPr>
              <w:t>C  Tax effects of the above items and other tax adjustments</w:t>
            </w:r>
          </w:p>
        </w:tc>
        <w:tc>
          <w:tcPr>
            <w:tcW w:w="23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80" w:type="dxa"/>
            <w:vAlign w:val="bottom"/>
            <w:tcBorders>
              <w:bottom w:val="single" w:sz="8" w:color="auto"/>
            </w:tcBorders>
            <w:shd w:val="clear" w:color="auto" w:fill="D1D2D4"/>
          </w:tcPr>
          <w:p>
            <w:pPr>
              <w:spacing w:after="0"/>
              <w:rPr>
                <w:sz w:val="19"/>
                <w:szCs w:val="19"/>
                <w:color w:val="auto"/>
              </w:rPr>
            </w:pPr>
          </w:p>
        </w:tc>
        <w:tc>
          <w:tcPr>
            <w:tcW w:w="2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42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gridSpan w:val="2"/>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r>
      <w:tr>
        <w:trPr>
          <w:trHeight w:val="21"/>
        </w:trPr>
        <w:tc>
          <w:tcPr>
            <w:tcW w:w="42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340" w:right="60" w:hanging="332"/>
        <w:spacing w:after="0" w:line="231" w:lineRule="auto"/>
        <w:tabs>
          <w:tab w:leader="none" w:pos="334"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GAAP earnings per share based on approximately 1.12 billion diluted shares and non-GAAP earnings per share based on approximately 1.13 billion diluted shares.</w:t>
      </w:r>
    </w:p>
    <w:p>
      <w:pPr>
        <w:spacing w:after="0" w:line="22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tables above reconcile our GAAP to non-GAAP guidance based on the current outlook. The guidance does not incorporate the impact of any potential business combinations, divestitures, restructuring activities, balance sheet valuation adjustments, strategic investments, financing transactions, and other significant transactions. The timing and impact of such items are dependent on future events that may be uncertain or outside of our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2022-06-30T15:05:07Z</dcterms:created>
  <dcterms:modified xsi:type="dcterms:W3CDTF">2022-06-30T15:05:07Z</dcterms:modified>
</cp:coreProperties>
</file>