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6"/>
          <w:szCs w:val="16"/>
          <w:color w:val="auto"/>
        </w:rPr>
        <w:t>FORM 10-Q</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6"/>
          <w:szCs w:val="16"/>
          <w:color w:val="auto"/>
        </w:rPr>
        <w:t>__________</w:t>
      </w:r>
    </w:p>
    <w:p>
      <w:pPr>
        <w:spacing w:after="0" w:line="180"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UNITED STATES</w:t>
      </w:r>
    </w:p>
    <w:p>
      <w:pPr>
        <w:spacing w:after="0" w:line="2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SECURITIES AND EXCHANGE COMMISSION</w:t>
      </w:r>
    </w:p>
    <w:p>
      <w:pPr>
        <w:ind w:left="2720"/>
        <w:spacing w:after="0"/>
        <w:tabs>
          <w:tab w:leader="none" w:pos="4200" w:val="left"/>
        </w:tabs>
        <w:rPr>
          <w:sz w:val="20"/>
          <w:szCs w:val="20"/>
          <w:color w:val="auto"/>
        </w:rPr>
      </w:pPr>
      <w:r>
        <w:rPr>
          <w:rFonts w:ascii="Courier New" w:cs="Courier New" w:eastAsia="Courier New" w:hAnsi="Courier New"/>
          <w:sz w:val="16"/>
          <w:szCs w:val="16"/>
          <w:color w:val="auto"/>
        </w:rPr>
        <w:t>Washington, DC</w:t>
        <w:tab/>
        <w:t>20549</w:t>
      </w:r>
    </w:p>
    <w:p>
      <w:pPr>
        <w:spacing w:after="0" w:line="152" w:lineRule="exact"/>
        <w:rPr>
          <w:sz w:val="24"/>
          <w:szCs w:val="24"/>
          <w:color w:val="auto"/>
        </w:rPr>
      </w:pPr>
    </w:p>
    <w:p>
      <w:pPr>
        <w:ind w:left="3180"/>
        <w:spacing w:after="0"/>
        <w:rPr>
          <w:sz w:val="20"/>
          <w:szCs w:val="20"/>
          <w:color w:val="auto"/>
        </w:rPr>
      </w:pPr>
      <w:r>
        <w:rPr>
          <w:rFonts w:ascii="Courier New" w:cs="Courier New" w:eastAsia="Courier New" w:hAnsi="Courier New"/>
          <w:sz w:val="16"/>
          <w:szCs w:val="16"/>
          <w:color w:val="auto"/>
        </w:rPr>
        <w:t>___________</w:t>
      </w:r>
    </w:p>
    <w:p>
      <w:pPr>
        <w:spacing w:after="0" w:line="360" w:lineRule="exact"/>
        <w:rPr>
          <w:sz w:val="24"/>
          <w:szCs w:val="24"/>
          <w:color w:val="auto"/>
        </w:rPr>
      </w:pPr>
    </w:p>
    <w:p>
      <w:pPr>
        <w:ind w:left="2820" w:right="2999" w:hanging="2448"/>
        <w:spacing w:after="0" w:line="349" w:lineRule="auto"/>
        <w:tabs>
          <w:tab w:leader="none" w:pos="84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 EXCHANGE ACT OF 1934</w:t>
      </w:r>
    </w:p>
    <w:p>
      <w:pPr>
        <w:spacing w:after="0" w:line="15"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 the quarterly period ended December 2, 1999</w:t>
      </w:r>
    </w:p>
    <w:p>
      <w:pPr>
        <w:spacing w:after="0" w:line="180"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OR</w:t>
      </w:r>
    </w:p>
    <w:p>
      <w:pPr>
        <w:spacing w:after="0" w:line="180" w:lineRule="exact"/>
        <w:rPr>
          <w:sz w:val="24"/>
          <w:szCs w:val="24"/>
          <w:color w:val="auto"/>
        </w:rPr>
      </w:pPr>
    </w:p>
    <w:p>
      <w:pPr>
        <w:jc w:val="center"/>
        <w:ind w:right="2819"/>
        <w:spacing w:after="0"/>
        <w:tabs>
          <w:tab w:leader="none" w:pos="16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TRANSITION REPORT PURSUANT TO SECTION 13 OR 15(d) OF THE SECURITIES</w:t>
      </w:r>
    </w:p>
    <w:p>
      <w:pPr>
        <w:spacing w:after="0" w:line="27"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EXCHANGE ACT OF 1934</w:t>
      </w:r>
    </w:p>
    <w:p>
      <w:pPr>
        <w:spacing w:after="0" w:line="152"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w:t>
      </w:r>
    </w:p>
    <w:p>
      <w:pPr>
        <w:spacing w:after="0" w:line="360" w:lineRule="exact"/>
        <w:rPr>
          <w:sz w:val="24"/>
          <w:szCs w:val="24"/>
          <w:color w:val="auto"/>
        </w:rPr>
      </w:pPr>
    </w:p>
    <w:p>
      <w:pPr>
        <w:ind w:left="2240"/>
        <w:spacing w:after="0"/>
        <w:tabs>
          <w:tab w:leader="none" w:pos="4580" w:val="left"/>
        </w:tabs>
        <w:rPr>
          <w:sz w:val="20"/>
          <w:szCs w:val="20"/>
          <w:color w:val="auto"/>
        </w:rPr>
      </w:pPr>
      <w:r>
        <w:rPr>
          <w:rFonts w:ascii="Courier New" w:cs="Courier New" w:eastAsia="Courier New" w:hAnsi="Courier New"/>
          <w:sz w:val="16"/>
          <w:szCs w:val="16"/>
          <w:color w:val="auto"/>
        </w:rPr>
        <w:t>Commission File Number:</w:t>
      </w:r>
      <w:r>
        <w:rPr>
          <w:sz w:val="20"/>
          <w:szCs w:val="20"/>
          <w:color w:val="auto"/>
        </w:rPr>
        <w:tab/>
      </w:r>
      <w:r>
        <w:rPr>
          <w:rFonts w:ascii="Courier New" w:cs="Courier New" w:eastAsia="Courier New" w:hAnsi="Courier New"/>
          <w:sz w:val="15"/>
          <w:szCs w:val="15"/>
          <w:color w:val="auto"/>
        </w:rPr>
        <w:t>1-10658</w:t>
      </w:r>
    </w:p>
    <w:p>
      <w:pPr>
        <w:spacing w:after="0" w:line="18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Micron Technology, Inc.</w:t>
      </w:r>
    </w:p>
    <w:p>
      <w:pPr>
        <w:spacing w:after="0" w:line="180" w:lineRule="exact"/>
        <w:rPr>
          <w:sz w:val="24"/>
          <w:szCs w:val="24"/>
          <w:color w:val="auto"/>
        </w:rPr>
      </w:pPr>
    </w:p>
    <w:p>
      <w:pPr>
        <w:jc w:val="center"/>
        <w:ind w:right="2719"/>
        <w:spacing w:after="0"/>
        <w:tabs>
          <w:tab w:leader="none" w:pos="160" w:val="left"/>
        </w:tabs>
        <w:rPr>
          <w:sz w:val="20"/>
          <w:szCs w:val="20"/>
          <w:color w:val="auto"/>
        </w:rPr>
      </w:pPr>
      <w:r>
        <w:rPr>
          <w:rFonts w:ascii="Courier New" w:cs="Courier New" w:eastAsia="Courier New" w:hAnsi="Courier New"/>
          <w:sz w:val="16"/>
          <w:szCs w:val="16"/>
          <w:color w:val="auto"/>
        </w:rPr>
        <w:t>State or other jurisdiction of incorporation or organization:</w:t>
      </w:r>
      <w:r>
        <w:rPr>
          <w:sz w:val="20"/>
          <w:szCs w:val="20"/>
          <w:color w:val="auto"/>
        </w:rPr>
        <w:tab/>
      </w:r>
      <w:r>
        <w:rPr>
          <w:rFonts w:ascii="Courier New" w:cs="Courier New" w:eastAsia="Courier New" w:hAnsi="Courier New"/>
          <w:sz w:val="15"/>
          <w:szCs w:val="15"/>
          <w:color w:val="auto"/>
        </w:rPr>
        <w:t>Delaware</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________________</w:t>
      </w:r>
    </w:p>
    <w:p>
      <w:pPr>
        <w:spacing w:after="0" w:line="360"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Internal Revenue Service - Employer Identification No. 75-1618004</w:t>
      </w:r>
    </w:p>
    <w:p>
      <w:pPr>
        <w:spacing w:after="0" w:line="360" w:lineRule="exact"/>
        <w:rPr>
          <w:sz w:val="24"/>
          <w:szCs w:val="24"/>
          <w:color w:val="auto"/>
        </w:rPr>
      </w:pPr>
    </w:p>
    <w:p>
      <w:pPr>
        <w:ind w:left="1600"/>
        <w:spacing w:after="0"/>
        <w:tabs>
          <w:tab w:leader="none" w:pos="4860" w:val="left"/>
        </w:tabs>
        <w:rPr>
          <w:sz w:val="20"/>
          <w:szCs w:val="20"/>
          <w:color w:val="auto"/>
        </w:rPr>
      </w:pPr>
      <w:r>
        <w:rPr>
          <w:rFonts w:ascii="Courier New" w:cs="Courier New" w:eastAsia="Courier New" w:hAnsi="Courier New"/>
          <w:sz w:val="16"/>
          <w:szCs w:val="16"/>
          <w:color w:val="auto"/>
        </w:rPr>
        <w:t>8000 S. Federal Way, Boise, Idaho</w:t>
      </w:r>
      <w:r>
        <w:rPr>
          <w:sz w:val="20"/>
          <w:szCs w:val="20"/>
          <w:color w:val="auto"/>
        </w:rPr>
        <w:tab/>
      </w:r>
      <w:r>
        <w:rPr>
          <w:rFonts w:ascii="Courier New" w:cs="Courier New" w:eastAsia="Courier New" w:hAnsi="Courier New"/>
          <w:sz w:val="15"/>
          <w:szCs w:val="15"/>
          <w:color w:val="auto"/>
        </w:rPr>
        <w:t>83716-9632</w:t>
      </w:r>
    </w:p>
    <w:p>
      <w:pPr>
        <w:spacing w:after="0" w:line="27" w:lineRule="exact"/>
        <w:rPr>
          <w:sz w:val="24"/>
          <w:szCs w:val="24"/>
          <w:color w:val="auto"/>
        </w:rPr>
      </w:pPr>
    </w:p>
    <w:p>
      <w:pPr>
        <w:ind w:left="3660" w:hanging="565"/>
        <w:spacing w:after="0"/>
        <w:tabs>
          <w:tab w:leader="none" w:pos="3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368-4000</w:t>
      </w:r>
    </w:p>
    <w:p>
      <w:pPr>
        <w:spacing w:after="0" w:line="151" w:lineRule="exact"/>
        <w:rPr>
          <w:rFonts w:ascii="Courier New" w:cs="Courier New" w:eastAsia="Courier New" w:hAnsi="Courier New"/>
          <w:sz w:val="16"/>
          <w:szCs w:val="16"/>
          <w:color w:val="auto"/>
        </w:rPr>
      </w:pPr>
    </w:p>
    <w:p>
      <w:pPr>
        <w:ind w:left="3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w:t>
      </w:r>
    </w:p>
    <w:p>
      <w:pPr>
        <w:spacing w:after="0" w:line="180" w:lineRule="exact"/>
        <w:rPr>
          <w:sz w:val="24"/>
          <w:szCs w:val="24"/>
          <w:color w:val="auto"/>
        </w:rPr>
      </w:pPr>
    </w:p>
    <w:p>
      <w:pPr>
        <w:ind w:right="2719" w:firstLine="939"/>
        <w:spacing w:after="0" w:line="26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w:t>
      </w:r>
    </w:p>
    <w:p>
      <w:pPr>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requirements for the past 90 days.</w:t>
      </w:r>
    </w:p>
    <w:p>
      <w:pPr>
        <w:spacing w:after="0"/>
        <w:tabs>
          <w:tab w:leader="none" w:pos="640" w:val="left"/>
          <w:tab w:leader="none" w:pos="110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 ___</w:t>
      </w:r>
    </w:p>
    <w:p>
      <w:pPr>
        <w:ind w:left="560"/>
        <w:spacing w:after="0"/>
        <w:rPr>
          <w:sz w:val="20"/>
          <w:szCs w:val="20"/>
          <w:color w:val="auto"/>
        </w:rPr>
      </w:pPr>
      <w:r>
        <w:rPr>
          <w:rFonts w:ascii="Courier New" w:cs="Courier New" w:eastAsia="Courier New" w:hAnsi="Courier New"/>
          <w:sz w:val="16"/>
          <w:szCs w:val="16"/>
          <w:color w:val="auto"/>
        </w:rPr>
        <w:t>---</w:t>
      </w:r>
    </w:p>
    <w:p>
      <w:pPr>
        <w:spacing w:after="0" w:line="152" w:lineRule="exact"/>
        <w:rPr>
          <w:sz w:val="24"/>
          <w:szCs w:val="24"/>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The number of outstanding shares of the registrant's Common Stock as of January 10, 2000, was 254,422,506 shares of Common Stock and 15,810,277 shares of Class A Common Stock.</w:t>
      </w:r>
    </w:p>
    <w:p>
      <w:pPr>
        <w:sectPr>
          <w:pgSz w:w="11900" w:h="16838" w:orient="portrait"/>
          <w:cols w:equalWidth="0" w:num="1">
            <w:col w:w="10139"/>
          </w:cols>
          <w:pgMar w:left="320" w:top="571" w:right="1440"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64"/>
        </w:trPr>
        <w:tc>
          <w:tcPr>
            <w:tcW w:w="740" w:type="dxa"/>
            <w:vAlign w:val="bottom"/>
          </w:tcPr>
          <w:p>
            <w:pPr>
              <w:spacing w:after="0"/>
              <w:rPr>
                <w:sz w:val="22"/>
                <w:szCs w:val="22"/>
                <w:color w:val="auto"/>
              </w:rPr>
            </w:pPr>
          </w:p>
        </w:tc>
        <w:tc>
          <w:tcPr>
            <w:tcW w:w="7280" w:type="dxa"/>
            <w:vAlign w:val="bottom"/>
          </w:tcPr>
          <w:p>
            <w:pPr>
              <w:jc w:val="right"/>
              <w:ind w:right="2882"/>
              <w:spacing w:after="0"/>
              <w:rPr>
                <w:sz w:val="20"/>
                <w:szCs w:val="20"/>
                <w:color w:val="auto"/>
              </w:rPr>
            </w:pPr>
            <w:r>
              <w:rPr>
                <w:rFonts w:ascii="Courier New" w:cs="Courier New" w:eastAsia="Courier New" w:hAnsi="Courier New"/>
                <w:sz w:val="16"/>
                <w:szCs w:val="16"/>
                <w:color w:val="auto"/>
              </w:rPr>
              <w:t>Part I.  FINANCIAL INFORMATION</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280" w:type="dxa"/>
            <w:vAlign w:val="bottom"/>
          </w:tcPr>
          <w:p>
            <w:pPr>
              <w:jc w:val="right"/>
              <w:ind w:right="5222"/>
              <w:spacing w:after="0"/>
              <w:rPr>
                <w:sz w:val="20"/>
                <w:szCs w:val="20"/>
                <w:color w:val="auto"/>
              </w:rPr>
            </w:pPr>
            <w:r>
              <w:rPr>
                <w:rFonts w:ascii="Courier New" w:cs="Courier New" w:eastAsia="Courier New" w:hAnsi="Courier New"/>
                <w:sz w:val="16"/>
                <w:szCs w:val="16"/>
                <w:color w:val="auto"/>
              </w:rPr>
              <w:t>Financial Statements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740" w:type="dxa"/>
            <w:vAlign w:val="bottom"/>
          </w:tcPr>
          <w:p>
            <w:pPr>
              <w:spacing w:after="0"/>
              <w:rPr>
                <w:sz w:val="24"/>
                <w:szCs w:val="24"/>
                <w:color w:val="auto"/>
              </w:rPr>
            </w:pPr>
          </w:p>
        </w:tc>
        <w:tc>
          <w:tcPr>
            <w:tcW w:w="7280" w:type="dxa"/>
            <w:vAlign w:val="bottom"/>
          </w:tcPr>
          <w:p>
            <w:pPr>
              <w:jc w:val="right"/>
              <w:ind w:right="3242"/>
              <w:spacing w:after="0"/>
              <w:rPr>
                <w:sz w:val="20"/>
                <w:szCs w:val="20"/>
                <w:color w:val="auto"/>
              </w:rPr>
            </w:pPr>
            <w:r>
              <w:rPr>
                <w:rFonts w:ascii="Courier New" w:cs="Courier New" w:eastAsia="Courier New" w:hAnsi="Courier New"/>
                <w:sz w:val="16"/>
                <w:szCs w:val="16"/>
                <w:color w:val="auto"/>
              </w:rPr>
              <w:t>MICRON TECHNOLOGY,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40" w:type="dxa"/>
            <w:vAlign w:val="bottom"/>
          </w:tcPr>
          <w:p>
            <w:pPr>
              <w:spacing w:after="0"/>
              <w:rPr>
                <w:sz w:val="24"/>
                <w:szCs w:val="24"/>
                <w:color w:val="auto"/>
              </w:rPr>
            </w:pPr>
          </w:p>
        </w:tc>
        <w:tc>
          <w:tcPr>
            <w:tcW w:w="7280" w:type="dxa"/>
            <w:vAlign w:val="bottom"/>
          </w:tcPr>
          <w:p>
            <w:pPr>
              <w:jc w:val="center"/>
              <w:ind w:right="1262"/>
              <w:spacing w:after="0"/>
              <w:rPr>
                <w:sz w:val="20"/>
                <w:szCs w:val="20"/>
                <w:color w:val="auto"/>
              </w:rPr>
            </w:pPr>
            <w:r>
              <w:rPr>
                <w:rFonts w:ascii="Courier New" w:cs="Courier New" w:eastAsia="Courier New" w:hAnsi="Courier New"/>
                <w:sz w:val="16"/>
                <w:szCs w:val="16"/>
                <w:color w:val="auto"/>
                <w:w w:val="97"/>
              </w:rPr>
              <w:t>Consolidated Balance Sheets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7280" w:type="dxa"/>
            <w:vAlign w:val="bottom"/>
          </w:tcPr>
          <w:p>
            <w:pPr>
              <w:jc w:val="center"/>
              <w:ind w:right="1282"/>
              <w:spacing w:after="0"/>
              <w:rPr>
                <w:sz w:val="20"/>
                <w:szCs w:val="20"/>
                <w:color w:val="auto"/>
              </w:rPr>
            </w:pPr>
            <w:r>
              <w:rPr>
                <w:rFonts w:ascii="Courier New" w:cs="Courier New" w:eastAsia="Courier New" w:hAnsi="Courier New"/>
                <w:sz w:val="16"/>
                <w:szCs w:val="16"/>
                <w:color w:val="auto"/>
                <w:w w:val="97"/>
              </w:rPr>
              <w:t>(Dollars in millions, except for par value)</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8"/>
        </w:trPr>
        <w:tc>
          <w:tcPr>
            <w:tcW w:w="740" w:type="dxa"/>
            <w:vAlign w:val="bottom"/>
            <w:vMerge w:val="restart"/>
          </w:tcPr>
          <w:p>
            <w:pPr>
              <w:spacing w:after="0"/>
              <w:rPr>
                <w:sz w:val="20"/>
                <w:szCs w:val="20"/>
                <w:color w:val="auto"/>
              </w:rPr>
            </w:pPr>
            <w:r>
              <w:rPr>
                <w:rFonts w:ascii="Courier New" w:cs="Courier New" w:eastAsia="Courier New" w:hAnsi="Courier New"/>
                <w:sz w:val="16"/>
                <w:szCs w:val="16"/>
                <w:color w:val="auto"/>
              </w:rPr>
              <w:t>As of</w:t>
            </w:r>
          </w:p>
        </w:tc>
        <w:tc>
          <w:tcPr>
            <w:tcW w:w="7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December 2,</w:t>
            </w:r>
          </w:p>
        </w:tc>
        <w:tc>
          <w:tcPr>
            <w:tcW w:w="136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7"/>
              </w:rPr>
              <w:t>September 2,</w:t>
            </w:r>
          </w:p>
        </w:tc>
        <w:tc>
          <w:tcPr>
            <w:tcW w:w="0" w:type="dxa"/>
            <w:vAlign w:val="bottom"/>
          </w:tcPr>
          <w:p>
            <w:pPr>
              <w:spacing w:after="0"/>
              <w:rPr>
                <w:sz w:val="1"/>
                <w:szCs w:val="1"/>
                <w:color w:val="auto"/>
              </w:rPr>
            </w:pPr>
          </w:p>
        </w:tc>
      </w:tr>
      <w:tr>
        <w:trPr>
          <w:trHeight w:val="209"/>
        </w:trPr>
        <w:tc>
          <w:tcPr>
            <w:tcW w:w="740" w:type="dxa"/>
            <w:vAlign w:val="bottom"/>
            <w:vMerge w:val="continue"/>
          </w:tcPr>
          <w:p>
            <w:pPr>
              <w:spacing w:after="0"/>
              <w:rPr>
                <w:sz w:val="18"/>
                <w:szCs w:val="18"/>
                <w:color w:val="auto"/>
              </w:rPr>
            </w:pPr>
          </w:p>
        </w:tc>
        <w:tc>
          <w:tcPr>
            <w:tcW w:w="728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bl>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67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441.6</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294.6</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3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Liquid investments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1,444.8</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1,318.9</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916.4</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692.6</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504.1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365.7</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27.2</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38.3</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93.4</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119.9</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7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3,427.5</w:t>
            </w:r>
          </w:p>
        </w:tc>
        <w:tc>
          <w:tcPr>
            <w:tcW w:w="48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2,830.0</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34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206.4</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212.6</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3,828.7</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3,799.6</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118.8</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123.0</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assets</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$7,581.4</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$6,965.2</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883.6</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705.4</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3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48.4</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23.4</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Equipment purchase contracts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64.2</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108.8</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111.7</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70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1,105.0</w:t>
            </w:r>
          </w:p>
        </w:tc>
        <w:tc>
          <w:tcPr>
            <w:tcW w:w="48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922.0</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4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1,501.5</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1,527.5</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323.9</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309.1</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81.4</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74.2</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liabilities</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3,011.8</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2,832.8</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670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34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183.5</w:t>
            </w:r>
          </w:p>
        </w:tc>
        <w:tc>
          <w:tcPr>
            <w:tcW w:w="4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168.3</w:t>
            </w:r>
          </w:p>
        </w:tc>
        <w:tc>
          <w:tcPr>
            <w:tcW w:w="0" w:type="dxa"/>
            <w:vAlign w:val="bottom"/>
          </w:tcPr>
          <w:p>
            <w:pPr>
              <w:spacing w:after="0"/>
              <w:rPr>
                <w:sz w:val="1"/>
                <w:szCs w:val="1"/>
                <w:color w:val="auto"/>
              </w:rPr>
            </w:pPr>
          </w:p>
        </w:tc>
      </w:tr>
      <w:tr>
        <w:trPr>
          <w:trHeight w:val="36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Common Stock, $0.10 par value, authorized 1.0 billion shares, issued</w:t>
            </w:r>
          </w:p>
        </w:tc>
        <w:tc>
          <w:tcPr>
            <w:tcW w:w="340" w:type="dxa"/>
            <w:vAlign w:val="bottom"/>
          </w:tcPr>
          <w:p>
            <w:pPr>
              <w:spacing w:after="0"/>
              <w:rPr>
                <w:sz w:val="24"/>
                <w:szCs w:val="24"/>
                <w:color w:val="auto"/>
              </w:rPr>
            </w:pP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25.4</w:t>
            </w:r>
          </w:p>
        </w:tc>
        <w:tc>
          <w:tcPr>
            <w:tcW w:w="480" w:type="dxa"/>
            <w:vAlign w:val="bottom"/>
          </w:tcPr>
          <w:p>
            <w:pPr>
              <w:spacing w:after="0"/>
              <w:rPr>
                <w:sz w:val="24"/>
                <w:szCs w:val="24"/>
                <w:color w:val="auto"/>
              </w:rPr>
            </w:pPr>
          </w:p>
        </w:tc>
        <w:tc>
          <w:tcPr>
            <w:tcW w:w="7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25.2</w:t>
            </w:r>
          </w:p>
        </w:tc>
        <w:tc>
          <w:tcPr>
            <w:tcW w:w="0" w:type="dxa"/>
            <w:vAlign w:val="bottom"/>
          </w:tcPr>
          <w:p>
            <w:pPr>
              <w:spacing w:after="0"/>
              <w:rPr>
                <w:sz w:val="1"/>
                <w:szCs w:val="1"/>
                <w:color w:val="auto"/>
              </w:rPr>
            </w:pPr>
          </w:p>
        </w:tc>
      </w:tr>
      <w:tr>
        <w:trPr>
          <w:trHeight w:val="264"/>
        </w:trPr>
        <w:tc>
          <w:tcPr>
            <w:tcW w:w="6700" w:type="dxa"/>
            <w:vAlign w:val="bottom"/>
          </w:tcPr>
          <w:p>
            <w:pPr>
              <w:ind w:left="100"/>
              <w:spacing w:after="0"/>
              <w:rPr>
                <w:sz w:val="20"/>
                <w:szCs w:val="20"/>
                <w:color w:val="auto"/>
              </w:rPr>
            </w:pPr>
            <w:r>
              <w:rPr>
                <w:rFonts w:ascii="Courier New" w:cs="Courier New" w:eastAsia="Courier New" w:hAnsi="Courier New"/>
                <w:sz w:val="16"/>
                <w:szCs w:val="16"/>
                <w:color w:val="auto"/>
              </w:rPr>
              <w:t>and outstanding 254.1 million and 252.2 million shares, respectively</w:t>
            </w: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Class A Common Stock, $0.10 par value, authorized 32 million shares,</w:t>
            </w:r>
          </w:p>
        </w:tc>
        <w:tc>
          <w:tcPr>
            <w:tcW w:w="340" w:type="dxa"/>
            <w:vAlign w:val="bottom"/>
          </w:tcPr>
          <w:p>
            <w:pPr>
              <w:spacing w:after="0"/>
              <w:rPr>
                <w:sz w:val="24"/>
                <w:szCs w:val="24"/>
                <w:color w:val="auto"/>
              </w:rPr>
            </w:pP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24"/>
                <w:szCs w:val="24"/>
                <w:color w:val="auto"/>
              </w:rPr>
            </w:pPr>
          </w:p>
        </w:tc>
        <w:tc>
          <w:tcPr>
            <w:tcW w:w="7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1"/>
        </w:trPr>
        <w:tc>
          <w:tcPr>
            <w:tcW w:w="6700" w:type="dxa"/>
            <w:vAlign w:val="bottom"/>
          </w:tcPr>
          <w:p>
            <w:pPr>
              <w:ind w:left="100"/>
              <w:spacing w:after="0"/>
              <w:rPr>
                <w:sz w:val="20"/>
                <w:szCs w:val="20"/>
                <w:color w:val="auto"/>
              </w:rPr>
            </w:pPr>
            <w:r>
              <w:rPr>
                <w:rFonts w:ascii="Courier New" w:cs="Courier New" w:eastAsia="Courier New" w:hAnsi="Courier New"/>
                <w:sz w:val="16"/>
                <w:szCs w:val="16"/>
                <w:color w:val="auto"/>
              </w:rPr>
              <w:t>issued and outstanding 15.8 million shares</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1,973.6</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1,894.0</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2,386.8</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2,045.4</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shareholders' equity</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4,386.1</w:t>
            </w:r>
          </w:p>
        </w:tc>
        <w:tc>
          <w:tcPr>
            <w:tcW w:w="4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3,964.1</w:t>
            </w:r>
          </w:p>
        </w:tc>
        <w:tc>
          <w:tcPr>
            <w:tcW w:w="0" w:type="dxa"/>
            <w:vAlign w:val="bottom"/>
          </w:tcPr>
          <w:p>
            <w:pPr>
              <w:spacing w:after="0"/>
              <w:rPr>
                <w:sz w:val="1"/>
                <w:szCs w:val="1"/>
                <w:color w:val="auto"/>
              </w:rPr>
            </w:pPr>
          </w:p>
        </w:tc>
      </w:tr>
      <w:tr>
        <w:trPr>
          <w:trHeight w:val="181"/>
        </w:trPr>
        <w:tc>
          <w:tcPr>
            <w:tcW w:w="67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$7,581.4</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$6,965.2</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14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816"/>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144"/>
          </w:cols>
          <w:pgMar w:left="316" w:top="631" w:right="1439" w:bottom="1440" w:gutter="0" w:footer="0" w:header="0"/>
        </w:sectPr>
      </w:pPr>
    </w:p>
    <w:bookmarkStart w:id="2" w:name="page3"/>
    <w:bookmarkEnd w:id="2"/>
    <w:p>
      <w:pPr>
        <w:jc w:val="center"/>
        <w:ind w:right="2719"/>
        <w:spacing w:after="0"/>
        <w:rPr>
          <w:sz w:val="20"/>
          <w:szCs w:val="20"/>
          <w:color w:val="auto"/>
        </w:rPr>
      </w:pPr>
      <w:r>
        <w:rPr>
          <w:rFonts w:ascii="Courier New" w:cs="Courier New" w:eastAsia="Courier New" w:hAnsi="Courier New"/>
          <w:sz w:val="16"/>
          <w:szCs w:val="16"/>
          <w:color w:val="auto"/>
        </w:rPr>
        <w:t>MICRON TECHNOLOGY, INC.</w:t>
      </w:r>
    </w:p>
    <w:p>
      <w:pPr>
        <w:spacing w:after="0" w:line="18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(Dollars in millions, except for per share data)</w:t>
      </w: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5580" w:type="dxa"/>
            <w:vAlign w:val="bottom"/>
          </w:tcPr>
          <w:p>
            <w:pPr>
              <w:jc w:val="right"/>
              <w:ind w:right="3862"/>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0"/>
        </w:trPr>
        <w:tc>
          <w:tcPr>
            <w:tcW w:w="258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55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December 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55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$1,584.4</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$ 793.6</w:t>
            </w:r>
          </w:p>
        </w:tc>
        <w:tc>
          <w:tcPr>
            <w:tcW w:w="0" w:type="dxa"/>
            <w:vAlign w:val="bottom"/>
          </w:tcPr>
          <w:p>
            <w:pPr>
              <w:spacing w:after="0"/>
              <w:rPr>
                <w:sz w:val="1"/>
                <w:szCs w:val="1"/>
                <w:color w:val="auto"/>
              </w:rPr>
            </w:pPr>
          </w:p>
        </w:tc>
      </w:tr>
      <w:tr>
        <w:trPr>
          <w:trHeight w:val="264"/>
        </w:trPr>
        <w:tc>
          <w:tcPr>
            <w:tcW w:w="6140" w:type="dxa"/>
            <w:vAlign w:val="bottom"/>
            <w:vMerge w:val="restart"/>
          </w:tcPr>
          <w:p>
            <w:pPr>
              <w:spacing w:after="0"/>
              <w:rPr>
                <w:sz w:val="20"/>
                <w:szCs w:val="20"/>
                <w:color w:val="auto"/>
              </w:rPr>
            </w:pPr>
            <w:r>
              <w:rPr>
                <w:rFonts w:ascii="Courier New" w:cs="Courier New" w:eastAsia="Courier New" w:hAnsi="Courier New"/>
                <w:sz w:val="16"/>
                <w:szCs w:val="16"/>
                <w:color w:val="auto"/>
              </w:rPr>
              <w:t>Costs and expenses:</w:t>
            </w:r>
          </w:p>
        </w:tc>
        <w:tc>
          <w:tcPr>
            <w:tcW w:w="21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770.7</w:t>
            </w:r>
          </w:p>
        </w:tc>
        <w:tc>
          <w:tcPr>
            <w:tcW w:w="11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677.7</w:t>
            </w: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Cost of goods sold</w:t>
            </w:r>
          </w:p>
        </w:tc>
        <w:tc>
          <w:tcPr>
            <w:tcW w:w="10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167.6</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103.0</w:t>
            </w: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91.7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67.7</w:t>
            </w: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Other operating expense, net</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22.4</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181"/>
        </w:trPr>
        <w:tc>
          <w:tcPr>
            <w:tcW w:w="614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costs and expenses</w:t>
            </w:r>
          </w:p>
        </w:tc>
        <w:tc>
          <w:tcPr>
            <w:tcW w:w="1000" w:type="dxa"/>
            <w:vAlign w:val="bottom"/>
          </w:tcPr>
          <w:p>
            <w:pPr>
              <w:ind w:left="900"/>
              <w:spacing w:after="0"/>
              <w:rPr>
                <w:sz w:val="20"/>
                <w:szCs w:val="20"/>
                <w:color w:val="auto"/>
              </w:rPr>
            </w:pPr>
            <w:r>
              <w:rPr>
                <w:rFonts w:ascii="Courier New" w:cs="Courier New" w:eastAsia="Courier New" w:hAnsi="Courier New"/>
                <w:sz w:val="2"/>
                <w:szCs w:val="2"/>
                <w:color w:val="auto"/>
                <w:w w:val="82"/>
              </w:rPr>
              <w:t>--------</w:t>
            </w: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w w:val="92"/>
              </w:rPr>
              <w:t>1,052.4</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856.2</w:t>
            </w:r>
          </w:p>
        </w:tc>
        <w:tc>
          <w:tcPr>
            <w:tcW w:w="0" w:type="dxa"/>
            <w:vAlign w:val="bottom"/>
          </w:tcPr>
          <w:p>
            <w:pPr>
              <w:spacing w:after="0"/>
              <w:rPr>
                <w:sz w:val="1"/>
                <w:szCs w:val="1"/>
                <w:color w:val="auto"/>
              </w:rPr>
            </w:pPr>
          </w:p>
        </w:tc>
      </w:tr>
      <w:tr>
        <w:trPr>
          <w:trHeight w:val="264"/>
        </w:trPr>
        <w:tc>
          <w:tcPr>
            <w:tcW w:w="6140" w:type="dxa"/>
            <w:vAlign w:val="bottom"/>
          </w:tcPr>
          <w:p>
            <w:pPr>
              <w:spacing w:after="0"/>
              <w:rPr>
                <w:sz w:val="22"/>
                <w:szCs w:val="22"/>
                <w:color w:val="auto"/>
              </w:rPr>
            </w:pPr>
          </w:p>
        </w:tc>
        <w:tc>
          <w:tcPr>
            <w:tcW w:w="21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000" w:type="dxa"/>
            <w:vAlign w:val="bottom"/>
          </w:tcPr>
          <w:p>
            <w:pPr>
              <w:spacing w:after="0"/>
              <w:rPr>
                <w:sz w:val="24"/>
                <w:szCs w:val="24"/>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532.0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(62.6)</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23.2</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00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non-operating income, net</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9.6</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1"/>
        </w:trPr>
        <w:tc>
          <w:tcPr>
            <w:tcW w:w="614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 and minority interests</w:t>
            </w:r>
          </w:p>
        </w:tc>
        <w:tc>
          <w:tcPr>
            <w:tcW w:w="1000" w:type="dxa"/>
            <w:vAlign w:val="bottom"/>
          </w:tcPr>
          <w:p>
            <w:pPr>
              <w:ind w:left="900"/>
              <w:spacing w:after="0"/>
              <w:rPr>
                <w:sz w:val="20"/>
                <w:szCs w:val="20"/>
                <w:color w:val="auto"/>
              </w:rPr>
            </w:pPr>
            <w:r>
              <w:rPr>
                <w:rFonts w:ascii="Courier New" w:cs="Courier New" w:eastAsia="Courier New" w:hAnsi="Courier New"/>
                <w:sz w:val="2"/>
                <w:szCs w:val="2"/>
                <w:color w:val="auto"/>
                <w:w w:val="82"/>
              </w:rPr>
              <w:t>--------</w:t>
            </w: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533.1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14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(69.5)</w:t>
            </w:r>
          </w:p>
        </w:tc>
        <w:tc>
          <w:tcPr>
            <w:tcW w:w="0" w:type="dxa"/>
            <w:vAlign w:val="bottom"/>
          </w:tcPr>
          <w:p>
            <w:pPr>
              <w:spacing w:after="0"/>
              <w:rPr>
                <w:sz w:val="1"/>
                <w:szCs w:val="1"/>
                <w:color w:val="auto"/>
              </w:rPr>
            </w:pPr>
          </w:p>
        </w:tc>
      </w:tr>
      <w:tr>
        <w:trPr>
          <w:trHeight w:val="361"/>
        </w:trPr>
        <w:tc>
          <w:tcPr>
            <w:tcW w:w="614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100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(186.2)</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27.6</w:t>
            </w:r>
          </w:p>
        </w:tc>
        <w:tc>
          <w:tcPr>
            <w:tcW w:w="0" w:type="dxa"/>
            <w:vAlign w:val="bottom"/>
          </w:tcPr>
          <w:p>
            <w:pPr>
              <w:spacing w:after="0"/>
              <w:rPr>
                <w:sz w:val="1"/>
                <w:szCs w:val="1"/>
                <w:color w:val="auto"/>
              </w:rPr>
            </w:pPr>
          </w:p>
        </w:tc>
      </w:tr>
      <w:tr>
        <w:trPr>
          <w:trHeight w:val="277"/>
        </w:trPr>
        <w:tc>
          <w:tcPr>
            <w:tcW w:w="6140" w:type="dxa"/>
            <w:vAlign w:val="bottom"/>
          </w:tcPr>
          <w:p>
            <w:pPr>
              <w:spacing w:after="0"/>
              <w:rPr>
                <w:sz w:val="20"/>
                <w:szCs w:val="20"/>
                <w:color w:val="auto"/>
              </w:rPr>
            </w:pPr>
            <w:r>
              <w:rPr>
                <w:rFonts w:ascii="Courier New" w:cs="Courier New" w:eastAsia="Courier New" w:hAnsi="Courier New"/>
                <w:sz w:val="16"/>
                <w:szCs w:val="16"/>
                <w:color w:val="auto"/>
              </w:rPr>
              <w:t>Minority interests in net income</w:t>
            </w:r>
          </w:p>
        </w:tc>
        <w:tc>
          <w:tcPr>
            <w:tcW w:w="100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81"/>
        </w:trPr>
        <w:tc>
          <w:tcPr>
            <w:tcW w:w="614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000" w:type="dxa"/>
            <w:vAlign w:val="bottom"/>
            <w:vMerge w:val="restart"/>
          </w:tcPr>
          <w:p>
            <w:pPr>
              <w:ind w:left="90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341.3</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(46.2)</w:t>
            </w:r>
          </w:p>
        </w:tc>
        <w:tc>
          <w:tcPr>
            <w:tcW w:w="0" w:type="dxa"/>
            <w:vAlign w:val="bottom"/>
          </w:tcPr>
          <w:p>
            <w:pPr>
              <w:spacing w:after="0"/>
              <w:rPr>
                <w:sz w:val="1"/>
                <w:szCs w:val="1"/>
                <w:color w:val="auto"/>
              </w:rPr>
            </w:pPr>
          </w:p>
        </w:tc>
      </w:tr>
      <w:tr>
        <w:trPr>
          <w:trHeight w:val="264"/>
        </w:trPr>
        <w:tc>
          <w:tcPr>
            <w:tcW w:w="6140" w:type="dxa"/>
            <w:vAlign w:val="bottom"/>
          </w:tcPr>
          <w:p>
            <w:pPr>
              <w:spacing w:after="0"/>
              <w:rPr>
                <w:sz w:val="22"/>
                <w:szCs w:val="22"/>
                <w:color w:val="auto"/>
              </w:rPr>
            </w:pPr>
          </w:p>
        </w:tc>
        <w:tc>
          <w:tcPr>
            <w:tcW w:w="212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8"/>
        </w:trPr>
        <w:tc>
          <w:tcPr>
            <w:tcW w:w="614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1000" w:type="dxa"/>
            <w:vAlign w:val="bottom"/>
            <w:vMerge w:val="restart"/>
          </w:tcPr>
          <w:p>
            <w:pPr>
              <w:ind w:left="90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1.27</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(0.19)</w:t>
            </w: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Basic</w:t>
            </w:r>
          </w:p>
        </w:tc>
        <w:tc>
          <w:tcPr>
            <w:tcW w:w="10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1000" w:type="dxa"/>
            <w:vAlign w:val="bottom"/>
          </w:tcPr>
          <w:p>
            <w:pPr>
              <w:spacing w:after="0"/>
              <w:rPr>
                <w:sz w:val="15"/>
                <w:szCs w:val="15"/>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1000" w:type="dxa"/>
            <w:vAlign w:val="bottom"/>
          </w:tcPr>
          <w:p>
            <w:pPr>
              <w:spacing w:after="0"/>
              <w:rPr>
                <w:sz w:val="15"/>
                <w:szCs w:val="15"/>
                <w:color w:val="auto"/>
              </w:rPr>
            </w:pPr>
          </w:p>
        </w:tc>
        <w:tc>
          <w:tcPr>
            <w:tcW w:w="112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269.2</w:t>
            </w:r>
          </w:p>
        </w:tc>
        <w:tc>
          <w:tcPr>
            <w:tcW w:w="11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245.7</w:t>
            </w:r>
          </w:p>
        </w:tc>
        <w:tc>
          <w:tcPr>
            <w:tcW w:w="0" w:type="dxa"/>
            <w:vAlign w:val="bottom"/>
          </w:tcPr>
          <w:p>
            <w:pPr>
              <w:spacing w:after="0"/>
              <w:rPr>
                <w:sz w:val="1"/>
                <w:szCs w:val="1"/>
                <w:color w:val="auto"/>
              </w:rPr>
            </w:pPr>
          </w:p>
        </w:tc>
      </w:tr>
      <w:tr>
        <w:trPr>
          <w:trHeight w:val="181"/>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Basic</w:t>
            </w:r>
          </w:p>
        </w:tc>
        <w:tc>
          <w:tcPr>
            <w:tcW w:w="10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1000" w:type="dxa"/>
            <w:vAlign w:val="bottom"/>
          </w:tcPr>
          <w:p>
            <w:pPr>
              <w:spacing w:after="0"/>
              <w:rPr>
                <w:sz w:val="22"/>
                <w:szCs w:val="22"/>
                <w:color w:val="auto"/>
              </w:rPr>
            </w:pPr>
          </w:p>
        </w:tc>
        <w:tc>
          <w:tcPr>
            <w:tcW w:w="1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297.4</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245.7</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39"/>
          </w:cols>
          <w:pgMar w:left="320" w:top="631" w:right="1440" w:bottom="1440" w:gutter="0" w:footer="0" w:header="0"/>
        </w:sectPr>
      </w:pPr>
    </w:p>
    <w:bookmarkStart w:id="3" w:name="page4"/>
    <w:bookmarkEnd w:id="3"/>
    <w:p>
      <w:pPr>
        <w:jc w:val="center"/>
        <w:ind w:right="3460"/>
        <w:spacing w:after="0"/>
        <w:rPr>
          <w:sz w:val="20"/>
          <w:szCs w:val="20"/>
          <w:color w:val="auto"/>
        </w:rPr>
      </w:pPr>
      <w:r>
        <w:rPr>
          <w:rFonts w:ascii="Courier New" w:cs="Courier New" w:eastAsia="Courier New" w:hAnsi="Courier New"/>
          <w:sz w:val="16"/>
          <w:szCs w:val="16"/>
          <w:color w:val="auto"/>
        </w:rPr>
        <w:t>MICRON TECHNOLOGY, INC.</w:t>
      </w:r>
    </w:p>
    <w:p>
      <w:pPr>
        <w:spacing w:after="0" w:line="18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7"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(Dollars in millions)</w:t>
      </w:r>
    </w:p>
    <w:p>
      <w:pPr>
        <w:jc w:val="center"/>
        <w:ind w:right="34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For the three months ended</w:t>
            </w:r>
          </w:p>
        </w:tc>
        <w:tc>
          <w:tcPr>
            <w:tcW w:w="40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December 2,</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40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1999</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80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341.3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(46.2)</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(loss) to net cash provided by</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operating activities:</w:t>
            </w:r>
          </w:p>
        </w:tc>
        <w:tc>
          <w:tcPr>
            <w:tcW w:w="800" w:type="dxa"/>
            <w:vAlign w:val="bottom"/>
          </w:tcPr>
          <w:p>
            <w:pPr>
              <w:spacing w:after="0"/>
              <w:rPr>
                <w:sz w:val="15"/>
                <w:szCs w:val="15"/>
                <w:color w:val="auto"/>
              </w:rPr>
            </w:pP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229.5</w:t>
            </w:r>
          </w:p>
        </w:tc>
        <w:tc>
          <w:tcPr>
            <w:tcW w:w="800" w:type="dxa"/>
            <w:vAlign w:val="bottom"/>
          </w:tcPr>
          <w:p>
            <w:pPr>
              <w:spacing w:after="0"/>
              <w:rPr>
                <w:sz w:val="15"/>
                <w:szCs w:val="15"/>
                <w:color w:val="auto"/>
              </w:rPr>
            </w:pP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189.5</w:t>
            </w:r>
          </w:p>
        </w:tc>
        <w:tc>
          <w:tcPr>
            <w:tcW w:w="0" w:type="dxa"/>
            <w:vAlign w:val="bottom"/>
          </w:tcPr>
          <w:p>
            <w:pPr>
              <w:spacing w:after="0"/>
              <w:rPr>
                <w:sz w:val="1"/>
                <w:szCs w:val="1"/>
                <w:color w:val="auto"/>
              </w:rPr>
            </w:pPr>
          </w:p>
        </w:tc>
      </w:tr>
      <w:tr>
        <w:trPr>
          <w:trHeight w:val="181"/>
        </w:trPr>
        <w:tc>
          <w:tcPr>
            <w:tcW w:w="67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380"/>
              <w:spacing w:after="0"/>
              <w:rPr>
                <w:sz w:val="20"/>
                <w:szCs w:val="20"/>
                <w:color w:val="auto"/>
              </w:rPr>
            </w:pPr>
            <w:r>
              <w:rPr>
                <w:rFonts w:ascii="Courier New" w:cs="Courier New" w:eastAsia="Courier New" w:hAnsi="Courier New"/>
                <w:sz w:val="16"/>
                <w:szCs w:val="16"/>
                <w:color w:val="auto"/>
              </w:rPr>
              <w:t>Change in assets and liabilities, net of effects of acquisition</w:t>
            </w:r>
          </w:p>
        </w:tc>
        <w:tc>
          <w:tcPr>
            <w:tcW w:w="800" w:type="dxa"/>
            <w:vAlign w:val="bottom"/>
          </w:tcPr>
          <w:p>
            <w:pPr>
              <w:spacing w:after="0"/>
              <w:rPr>
                <w:sz w:val="15"/>
                <w:szCs w:val="15"/>
                <w:color w:val="auto"/>
              </w:rPr>
            </w:pP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w w:val="95"/>
              </w:rPr>
              <w:t>(212.7)</w:t>
            </w:r>
          </w:p>
        </w:tc>
        <w:tc>
          <w:tcPr>
            <w:tcW w:w="800" w:type="dxa"/>
            <w:vAlign w:val="bottom"/>
          </w:tcPr>
          <w:p>
            <w:pPr>
              <w:spacing w:after="0"/>
              <w:rPr>
                <w:sz w:val="15"/>
                <w:szCs w:val="15"/>
                <w:color w:val="auto"/>
              </w:rPr>
            </w:pP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112.3</w:t>
            </w:r>
          </w:p>
        </w:tc>
        <w:tc>
          <w:tcPr>
            <w:tcW w:w="0" w:type="dxa"/>
            <w:vAlign w:val="bottom"/>
          </w:tcPr>
          <w:p>
            <w:pPr>
              <w:spacing w:after="0"/>
              <w:rPr>
                <w:sz w:val="1"/>
                <w:szCs w:val="1"/>
                <w:color w:val="auto"/>
              </w:rPr>
            </w:pPr>
          </w:p>
        </w:tc>
      </w:tr>
      <w:tr>
        <w:trPr>
          <w:trHeight w:val="181"/>
        </w:trPr>
        <w:tc>
          <w:tcPr>
            <w:tcW w:w="6700" w:type="dxa"/>
            <w:vAlign w:val="bottom"/>
          </w:tcPr>
          <w:p>
            <w:pPr>
              <w:ind w:left="560"/>
              <w:spacing w:after="0"/>
              <w:rPr>
                <w:sz w:val="20"/>
                <w:szCs w:val="20"/>
                <w:color w:val="auto"/>
              </w:rPr>
            </w:pPr>
            <w:r>
              <w:rPr>
                <w:rFonts w:ascii="Courier New" w:cs="Courier New" w:eastAsia="Courier New" w:hAnsi="Courier New"/>
                <w:sz w:val="16"/>
                <w:szCs w:val="16"/>
                <w:color w:val="auto"/>
              </w:rPr>
              <w:t>Decrease (increase) in receivables</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560"/>
              <w:spacing w:after="0"/>
              <w:rPr>
                <w:sz w:val="20"/>
                <w:szCs w:val="20"/>
                <w:color w:val="auto"/>
              </w:rPr>
            </w:pPr>
            <w:r>
              <w:rPr>
                <w:rFonts w:ascii="Courier New" w:cs="Courier New" w:eastAsia="Courier New" w:hAnsi="Courier New"/>
                <w:sz w:val="16"/>
                <w:szCs w:val="16"/>
                <w:color w:val="auto"/>
              </w:rPr>
              <w:t>Increase in inventories</w:t>
            </w:r>
          </w:p>
        </w:tc>
        <w:tc>
          <w:tcPr>
            <w:tcW w:w="800" w:type="dxa"/>
            <w:vAlign w:val="bottom"/>
          </w:tcPr>
          <w:p>
            <w:pPr>
              <w:spacing w:after="0"/>
              <w:rPr>
                <w:sz w:val="15"/>
                <w:szCs w:val="15"/>
                <w:color w:val="auto"/>
              </w:rPr>
            </w:pPr>
          </w:p>
        </w:tc>
        <w:tc>
          <w:tcPr>
            <w:tcW w:w="132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5"/>
              </w:rPr>
              <w:t>(138.5)</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c>
          <w:tcPr>
            <w:tcW w:w="0" w:type="dxa"/>
            <w:vAlign w:val="bottom"/>
          </w:tcPr>
          <w:p>
            <w:pPr>
              <w:spacing w:after="0"/>
              <w:rPr>
                <w:sz w:val="1"/>
                <w:szCs w:val="1"/>
                <w:color w:val="auto"/>
              </w:rPr>
            </w:pPr>
          </w:p>
        </w:tc>
      </w:tr>
      <w:tr>
        <w:trPr>
          <w:trHeight w:val="181"/>
        </w:trPr>
        <w:tc>
          <w:tcPr>
            <w:tcW w:w="6700" w:type="dxa"/>
            <w:vAlign w:val="bottom"/>
          </w:tcPr>
          <w:p>
            <w:pPr>
              <w:ind w:left="560"/>
              <w:spacing w:after="0"/>
              <w:rPr>
                <w:sz w:val="20"/>
                <w:szCs w:val="20"/>
                <w:color w:val="auto"/>
              </w:rPr>
            </w:pPr>
            <w:r>
              <w:rPr>
                <w:rFonts w:ascii="Courier New" w:cs="Courier New" w:eastAsia="Courier New" w:hAnsi="Courier New"/>
                <w:sz w:val="16"/>
                <w:szCs w:val="16"/>
                <w:color w:val="auto"/>
              </w:rPr>
              <w:t>Increase in accounts payable and accrued</w:t>
            </w:r>
          </w:p>
        </w:tc>
        <w:tc>
          <w:tcPr>
            <w:tcW w:w="800" w:type="dxa"/>
            <w:vAlign w:val="bottom"/>
          </w:tcPr>
          <w:p>
            <w:pPr>
              <w:spacing w:after="0"/>
              <w:rPr>
                <w:sz w:val="15"/>
                <w:szCs w:val="15"/>
                <w:color w:val="auto"/>
              </w:rPr>
            </w:pP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219.7</w:t>
            </w:r>
          </w:p>
        </w:tc>
        <w:tc>
          <w:tcPr>
            <w:tcW w:w="800" w:type="dxa"/>
            <w:vAlign w:val="bottom"/>
          </w:tcPr>
          <w:p>
            <w:pPr>
              <w:spacing w:after="0"/>
              <w:rPr>
                <w:sz w:val="15"/>
                <w:szCs w:val="15"/>
                <w:color w:val="auto"/>
              </w:rPr>
            </w:pP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65.8</w:t>
            </w:r>
          </w:p>
        </w:tc>
        <w:tc>
          <w:tcPr>
            <w:tcW w:w="0" w:type="dxa"/>
            <w:vAlign w:val="bottom"/>
          </w:tcPr>
          <w:p>
            <w:pPr>
              <w:spacing w:after="0"/>
              <w:rPr>
                <w:sz w:val="1"/>
                <w:szCs w:val="1"/>
                <w:color w:val="auto"/>
              </w:rPr>
            </w:pPr>
          </w:p>
        </w:tc>
      </w:tr>
      <w:tr>
        <w:trPr>
          <w:trHeight w:val="181"/>
        </w:trPr>
        <w:tc>
          <w:tcPr>
            <w:tcW w:w="6700" w:type="dxa"/>
            <w:vAlign w:val="bottom"/>
          </w:tcPr>
          <w:p>
            <w:pPr>
              <w:ind w:left="940"/>
              <w:spacing w:after="0"/>
              <w:rPr>
                <w:sz w:val="20"/>
                <w:szCs w:val="20"/>
                <w:color w:val="auto"/>
              </w:rPr>
            </w:pPr>
            <w:r>
              <w:rPr>
                <w:rFonts w:ascii="Courier New" w:cs="Courier New" w:eastAsia="Courier New" w:hAnsi="Courier New"/>
                <w:sz w:val="16"/>
                <w:szCs w:val="16"/>
                <w:color w:val="auto"/>
              </w:rPr>
              <w:t>expenses, net of plant and equipment payables</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109.4</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(29.4)</w:t>
            </w:r>
          </w:p>
        </w:tc>
        <w:tc>
          <w:tcPr>
            <w:tcW w:w="0" w:type="dxa"/>
            <w:vAlign w:val="bottom"/>
          </w:tcPr>
          <w:p>
            <w:pPr>
              <w:spacing w:after="0"/>
              <w:rPr>
                <w:sz w:val="1"/>
                <w:szCs w:val="1"/>
                <w:color w:val="auto"/>
              </w:rPr>
            </w:pPr>
          </w:p>
        </w:tc>
      </w:tr>
      <w:tr>
        <w:trPr>
          <w:trHeight w:val="181"/>
        </w:trPr>
        <w:tc>
          <w:tcPr>
            <w:tcW w:w="67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800" w:type="dxa"/>
            <w:vAlign w:val="bottom"/>
          </w:tcPr>
          <w:p>
            <w:pPr>
              <w:ind w:left="440"/>
              <w:spacing w:after="0"/>
              <w:rPr>
                <w:sz w:val="20"/>
                <w:szCs w:val="20"/>
                <w:color w:val="auto"/>
              </w:rPr>
            </w:pPr>
            <w:r>
              <w:rPr>
                <w:rFonts w:ascii="Courier New" w:cs="Courier New" w:eastAsia="Courier New" w:hAnsi="Courier New"/>
                <w:sz w:val="8"/>
                <w:szCs w:val="8"/>
                <w:color w:val="auto"/>
                <w:w w:val="70"/>
              </w:rPr>
              <w:t>----------</w:t>
            </w: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548.7</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255.6</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800" w:type="dxa"/>
            <w:vAlign w:val="bottom"/>
          </w:tcPr>
          <w:p>
            <w:pPr>
              <w:spacing w:after="0"/>
              <w:rPr>
                <w:sz w:val="15"/>
                <w:szCs w:val="15"/>
                <w:color w:val="auto"/>
              </w:rPr>
            </w:pP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w w:val="95"/>
              </w:rPr>
              <w:t>(737.7)</w:t>
            </w:r>
          </w:p>
        </w:tc>
        <w:tc>
          <w:tcPr>
            <w:tcW w:w="8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(1,273.5)</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Purchase of available-for-sale and held-to-maturity securities</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Proceeds from sales and maturities of securities</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623.0</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211.5</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Expenditures for property, plant and equipment</w:t>
            </w:r>
          </w:p>
        </w:tc>
        <w:tc>
          <w:tcPr>
            <w:tcW w:w="800" w:type="dxa"/>
            <w:vAlign w:val="bottom"/>
          </w:tcPr>
          <w:p>
            <w:pPr>
              <w:spacing w:after="0"/>
              <w:rPr>
                <w:sz w:val="15"/>
                <w:szCs w:val="15"/>
                <w:color w:val="auto"/>
              </w:rPr>
            </w:pPr>
          </w:p>
        </w:tc>
        <w:tc>
          <w:tcPr>
            <w:tcW w:w="132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5"/>
              </w:rPr>
              <w:t>(219.8)</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(117.5)</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1.4</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1"/>
        </w:trPr>
        <w:tc>
          <w:tcPr>
            <w:tcW w:w="67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for investing activities</w:t>
            </w:r>
          </w:p>
        </w:tc>
        <w:tc>
          <w:tcPr>
            <w:tcW w:w="800" w:type="dxa"/>
            <w:vAlign w:val="bottom"/>
          </w:tcPr>
          <w:p>
            <w:pPr>
              <w:ind w:left="440"/>
              <w:spacing w:after="0"/>
              <w:rPr>
                <w:sz w:val="20"/>
                <w:szCs w:val="20"/>
                <w:color w:val="auto"/>
              </w:rPr>
            </w:pPr>
            <w:r>
              <w:rPr>
                <w:rFonts w:ascii="Courier New" w:cs="Courier New" w:eastAsia="Courier New" w:hAnsi="Courier New"/>
                <w:sz w:val="8"/>
                <w:szCs w:val="8"/>
                <w:color w:val="auto"/>
                <w:w w:val="70"/>
              </w:rPr>
              <w:t>----------</w:t>
            </w: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w w:val="95"/>
              </w:rPr>
              <w:t>(333.1)</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(1,181.0)</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800" w:type="dxa"/>
            <w:vAlign w:val="bottom"/>
          </w:tcPr>
          <w:p>
            <w:pPr>
              <w:spacing w:after="0"/>
              <w:rPr>
                <w:sz w:val="15"/>
                <w:szCs w:val="15"/>
                <w:color w:val="auto"/>
              </w:rPr>
            </w:pP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(86.5)</w:t>
            </w:r>
          </w:p>
        </w:tc>
        <w:tc>
          <w:tcPr>
            <w:tcW w:w="8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(73.9)</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Payments on equipment purchase contracts</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Proceeds from issuance of common stock</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51.9</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519.1</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Repayments of debt</w:t>
            </w:r>
          </w:p>
        </w:tc>
        <w:tc>
          <w:tcPr>
            <w:tcW w:w="800" w:type="dxa"/>
            <w:vAlign w:val="bottom"/>
          </w:tcPr>
          <w:p>
            <w:pPr>
              <w:spacing w:after="0"/>
              <w:rPr>
                <w:sz w:val="15"/>
                <w:szCs w:val="15"/>
                <w:color w:val="auto"/>
              </w:rPr>
            </w:pPr>
          </w:p>
        </w:tc>
        <w:tc>
          <w:tcPr>
            <w:tcW w:w="13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(34.3)</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(28.3)</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received in conjunction with acquisition</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681.1</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Proceeds from issuance of debt</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0.3</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1"/>
        </w:trPr>
        <w:tc>
          <w:tcPr>
            <w:tcW w:w="67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(used for) financing activities</w:t>
            </w:r>
          </w:p>
        </w:tc>
        <w:tc>
          <w:tcPr>
            <w:tcW w:w="800" w:type="dxa"/>
            <w:vAlign w:val="bottom"/>
          </w:tcPr>
          <w:p>
            <w:pPr>
              <w:ind w:left="440"/>
              <w:spacing w:after="0"/>
              <w:rPr>
                <w:sz w:val="20"/>
                <w:szCs w:val="20"/>
                <w:color w:val="auto"/>
              </w:rPr>
            </w:pPr>
            <w:r>
              <w:rPr>
                <w:rFonts w:ascii="Courier New" w:cs="Courier New" w:eastAsia="Courier New" w:hAnsi="Courier New"/>
                <w:sz w:val="8"/>
                <w:szCs w:val="8"/>
                <w:color w:val="auto"/>
                <w:w w:val="70"/>
              </w:rPr>
              <w:t>----------</w:t>
            </w: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(68.6)</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1,134.3</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212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Courier New" w:cs="Courier New" w:eastAsia="Courier New" w:hAnsi="Courier New"/>
                <w:sz w:val="16"/>
                <w:szCs w:val="16"/>
                <w:color w:val="auto"/>
              </w:rPr>
              <w:t>Net increase in cash and equivalents</w:t>
            </w:r>
          </w:p>
        </w:tc>
        <w:tc>
          <w:tcPr>
            <w:tcW w:w="800" w:type="dxa"/>
            <w:vAlign w:val="bottom"/>
          </w:tcPr>
          <w:p>
            <w:pPr>
              <w:spacing w:after="0"/>
              <w:rPr>
                <w:sz w:val="24"/>
                <w:szCs w:val="24"/>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147.0</w:t>
            </w:r>
          </w:p>
        </w:tc>
        <w:tc>
          <w:tcPr>
            <w:tcW w:w="8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208.9</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and equivalents at beginning of period</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294.6</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558.8</w:t>
            </w:r>
          </w:p>
        </w:tc>
        <w:tc>
          <w:tcPr>
            <w:tcW w:w="0" w:type="dxa"/>
            <w:vAlign w:val="bottom"/>
          </w:tcPr>
          <w:p>
            <w:pPr>
              <w:spacing w:after="0"/>
              <w:rPr>
                <w:sz w:val="1"/>
                <w:szCs w:val="1"/>
                <w:color w:val="auto"/>
              </w:rPr>
            </w:pPr>
          </w:p>
        </w:tc>
      </w:tr>
      <w:tr>
        <w:trPr>
          <w:trHeight w:val="181"/>
        </w:trPr>
        <w:tc>
          <w:tcPr>
            <w:tcW w:w="67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equivalents at end of period</w:t>
            </w:r>
          </w:p>
        </w:tc>
        <w:tc>
          <w:tcPr>
            <w:tcW w:w="800" w:type="dxa"/>
            <w:vAlign w:val="bottom"/>
            <w:vMerge w:val="restart"/>
          </w:tcPr>
          <w:p>
            <w:pPr>
              <w:ind w:left="44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441.6</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767.7</w:t>
            </w:r>
          </w:p>
        </w:tc>
        <w:tc>
          <w:tcPr>
            <w:tcW w:w="0" w:type="dxa"/>
            <w:vAlign w:val="bottom"/>
          </w:tcPr>
          <w:p>
            <w:pPr>
              <w:spacing w:after="0"/>
              <w:rPr>
                <w:sz w:val="1"/>
                <w:szCs w:val="1"/>
                <w:color w:val="auto"/>
              </w:rPr>
            </w:pPr>
          </w:p>
        </w:tc>
      </w:tr>
      <w:tr>
        <w:trPr>
          <w:trHeight w:val="264"/>
        </w:trPr>
        <w:tc>
          <w:tcPr>
            <w:tcW w:w="670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SUPPLEMENTAL DISCLOSURES</w:t>
            </w:r>
          </w:p>
        </w:tc>
        <w:tc>
          <w:tcPr>
            <w:tcW w:w="212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6700" w:type="dxa"/>
            <w:vAlign w:val="bottom"/>
            <w:vMerge w:val="continue"/>
          </w:tcPr>
          <w:p>
            <w:pPr>
              <w:spacing w:after="0"/>
              <w:rPr>
                <w:sz w:val="8"/>
                <w:szCs w:val="8"/>
                <w:color w:val="auto"/>
              </w:rPr>
            </w:pPr>
          </w:p>
        </w:tc>
        <w:tc>
          <w:tcPr>
            <w:tcW w:w="80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(35.0)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Interest paid, net of amounts capitalized</w:t>
            </w:r>
          </w:p>
        </w:tc>
        <w:tc>
          <w:tcPr>
            <w:tcW w:w="8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Income taxes refunded, net</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86.4</w:t>
            </w:r>
          </w:p>
        </w:tc>
        <w:tc>
          <w:tcPr>
            <w:tcW w:w="80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183.2</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800" w:type="dxa"/>
            <w:vAlign w:val="bottom"/>
          </w:tcPr>
          <w:p>
            <w:pPr>
              <w:spacing w:after="0"/>
              <w:rPr>
                <w:sz w:val="15"/>
                <w:szCs w:val="15"/>
                <w:color w:val="auto"/>
              </w:rPr>
            </w:pP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71.1</w:t>
            </w:r>
          </w:p>
        </w:tc>
        <w:tc>
          <w:tcPr>
            <w:tcW w:w="800" w:type="dxa"/>
            <w:vAlign w:val="bottom"/>
          </w:tcPr>
          <w:p>
            <w:pPr>
              <w:spacing w:after="0"/>
              <w:rPr>
                <w:sz w:val="15"/>
                <w:szCs w:val="15"/>
                <w:color w:val="auto"/>
              </w:rPr>
            </w:pP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tc>
        <w:tc>
          <w:tcPr>
            <w:tcW w:w="8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Courier New" w:cs="Courier New" w:eastAsia="Courier New" w:hAnsi="Courier New"/>
                <w:sz w:val="16"/>
                <w:szCs w:val="16"/>
                <w:color w:val="auto"/>
              </w:rPr>
              <w:t>Cash received in conjunction with acquisition:</w:t>
            </w:r>
          </w:p>
        </w:tc>
        <w:tc>
          <w:tcPr>
            <w:tcW w:w="80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949.3</w:t>
            </w: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Fair value of assets acquired</w:t>
            </w:r>
          </w:p>
        </w:tc>
        <w:tc>
          <w:tcPr>
            <w:tcW w:w="8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Liabilities assumed</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Debt issued</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(836.0)</w:t>
            </w:r>
          </w:p>
        </w:tc>
        <w:tc>
          <w:tcPr>
            <w:tcW w:w="0" w:type="dxa"/>
            <w:vAlign w:val="bottom"/>
          </w:tcPr>
          <w:p>
            <w:pPr>
              <w:spacing w:after="0"/>
              <w:rPr>
                <w:sz w:val="1"/>
                <w:szCs w:val="1"/>
                <w:color w:val="auto"/>
              </w:rPr>
            </w:pPr>
          </w:p>
        </w:tc>
      </w:tr>
      <w:tr>
        <w:trPr>
          <w:trHeight w:val="181"/>
        </w:trPr>
        <w:tc>
          <w:tcPr>
            <w:tcW w:w="6700" w:type="dxa"/>
            <w:vAlign w:val="bottom"/>
          </w:tcPr>
          <w:p>
            <w:pPr>
              <w:ind w:left="180"/>
              <w:spacing w:after="0"/>
              <w:rPr>
                <w:sz w:val="20"/>
                <w:szCs w:val="20"/>
                <w:color w:val="auto"/>
              </w:rPr>
            </w:pPr>
            <w:r>
              <w:rPr>
                <w:rFonts w:ascii="Courier New" w:cs="Courier New" w:eastAsia="Courier New" w:hAnsi="Courier New"/>
                <w:sz w:val="16"/>
                <w:szCs w:val="16"/>
                <w:color w:val="auto"/>
              </w:rPr>
              <w:t>Stock issued</w:t>
            </w:r>
          </w:p>
        </w:tc>
        <w:tc>
          <w:tcPr>
            <w:tcW w:w="800" w:type="dxa"/>
            <w:vAlign w:val="bottom"/>
          </w:tcPr>
          <w:p>
            <w:pPr>
              <w:spacing w:after="0"/>
              <w:rPr>
                <w:sz w:val="15"/>
                <w:szCs w:val="15"/>
                <w:color w:val="auto"/>
              </w:rPr>
            </w:pP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(656.4)</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800" w:type="dxa"/>
            <w:vAlign w:val="bottom"/>
            <w:vMerge w:val="restart"/>
          </w:tcPr>
          <w:p>
            <w:pPr>
              <w:ind w:left="440"/>
              <w:spacing w:after="0"/>
              <w:rPr>
                <w:sz w:val="20"/>
                <w:szCs w:val="20"/>
                <w:color w:val="auto"/>
              </w:rPr>
            </w:pPr>
            <w:r>
              <w:rPr>
                <w:rFonts w:ascii="Courier New" w:cs="Courier New" w:eastAsia="Courier New" w:hAnsi="Courier New"/>
                <w:sz w:val="8"/>
                <w:szCs w:val="8"/>
                <w:color w:val="auto"/>
                <w:w w:val="75"/>
                <w:vertAlign w:val="subscript"/>
              </w:rPr>
              <w:t>$</w:t>
            </w:r>
            <w:r>
              <w:rPr>
                <w:rFonts w:ascii="Courier New" w:cs="Courier New" w:eastAsia="Courier New" w:hAnsi="Courier New"/>
                <w:sz w:val="7"/>
                <w:szCs w:val="7"/>
                <w:color w:val="auto"/>
                <w:w w:val="75"/>
              </w:rPr>
              <w:t>----------</w:t>
            </w:r>
          </w:p>
        </w:tc>
        <w:tc>
          <w:tcPr>
            <w:tcW w:w="1320" w:type="dxa"/>
            <w:vAlign w:val="bottom"/>
            <w:vMerge w:val="restart"/>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681.1</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212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80"/>
          </w:cols>
          <w:pgMar w:left="320" w:top="631" w:right="699" w:bottom="1440" w:gutter="0" w:footer="0" w:header="0"/>
        </w:sectPr>
      </w:pPr>
    </w:p>
    <w:bookmarkStart w:id="4" w:name="page5"/>
    <w:bookmarkEnd w:id="4"/>
    <w:p>
      <w:pPr>
        <w:jc w:val="center"/>
        <w:ind w:right="2719"/>
        <w:spacing w:after="0"/>
        <w:rPr>
          <w:sz w:val="20"/>
          <w:szCs w:val="20"/>
          <w:color w:val="auto"/>
        </w:rPr>
      </w:pPr>
      <w:r>
        <w:rPr>
          <w:rFonts w:ascii="Courier New" w:cs="Courier New" w:eastAsia="Courier New" w:hAnsi="Courier New"/>
          <w:sz w:val="16"/>
          <w:szCs w:val="16"/>
          <w:color w:val="auto"/>
        </w:rPr>
        <w:t>MICRON TECHNOLOGY, INC.</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Consolidated Statements of Comprehensive Income (Loss)</w:t>
      </w:r>
    </w:p>
    <w:p>
      <w:pPr>
        <w:spacing w:after="0" w:line="2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(Dollars in millions)</w:t>
      </w: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31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December 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31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2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$ 341.3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(46.2)</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22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20"/>
                <w:szCs w:val="20"/>
                <w:color w:val="auto"/>
              </w:rPr>
            </w:pPr>
            <w:r>
              <w:rPr>
                <w:rFonts w:ascii="Courier New" w:cs="Courier New" w:eastAsia="Courier New" w:hAnsi="Courier New"/>
                <w:sz w:val="16"/>
                <w:szCs w:val="16"/>
                <w:color w:val="auto"/>
              </w:rPr>
              <w:t>Unrealized gain on investments</w:t>
            </w:r>
          </w:p>
        </w:tc>
        <w:tc>
          <w:tcPr>
            <w:tcW w:w="22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0.7</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7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comprehensive income (loss)</w:t>
            </w:r>
          </w:p>
        </w:tc>
        <w:tc>
          <w:tcPr>
            <w:tcW w:w="2220" w:type="dxa"/>
            <w:vAlign w:val="bottom"/>
            <w:vMerge w:val="restart"/>
          </w:tcPr>
          <w:p>
            <w:pPr>
              <w:jc w:val="right"/>
              <w:ind w:right="362"/>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342.0</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7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(46.4)</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22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631" w:right="1440" w:bottom="1440" w:gutter="0" w:footer="0" w:header="0"/>
        </w:sectPr>
      </w:pPr>
    </w:p>
    <w:bookmarkStart w:id="5" w:name="page6"/>
    <w:bookmarkEnd w:id="5"/>
    <w:p>
      <w:pPr>
        <w:ind w:left="1684"/>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7" w:lineRule="exact"/>
        <w:rPr>
          <w:sz w:val="20"/>
          <w:szCs w:val="20"/>
          <w:color w:val="auto"/>
        </w:rPr>
      </w:pPr>
    </w:p>
    <w:p>
      <w:pPr>
        <w:ind w:left="1324"/>
        <w:spacing w:after="0"/>
        <w:rPr>
          <w:sz w:val="20"/>
          <w:szCs w:val="20"/>
          <w:color w:val="auto"/>
        </w:rPr>
      </w:pPr>
      <w:r>
        <w:rPr>
          <w:rFonts w:ascii="Courier New" w:cs="Courier New" w:eastAsia="Courier New" w:hAnsi="Courier New"/>
          <w:sz w:val="16"/>
          <w:szCs w:val="16"/>
          <w:color w:val="auto"/>
        </w:rPr>
        <w:t>(All tabular dollar amounts are stated in millions)</w:t>
      </w:r>
    </w:p>
    <w:p>
      <w:pPr>
        <w:spacing w:after="0" w:line="332" w:lineRule="exact"/>
        <w:rPr>
          <w:sz w:val="20"/>
          <w:szCs w:val="20"/>
          <w:color w:val="auto"/>
        </w:rPr>
      </w:pPr>
    </w:p>
    <w:p>
      <w:pPr>
        <w:ind w:left="464" w:hanging="464"/>
        <w:spacing w:after="0"/>
        <w:tabs>
          <w:tab w:leader="none" w:pos="4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interim financial statements</w:t>
      </w:r>
    </w:p>
    <w:p>
      <w:pPr>
        <w:spacing w:after="0" w:line="180" w:lineRule="exact"/>
        <w:rPr>
          <w:sz w:val="20"/>
          <w:szCs w:val="20"/>
          <w:color w:val="auto"/>
        </w:rPr>
      </w:pPr>
    </w:p>
    <w:p>
      <w:pPr>
        <w:ind w:left="4" w:right="2639" w:firstLine="469"/>
        <w:spacing w:after="0" w:line="254"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 Micron Technology, Inc. and its wholly-owned subsidiaries are collectively hereinafter referred to as "MTI." Micron Electronics, Inc., an approximately 61% owned subsidiary of the Company, is hereinafter referred to as "MEI."</w:t>
      </w:r>
    </w:p>
    <w:p>
      <w:pPr>
        <w:spacing w:after="0" w:line="91" w:lineRule="exact"/>
        <w:rPr>
          <w:sz w:val="20"/>
          <w:szCs w:val="20"/>
          <w:color w:val="auto"/>
        </w:rPr>
      </w:pPr>
    </w:p>
    <w:p>
      <w:pPr>
        <w:ind w:left="4" w:right="2639" w:firstLine="469"/>
        <w:spacing w:after="0" w:line="266" w:lineRule="auto"/>
        <w:rPr>
          <w:sz w:val="20"/>
          <w:szCs w:val="20"/>
          <w:color w:val="auto"/>
        </w:rPr>
      </w:pPr>
      <w:r>
        <w:rPr>
          <w:rFonts w:ascii="Courier New" w:cs="Courier New" w:eastAsia="Courier New" w:hAnsi="Courier New"/>
          <w:sz w:val="16"/>
          <w:szCs w:val="16"/>
          <w:color w:val="auto"/>
        </w:rPr>
        <w:t>Recently issued accounting standards include Statement of Position ("SOP") 98-1 "Accounting for the Costs of Computer Software Developed or Obtained for Internal Use," issued by the AICPA in March 1998 and Statement of Financial Accounting Standards ("SFAS") No. 133 "Accounting for Derivative Instruments and Hedging Activities," issued by the FASB in June 1998.</w:t>
      </w:r>
    </w:p>
    <w:p>
      <w:pPr>
        <w:spacing w:after="0" w:line="79" w:lineRule="exact"/>
        <w:rPr>
          <w:sz w:val="20"/>
          <w:szCs w:val="20"/>
          <w:color w:val="auto"/>
        </w:rPr>
      </w:pPr>
    </w:p>
    <w:p>
      <w:pPr>
        <w:ind w:left="4" w:right="2639" w:firstLine="469"/>
        <w:spacing w:after="0" w:line="257" w:lineRule="auto"/>
        <w:rPr>
          <w:sz w:val="20"/>
          <w:szCs w:val="20"/>
          <w:color w:val="auto"/>
        </w:rPr>
      </w:pPr>
      <w:r>
        <w:rPr>
          <w:rFonts w:ascii="Courier New" w:cs="Courier New" w:eastAsia="Courier New" w:hAnsi="Courier New"/>
          <w:sz w:val="16"/>
          <w:szCs w:val="16"/>
          <w:color w:val="auto"/>
        </w:rPr>
        <w:t>SOP 98-1 requires companies to capitalize certain costs of computer software developed or obtained for internal use. The Company, which previously capitalized costs of purchased internal-use computer software and expensed costs of internally developed internal-use software as incurred, adopted the standard in the first quarter of 2000 for developmental costs incurred in that quarter and thereafter. The adoption did not have a material impact on the Company's results of operations.</w:t>
      </w:r>
    </w:p>
    <w:p>
      <w:pPr>
        <w:spacing w:after="0" w:line="86" w:lineRule="exact"/>
        <w:rPr>
          <w:sz w:val="20"/>
          <w:szCs w:val="20"/>
          <w:color w:val="auto"/>
        </w:rPr>
      </w:pPr>
    </w:p>
    <w:p>
      <w:pPr>
        <w:ind w:left="4" w:right="2639" w:firstLine="469"/>
        <w:spacing w:after="0" w:line="267" w:lineRule="auto"/>
        <w:rPr>
          <w:sz w:val="20"/>
          <w:szCs w:val="20"/>
          <w:color w:val="auto"/>
        </w:rPr>
      </w:pPr>
      <w:r>
        <w:rPr>
          <w:rFonts w:ascii="Courier New" w:cs="Courier New" w:eastAsia="Courier New" w:hAnsi="Courier New"/>
          <w:sz w:val="15"/>
          <w:szCs w:val="15"/>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133 is not expected to have a significant impact on the Company's future results of operations or financial position.</w:t>
      </w:r>
    </w:p>
    <w:p>
      <w:pPr>
        <w:spacing w:after="0" w:line="79" w:lineRule="exact"/>
        <w:rPr>
          <w:sz w:val="20"/>
          <w:szCs w:val="20"/>
          <w:color w:val="auto"/>
        </w:rPr>
      </w:pPr>
    </w:p>
    <w:p>
      <w:pPr>
        <w:ind w:left="4" w:right="2719" w:firstLine="469"/>
        <w:spacing w:after="0" w:line="294" w:lineRule="auto"/>
        <w:rPr>
          <w:sz w:val="20"/>
          <w:szCs w:val="20"/>
          <w:color w:val="auto"/>
        </w:rPr>
      </w:pPr>
      <w:r>
        <w:rPr>
          <w:rFonts w:ascii="Courier New" w:cs="Courier New" w:eastAsia="Courier New" w:hAnsi="Courier New"/>
          <w:sz w:val="16"/>
          <w:szCs w:val="16"/>
          <w:color w:val="auto"/>
        </w:rPr>
        <w:t>These unaudited interim financial statements should be read in conjunction with the consolidated financial statements and accompanying notes included in the Company's Form 10-K for the year ended September 2, 1999.</w:t>
      </w:r>
    </w:p>
    <w:p>
      <w:pPr>
        <w:spacing w:after="0" w:line="200" w:lineRule="exact"/>
        <w:rPr>
          <w:sz w:val="20"/>
          <w:szCs w:val="20"/>
          <w:color w:val="auto"/>
        </w:rPr>
      </w:pP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83"/>
              </w:rPr>
              <w:t>2.</w:t>
            </w:r>
          </w:p>
        </w:tc>
        <w:tc>
          <w:tcPr>
            <w:tcW w:w="4020" w:type="dxa"/>
            <w:vAlign w:val="bottom"/>
          </w:tcPr>
          <w:p>
            <w:pPr>
              <w:ind w:left="180"/>
              <w:spacing w:after="0"/>
              <w:rPr>
                <w:sz w:val="20"/>
                <w:szCs w:val="20"/>
                <w:color w:val="auto"/>
              </w:rPr>
            </w:pPr>
            <w:r>
              <w:rPr>
                <w:rFonts w:ascii="Courier New" w:cs="Courier New" w:eastAsia="Courier New" w:hAnsi="Courier New"/>
                <w:sz w:val="16"/>
                <w:szCs w:val="16"/>
                <w:color w:val="auto"/>
              </w:rPr>
              <w:t>Supplemental balance sheet information</w:t>
            </w:r>
          </w:p>
        </w:tc>
        <w:tc>
          <w:tcPr>
            <w:tcW w:w="1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December 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September 2,</w:t>
            </w:r>
          </w:p>
        </w:tc>
      </w:tr>
      <w:tr>
        <w:trPr>
          <w:trHeight w:val="209"/>
        </w:trPr>
        <w:tc>
          <w:tcPr>
            <w:tcW w:w="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1999</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5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Receivables</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184" w:type="dxa"/>
        <w:tblCellMar>
          <w:top w:w="0" w:type="dxa"/>
          <w:left w:w="0" w:type="dxa"/>
          <w:bottom w:w="0" w:type="dxa"/>
          <w:right w:w="0" w:type="dxa"/>
        </w:tblCellMar>
      </w:tblP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Trade receivables</w:t>
            </w:r>
          </w:p>
        </w:tc>
        <w:tc>
          <w:tcPr>
            <w:tcW w:w="1600" w:type="dxa"/>
            <w:vAlign w:val="bottom"/>
          </w:tcPr>
          <w:p>
            <w:pPr>
              <w:ind w:left="142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854.4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$ 542.4</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Income taxes receivable</w:t>
            </w:r>
          </w:p>
        </w:tc>
        <w:tc>
          <w:tcPr>
            <w:tcW w:w="160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100.8</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w w:val="99"/>
              </w:rPr>
              <w:t>Allowance for returns and discounts</w:t>
            </w:r>
          </w:p>
        </w:tc>
        <w:tc>
          <w:tcPr>
            <w:tcW w:w="160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(31.0)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60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(12.4)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Other receivables</w:t>
            </w:r>
          </w:p>
        </w:tc>
        <w:tc>
          <w:tcPr>
            <w:tcW w:w="160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93.8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97.4</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1600" w:type="dxa"/>
            <w:vAlign w:val="bottom"/>
            <w:vMerge w:val="restart"/>
          </w:tcPr>
          <w:p>
            <w:pPr>
              <w:ind w:left="142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9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w w:val="95"/>
              </w:rPr>
              <w:t>916.4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$ 692.6</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5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2"/>
        </w:trPr>
        <w:tc>
          <w:tcPr>
            <w:tcW w:w="3380" w:type="dxa"/>
            <w:vAlign w:val="bottom"/>
          </w:tcPr>
          <w:p>
            <w:pPr>
              <w:spacing w:after="0"/>
              <w:rPr>
                <w:sz w:val="24"/>
                <w:szCs w:val="24"/>
                <w:color w:val="auto"/>
              </w:rPr>
            </w:pPr>
          </w:p>
        </w:tc>
        <w:tc>
          <w:tcPr>
            <w:tcW w:w="1600" w:type="dxa"/>
            <w:vAlign w:val="bottom"/>
          </w:tcPr>
          <w:p>
            <w:pPr>
              <w:jc w:val="right"/>
              <w:ind w:right="1337"/>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3"/>
          </w:cols>
          <w:pgMar w:left="316" w:top="63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440" w:type="dxa"/>
            <w:vAlign w:val="bottom"/>
          </w:tcPr>
          <w:p>
            <w:pPr>
              <w:ind w:left="12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197.3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$ 136.3</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144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246.9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173.6</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Raw materials and supplies</w:t>
            </w:r>
          </w:p>
        </w:tc>
        <w:tc>
          <w:tcPr>
            <w:tcW w:w="144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71.5</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Allowance for obsolescence</w:t>
            </w:r>
          </w:p>
        </w:tc>
        <w:tc>
          <w:tcPr>
            <w:tcW w:w="144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(17.0)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1440" w:type="dxa"/>
            <w:vAlign w:val="bottom"/>
            <w:vMerge w:val="restart"/>
          </w:tcPr>
          <w:p>
            <w:pPr>
              <w:ind w:left="126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7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5"/>
              </w:rPr>
              <w:t>504.1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$ 365.7</w:t>
            </w: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2"/>
                <w:szCs w:val="22"/>
                <w:color w:val="auto"/>
              </w:rPr>
            </w:pPr>
          </w:p>
        </w:tc>
        <w:tc>
          <w:tcPr>
            <w:tcW w:w="22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and process technology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at cost</w:t>
            </w:r>
          </w:p>
        </w:tc>
        <w:tc>
          <w:tcPr>
            <w:tcW w:w="84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328.7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325.2</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Less accumulated amortization</w:t>
            </w:r>
          </w:p>
        </w:tc>
        <w:tc>
          <w:tcPr>
            <w:tcW w:w="8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(122.3)</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(112.6)</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840" w:type="dxa"/>
            <w:vAlign w:val="bottom"/>
            <w:vMerge w:val="restart"/>
          </w:tcPr>
          <w:p>
            <w:pPr>
              <w:ind w:left="66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0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206.4</w:t>
            </w:r>
          </w:p>
        </w:tc>
        <w:tc>
          <w:tcPr>
            <w:tcW w:w="10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212.6</w:t>
            </w: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42.2</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4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1,193.1</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1,172.4</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4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4,203.8</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4,074.4</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4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767.7</w:t>
            </w: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726.0</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0"/>
                <w:szCs w:val="10"/>
                <w:color w:val="auto"/>
                <w:w w:val="73"/>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6,206.4</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660" w:type="dxa"/>
            <w:vAlign w:val="bottom"/>
            <w:vMerge w:val="restart"/>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4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6,015.0</w:t>
            </w:r>
          </w:p>
        </w:tc>
        <w:tc>
          <w:tcPr>
            <w:tcW w:w="0" w:type="dxa"/>
            <w:vAlign w:val="bottom"/>
          </w:tcPr>
          <w:p>
            <w:pPr>
              <w:spacing w:after="0"/>
              <w:rPr>
                <w:sz w:val="1"/>
                <w:szCs w:val="1"/>
                <w:color w:val="auto"/>
              </w:rPr>
            </w:pPr>
          </w:p>
        </w:tc>
      </w:tr>
      <w:tr>
        <w:trPr>
          <w:trHeight w:val="181"/>
        </w:trPr>
        <w:tc>
          <w:tcPr>
            <w:tcW w:w="4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(2,377.7)</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(2,215.4)</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4"/>
                <w:vertAlign w:val="subscript"/>
              </w:rPr>
              <w:t>$</w:t>
            </w:r>
            <w:r>
              <w:rPr>
                <w:rFonts w:ascii="Courier New" w:cs="Courier New" w:eastAsia="Courier New" w:hAnsi="Courier New"/>
                <w:sz w:val="9"/>
                <w:szCs w:val="9"/>
                <w:color w:val="auto"/>
                <w:w w:val="74"/>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3,828.7</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3,799.6</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13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639" w:firstLine="469"/>
        <w:spacing w:after="0" w:line="251" w:lineRule="auto"/>
        <w:rPr>
          <w:sz w:val="20"/>
          <w:szCs w:val="20"/>
          <w:color w:val="auto"/>
        </w:rPr>
      </w:pPr>
      <w:r>
        <w:rPr>
          <w:rFonts w:ascii="Courier New" w:cs="Courier New" w:eastAsia="Courier New" w:hAnsi="Courier New"/>
          <w:sz w:val="16"/>
          <w:szCs w:val="16"/>
          <w:color w:val="auto"/>
        </w:rPr>
        <w:t>As of December 2, 1999, property, plant and equipment included total unamortized costs of $708.3 million for the Company's semiconductor memory manufacturing facility in Lehi, Utah, of which $647.6 million has not been placed in service and is not being depreciated. Timing of the completion of the remainder of the Lehi facility is dependent upon market conditions. Market conditions which the Company expects to evaluate include, but are not limited to, worldwide market supply of and demand for semiconductor products and the Company's operations, cash flows and alternative uses of capital. The Company continues to evaluate the carrying value of the facility and as of December 2, 1999, it was determined to have no impairment.</w:t>
      </w:r>
    </w:p>
    <w:p>
      <w:pPr>
        <w:spacing w:after="0" w:line="91" w:lineRule="exact"/>
        <w:rPr>
          <w:sz w:val="20"/>
          <w:szCs w:val="20"/>
          <w:color w:val="auto"/>
        </w:rPr>
      </w:pPr>
    </w:p>
    <w:p>
      <w:pPr>
        <w:ind w:right="2919" w:firstLine="469"/>
        <w:spacing w:after="0" w:line="349" w:lineRule="auto"/>
        <w:rPr>
          <w:sz w:val="20"/>
          <w:szCs w:val="20"/>
          <w:color w:val="auto"/>
        </w:rPr>
      </w:pPr>
      <w:r>
        <w:rPr>
          <w:rFonts w:ascii="Courier New" w:cs="Courier New" w:eastAsia="Courier New" w:hAnsi="Courier New"/>
          <w:sz w:val="16"/>
          <w:szCs w:val="16"/>
          <w:color w:val="auto"/>
        </w:rPr>
        <w:t>Depreciation expense was $213.6 million and $181.1 million for the first quarter of 2000 and 1999, respectively.</w:t>
      </w:r>
    </w:p>
    <w:p>
      <w:pPr>
        <w:spacing w:after="0" w:line="200" w:lineRule="exact"/>
        <w:rPr>
          <w:sz w:val="20"/>
          <w:szCs w:val="20"/>
          <w:color w:val="auto"/>
        </w:rPr>
      </w:pPr>
    </w:p>
    <w:p>
      <w:pPr>
        <w:spacing w:after="0" w:line="356" w:lineRule="exact"/>
        <w:rPr>
          <w:sz w:val="20"/>
          <w:szCs w:val="20"/>
          <w:color w:val="auto"/>
        </w:rPr>
      </w:pPr>
    </w:p>
    <w:p>
      <w:pPr>
        <w:ind w:left="4700"/>
        <w:spacing w:after="0"/>
        <w:tabs>
          <w:tab w:leader="none" w:pos="5900" w:val="left"/>
        </w:tabs>
        <w:rPr>
          <w:sz w:val="20"/>
          <w:szCs w:val="20"/>
          <w:color w:val="auto"/>
        </w:rPr>
      </w:pPr>
      <w:r>
        <w:rPr>
          <w:rFonts w:ascii="Courier New" w:cs="Courier New" w:eastAsia="Courier New" w:hAnsi="Courier New"/>
          <w:sz w:val="16"/>
          <w:szCs w:val="16"/>
          <w:color w:val="auto"/>
        </w:rPr>
        <w:t>December 2,</w:t>
      </w:r>
      <w:r>
        <w:rPr>
          <w:sz w:val="20"/>
          <w:szCs w:val="20"/>
          <w:color w:val="auto"/>
        </w:rPr>
        <w:tab/>
      </w:r>
      <w:r>
        <w:rPr>
          <w:rFonts w:ascii="Courier New" w:cs="Courier New" w:eastAsia="Courier New" w:hAnsi="Courier New"/>
          <w:sz w:val="15"/>
          <w:szCs w:val="15"/>
          <w:color w:val="auto"/>
        </w:rPr>
        <w:t>September 2,</w:t>
      </w:r>
    </w:p>
    <w:p>
      <w:pPr>
        <w:spacing w:after="0" w:line="27" w:lineRule="exact"/>
        <w:rPr>
          <w:sz w:val="20"/>
          <w:szCs w:val="20"/>
          <w:color w:val="auto"/>
        </w:rPr>
      </w:pPr>
    </w:p>
    <w:p>
      <w:pPr>
        <w:ind w:left="4980"/>
        <w:spacing w:after="0"/>
        <w:tabs>
          <w:tab w:leader="none" w:pos="626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1999</w:t>
      </w:r>
    </w:p>
    <w:p>
      <w:pPr>
        <w:spacing w:after="0"/>
        <w:rPr>
          <w:sz w:val="20"/>
          <w:szCs w:val="20"/>
          <w:color w:val="auto"/>
        </w:rPr>
      </w:pPr>
      <w:r>
        <w:rPr>
          <w:rFonts w:ascii="Courier New" w:cs="Courier New" w:eastAsia="Courier New" w:hAnsi="Courier New"/>
          <w:sz w:val="16"/>
          <w:szCs w:val="16"/>
          <w:color w:val="auto"/>
        </w:rPr>
        <w:t>- ----------------------------------------------------------------------------</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$453.1</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Salaries, wages and benefits</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150.9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Interest payable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Taxes payable other than income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payable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126.2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51.9</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15"/>
                <w:szCs w:val="15"/>
                <w:color w:val="auto"/>
              </w:rPr>
            </w:pPr>
          </w:p>
        </w:tc>
        <w:tc>
          <w:tcPr>
            <w:tcW w:w="16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3"/>
              </w:rPr>
              <w:t>$</w:t>
            </w:r>
            <w:r>
              <w:rPr>
                <w:rFonts w:ascii="Courier New" w:cs="Courier New" w:eastAsia="Courier New" w:hAnsi="Courier New"/>
                <w:sz w:val="31"/>
                <w:szCs w:val="31"/>
                <w:color w:val="auto"/>
                <w:w w:val="93"/>
                <w:vertAlign w:val="superscript"/>
              </w:rPr>
              <w:t>------</w:t>
            </w:r>
            <w:r>
              <w:rPr>
                <w:rFonts w:ascii="Courier New" w:cs="Courier New" w:eastAsia="Courier New" w:hAnsi="Courier New"/>
                <w:sz w:val="16"/>
                <w:szCs w:val="16"/>
                <w:color w:val="auto"/>
                <w:w w:val="93"/>
              </w:rPr>
              <w:t>883.6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2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$705.4</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16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2"/>
        </w:trPr>
        <w:tc>
          <w:tcPr>
            <w:tcW w:w="4280" w:type="dxa"/>
            <w:vAlign w:val="bottom"/>
          </w:tcPr>
          <w:p>
            <w:pPr>
              <w:ind w:left="3480"/>
              <w:spacing w:after="0"/>
              <w:rPr>
                <w:sz w:val="20"/>
                <w:szCs w:val="20"/>
                <w:color w:val="auto"/>
              </w:rPr>
            </w:pPr>
            <w:r>
              <w:rPr>
                <w:rFonts w:ascii="Courier New" w:cs="Courier New" w:eastAsia="Courier New" w:hAnsi="Courier New"/>
                <w:sz w:val="16"/>
                <w:szCs w:val="16"/>
                <w:color w:val="auto"/>
              </w:rPr>
              <w:t>6</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631" w:right="1440" w:bottom="1440" w:gutter="0" w:footer="0" w:header="0"/>
        </w:sectPr>
      </w:pPr>
    </w:p>
    <w:bookmarkStart w:id="7" w:name="page8"/>
    <w:bookmarkEnd w:id="7"/>
    <w:p>
      <w:pPr>
        <w:ind w:left="4"/>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200" w:lineRule="exact"/>
        <w:rPr>
          <w:sz w:val="20"/>
          <w:szCs w:val="20"/>
          <w:color w:val="auto"/>
        </w:rPr>
      </w:pPr>
    </w:p>
    <w:p>
      <w:pPr>
        <w:spacing w:after="0" w:line="34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Debt</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184" w:type="dxa"/>
        <w:tblCellMar>
          <w:top w:w="0" w:type="dxa"/>
          <w:left w:w="0" w:type="dxa"/>
          <w:bottom w:w="0" w:type="dxa"/>
          <w:right w:w="0" w:type="dxa"/>
        </w:tblCellMar>
      </w:tblP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October 2005, with</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an effective yield to maturity of 8.4%, net of unamortized</w:t>
            </w:r>
          </w:p>
        </w:tc>
        <w:tc>
          <w:tcPr>
            <w:tcW w:w="580" w:type="dxa"/>
            <w:vAlign w:val="bottom"/>
            <w:vMerge w:val="restart"/>
          </w:tcPr>
          <w:p>
            <w:pPr>
              <w:ind w:left="4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677.3</w:t>
            </w:r>
          </w:p>
        </w:tc>
        <w:tc>
          <w:tcPr>
            <w:tcW w:w="11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  675.2</w:t>
            </w:r>
          </w:p>
        </w:tc>
        <w:tc>
          <w:tcPr>
            <w:tcW w:w="0" w:type="dxa"/>
            <w:vAlign w:val="bottom"/>
          </w:tcPr>
          <w:p>
            <w:pPr>
              <w:spacing w:after="0"/>
              <w:rPr>
                <w:sz w:val="1"/>
                <w:szCs w:val="1"/>
                <w:color w:val="auto"/>
              </w:rPr>
            </w:pPr>
          </w:p>
        </w:tc>
      </w:tr>
      <w:tr>
        <w:trPr>
          <w:trHeight w:val="181"/>
        </w:trPr>
        <w:tc>
          <w:tcPr>
            <w:tcW w:w="6380" w:type="dxa"/>
            <w:vAlign w:val="bottom"/>
          </w:tcPr>
          <w:p>
            <w:pPr>
              <w:ind w:left="660"/>
              <w:spacing w:after="0"/>
              <w:rPr>
                <w:sz w:val="20"/>
                <w:szCs w:val="20"/>
                <w:color w:val="auto"/>
              </w:rPr>
            </w:pPr>
            <w:r>
              <w:rPr>
                <w:rFonts w:ascii="Courier New" w:cs="Courier New" w:eastAsia="Courier New" w:hAnsi="Courier New"/>
                <w:sz w:val="16"/>
                <w:szCs w:val="16"/>
                <w:color w:val="auto"/>
              </w:rPr>
              <w:t>discount of $62.7 million</w:t>
            </w:r>
          </w:p>
        </w:tc>
        <w:tc>
          <w:tcPr>
            <w:tcW w:w="5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July 2004,</w:t>
            </w:r>
          </w:p>
        </w:tc>
        <w:tc>
          <w:tcPr>
            <w:tcW w:w="580" w:type="dxa"/>
            <w:vAlign w:val="bottom"/>
          </w:tcPr>
          <w:p>
            <w:pPr>
              <w:spacing w:after="0"/>
              <w:rPr>
                <w:sz w:val="15"/>
                <w:szCs w:val="15"/>
                <w:color w:val="auto"/>
              </w:rPr>
            </w:pP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500.0</w:t>
            </w:r>
          </w:p>
        </w:tc>
        <w:tc>
          <w:tcPr>
            <w:tcW w:w="11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1"/>
        </w:trPr>
        <w:tc>
          <w:tcPr>
            <w:tcW w:w="6380" w:type="dxa"/>
            <w:vAlign w:val="bottom"/>
          </w:tcPr>
          <w:p>
            <w:pPr>
              <w:ind w:left="660"/>
              <w:spacing w:after="0"/>
              <w:rPr>
                <w:sz w:val="20"/>
                <w:szCs w:val="20"/>
                <w:color w:val="auto"/>
              </w:rPr>
            </w:pPr>
            <w:r>
              <w:rPr>
                <w:rFonts w:ascii="Courier New" w:cs="Courier New" w:eastAsia="Courier New" w:hAnsi="Courier New"/>
                <w:sz w:val="16"/>
                <w:szCs w:val="16"/>
                <w:color w:val="auto"/>
              </w:rPr>
              <w:t>interest rate of 7.0%</w:t>
            </w: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Subordinated notes payable, due October 2005, with an effective</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yield to maturity of 10.7%, net of unamortized discount of</w:t>
            </w:r>
          </w:p>
        </w:tc>
        <w:tc>
          <w:tcPr>
            <w:tcW w:w="580" w:type="dxa"/>
            <w:vAlign w:val="bottom"/>
          </w:tcPr>
          <w:p>
            <w:pPr>
              <w:spacing w:after="0"/>
              <w:rPr>
                <w:sz w:val="15"/>
                <w:szCs w:val="15"/>
                <w:color w:val="auto"/>
              </w:rPr>
            </w:pP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173.1</w:t>
            </w:r>
          </w:p>
        </w:tc>
        <w:tc>
          <w:tcPr>
            <w:tcW w:w="11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171.9</w:t>
            </w:r>
          </w:p>
        </w:tc>
        <w:tc>
          <w:tcPr>
            <w:tcW w:w="0" w:type="dxa"/>
            <w:vAlign w:val="bottom"/>
          </w:tcPr>
          <w:p>
            <w:pPr>
              <w:spacing w:after="0"/>
              <w:rPr>
                <w:sz w:val="1"/>
                <w:szCs w:val="1"/>
                <w:color w:val="auto"/>
              </w:rPr>
            </w:pPr>
          </w:p>
        </w:tc>
      </w:tr>
      <w:tr>
        <w:trPr>
          <w:trHeight w:val="181"/>
        </w:trPr>
        <w:tc>
          <w:tcPr>
            <w:tcW w:w="6380" w:type="dxa"/>
            <w:vAlign w:val="bottom"/>
          </w:tcPr>
          <w:p>
            <w:pPr>
              <w:ind w:left="660"/>
              <w:spacing w:after="0"/>
              <w:rPr>
                <w:sz w:val="20"/>
                <w:szCs w:val="20"/>
                <w:color w:val="auto"/>
              </w:rPr>
            </w:pPr>
            <w:r>
              <w:rPr>
                <w:rFonts w:ascii="Courier New" w:cs="Courier New" w:eastAsia="Courier New" w:hAnsi="Courier New"/>
                <w:sz w:val="16"/>
                <w:szCs w:val="16"/>
                <w:color w:val="auto"/>
              </w:rPr>
              <w:t>$36.9 million</w:t>
            </w: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Notes payable in periodic installments through July 2015,</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interest rate of 7.35% and 7.37%,</w:t>
            </w:r>
          </w:p>
        </w:tc>
        <w:tc>
          <w:tcPr>
            <w:tcW w:w="580" w:type="dxa"/>
            <w:vAlign w:val="bottom"/>
          </w:tcPr>
          <w:p>
            <w:pPr>
              <w:spacing w:after="0"/>
              <w:rPr>
                <w:sz w:val="15"/>
                <w:szCs w:val="15"/>
                <w:color w:val="auto"/>
              </w:rPr>
            </w:pP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228.9</w:t>
            </w:r>
          </w:p>
        </w:tc>
        <w:tc>
          <w:tcPr>
            <w:tcW w:w="11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259.0</w:t>
            </w:r>
          </w:p>
        </w:tc>
        <w:tc>
          <w:tcPr>
            <w:tcW w:w="0" w:type="dxa"/>
            <w:vAlign w:val="bottom"/>
          </w:tcPr>
          <w:p>
            <w:pPr>
              <w:spacing w:after="0"/>
              <w:rPr>
                <w:sz w:val="1"/>
                <w:szCs w:val="1"/>
                <w:color w:val="auto"/>
              </w:rPr>
            </w:pPr>
          </w:p>
        </w:tc>
      </w:tr>
      <w:tr>
        <w:trPr>
          <w:trHeight w:val="181"/>
        </w:trPr>
        <w:tc>
          <w:tcPr>
            <w:tcW w:w="6380" w:type="dxa"/>
            <w:vAlign w:val="bottom"/>
          </w:tcPr>
          <w:p>
            <w:pPr>
              <w:ind w:left="660"/>
              <w:spacing w:after="0"/>
              <w:rPr>
                <w:sz w:val="20"/>
                <w:szCs w:val="20"/>
                <w:color w:val="auto"/>
              </w:rPr>
            </w:pPr>
            <w:r>
              <w:rPr>
                <w:rFonts w:ascii="Courier New" w:cs="Courier New" w:eastAsia="Courier New" w:hAnsi="Courier New"/>
                <w:sz w:val="16"/>
                <w:szCs w:val="16"/>
                <w:color w:val="auto"/>
              </w:rPr>
              <w:t>respectively</w:t>
            </w: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payable in monthly installments</w:t>
            </w: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through August 2004, weighted average interest rate of</w:t>
            </w:r>
          </w:p>
        </w:tc>
        <w:tc>
          <w:tcPr>
            <w:tcW w:w="580" w:type="dxa"/>
            <w:vAlign w:val="bottom"/>
          </w:tcPr>
          <w:p>
            <w:pPr>
              <w:spacing w:after="0"/>
              <w:rPr>
                <w:sz w:val="15"/>
                <w:szCs w:val="15"/>
                <w:color w:val="auto"/>
              </w:rPr>
            </w:pP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31.0</w:t>
            </w:r>
          </w:p>
        </w:tc>
        <w:tc>
          <w:tcPr>
            <w:tcW w:w="11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33.1</w:t>
            </w:r>
          </w:p>
        </w:tc>
        <w:tc>
          <w:tcPr>
            <w:tcW w:w="0" w:type="dxa"/>
            <w:vAlign w:val="bottom"/>
          </w:tcPr>
          <w:p>
            <w:pPr>
              <w:spacing w:after="0"/>
              <w:rPr>
                <w:sz w:val="1"/>
                <w:szCs w:val="1"/>
                <w:color w:val="auto"/>
              </w:rPr>
            </w:pPr>
          </w:p>
        </w:tc>
      </w:tr>
      <w:tr>
        <w:trPr>
          <w:trHeight w:val="181"/>
        </w:trPr>
        <w:tc>
          <w:tcPr>
            <w:tcW w:w="6380" w:type="dxa"/>
            <w:vAlign w:val="bottom"/>
          </w:tcPr>
          <w:p>
            <w:pPr>
              <w:ind w:left="660"/>
              <w:spacing w:after="0"/>
              <w:rPr>
                <w:sz w:val="20"/>
                <w:szCs w:val="20"/>
                <w:color w:val="auto"/>
              </w:rPr>
            </w:pPr>
            <w:r>
              <w:rPr>
                <w:rFonts w:ascii="Courier New" w:cs="Courier New" w:eastAsia="Courier New" w:hAnsi="Courier New"/>
                <w:sz w:val="16"/>
                <w:szCs w:val="16"/>
                <w:color w:val="auto"/>
              </w:rPr>
              <w:t>7.69% and 7.52%, respectively</w:t>
            </w: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80" w:type="dxa"/>
            <w:vAlign w:val="bottom"/>
          </w:tcPr>
          <w:p>
            <w:pPr>
              <w:spacing w:after="0"/>
              <w:rPr>
                <w:sz w:val="15"/>
                <w:szCs w:val="15"/>
                <w:color w:val="auto"/>
              </w:rPr>
            </w:pPr>
          </w:p>
        </w:tc>
        <w:tc>
          <w:tcPr>
            <w:tcW w:w="580" w:type="dxa"/>
            <w:vAlign w:val="bottom"/>
          </w:tcPr>
          <w:p>
            <w:pPr>
              <w:ind w:left="480"/>
              <w:spacing w:after="0"/>
              <w:rPr>
                <w:sz w:val="20"/>
                <w:szCs w:val="20"/>
                <w:color w:val="auto"/>
              </w:rPr>
            </w:pPr>
            <w:r>
              <w:rPr>
                <w:rFonts w:ascii="Courier New" w:cs="Courier New" w:eastAsia="Courier New" w:hAnsi="Courier New"/>
                <w:sz w:val="2"/>
                <w:szCs w:val="2"/>
                <w:color w:val="auto"/>
                <w:w w:val="82"/>
              </w:rPr>
              <w:t>--------</w:t>
            </w: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2"/>
              </w:rPr>
              <w:t>1,610.3</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38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w:t>
            </w: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1,639.2</w:t>
            </w:r>
          </w:p>
        </w:tc>
        <w:tc>
          <w:tcPr>
            <w:tcW w:w="0" w:type="dxa"/>
            <w:vAlign w:val="bottom"/>
          </w:tcPr>
          <w:p>
            <w:pPr>
              <w:spacing w:after="0"/>
              <w:rPr>
                <w:sz w:val="1"/>
                <w:szCs w:val="1"/>
                <w:color w:val="auto"/>
              </w:rPr>
            </w:pPr>
          </w:p>
        </w:tc>
      </w:tr>
      <w:tr>
        <w:trPr>
          <w:trHeight w:val="181"/>
        </w:trPr>
        <w:tc>
          <w:tcPr>
            <w:tcW w:w="63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(111.7)</w:t>
            </w:r>
          </w:p>
        </w:tc>
        <w:tc>
          <w:tcPr>
            <w:tcW w:w="0" w:type="dxa"/>
            <w:vAlign w:val="bottom"/>
          </w:tcPr>
          <w:p>
            <w:pPr>
              <w:spacing w:after="0"/>
              <w:rPr>
                <w:sz w:val="1"/>
                <w:szCs w:val="1"/>
                <w:color w:val="auto"/>
              </w:rPr>
            </w:pPr>
          </w:p>
        </w:tc>
      </w:tr>
      <w:tr>
        <w:trPr>
          <w:trHeight w:val="181"/>
        </w:trPr>
        <w:tc>
          <w:tcPr>
            <w:tcW w:w="6380" w:type="dxa"/>
            <w:vAlign w:val="bottom"/>
          </w:tcPr>
          <w:p>
            <w:pPr>
              <w:spacing w:after="0"/>
              <w:rPr>
                <w:sz w:val="15"/>
                <w:szCs w:val="15"/>
                <w:color w:val="auto"/>
              </w:rPr>
            </w:pPr>
          </w:p>
        </w:tc>
        <w:tc>
          <w:tcPr>
            <w:tcW w:w="580" w:type="dxa"/>
            <w:vAlign w:val="bottom"/>
            <w:vMerge w:val="restart"/>
          </w:tcPr>
          <w:p>
            <w:pPr>
              <w:ind w:left="4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10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2"/>
              </w:rPr>
              <w:t>1,501.5</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3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$1,527.5</w:t>
            </w: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right="2719" w:firstLine="469"/>
        <w:spacing w:after="0" w:line="268" w:lineRule="auto"/>
        <w:rPr>
          <w:sz w:val="20"/>
          <w:szCs w:val="20"/>
          <w:color w:val="auto"/>
        </w:rPr>
      </w:pPr>
      <w:r>
        <w:rPr>
          <w:rFonts w:ascii="Courier New" w:cs="Courier New" w:eastAsia="Courier New" w:hAnsi="Courier New"/>
          <w:sz w:val="15"/>
          <w:szCs w:val="15"/>
          <w:color w:val="auto"/>
        </w:rPr>
        <w:t>The convertible subordinated notes due October 2005 (the "Convertible Notes") with an effective yield to maturity of 8.4% have a face value of $740 million and a stated interest rate of 6.5%. The Convertible Notes are convertible into shares of the Company's common stock at $60 per share. The Company may call for the early redemption of the Convertible Notes between October 2000 and October 2002 if the price of the Company's common stock is at least $78 per share for a specified trading period. Subsequent to October 2002, the Convertible Notes are redeemable by the Company at an initial price of 103% which declines to 100% of the principal amount depending on the date of redemption. The Convertible Notes have not been registered with the Securities and Exchange Commission, however the holder has certain registration rights.</w:t>
      </w:r>
    </w:p>
    <w:p>
      <w:pPr>
        <w:spacing w:after="0" w:line="80" w:lineRule="exact"/>
        <w:rPr>
          <w:sz w:val="20"/>
          <w:szCs w:val="20"/>
          <w:color w:val="auto"/>
        </w:rPr>
      </w:pPr>
    </w:p>
    <w:p>
      <w:pPr>
        <w:ind w:left="4" w:right="2719" w:firstLine="469"/>
        <w:spacing w:after="0" w:line="252" w:lineRule="auto"/>
        <w:rPr>
          <w:sz w:val="20"/>
          <w:szCs w:val="20"/>
          <w:color w:val="auto"/>
        </w:rPr>
      </w:pPr>
      <w:r>
        <w:rPr>
          <w:rFonts w:ascii="Courier New" w:cs="Courier New" w:eastAsia="Courier New" w:hAnsi="Courier New"/>
          <w:sz w:val="16"/>
          <w:szCs w:val="16"/>
          <w:color w:val="auto"/>
        </w:rPr>
        <w:t>The 7.0% convertible subordinated notes due July 2004 are convertible into shares of the Company's common stock at $67.44 per share. The Company may call for the early redemption of the notes through July 2001 if the price of the Company's common stock is at least $87.67 per share for a specified trading period. Subsequent to July 2001, the notes are redeemable by the Company at an initial price of 103% which declines to 100% of the principal amount depending on the date of redemption. The subordinated notes due October 2005 with a yield to maturity of 10.7% have a face value of $210 million and stated interest rate of 6.5%.</w:t>
      </w:r>
    </w:p>
    <w:p>
      <w:pPr>
        <w:spacing w:after="0" w:line="93" w:lineRule="exact"/>
        <w:rPr>
          <w:sz w:val="20"/>
          <w:szCs w:val="20"/>
          <w:color w:val="auto"/>
        </w:rPr>
      </w:pPr>
    </w:p>
    <w:p>
      <w:pPr>
        <w:ind w:left="4" w:right="2639" w:firstLine="469"/>
        <w:spacing w:after="0" w:line="266" w:lineRule="auto"/>
        <w:rPr>
          <w:sz w:val="20"/>
          <w:szCs w:val="20"/>
          <w:color w:val="auto"/>
        </w:rPr>
      </w:pPr>
      <w:r>
        <w:rPr>
          <w:rFonts w:ascii="Courier New" w:cs="Courier New" w:eastAsia="Courier New" w:hAnsi="Courier New"/>
          <w:sz w:val="16"/>
          <w:szCs w:val="16"/>
          <w:color w:val="auto"/>
        </w:rPr>
        <w:t>MEI has a $100 million unsecured credit agreement expiring in June 2001. Under the credit agreement, MEI is subject to certain financial and other covenants including certain financial ratios and limitations on the amount of dividends paid by MEI. As of December 2, 1999, MEI had no borrowings outstanding under the agreement.</w:t>
      </w:r>
    </w:p>
    <w:p>
      <w:pPr>
        <w:spacing w:after="0" w:line="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MTI terminated its secured revolving credit agreement effective December 2,</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1999.</w:t>
      </w:r>
    </w:p>
    <w:p>
      <w:pPr>
        <w:spacing w:after="0" w:line="332" w:lineRule="exact"/>
        <w:rPr>
          <w:sz w:val="20"/>
          <w:szCs w:val="20"/>
          <w:color w:val="auto"/>
        </w:rPr>
      </w:pPr>
    </w:p>
    <w:p>
      <w:pPr>
        <w:ind w:left="464" w:hanging="464"/>
        <w:spacing w:after="0"/>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operating expense, net</w:t>
      </w:r>
    </w:p>
    <w:p>
      <w:pPr>
        <w:spacing w:after="0" w:line="180" w:lineRule="exact"/>
        <w:rPr>
          <w:sz w:val="20"/>
          <w:szCs w:val="20"/>
          <w:color w:val="auto"/>
        </w:rPr>
      </w:pPr>
    </w:p>
    <w:p>
      <w:pPr>
        <w:ind w:left="4" w:right="2819" w:firstLine="469"/>
        <w:spacing w:after="0" w:line="294" w:lineRule="auto"/>
        <w:rPr>
          <w:sz w:val="20"/>
          <w:szCs w:val="20"/>
          <w:color w:val="auto"/>
        </w:rPr>
      </w:pPr>
      <w:r>
        <w:rPr>
          <w:rFonts w:ascii="Courier New" w:cs="Courier New" w:eastAsia="Courier New" w:hAnsi="Courier New"/>
          <w:sz w:val="16"/>
          <w:szCs w:val="16"/>
          <w:color w:val="auto"/>
        </w:rPr>
        <w:t>Other operating expense for the first quarter of 2000 includes a net pre-tax charge of $18.2 million from the write down and disposal of semiconductor operations equipment.</w:t>
      </w:r>
    </w:p>
    <w:p>
      <w:pPr>
        <w:spacing w:after="0" w:line="5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43"/>
          </w:cols>
          <w:pgMar w:left="316" w:top="631" w:right="1440" w:bottom="1440" w:gutter="0" w:footer="0" w:header="0"/>
        </w:sectPr>
      </w:pPr>
    </w:p>
    <w:bookmarkStart w:id="8" w:name="page9"/>
    <w:bookmarkEnd w:id="8"/>
    <w:p>
      <w:pPr>
        <w:ind w:left="4"/>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0" w:lineRule="exact"/>
        <w:rPr>
          <w:sz w:val="20"/>
          <w:szCs w:val="20"/>
          <w:color w:val="auto"/>
        </w:rPr>
      </w:pPr>
    </w:p>
    <w:p>
      <w:pPr>
        <w:ind w:left="464" w:hanging="464"/>
        <w:spacing w:after="0"/>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non-operating income, net</w:t>
      </w:r>
    </w:p>
    <w:p>
      <w:pPr>
        <w:spacing w:after="0" w:line="180" w:lineRule="exact"/>
        <w:rPr>
          <w:sz w:val="20"/>
          <w:szCs w:val="20"/>
          <w:color w:val="auto"/>
        </w:rPr>
      </w:pPr>
    </w:p>
    <w:p>
      <w:pPr>
        <w:ind w:left="4" w:right="3580" w:firstLine="469"/>
        <w:spacing w:after="0" w:line="281" w:lineRule="auto"/>
        <w:rPr>
          <w:sz w:val="20"/>
          <w:szCs w:val="20"/>
          <w:color w:val="auto"/>
        </w:rPr>
      </w:pPr>
      <w:r>
        <w:rPr>
          <w:rFonts w:ascii="Courier New" w:cs="Courier New" w:eastAsia="Courier New" w:hAnsi="Courier New"/>
          <w:sz w:val="15"/>
          <w:szCs w:val="15"/>
          <w:color w:val="auto"/>
        </w:rPr>
        <w:t>Other non-operating income for the first quarter of 2000 includes a $9.7 million gain on the contribution by MTI of 1.9 million shares of MEI Common Stock (the "Contribution") to the Micron Technology Foundation. The Contribution decreased MTI's ownership interest in MEI from approximately 63% to 61%. Selling, general and administrative expense in the first quarter of 2000 reflects an $18.7 million charge for the market value of the stock contributed.</w:t>
      </w:r>
    </w:p>
    <w:p>
      <w:pPr>
        <w:spacing w:after="0" w:line="251" w:lineRule="exact"/>
        <w:rPr>
          <w:sz w:val="20"/>
          <w:szCs w:val="20"/>
          <w:color w:val="auto"/>
        </w:rPr>
      </w:pPr>
    </w:p>
    <w:p>
      <w:pPr>
        <w:ind w:left="464" w:hanging="464"/>
        <w:spacing w:after="0"/>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provision (benefit)</w:t>
      </w:r>
    </w:p>
    <w:p>
      <w:pPr>
        <w:spacing w:after="0" w:line="180" w:lineRule="exact"/>
        <w:rPr>
          <w:sz w:val="20"/>
          <w:szCs w:val="20"/>
          <w:color w:val="auto"/>
        </w:rPr>
      </w:pPr>
    </w:p>
    <w:p>
      <w:pPr>
        <w:ind w:left="4" w:right="3660" w:firstLine="469"/>
        <w:spacing w:after="0" w:line="275" w:lineRule="auto"/>
        <w:rPr>
          <w:sz w:val="20"/>
          <w:szCs w:val="20"/>
          <w:color w:val="auto"/>
        </w:rPr>
      </w:pPr>
      <w:r>
        <w:rPr>
          <w:rFonts w:ascii="Courier New" w:cs="Courier New" w:eastAsia="Courier New" w:hAnsi="Courier New"/>
          <w:sz w:val="16"/>
          <w:szCs w:val="16"/>
          <w:color w:val="auto"/>
        </w:rPr>
        <w:t>The effective tax rate for the first quarter of 2000 and 1999 approximated 35% and 40%, respectively. The reduction in the effective tax rate is principally a result of favorable tax treatment on permanently reinvested earnings from certain of the Company's foreign operations.</w:t>
      </w:r>
    </w:p>
    <w:p>
      <w:pPr>
        <w:spacing w:after="0" w:line="253" w:lineRule="exact"/>
        <w:rPr>
          <w:sz w:val="20"/>
          <w:szCs w:val="20"/>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share</w:t>
      </w:r>
    </w:p>
    <w:p>
      <w:pPr>
        <w:spacing w:after="0" w:line="180" w:lineRule="exact"/>
        <w:rPr>
          <w:sz w:val="20"/>
          <w:szCs w:val="20"/>
          <w:color w:val="auto"/>
        </w:rPr>
      </w:pPr>
    </w:p>
    <w:p>
      <w:pPr>
        <w:ind w:left="4" w:right="3580" w:firstLine="469"/>
        <w:spacing w:after="0" w:line="277"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 Diluted earnings per share further assumes the conversion of MTI's convertible subordinated notes for the periods in which they were outstanding, unless such assumed conversion would not be dilutive.</w:t>
      </w:r>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42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December 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42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1999</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income (loss) available for common shareholders,  Basic</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$341.3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(46.2)</w:t>
            </w:r>
          </w:p>
        </w:tc>
        <w:tc>
          <w:tcPr>
            <w:tcW w:w="0" w:type="dxa"/>
            <w:vAlign w:val="bottom"/>
          </w:tcPr>
          <w:p>
            <w:pPr>
              <w:spacing w:after="0"/>
              <w:rPr>
                <w:sz w:val="1"/>
                <w:szCs w:val="1"/>
                <w:color w:val="auto"/>
              </w:rPr>
            </w:pPr>
          </w:p>
        </w:tc>
      </w:tr>
      <w:tr>
        <w:trPr>
          <w:trHeight w:val="181"/>
        </w:trPr>
        <w:tc>
          <w:tcPr>
            <w:tcW w:w="65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 available for common shareholders, Diluted</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560" w:type="dxa"/>
            <w:vAlign w:val="bottom"/>
            <w:vMerge w:val="continue"/>
          </w:tcPr>
          <w:p>
            <w:pPr>
              <w:spacing w:after="0"/>
              <w:rPr>
                <w:sz w:val="15"/>
                <w:szCs w:val="15"/>
                <w:color w:val="auto"/>
              </w:rPr>
            </w:pP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$355.0</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(46.2)</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Weighted average common stock outstanding - Basic</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269.2</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w:t>
            </w:r>
          </w:p>
        </w:tc>
        <w:tc>
          <w:tcPr>
            <w:tcW w:w="0" w:type="dxa"/>
            <w:vAlign w:val="bottom"/>
          </w:tcPr>
          <w:p>
            <w:pPr>
              <w:spacing w:after="0"/>
              <w:rPr>
                <w:sz w:val="1"/>
                <w:szCs w:val="1"/>
                <w:color w:val="auto"/>
              </w:rPr>
            </w:pPr>
          </w:p>
        </w:tc>
      </w:t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effect of dilutive stock options</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8.4</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effect of dilutive convertible subordinated notes</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19.8</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560" w:type="dxa"/>
            <w:vAlign w:val="bottom"/>
            <w:vMerge w:val="restart"/>
          </w:tcPr>
          <w:p>
            <w:pPr>
              <w:spacing w:after="0"/>
              <w:rPr>
                <w:sz w:val="20"/>
                <w:szCs w:val="20"/>
                <w:color w:val="auto"/>
              </w:rPr>
            </w:pPr>
            <w:r>
              <w:rPr>
                <w:rFonts w:ascii="Courier New" w:cs="Courier New" w:eastAsia="Courier New" w:hAnsi="Courier New"/>
                <w:sz w:val="16"/>
                <w:szCs w:val="16"/>
                <w:color w:val="auto"/>
              </w:rPr>
              <w:t>Adjusted weighted average common stock - Diluted</w:t>
            </w:r>
          </w:p>
        </w:tc>
        <w:tc>
          <w:tcPr>
            <w:tcW w:w="2300" w:type="dxa"/>
            <w:vAlign w:val="bottom"/>
            <w:vMerge w:val="restart"/>
          </w:tcPr>
          <w:p>
            <w:pPr>
              <w:jc w:val="right"/>
              <w:ind w:right="7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297.4</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656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245.7</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Basic income (loss) per share</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$ 1.27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(0.19)</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Diluted income (loss) per share</w:t>
            </w: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$ 1.19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(0.19)</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30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right="3580" w:firstLine="469"/>
        <w:spacing w:after="0" w:line="294" w:lineRule="auto"/>
        <w:rPr>
          <w:sz w:val="20"/>
          <w:szCs w:val="20"/>
          <w:color w:val="auto"/>
        </w:rPr>
      </w:pPr>
      <w:r>
        <w:rPr>
          <w:rFonts w:ascii="Courier New" w:cs="Courier New" w:eastAsia="Courier New" w:hAnsi="Courier New"/>
          <w:sz w:val="16"/>
          <w:szCs w:val="16"/>
          <w:color w:val="auto"/>
        </w:rPr>
        <w:t>The average shares listed below were not included in the computation of diluted earnings per share because to do so would have been antidilutive for the periods presented:</w:t>
      </w:r>
    </w:p>
    <w:p>
      <w:pPr>
        <w:spacing w:after="0" w:line="200" w:lineRule="exact"/>
        <w:rPr>
          <w:sz w:val="20"/>
          <w:szCs w:val="20"/>
          <w:color w:val="auto"/>
        </w:rPr>
      </w:pP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4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December 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41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340" w:type="dxa"/>
            <w:vAlign w:val="bottom"/>
            <w:gridSpan w:val="3"/>
          </w:tcPr>
          <w:p>
            <w:pPr>
              <w:spacing w:after="0"/>
              <w:rPr>
                <w:sz w:val="20"/>
                <w:szCs w:val="20"/>
                <w:color w:val="auto"/>
              </w:rPr>
            </w:pPr>
            <w:r>
              <w:rPr>
                <w:rFonts w:ascii="Courier New" w:cs="Courier New" w:eastAsia="Courier New" w:hAnsi="Courier New"/>
                <w:sz w:val="16"/>
                <w:szCs w:val="16"/>
                <w:color w:val="auto"/>
              </w:rPr>
              <w:t>Employee stock plans</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0.9</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8.4%</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subordinated notes payable due 2005</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264"/>
        </w:trPr>
        <w:tc>
          <w:tcPr>
            <w:tcW w:w="420" w:type="dxa"/>
            <w:vAlign w:val="bottom"/>
          </w:tcPr>
          <w:p>
            <w:pPr>
              <w:spacing w:after="0"/>
              <w:rPr>
                <w:sz w:val="20"/>
                <w:szCs w:val="20"/>
                <w:color w:val="auto"/>
              </w:rPr>
            </w:pPr>
            <w:r>
              <w:rPr>
                <w:rFonts w:ascii="Courier New" w:cs="Courier New" w:eastAsia="Courier New" w:hAnsi="Courier New"/>
                <w:sz w:val="16"/>
                <w:szCs w:val="16"/>
                <w:color w:val="auto"/>
              </w:rPr>
              <w:t>7.0%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4800" w:type="dxa"/>
            <w:vAlign w:val="bottom"/>
          </w:tcPr>
          <w:p>
            <w:pPr>
              <w:ind w:left="60"/>
              <w:spacing w:after="0"/>
              <w:rPr>
                <w:sz w:val="20"/>
                <w:szCs w:val="20"/>
                <w:color w:val="auto"/>
              </w:rPr>
            </w:pPr>
            <w:r>
              <w:rPr>
                <w:rFonts w:ascii="Courier New" w:cs="Courier New" w:eastAsia="Courier New" w:hAnsi="Courier New"/>
                <w:sz w:val="16"/>
                <w:szCs w:val="16"/>
                <w:color w:val="auto"/>
              </w:rPr>
              <w:t>subordinated notes payable due 2004</w:t>
            </w:r>
          </w:p>
        </w:tc>
        <w:tc>
          <w:tcPr>
            <w:tcW w:w="262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542"/>
        </w:trPr>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tcPr>
          <w:p>
            <w:pPr>
              <w:jc w:val="right"/>
              <w:ind w:right="2502"/>
              <w:spacing w:after="0"/>
              <w:rPr>
                <w:sz w:val="20"/>
                <w:szCs w:val="20"/>
                <w:color w:val="auto"/>
              </w:rPr>
            </w:pPr>
            <w:r>
              <w:rPr>
                <w:rFonts w:ascii="Courier New" w:cs="Courier New" w:eastAsia="Courier New" w:hAnsi="Courier New"/>
                <w:sz w:val="16"/>
                <w:szCs w:val="16"/>
                <w:color w:val="auto"/>
              </w:rPr>
              <w:t>8</w:t>
            </w:r>
          </w:p>
        </w:tc>
        <w:tc>
          <w:tcPr>
            <w:tcW w:w="26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084"/>
          </w:cols>
          <w:pgMar w:left="316" w:top="631" w:right="499" w:bottom="1440" w:gutter="0" w:footer="0" w:header="0"/>
        </w:sectPr>
      </w:pPr>
    </w:p>
    <w:bookmarkStart w:id="9" w:name="page10"/>
    <w:bookmarkEnd w:id="9"/>
    <w:p>
      <w:pPr>
        <w:ind w:left="4"/>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0" w:lineRule="exact"/>
        <w:rPr>
          <w:sz w:val="20"/>
          <w:szCs w:val="20"/>
          <w:color w:val="auto"/>
        </w:rPr>
      </w:pPr>
    </w:p>
    <w:p>
      <w:pPr>
        <w:ind w:left="464" w:hanging="464"/>
        <w:spacing w:after="0"/>
        <w:tabs>
          <w:tab w:leader="none" w:pos="4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w:t>
      </w:r>
    </w:p>
    <w:p>
      <w:pPr>
        <w:spacing w:after="0" w:line="180" w:lineRule="exact"/>
        <w:rPr>
          <w:sz w:val="20"/>
          <w:szCs w:val="20"/>
          <w:color w:val="auto"/>
        </w:rPr>
      </w:pPr>
    </w:p>
    <w:p>
      <w:pPr>
        <w:ind w:left="4" w:right="2639" w:firstLine="469"/>
        <w:spacing w:after="0" w:line="247" w:lineRule="auto"/>
        <w:rPr>
          <w:sz w:val="20"/>
          <w:szCs w:val="20"/>
          <w:color w:val="auto"/>
        </w:rPr>
      </w:pPr>
      <w:r>
        <w:rPr>
          <w:rFonts w:ascii="Courier New" w:cs="Courier New" w:eastAsia="Courier New" w:hAnsi="Courier New"/>
          <w:sz w:val="16"/>
          <w:szCs w:val="16"/>
          <w:color w:val="auto"/>
        </w:rPr>
        <w:t>On September 30, 1998, MTI completed the acquisition (the "Acquisition") of substantially all of the memory operations of Texas Instruments Incorporated ("TI") for a net purchase price of approximately $832.8 million. The Acquisition was consummated through the issuance of debt and equity securities. In connection with the transaction, MTI issued 28.9 million shares of MTI common stock, $740 million principal amount of Convertible Notes and $210 million principal amount of subordinated notes. In addition to TI's net memory assets, MTI received $681.1 million in cash. The Acquisition was accounted for as a business combination using the purchase method of accounting. The purchase price was allocated to the assets acquired and liabilities assumed based on their estimated fair values. MTI and TI also entered into a ten-year, royalty-free, life-of-patents, patent cross license that commenced on January 1, 1999. MTI made royalty payments to TI under a prior cross license agreement for operations through December 31, 1998.</w:t>
      </w:r>
    </w:p>
    <w:p>
      <w:pPr>
        <w:spacing w:after="0" w:line="97" w:lineRule="exact"/>
        <w:rPr>
          <w:sz w:val="20"/>
          <w:szCs w:val="20"/>
          <w:color w:val="auto"/>
        </w:rPr>
      </w:pPr>
    </w:p>
    <w:p>
      <w:pPr>
        <w:jc w:val="both"/>
        <w:ind w:left="4" w:right="2999" w:firstLine="469"/>
        <w:spacing w:after="0" w:line="321" w:lineRule="auto"/>
        <w:rPr>
          <w:sz w:val="20"/>
          <w:szCs w:val="20"/>
          <w:color w:val="auto"/>
        </w:rPr>
      </w:pPr>
      <w:r>
        <w:rPr>
          <w:rFonts w:ascii="Courier New" w:cs="Courier New" w:eastAsia="Courier New" w:hAnsi="Courier New"/>
          <w:sz w:val="15"/>
          <w:szCs w:val="15"/>
          <w:color w:val="auto"/>
        </w:rPr>
        <w:t>The following unaudited pro forma information presents the consolidated results of operations of the Company for the first quarter of 1999 as if the Acquisition had taken place at the beginning of fiscal 1999:</w:t>
      </w:r>
    </w:p>
    <w:p>
      <w:pPr>
        <w:spacing w:after="0" w:line="200" w:lineRule="exact"/>
        <w:rPr>
          <w:sz w:val="20"/>
          <w:szCs w:val="20"/>
          <w:color w:val="auto"/>
        </w:rPr>
      </w:pP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25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3200" w:type="dxa"/>
            <w:vAlign w:val="bottom"/>
          </w:tcPr>
          <w:p>
            <w:pPr>
              <w:ind w:left="60"/>
              <w:spacing w:after="0"/>
              <w:rPr>
                <w:sz w:val="20"/>
                <w:szCs w:val="20"/>
                <w:color w:val="auto"/>
              </w:rPr>
            </w:pPr>
            <w:r>
              <w:rPr>
                <w:rFonts w:ascii="Courier New" w:cs="Courier New" w:eastAsia="Courier New" w:hAnsi="Courier New"/>
                <w:sz w:val="16"/>
                <w:szCs w:val="16"/>
                <w:color w:val="auto"/>
              </w:rPr>
              <w:t>sales</w:t>
            </w:r>
          </w:p>
        </w:tc>
        <w:tc>
          <w:tcPr>
            <w:tcW w:w="2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$ 848.9</w:t>
            </w:r>
          </w:p>
        </w:tc>
      </w:t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3200" w:type="dxa"/>
            <w:vAlign w:val="bottom"/>
          </w:tcPr>
          <w:p>
            <w:pPr>
              <w:ind w:left="60"/>
              <w:spacing w:after="0"/>
              <w:rPr>
                <w:sz w:val="20"/>
                <w:szCs w:val="20"/>
                <w:color w:val="auto"/>
              </w:rPr>
            </w:pPr>
            <w:r>
              <w:rPr>
                <w:rFonts w:ascii="Courier New" w:cs="Courier New" w:eastAsia="Courier New" w:hAnsi="Courier New"/>
                <w:sz w:val="16"/>
                <w:szCs w:val="16"/>
                <w:color w:val="auto"/>
              </w:rPr>
              <w:t>loss</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(63.4)</w:t>
            </w:r>
          </w:p>
        </w:tc>
      </w:tr>
      <w:tr>
        <w:trPr>
          <w:trHeight w:val="181"/>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Basic loss per share</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r>
        <w:trPr>
          <w:trHeight w:val="264"/>
        </w:trPr>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Diluted loss per share</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bl>
    <w:p>
      <w:pPr>
        <w:spacing w:after="0" w:line="277" w:lineRule="exact"/>
        <w:rPr>
          <w:sz w:val="20"/>
          <w:szCs w:val="20"/>
          <w:color w:val="auto"/>
        </w:rPr>
      </w:pPr>
    </w:p>
    <w:p>
      <w:pPr>
        <w:ind w:left="4" w:right="2819" w:firstLine="469"/>
        <w:spacing w:after="0" w:line="275" w:lineRule="auto"/>
        <w:rPr>
          <w:sz w:val="20"/>
          <w:szCs w:val="20"/>
          <w:color w:val="auto"/>
        </w:rPr>
      </w:pPr>
      <w:r>
        <w:rPr>
          <w:rFonts w:ascii="Courier New" w:cs="Courier New" w:eastAsia="Courier New" w:hAnsi="Courier New"/>
          <w:sz w:val="16"/>
          <w:szCs w:val="16"/>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253" w:lineRule="exact"/>
        <w:rPr>
          <w:sz w:val="20"/>
          <w:szCs w:val="20"/>
          <w:color w:val="auto"/>
        </w:rPr>
      </w:pPr>
    </w:p>
    <w:p>
      <w:pPr>
        <w:ind w:left="464" w:hanging="464"/>
        <w:spacing w:after="0"/>
        <w:tabs>
          <w:tab w:leader="none" w:pos="4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investment</w:t>
      </w:r>
    </w:p>
    <w:p>
      <w:pPr>
        <w:spacing w:after="0" w:line="180" w:lineRule="exact"/>
        <w:rPr>
          <w:sz w:val="20"/>
          <w:szCs w:val="20"/>
          <w:color w:val="auto"/>
        </w:rPr>
      </w:pPr>
    </w:p>
    <w:p>
      <w:pPr>
        <w:ind w:left="4" w:right="2639" w:firstLine="469"/>
        <w:spacing w:after="0" w:line="245" w:lineRule="auto"/>
        <w:rPr>
          <w:sz w:val="20"/>
          <w:szCs w:val="20"/>
          <w:color w:val="auto"/>
        </w:rPr>
      </w:pPr>
      <w:r>
        <w:rPr>
          <w:rFonts w:ascii="Courier New" w:cs="Courier New" w:eastAsia="Courier New" w:hAnsi="Courier New"/>
          <w:sz w:val="16"/>
          <w:szCs w:val="16"/>
          <w:color w:val="auto"/>
        </w:rPr>
        <w:t>On October 19, 1998, Intel Corporation ("Intel") invested $500 million in the Company and as a result holds approximately 15.8 million shares of MTI's non-voting Class A Common Stock. The Class A Common Stock represented approximately 6% of MTI's outstanding common stock as of December 2, 1999. The Class A Common Stock will automatically be converted into MTI's common stock, subject to certain adjustments, upon a transfer to a holder other than Intel or a 90% owned subsidiary of Intel. As of December 2, 1999, the Class A Common Stock was convertible into common stock on a one-to-one basis. The Class A Common Stock issued to Intel has not been registered under the Securities Act of 1933, as amended, and is therefore subject to certain restrictions on resale. MTI and Intel entered into a securities rights and restrictions agreement which provides Intel with certain registration rights and places certain restrictions on Intel's voting rights and other activities with respect to the shares of MTI Class A Common Stock or common stock. Intel also has the right to designate a director nominee, acceptable to MTI's Board of Directors. Pursuant to its agreement with Intel, MTI committed to the development of direct Rambus(R) DRAM ("RDRAM") and to make available to Intel a certain percentage of its semiconductor memory output over a five-year period, subject to certain limitations.</w:t>
      </w:r>
    </w:p>
    <w:p>
      <w:pPr>
        <w:spacing w:after="0" w:line="276" w:lineRule="exact"/>
        <w:rPr>
          <w:sz w:val="20"/>
          <w:szCs w:val="20"/>
          <w:color w:val="auto"/>
        </w:rPr>
      </w:pPr>
    </w:p>
    <w:p>
      <w:pPr>
        <w:ind w:left="464" w:hanging="464"/>
        <w:spacing w:after="0"/>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Ventures</w:t>
      </w:r>
    </w:p>
    <w:p>
      <w:pPr>
        <w:spacing w:after="0" w:line="180" w:lineRule="exact"/>
        <w:rPr>
          <w:sz w:val="20"/>
          <w:szCs w:val="20"/>
          <w:color w:val="auto"/>
        </w:rPr>
      </w:pPr>
    </w:p>
    <w:p>
      <w:pPr>
        <w:ind w:left="4" w:right="2819" w:firstLine="469"/>
        <w:spacing w:after="0" w:line="266" w:lineRule="auto"/>
        <w:rPr>
          <w:sz w:val="20"/>
          <w:szCs w:val="20"/>
          <w:color w:val="auto"/>
        </w:rPr>
      </w:pPr>
      <w:r>
        <w:rPr>
          <w:rFonts w:ascii="Courier New" w:cs="Courier New" w:eastAsia="Courier New" w:hAnsi="Courier New"/>
          <w:sz w:val="16"/>
          <w:szCs w:val="16"/>
          <w:color w:val="auto"/>
        </w:rPr>
        <w:t>MTI has interests in two joint venture wafer fabrication facilities: TECH Semiconductor Singapore Pte. Ltd. ("TECH") and KMT Semiconductor Limited ("KMT"). TECH, which operates in Singapore, is a joint venture among MTI, the Singapore Economic Development Board, Canon Inc. and Hewlett-Packard Company. KMT,</w:t>
      </w:r>
    </w:p>
    <w:p>
      <w:pPr>
        <w:spacing w:after="0" w:line="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43"/>
          </w:cols>
          <w:pgMar w:left="316" w:top="631" w:right="1440" w:bottom="1440" w:gutter="0" w:footer="0" w:header="0"/>
        </w:sectPr>
      </w:pPr>
    </w:p>
    <w:bookmarkStart w:id="10" w:name="page11"/>
    <w:bookmarkEnd w:id="10"/>
    <w:p>
      <w:pPr>
        <w:ind w:left="4"/>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which operates in Japan, is a joint venture between MTI and Kobe Steel, Ltd.</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TECH and KMT are collectively referred to herein as the "JVs".</w:t>
      </w:r>
    </w:p>
    <w:p>
      <w:pPr>
        <w:spacing w:after="0" w:line="152" w:lineRule="exact"/>
        <w:rPr>
          <w:sz w:val="20"/>
          <w:szCs w:val="20"/>
          <w:color w:val="auto"/>
        </w:rPr>
      </w:pPr>
    </w:p>
    <w:p>
      <w:pPr>
        <w:ind w:left="4" w:right="2639" w:firstLine="469"/>
        <w:spacing w:after="0" w:line="251" w:lineRule="auto"/>
        <w:rPr>
          <w:sz w:val="20"/>
          <w:szCs w:val="20"/>
          <w:color w:val="auto"/>
        </w:rPr>
      </w:pPr>
      <w:r>
        <w:rPr>
          <w:rFonts w:ascii="Courier New" w:cs="Courier New" w:eastAsia="Courier New" w:hAnsi="Courier New"/>
          <w:sz w:val="16"/>
          <w:szCs w:val="16"/>
          <w:color w:val="auto"/>
        </w:rPr>
        <w:t>Subject to certain terms and conditions, MTI has agreed to purchase the entire output of the JVs. MTI is a party to various agreements with the JVs whereby MTI provides technology, engineering support, training and information system support to the JVs. MTI also performs assembly and test services on product manufactured by the JVs. All transactions with the JVs are recognized as part of the net cost of products obtained from the JVs. The net cost of products purchased from the JVs, including the amortization on the value of the JV supply agreements, amounted to $113.6 million and $62.1 million for KMT and TECH, respectively, for the first quarter of 2000, and $24.3 million and $8.5 million for the first quarter of 1999.</w:t>
      </w:r>
    </w:p>
    <w:p>
      <w:pPr>
        <w:spacing w:after="0" w:line="91" w:lineRule="exact"/>
        <w:rPr>
          <w:sz w:val="20"/>
          <w:szCs w:val="20"/>
          <w:color w:val="auto"/>
        </w:rPr>
      </w:pPr>
    </w:p>
    <w:p>
      <w:pPr>
        <w:ind w:left="4" w:right="2639" w:firstLine="469"/>
        <w:spacing w:after="0" w:line="266" w:lineRule="auto"/>
        <w:rPr>
          <w:sz w:val="20"/>
          <w:szCs w:val="20"/>
          <w:color w:val="auto"/>
        </w:rPr>
      </w:pPr>
      <w:r>
        <w:rPr>
          <w:rFonts w:ascii="Courier New" w:cs="Courier New" w:eastAsia="Courier New" w:hAnsi="Courier New"/>
          <w:sz w:val="16"/>
          <w:szCs w:val="16"/>
          <w:color w:val="auto"/>
        </w:rPr>
        <w:t>Receivables from KMT and TECH were $15.1 million and $54.6 million and payables were $76.8 million and $36.1 million, respectively, as of December 2, 1999. As of September 2, 1999, receivables from KMT and TECH were $19.1 million and $47.2 million and payables were $24.4 million and $32.0 million, respectively.</w:t>
      </w:r>
    </w:p>
    <w:p>
      <w:pPr>
        <w:spacing w:after="0" w:line="260" w:lineRule="exact"/>
        <w:rPr>
          <w:sz w:val="20"/>
          <w:szCs w:val="20"/>
          <w:color w:val="auto"/>
        </w:rPr>
      </w:pPr>
    </w:p>
    <w:p>
      <w:pPr>
        <w:ind w:left="464" w:hanging="464"/>
        <w:spacing w:after="0"/>
        <w:tabs>
          <w:tab w:leader="none" w:pos="46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Segment Information</w:t>
      </w:r>
    </w:p>
    <w:p>
      <w:pPr>
        <w:spacing w:after="0" w:line="180" w:lineRule="exact"/>
        <w:rPr>
          <w:sz w:val="20"/>
          <w:szCs w:val="20"/>
          <w:color w:val="auto"/>
        </w:rPr>
      </w:pPr>
    </w:p>
    <w:p>
      <w:pPr>
        <w:ind w:left="4" w:right="2719" w:firstLine="469"/>
        <w:spacing w:after="0" w:line="266" w:lineRule="auto"/>
        <w:rPr>
          <w:sz w:val="20"/>
          <w:szCs w:val="20"/>
          <w:color w:val="auto"/>
        </w:rPr>
      </w:pPr>
      <w:r>
        <w:rPr>
          <w:rFonts w:ascii="Courier New" w:cs="Courier New" w:eastAsia="Courier New" w:hAnsi="Courier New"/>
          <w:sz w:val="16"/>
          <w:szCs w:val="16"/>
          <w:color w:val="auto"/>
        </w:rPr>
        <w:t>The Company has two reportable segments based on the nature of its operations and products offered to customers: semiconductor operations and PC operations. The semiconductor operations segment's primary product is DRAM. The PC operations segment's primary products include desktop and notebook PC systems, multiprocessor network servers and hardware services.</w:t>
      </w:r>
    </w:p>
    <w:p>
      <w:pPr>
        <w:spacing w:after="0" w:line="79" w:lineRule="exact"/>
        <w:rPr>
          <w:sz w:val="20"/>
          <w:szCs w:val="20"/>
          <w:color w:val="auto"/>
        </w:rPr>
      </w:pPr>
    </w:p>
    <w:p>
      <w:pPr>
        <w:ind w:left="4" w:right="2639" w:firstLine="469"/>
        <w:spacing w:after="0" w:line="261" w:lineRule="auto"/>
        <w:rPr>
          <w:sz w:val="20"/>
          <w:szCs w:val="20"/>
          <w:color w:val="auto"/>
        </w:rPr>
      </w:pPr>
      <w:r>
        <w:rPr>
          <w:rFonts w:ascii="Courier New" w:cs="Courier New" w:eastAsia="Courier New" w:hAnsi="Courier New"/>
          <w:sz w:val="16"/>
          <w:szCs w:val="16"/>
          <w:color w:val="auto"/>
        </w:rPr>
        <w:t>Segment operating results are measured based on operating income (loss). Intersegment sales primarily reflect sales of memory products from the semiconductor operations segment to the PC operations segment and, to a lesser extent, sales of computers from the PC operations segment to the semiconductor operations segment. Intersegment sales are measured based on contract prices as internally reported.</w:t>
      </w:r>
    </w:p>
    <w:p>
      <w:pPr>
        <w:spacing w:after="0" w:line="81" w:lineRule="exact"/>
        <w:rPr>
          <w:sz w:val="20"/>
          <w:szCs w:val="20"/>
          <w:color w:val="auto"/>
        </w:rPr>
      </w:pPr>
    </w:p>
    <w:p>
      <w:pPr>
        <w:ind w:left="4" w:right="2639" w:firstLine="469"/>
        <w:spacing w:after="0" w:line="294" w:lineRule="auto"/>
        <w:rPr>
          <w:sz w:val="20"/>
          <w:szCs w:val="20"/>
          <w:color w:val="auto"/>
        </w:rPr>
      </w:pPr>
      <w:r>
        <w:rPr>
          <w:rFonts w:ascii="Courier New" w:cs="Courier New" w:eastAsia="Courier New" w:hAnsi="Courier New"/>
          <w:sz w:val="16"/>
          <w:szCs w:val="16"/>
          <w:color w:val="auto"/>
        </w:rPr>
        <w:t>Sales to two of the Company's major PC OEM customers each approximated 15% of the Company's net sales of semiconductor memory products in the first quarter of 2000.</w:t>
      </w:r>
    </w:p>
    <w:p>
      <w:pPr>
        <w:spacing w:after="0" w:line="5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43"/>
          </w:cols>
          <w:pgMar w:left="316" w:top="63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64"/>
        </w:trPr>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Notes to Consolidated Financial Statements, continued</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9"/>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For the quarter ended</w:t>
            </w:r>
          </w:p>
        </w:tc>
        <w:tc>
          <w:tcPr>
            <w:tcW w:w="2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December 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December 3,</w:t>
            </w:r>
          </w:p>
        </w:tc>
        <w:tc>
          <w:tcPr>
            <w:tcW w:w="0" w:type="dxa"/>
            <w:vAlign w:val="bottom"/>
          </w:tcPr>
          <w:p>
            <w:pPr>
              <w:spacing w:after="0"/>
              <w:rPr>
                <w:sz w:val="1"/>
                <w:szCs w:val="1"/>
                <w:color w:val="auto"/>
              </w:rPr>
            </w:pPr>
          </w:p>
        </w:tc>
      </w:tr>
      <w:tr>
        <w:trPr>
          <w:trHeight w:val="209"/>
        </w:trPr>
        <w:tc>
          <w:tcPr>
            <w:tcW w:w="3100" w:type="dxa"/>
            <w:vAlign w:val="bottom"/>
            <w:vMerge w:val="continue"/>
          </w:tcPr>
          <w:p>
            <w:pPr>
              <w:spacing w:after="0"/>
              <w:rPr>
                <w:sz w:val="18"/>
                <w:szCs w:val="18"/>
                <w:color w:val="auto"/>
              </w:rPr>
            </w:pPr>
          </w:p>
        </w:tc>
        <w:tc>
          <w:tcPr>
            <w:tcW w:w="25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w w:val="95"/>
              </w:rPr>
              <w:t>1,321.9</w:t>
            </w:r>
          </w:p>
        </w:tc>
        <w:tc>
          <w:tcPr>
            <w:tcW w:w="1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$426.8</w:t>
            </w:r>
          </w:p>
        </w:tc>
        <w:tc>
          <w:tcPr>
            <w:tcW w:w="0" w:type="dxa"/>
            <w:vAlign w:val="bottom"/>
          </w:tcPr>
          <w:p>
            <w:pPr>
              <w:spacing w:after="0"/>
              <w:rPr>
                <w:sz w:val="1"/>
                <w:szCs w:val="1"/>
                <w:color w:val="auto"/>
              </w:rPr>
            </w:pPr>
          </w:p>
        </w:tc>
      </w:tr>
      <w:tr>
        <w:trPr>
          <w:trHeight w:val="181"/>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External</w:t>
            </w:r>
          </w:p>
        </w:tc>
        <w:tc>
          <w:tcPr>
            <w:tcW w:w="9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Intersegment</w:t>
            </w:r>
          </w:p>
        </w:tc>
        <w:tc>
          <w:tcPr>
            <w:tcW w:w="98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17.6</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w w:val="95"/>
              </w:rPr>
              <w:t>1,339.5</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35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$437.5</w:t>
            </w: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0"/>
                <w:szCs w:val="20"/>
                <w:color w:val="auto"/>
              </w:rPr>
            </w:pPr>
            <w:r>
              <w:rPr>
                <w:rFonts w:ascii="Courier New" w:cs="Courier New" w:eastAsia="Courier New" w:hAnsi="Courier New"/>
                <w:sz w:val="16"/>
                <w:szCs w:val="16"/>
                <w:color w:val="auto"/>
              </w:rPr>
              <w:t>PC operations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262.4</w:t>
            </w:r>
          </w:p>
        </w:tc>
        <w:tc>
          <w:tcPr>
            <w:tcW w:w="12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$363.6</w:t>
            </w:r>
          </w:p>
        </w:tc>
        <w:tc>
          <w:tcPr>
            <w:tcW w:w="0" w:type="dxa"/>
            <w:vAlign w:val="bottom"/>
          </w:tcPr>
          <w:p>
            <w:pPr>
              <w:spacing w:after="0"/>
              <w:rPr>
                <w:sz w:val="1"/>
                <w:szCs w:val="1"/>
                <w:color w:val="auto"/>
              </w:rPr>
            </w:pPr>
          </w:p>
        </w:tc>
      </w:tr>
      <w:tr>
        <w:trPr>
          <w:trHeight w:val="181"/>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External</w:t>
            </w:r>
          </w:p>
        </w:tc>
        <w:tc>
          <w:tcPr>
            <w:tcW w:w="9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20" w:type="dxa"/>
            <w:vAlign w:val="bottom"/>
          </w:tcPr>
          <w:p>
            <w:pPr>
              <w:ind w:left="180"/>
              <w:spacing w:after="0"/>
              <w:rPr>
                <w:sz w:val="20"/>
                <w:szCs w:val="20"/>
                <w:color w:val="auto"/>
              </w:rPr>
            </w:pPr>
            <w:r>
              <w:rPr>
                <w:rFonts w:ascii="Courier New" w:cs="Courier New" w:eastAsia="Courier New" w:hAnsi="Courier New"/>
                <w:sz w:val="16"/>
                <w:szCs w:val="16"/>
                <w:color w:val="auto"/>
              </w:rPr>
              <w:t>Intersegment</w:t>
            </w:r>
          </w:p>
        </w:tc>
        <w:tc>
          <w:tcPr>
            <w:tcW w:w="980" w:type="dxa"/>
            <w:vAlign w:val="bottom"/>
          </w:tcPr>
          <w:p>
            <w:pPr>
              <w:spacing w:after="0"/>
              <w:rPr>
                <w:sz w:val="15"/>
                <w:szCs w:val="15"/>
                <w:color w:val="auto"/>
              </w:rPr>
            </w:pP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1"/>
        </w:trPr>
        <w:tc>
          <w:tcPr>
            <w:tcW w:w="35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263.6</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35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$364.2</w:t>
            </w:r>
          </w:p>
        </w:tc>
        <w:tc>
          <w:tcPr>
            <w:tcW w:w="0" w:type="dxa"/>
            <w:vAlign w:val="bottom"/>
          </w:tcPr>
          <w:p>
            <w:pPr>
              <w:spacing w:after="0"/>
              <w:rPr>
                <w:sz w:val="1"/>
                <w:szCs w:val="1"/>
                <w:color w:val="auto"/>
              </w:rPr>
            </w:pPr>
          </w:p>
        </w:tc>
      </w:tr>
      <w:tr>
        <w:trPr>
          <w:trHeight w:val="346"/>
        </w:trPr>
        <w:tc>
          <w:tcPr>
            <w:tcW w:w="3520" w:type="dxa"/>
            <w:vAlign w:val="bottom"/>
          </w:tcPr>
          <w:p>
            <w:pPr>
              <w:spacing w:after="0"/>
              <w:rPr>
                <w:sz w:val="20"/>
                <w:szCs w:val="20"/>
                <w:color w:val="auto"/>
              </w:rPr>
            </w:pPr>
            <w:r>
              <w:rPr>
                <w:rFonts w:ascii="Courier New" w:cs="Courier New" w:eastAsia="Courier New" w:hAnsi="Courier New"/>
                <w:sz w:val="16"/>
                <w:szCs w:val="16"/>
                <w:color w:val="auto"/>
              </w:rPr>
              <w:t>All other - external</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3.2</w:t>
            </w:r>
          </w:p>
        </w:tc>
        <w:tc>
          <w:tcPr>
            <w:tcW w:w="0" w:type="dxa"/>
            <w:vAlign w:val="bottom"/>
          </w:tcPr>
          <w:p>
            <w:pPr>
              <w:spacing w:after="0"/>
              <w:rPr>
                <w:sz w:val="1"/>
                <w:szCs w:val="1"/>
                <w:color w:val="auto"/>
              </w:rPr>
            </w:pPr>
          </w:p>
        </w:tc>
      </w:tr>
      <w:tr>
        <w:trPr>
          <w:trHeight w:val="277"/>
        </w:trPr>
        <w:tc>
          <w:tcPr>
            <w:tcW w:w="3520" w:type="dxa"/>
            <w:vAlign w:val="bottom"/>
          </w:tcPr>
          <w:p>
            <w:pPr>
              <w:spacing w:after="0"/>
              <w:rPr>
                <w:sz w:val="20"/>
                <w:szCs w:val="20"/>
                <w:color w:val="auto"/>
              </w:rPr>
            </w:pPr>
            <w:r>
              <w:rPr>
                <w:rFonts w:ascii="Courier New" w:cs="Courier New" w:eastAsia="Courier New" w:hAnsi="Courier New"/>
                <w:sz w:val="16"/>
                <w:szCs w:val="16"/>
                <w:color w:val="auto"/>
              </w:rPr>
              <w:t>Total segments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5"/>
              </w:rPr>
              <w:t>1,603.2</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$804.9</w:t>
            </w:r>
          </w:p>
        </w:tc>
        <w:tc>
          <w:tcPr>
            <w:tcW w:w="0" w:type="dxa"/>
            <w:vAlign w:val="bottom"/>
          </w:tcPr>
          <w:p>
            <w:pPr>
              <w:spacing w:after="0"/>
              <w:rPr>
                <w:sz w:val="1"/>
                <w:szCs w:val="1"/>
                <w:color w:val="auto"/>
              </w:rPr>
            </w:pP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Elimination of intersegment</w:t>
            </w:r>
          </w:p>
        </w:tc>
        <w:tc>
          <w:tcPr>
            <w:tcW w:w="980" w:type="dxa"/>
            <w:vAlign w:val="bottom"/>
          </w:tcPr>
          <w:p>
            <w:pPr>
              <w:spacing w:after="0"/>
              <w:rPr>
                <w:sz w:val="15"/>
                <w:szCs w:val="15"/>
                <w:color w:val="auto"/>
              </w:rPr>
            </w:pPr>
          </w:p>
        </w:tc>
        <w:tc>
          <w:tcPr>
            <w:tcW w:w="13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(18.8)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c>
          <w:tcPr>
            <w:tcW w:w="0" w:type="dxa"/>
            <w:vAlign w:val="bottom"/>
          </w:tcPr>
          <w:p>
            <w:pPr>
              <w:spacing w:after="0"/>
              <w:rPr>
                <w:sz w:val="1"/>
                <w:szCs w:val="1"/>
                <w:color w:val="auto"/>
              </w:rPr>
            </w:pPr>
          </w:p>
        </w:tc>
      </w:tr>
      <w:tr>
        <w:trPr>
          <w:trHeight w:val="181"/>
        </w:trPr>
        <w:tc>
          <w:tcPr>
            <w:tcW w:w="3520" w:type="dxa"/>
            <w:vAlign w:val="bottom"/>
            <w:vMerge w:val="restart"/>
          </w:tcPr>
          <w:p>
            <w:pPr>
              <w:spacing w:after="0"/>
              <w:rPr>
                <w:sz w:val="20"/>
                <w:szCs w:val="20"/>
                <w:color w:val="auto"/>
              </w:rPr>
            </w:pPr>
            <w:r>
              <w:rPr>
                <w:rFonts w:ascii="Courier New" w:cs="Courier New" w:eastAsia="Courier New" w:hAnsi="Courier New"/>
                <w:sz w:val="16"/>
                <w:szCs w:val="16"/>
                <w:color w:val="auto"/>
              </w:rPr>
              <w:t>Total consolidated net sales</w:t>
            </w:r>
          </w:p>
        </w:tc>
        <w:tc>
          <w:tcPr>
            <w:tcW w:w="980" w:type="dxa"/>
            <w:vAlign w:val="bottom"/>
            <w:vMerge w:val="restart"/>
          </w:tcPr>
          <w:p>
            <w:pPr>
              <w:jc w:val="right"/>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p>
        </w:tc>
        <w:tc>
          <w:tcPr>
            <w:tcW w:w="136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w w:val="95"/>
              </w:rPr>
              <w:t>1,584.4</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$793.6</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234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income (loss)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42"/>
              <w:spacing w:after="0"/>
              <w:rPr>
                <w:sz w:val="20"/>
                <w:szCs w:val="20"/>
                <w:color w:val="auto"/>
              </w:rPr>
            </w:pPr>
            <w:r>
              <w:rPr>
                <w:rFonts w:ascii="Courier New" w:cs="Courier New" w:eastAsia="Courier New" w:hAnsi="Courier New"/>
                <w:sz w:val="16"/>
                <w:szCs w:val="16"/>
                <w:color w:val="auto"/>
                <w:w w:val="91"/>
              </w:rPr>
              <w:t>564.9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(57.0)</w:t>
            </w:r>
          </w:p>
        </w:tc>
        <w:tc>
          <w:tcPr>
            <w:tcW w:w="0" w:type="dxa"/>
            <w:vAlign w:val="bottom"/>
          </w:tcPr>
          <w:p>
            <w:pPr>
              <w:spacing w:after="0"/>
              <w:rPr>
                <w:sz w:val="1"/>
                <w:szCs w:val="1"/>
                <w:color w:val="auto"/>
              </w:rPr>
            </w:pPr>
          </w:p>
        </w:tc>
      </w:t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PC operations</w:t>
            </w:r>
          </w:p>
        </w:tc>
        <w:tc>
          <w:tcPr>
            <w:tcW w:w="42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3"/>
              </w:rPr>
              <w:t>(31.2)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42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0" w:type="dxa"/>
            <w:vAlign w:val="bottom"/>
          </w:tcPr>
          <w:p>
            <w:pPr>
              <w:spacing w:after="0"/>
              <w:rPr>
                <w:sz w:val="1"/>
                <w:szCs w:val="1"/>
                <w:color w:val="auto"/>
              </w:rPr>
            </w:pPr>
          </w:p>
        </w:tc>
      </w:tr>
      <w:tr>
        <w:trPr>
          <w:trHeight w:val="181"/>
        </w:trPr>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rPr>
              <w:t>Total segments</w:t>
            </w:r>
          </w:p>
        </w:tc>
        <w:tc>
          <w:tcPr>
            <w:tcW w:w="42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91"/>
                <w:vertAlign w:val="subscript"/>
              </w:rPr>
              <w:t>$</w:t>
            </w:r>
            <w:r>
              <w:rPr>
                <w:rFonts w:ascii="Courier New" w:cs="Courier New" w:eastAsia="Courier New" w:hAnsi="Courier New"/>
                <w:sz w:val="4"/>
                <w:szCs w:val="4"/>
                <w:color w:val="auto"/>
                <w:w w:val="91"/>
              </w:rPr>
              <w:t>-------</w:t>
            </w:r>
          </w:p>
        </w:tc>
        <w:tc>
          <w:tcPr>
            <w:tcW w:w="1180" w:type="dxa"/>
            <w:vAlign w:val="bottom"/>
            <w:vMerge w:val="restart"/>
          </w:tcPr>
          <w:p>
            <w:pPr>
              <w:jc w:val="right"/>
              <w:ind w:right="642"/>
              <w:spacing w:after="0"/>
              <w:rPr>
                <w:sz w:val="20"/>
                <w:szCs w:val="20"/>
                <w:color w:val="auto"/>
              </w:rPr>
            </w:pPr>
            <w:r>
              <w:rPr>
                <w:rFonts w:ascii="Courier New" w:cs="Courier New" w:eastAsia="Courier New" w:hAnsi="Courier New"/>
                <w:sz w:val="16"/>
                <w:szCs w:val="16"/>
                <w:color w:val="auto"/>
                <w:w w:val="91"/>
              </w:rPr>
              <w:t>531.9</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418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62.4)</w:t>
            </w: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Courier New" w:cs="Courier New" w:eastAsia="Courier New" w:hAnsi="Courier New"/>
                <w:sz w:val="16"/>
                <w:szCs w:val="16"/>
                <w:color w:val="auto"/>
              </w:rPr>
              <w:t>Elimination of intersegment</w:t>
            </w:r>
          </w:p>
        </w:tc>
        <w:tc>
          <w:tcPr>
            <w:tcW w:w="420" w:type="dxa"/>
            <w:vAlign w:val="bottom"/>
          </w:tcPr>
          <w:p>
            <w:pPr>
              <w:spacing w:after="0"/>
              <w:rPr>
                <w:sz w:val="22"/>
                <w:szCs w:val="22"/>
                <w:color w:val="auto"/>
              </w:rPr>
            </w:pPr>
          </w:p>
        </w:tc>
        <w:tc>
          <w:tcPr>
            <w:tcW w:w="11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1"/>
        </w:trPr>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rPr>
              <w:t>Total consolidated operating income (loss)</w:t>
            </w:r>
          </w:p>
        </w:tc>
        <w:tc>
          <w:tcPr>
            <w:tcW w:w="42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91"/>
                <w:vertAlign w:val="subscript"/>
              </w:rPr>
              <w:t>$</w:t>
            </w:r>
            <w:r>
              <w:rPr>
                <w:rFonts w:ascii="Courier New" w:cs="Courier New" w:eastAsia="Courier New" w:hAnsi="Courier New"/>
                <w:sz w:val="4"/>
                <w:szCs w:val="4"/>
                <w:color w:val="auto"/>
                <w:w w:val="91"/>
              </w:rPr>
              <w:t>-------</w:t>
            </w:r>
          </w:p>
        </w:tc>
        <w:tc>
          <w:tcPr>
            <w:tcW w:w="1180" w:type="dxa"/>
            <w:vAlign w:val="bottom"/>
            <w:vMerge w:val="restart"/>
          </w:tcPr>
          <w:p>
            <w:pPr>
              <w:jc w:val="right"/>
              <w:ind w:right="642"/>
              <w:spacing w:after="0"/>
              <w:rPr>
                <w:sz w:val="20"/>
                <w:szCs w:val="20"/>
                <w:color w:val="auto"/>
              </w:rPr>
            </w:pPr>
            <w:r>
              <w:rPr>
                <w:rFonts w:ascii="Courier New" w:cs="Courier New" w:eastAsia="Courier New" w:hAnsi="Courier New"/>
                <w:sz w:val="16"/>
                <w:szCs w:val="16"/>
                <w:color w:val="auto"/>
                <w:w w:val="91"/>
              </w:rPr>
              <w:t>532.0</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41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(62.6)</w:t>
            </w: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600" w:type="dxa"/>
            <w:vAlign w:val="bottom"/>
            <w:gridSpan w:val="2"/>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639" w:firstLine="469"/>
        <w:spacing w:after="0" w:line="275" w:lineRule="auto"/>
        <w:rPr>
          <w:sz w:val="20"/>
          <w:szCs w:val="20"/>
          <w:color w:val="auto"/>
        </w:rPr>
      </w:pPr>
      <w:r>
        <w:rPr>
          <w:rFonts w:ascii="Courier New" w:cs="Courier New" w:eastAsia="Courier New" w:hAnsi="Courier New"/>
          <w:sz w:val="16"/>
          <w:szCs w:val="16"/>
          <w:color w:val="auto"/>
        </w:rPr>
        <w:t>Segment assets consist of assets that are identified to reportable segments and reviewed by the chief operating decision-makers. Included in segment assets are cash, investments, accounts receivable, inventory and property, plant and equipment.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vMerge w:val="restart"/>
          </w:tcPr>
          <w:p>
            <w:pPr>
              <w:spacing w:after="0"/>
              <w:rPr>
                <w:sz w:val="20"/>
                <w:szCs w:val="20"/>
                <w:color w:val="auto"/>
              </w:rPr>
            </w:pPr>
            <w:r>
              <w:rPr>
                <w:rFonts w:ascii="Courier New" w:cs="Courier New" w:eastAsia="Courier New" w:hAnsi="Courier New"/>
                <w:sz w:val="16"/>
                <w:szCs w:val="16"/>
                <w:color w:val="auto"/>
              </w:rPr>
              <w:t>Segment assets as of</w:t>
            </w:r>
          </w:p>
        </w:tc>
        <w:tc>
          <w:tcPr>
            <w:tcW w:w="2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December 2,</w:t>
            </w:r>
          </w:p>
        </w:tc>
        <w:tc>
          <w:tcPr>
            <w:tcW w:w="142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8"/>
              </w:rPr>
              <w:t>September 2,</w:t>
            </w:r>
          </w:p>
        </w:tc>
        <w:tc>
          <w:tcPr>
            <w:tcW w:w="0" w:type="dxa"/>
            <w:vAlign w:val="bottom"/>
          </w:tcPr>
          <w:p>
            <w:pPr>
              <w:spacing w:after="0"/>
              <w:rPr>
                <w:sz w:val="1"/>
                <w:szCs w:val="1"/>
                <w:color w:val="auto"/>
              </w:rPr>
            </w:pPr>
          </w:p>
        </w:tc>
      </w:tr>
      <w:tr>
        <w:trPr>
          <w:trHeight w:val="209"/>
        </w:trPr>
        <w:tc>
          <w:tcPr>
            <w:tcW w:w="3140" w:type="dxa"/>
            <w:vAlign w:val="bottom"/>
            <w:vMerge w:val="continue"/>
          </w:tcPr>
          <w:p>
            <w:pPr>
              <w:spacing w:after="0"/>
              <w:rPr>
                <w:sz w:val="18"/>
                <w:szCs w:val="18"/>
                <w:color w:val="auto"/>
              </w:rPr>
            </w:pP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$6,704.2</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$6,001.9</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PC operations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510.0</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533.9</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15.3</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15.5</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230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7,229.5</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560" w:type="dxa"/>
            <w:vAlign w:val="bottom"/>
            <w:vMerge w:val="restart"/>
          </w:tcPr>
          <w:p>
            <w:pPr>
              <w:spacing w:after="0"/>
              <w:rPr>
                <w:sz w:val="20"/>
                <w:szCs w:val="20"/>
                <w:color w:val="auto"/>
              </w:rPr>
            </w:pPr>
            <w:r>
              <w:rPr>
                <w:rFonts w:ascii="Courier New" w:cs="Courier New" w:eastAsia="Courier New" w:hAnsi="Courier New"/>
                <w:sz w:val="16"/>
                <w:szCs w:val="16"/>
                <w:color w:val="auto"/>
              </w:rPr>
              <w:t>Elimination of intersegment</w:t>
            </w:r>
          </w:p>
        </w:tc>
        <w:tc>
          <w:tcPr>
            <w:tcW w:w="2300" w:type="dxa"/>
            <w:vAlign w:val="bottom"/>
            <w:vMerge w:val="continue"/>
          </w:tcPr>
          <w:p>
            <w:pPr>
              <w:spacing w:after="0"/>
              <w:rPr>
                <w:sz w:val="15"/>
                <w:szCs w:val="15"/>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6,551.3</w:t>
            </w:r>
          </w:p>
        </w:tc>
        <w:tc>
          <w:tcPr>
            <w:tcW w:w="0" w:type="dxa"/>
            <w:vAlign w:val="bottom"/>
          </w:tcPr>
          <w:p>
            <w:pPr>
              <w:spacing w:after="0"/>
              <w:rPr>
                <w:sz w:val="1"/>
                <w:szCs w:val="1"/>
                <w:color w:val="auto"/>
              </w:rPr>
            </w:pPr>
          </w:p>
        </w:tc>
      </w:tr>
      <w:tr>
        <w:trPr>
          <w:trHeight w:val="181"/>
        </w:trPr>
        <w:tc>
          <w:tcPr>
            <w:tcW w:w="3560" w:type="dxa"/>
            <w:vAlign w:val="bottom"/>
            <w:vMerge w:val="continue"/>
          </w:tcPr>
          <w:p>
            <w:pPr>
              <w:spacing w:after="0"/>
              <w:rPr>
                <w:sz w:val="15"/>
                <w:szCs w:val="15"/>
                <w:color w:val="auto"/>
              </w:rPr>
            </w:pPr>
          </w:p>
        </w:tc>
        <w:tc>
          <w:tcPr>
            <w:tcW w:w="23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(87.0)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(74.8)</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230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w w:val="99"/>
              </w:rPr>
              <w:t>$</w:t>
            </w:r>
            <w:r>
              <w:rPr>
                <w:rFonts w:ascii="Courier New" w:cs="Courier New" w:eastAsia="Courier New" w:hAnsi="Courier New"/>
                <w:sz w:val="31"/>
                <w:szCs w:val="31"/>
                <w:color w:val="auto"/>
                <w:w w:val="99"/>
                <w:vertAlign w:val="superscript"/>
              </w:rPr>
              <w:t>--------</w:t>
            </w:r>
            <w:r>
              <w:rPr>
                <w:rFonts w:ascii="Courier New" w:cs="Courier New" w:eastAsia="Courier New" w:hAnsi="Courier New"/>
                <w:sz w:val="16"/>
                <w:szCs w:val="16"/>
                <w:color w:val="auto"/>
                <w:w w:val="99"/>
              </w:rPr>
              <w:t>7,142.5</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$6,476.5</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to total assets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Total segment assets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$7,142.5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$6,476.5</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27.2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38.3</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Deferred taxes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93.4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119.9</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206.4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212.6</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Other assets (net of segment assets)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111.9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117.9</w:t>
            </w:r>
          </w:p>
        </w:tc>
      </w:tr>
      <w:tr>
        <w:trPr>
          <w:trHeight w:val="264"/>
        </w:trPr>
        <w:tc>
          <w:tcPr>
            <w:tcW w:w="3520" w:type="dxa"/>
            <w:vAlign w:val="bottom"/>
          </w:tcPr>
          <w:p>
            <w:pPr>
              <w:spacing w:after="0"/>
              <w:rPr>
                <w:sz w:val="22"/>
                <w:szCs w:val="22"/>
                <w:color w:val="auto"/>
              </w:rPr>
            </w:pP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7"/>
        </w:trPr>
        <w:tc>
          <w:tcPr>
            <w:tcW w:w="3520" w:type="dxa"/>
            <w:vAlign w:val="bottom"/>
          </w:tcPr>
          <w:p>
            <w:pPr>
              <w:spacing w:after="0"/>
              <w:rPr>
                <w:sz w:val="20"/>
                <w:szCs w:val="20"/>
                <w:color w:val="auto"/>
              </w:rPr>
            </w:pPr>
            <w:r>
              <w:rPr>
                <w:rFonts w:ascii="Courier New" w:cs="Courier New" w:eastAsia="Courier New" w:hAnsi="Courier New"/>
                <w:sz w:val="16"/>
                <w:szCs w:val="16"/>
                <w:color w:val="auto"/>
              </w:rPr>
              <w:t>Total consolidated assets</w:t>
            </w: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$7,581.4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$6,965.2</w:t>
            </w:r>
          </w:p>
        </w:tc>
      </w:tr>
      <w:tr>
        <w:trPr>
          <w:trHeight w:val="264"/>
        </w:trPr>
        <w:tc>
          <w:tcPr>
            <w:tcW w:w="3520" w:type="dxa"/>
            <w:vAlign w:val="bottom"/>
          </w:tcPr>
          <w:p>
            <w:pPr>
              <w:spacing w:after="0"/>
              <w:rPr>
                <w:sz w:val="22"/>
                <w:szCs w:val="22"/>
                <w:color w:val="auto"/>
              </w:rPr>
            </w:pPr>
          </w:p>
        </w:tc>
        <w:tc>
          <w:tcPr>
            <w:tcW w:w="2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2"/>
        </w:trPr>
        <w:tc>
          <w:tcPr>
            <w:tcW w:w="3520" w:type="dxa"/>
            <w:vAlign w:val="bottom"/>
          </w:tcPr>
          <w:p>
            <w:pPr>
              <w:spacing w:after="0"/>
              <w:rPr>
                <w:sz w:val="24"/>
                <w:szCs w:val="24"/>
                <w:color w:val="auto"/>
              </w:rPr>
            </w:pPr>
          </w:p>
        </w:tc>
        <w:tc>
          <w:tcPr>
            <w:tcW w:w="2300" w:type="dxa"/>
            <w:vAlign w:val="bottom"/>
          </w:tcPr>
          <w:p>
            <w:pPr>
              <w:jc w:val="right"/>
              <w:ind w:right="1902"/>
              <w:spacing w:after="0"/>
              <w:rPr>
                <w:sz w:val="20"/>
                <w:szCs w:val="20"/>
                <w:color w:val="auto"/>
              </w:rPr>
            </w:pPr>
            <w:r>
              <w:rPr>
                <w:rFonts w:ascii="Courier New" w:cs="Courier New" w:eastAsia="Courier New" w:hAnsi="Courier New"/>
                <w:sz w:val="16"/>
                <w:szCs w:val="16"/>
                <w:color w:val="auto"/>
              </w:rPr>
              <w:t>11</w:t>
            </w:r>
          </w:p>
        </w:tc>
        <w:tc>
          <w:tcPr>
            <w:tcW w:w="1220" w:type="dxa"/>
            <w:vAlign w:val="bottom"/>
          </w:tcPr>
          <w:p>
            <w:pPr>
              <w:spacing w:after="0"/>
              <w:rPr>
                <w:sz w:val="24"/>
                <w:szCs w:val="24"/>
                <w:color w:val="auto"/>
              </w:rPr>
            </w:pPr>
          </w:p>
        </w:tc>
      </w:tr>
    </w:tbl>
    <w:p>
      <w:pPr>
        <w:sectPr>
          <w:pgSz w:w="11900" w:h="16838" w:orient="portrait"/>
          <w:cols w:equalWidth="0" w:num="1">
            <w:col w:w="10139"/>
          </w:cols>
          <w:pgMar w:left="320" w:top="631" w:right="1440" w:bottom="210" w:gutter="0" w:footer="0" w:header="0"/>
        </w:sectPr>
      </w:pPr>
    </w:p>
    <w:bookmarkStart w:id="12" w:name="page13"/>
    <w:bookmarkEnd w:id="12"/>
    <w:p>
      <w:pPr>
        <w:ind w:left="4"/>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360" w:lineRule="exact"/>
        <w:rPr>
          <w:sz w:val="20"/>
          <w:szCs w:val="20"/>
          <w:color w:val="auto"/>
        </w:rPr>
      </w:pPr>
    </w:p>
    <w:p>
      <w:pPr>
        <w:ind w:left="464" w:hanging="464"/>
        <w:spacing w:after="0"/>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0" w:lineRule="exact"/>
        <w:rPr>
          <w:sz w:val="20"/>
          <w:szCs w:val="20"/>
          <w:color w:val="auto"/>
        </w:rPr>
      </w:pPr>
    </w:p>
    <w:p>
      <w:pPr>
        <w:ind w:left="4" w:right="2639" w:firstLine="469"/>
        <w:spacing w:after="0" w:line="294" w:lineRule="auto"/>
        <w:rPr>
          <w:sz w:val="20"/>
          <w:szCs w:val="20"/>
          <w:color w:val="auto"/>
        </w:rPr>
      </w:pPr>
      <w:r>
        <w:rPr>
          <w:rFonts w:ascii="Courier New" w:cs="Courier New" w:eastAsia="Courier New" w:hAnsi="Courier New"/>
          <w:sz w:val="16"/>
          <w:szCs w:val="16"/>
          <w:color w:val="auto"/>
        </w:rPr>
        <w:t>As of December 2, 1999, the Company had commitments of approximately $911.1 million for equipment purchases and $65.1 million for the construction of buildings.</w:t>
      </w:r>
    </w:p>
    <w:p>
      <w:pPr>
        <w:spacing w:after="0" w:line="56" w:lineRule="exact"/>
        <w:rPr>
          <w:sz w:val="20"/>
          <w:szCs w:val="20"/>
          <w:color w:val="auto"/>
        </w:rPr>
      </w:pPr>
    </w:p>
    <w:p>
      <w:pPr>
        <w:ind w:left="4" w:right="2639" w:firstLine="469"/>
        <w:spacing w:after="0" w:line="267"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a party to various other legal actions arising out of the normal course of business, none of which are expected to have a material adverse effect on the Company's financial position or results of operations.</w:t>
      </w:r>
    </w:p>
    <w:p>
      <w:pPr>
        <w:spacing w:after="0" w:line="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43"/>
          </w:cols>
          <w:pgMar w:left="316" w:top="631" w:right="1440" w:bottom="1440" w:gutter="0" w:footer="0" w:header="0"/>
        </w:sectPr>
      </w:pPr>
    </w:p>
    <w:bookmarkStart w:id="13" w:name="page14"/>
    <w:bookmarkEnd w:id="13"/>
    <w:p>
      <w:pPr>
        <w:ind w:left="4"/>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w:t>
      </w:r>
    </w:p>
    <w:p>
      <w:pPr>
        <w:spacing w:after="0" w:line="27"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Operations</w:t>
      </w: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2" w:lineRule="exact"/>
        <w:rPr>
          <w:sz w:val="20"/>
          <w:szCs w:val="20"/>
          <w:color w:val="auto"/>
        </w:rPr>
      </w:pPr>
    </w:p>
    <w:p>
      <w:pPr>
        <w:ind w:left="4" w:right="3099" w:firstLine="469"/>
        <w:spacing w:after="0" w:line="257" w:lineRule="auto"/>
        <w:rPr>
          <w:sz w:val="20"/>
          <w:szCs w:val="20"/>
          <w:color w:val="auto"/>
        </w:rPr>
      </w:pPr>
      <w:r>
        <w:rPr>
          <w:rFonts w:ascii="Courier New" w:cs="Courier New" w:eastAsia="Courier New" w:hAnsi="Courier New"/>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"MTI."The Company's PC operations are operated through Micron Electronics, Inc. ("MEI"), a 61% owned, publicly-traded subsidiary of MTI.</w:t>
      </w:r>
    </w:p>
    <w:p>
      <w:pPr>
        <w:spacing w:after="0" w:line="86" w:lineRule="exact"/>
        <w:rPr>
          <w:sz w:val="20"/>
          <w:szCs w:val="20"/>
          <w:color w:val="auto"/>
        </w:rPr>
      </w:pPr>
    </w:p>
    <w:p>
      <w:pPr>
        <w:ind w:left="4" w:right="2639" w:firstLine="469"/>
        <w:spacing w:after="0" w:line="247" w:lineRule="auto"/>
        <w:rPr>
          <w:sz w:val="20"/>
          <w:szCs w:val="20"/>
          <w:color w:val="auto"/>
        </w:rPr>
      </w:pPr>
      <w:r>
        <w:rPr>
          <w:rFonts w:ascii="Courier New" w:cs="Courier New" w:eastAsia="Courier New" w:hAnsi="Courier New"/>
          <w:sz w:val="16"/>
          <w:szCs w:val="16"/>
          <w:color w:val="auto"/>
        </w:rPr>
        <w:t>The following discussion contains trend information and other forward-looking statements (including, for example, statements regarding future operating results, future capital expenditures and facility expansion, new product introductions, technological developments, acquisitions and the effect thereof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Company's Annual Report on Form 10-K for the year ended September 2, 1999. All period references are to the Company's fiscal periods ended December 2, 1999, September 2, 1999, or December 3, 1998, unless otherwise indicated. All per share amounts are presented on a diluted basis unless otherwise stated.</w:t>
      </w:r>
    </w:p>
    <w:p>
      <w:pPr>
        <w:spacing w:after="0" w:line="27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Results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First Quarter</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50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5"/>
                <w:szCs w:val="15"/>
                <w:color w:val="auto"/>
              </w:rPr>
            </w:pP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50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(dollars</w:t>
            </w:r>
          </w:p>
        </w:tc>
        <w:tc>
          <w:tcPr>
            <w:tcW w:w="3660" w:type="dxa"/>
            <w:vAlign w:val="bottom"/>
            <w:gridSpan w:val="4"/>
          </w:tcPr>
          <w:p>
            <w:pPr>
              <w:spacing w:after="0"/>
              <w:rPr>
                <w:sz w:val="20"/>
                <w:szCs w:val="20"/>
                <w:color w:val="auto"/>
              </w:rPr>
            </w:pPr>
            <w:r>
              <w:rPr>
                <w:rFonts w:ascii="Courier New" w:cs="Courier New" w:eastAsia="Courier New" w:hAnsi="Courier New"/>
                <w:sz w:val="16"/>
                <w:szCs w:val="16"/>
                <w:color w:val="auto"/>
              </w:rPr>
              <w:t>in millions, except per share data)</w:t>
            </w: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$1,339.5</w:t>
            </w:r>
          </w:p>
        </w:tc>
        <w:tc>
          <w:tcPr>
            <w:tcW w:w="14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84.5%</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w w:val="99"/>
              </w:rPr>
              <w:t>437.5</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55.1%</w:t>
            </w: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Semiconductor operations</w:t>
            </w:r>
          </w:p>
        </w:tc>
        <w:tc>
          <w:tcPr>
            <w:tcW w:w="136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PC operations</w:t>
            </w:r>
          </w:p>
        </w:tc>
        <w:tc>
          <w:tcPr>
            <w:tcW w:w="8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263.6</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16.6%</w:t>
            </w:r>
          </w:p>
        </w:tc>
        <w:tc>
          <w:tcPr>
            <w:tcW w:w="44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364.2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45.9%</w:t>
            </w: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All other</w:t>
            </w:r>
          </w:p>
        </w:tc>
        <w:tc>
          <w:tcPr>
            <w:tcW w:w="8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0.0%</w:t>
            </w:r>
          </w:p>
        </w:tc>
        <w:tc>
          <w:tcPr>
            <w:tcW w:w="44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Intersegment</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(18.8)</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w:t>
            </w:r>
          </w:p>
        </w:tc>
        <w:tc>
          <w:tcPr>
            <w:tcW w:w="440" w:type="dxa"/>
            <w:vAlign w:val="bottom"/>
          </w:tcPr>
          <w:p>
            <w:pPr>
              <w:spacing w:after="0"/>
              <w:rPr>
                <w:sz w:val="15"/>
                <w:szCs w:val="15"/>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1"/>
        </w:trPr>
        <w:tc>
          <w:tcPr>
            <w:tcW w:w="38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Consolidated net sales</w:t>
            </w:r>
          </w:p>
        </w:tc>
        <w:tc>
          <w:tcPr>
            <w:tcW w:w="13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perscript"/>
              </w:rPr>
              <w:t>--------</w:t>
            </w:r>
            <w:r>
              <w:rPr>
                <w:rFonts w:ascii="Courier New" w:cs="Courier New" w:eastAsia="Courier New" w:hAnsi="Courier New"/>
                <w:sz w:val="16"/>
                <w:szCs w:val="16"/>
                <w:color w:val="auto"/>
                <w:w w:val="70"/>
              </w:rPr>
              <w:t>1,584.4</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9"/>
              </w:rPr>
              <w:t>793.6</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8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5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564.9</w:t>
            </w:r>
          </w:p>
        </w:tc>
        <w:tc>
          <w:tcPr>
            <w:tcW w:w="140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(57.0)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Semiconductor operations</w:t>
            </w: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PC operations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(31.2)</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All other</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100"/>
              <w:spacing w:after="0"/>
              <w:rPr>
                <w:sz w:val="20"/>
                <w:szCs w:val="20"/>
                <w:color w:val="auto"/>
              </w:rPr>
            </w:pPr>
            <w:r>
              <w:rPr>
                <w:rFonts w:ascii="Courier New" w:cs="Courier New" w:eastAsia="Courier New" w:hAnsi="Courier New"/>
                <w:sz w:val="16"/>
                <w:szCs w:val="16"/>
                <w:color w:val="auto"/>
              </w:rPr>
              <w:t>Intersegment</w:t>
            </w:r>
          </w:p>
        </w:tc>
        <w:tc>
          <w:tcPr>
            <w:tcW w:w="8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Consolidated operating income (loss)</w:t>
            </w:r>
          </w:p>
        </w:tc>
        <w:tc>
          <w:tcPr>
            <w:tcW w:w="800" w:type="dxa"/>
            <w:vAlign w:val="bottom"/>
            <w:vMerge w:val="restart"/>
          </w:tcPr>
          <w:p>
            <w:pPr>
              <w:ind w:left="520"/>
              <w:spacing w:after="0"/>
              <w:rPr>
                <w:sz w:val="20"/>
                <w:szCs w:val="20"/>
                <w:color w:val="auto"/>
              </w:rPr>
            </w:pPr>
            <w:r>
              <w:rPr>
                <w:rFonts w:ascii="Courier New" w:cs="Courier New" w:eastAsia="Courier New" w:hAnsi="Courier New"/>
                <w:sz w:val="8"/>
                <w:szCs w:val="8"/>
                <w:color w:val="auto"/>
                <w:w w:val="70"/>
                <w:vertAlign w:val="subscript"/>
              </w:rPr>
              <w:t>$</w:t>
            </w:r>
            <w:r>
              <w:rPr>
                <w:rFonts w:ascii="Courier New" w:cs="Courier New" w:eastAsia="Courier New" w:hAnsi="Courier New"/>
                <w:sz w:val="7"/>
                <w:szCs w:val="7"/>
                <w:color w:val="auto"/>
                <w:w w:val="70"/>
              </w:rPr>
              <w:t>--------</w:t>
            </w:r>
          </w:p>
        </w:tc>
        <w:tc>
          <w:tcPr>
            <w:tcW w:w="5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532.0</w:t>
            </w:r>
          </w:p>
        </w:tc>
        <w:tc>
          <w:tcPr>
            <w:tcW w:w="1400" w:type="dxa"/>
            <w:vAlign w:val="bottom"/>
          </w:tcPr>
          <w:p>
            <w:pPr>
              <w:spacing w:after="0"/>
              <w:rPr>
                <w:sz w:val="15"/>
                <w:szCs w:val="15"/>
                <w:color w:val="auto"/>
              </w:rPr>
            </w:pP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(62.6)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22"/>
                <w:szCs w:val="22"/>
                <w:color w:val="auto"/>
              </w:rPr>
            </w:pP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8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341.3</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(46.2)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22"/>
                <w:szCs w:val="22"/>
                <w:color w:val="auto"/>
              </w:rPr>
            </w:pP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8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w:t>
            </w:r>
          </w:p>
        </w:tc>
        <w:tc>
          <w:tcPr>
            <w:tcW w:w="1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22"/>
                <w:szCs w:val="22"/>
                <w:color w:val="auto"/>
              </w:rPr>
            </w:pPr>
          </w:p>
        </w:tc>
        <w:tc>
          <w:tcPr>
            <w:tcW w:w="146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 w:right="2819" w:firstLine="469"/>
        <w:spacing w:after="0" w:line="349" w:lineRule="auto"/>
        <w:rPr>
          <w:sz w:val="20"/>
          <w:szCs w:val="20"/>
          <w:color w:val="auto"/>
        </w:rPr>
      </w:pPr>
      <w:r>
        <w:rPr>
          <w:rFonts w:ascii="Courier New" w:cs="Courier New" w:eastAsia="Courier New" w:hAnsi="Courier New"/>
          <w:sz w:val="16"/>
          <w:szCs w:val="16"/>
          <w:color w:val="auto"/>
        </w:rPr>
        <w:t>The net loss for the fourth quarter of 1999 was $17 million, or $0.07 per share, on net sales of $1,081 million.</w:t>
      </w:r>
    </w:p>
    <w:p>
      <w:pPr>
        <w:spacing w:after="0" w:line="15" w:lineRule="exact"/>
        <w:rPr>
          <w:sz w:val="20"/>
          <w:szCs w:val="20"/>
          <w:color w:val="auto"/>
        </w:rPr>
      </w:pPr>
    </w:p>
    <w:p>
      <w:pPr>
        <w:ind w:left="4" w:right="2639" w:firstLine="469"/>
        <w:spacing w:after="0" w:line="261" w:lineRule="auto"/>
        <w:rPr>
          <w:sz w:val="20"/>
          <w:szCs w:val="20"/>
          <w:color w:val="auto"/>
        </w:rPr>
      </w:pPr>
      <w:r>
        <w:rPr>
          <w:rFonts w:ascii="Courier New" w:cs="Courier New" w:eastAsia="Courier New" w:hAnsi="Courier New"/>
          <w:sz w:val="16"/>
          <w:szCs w:val="16"/>
          <w:color w:val="auto"/>
        </w:rPr>
        <w:t>Intersegment sales represent sales between different segments of the Company and are eliminated to arrive at consolidated net sales. Intersegment sales for the first quarter of 2000 and 1999 are primarily comprised of sales from the Company's semiconductor operations segment to the Company's PC operations segment. (See "Notes to Consolidated Financial Statements - Operating Segment Information.")</w:t>
      </w:r>
    </w:p>
    <w:p>
      <w:pPr>
        <w:spacing w:after="0" w:line="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43"/>
          </w:cols>
          <w:pgMar w:left="316" w:top="631" w:right="1440" w:bottom="1440" w:gutter="0" w:footer="0" w:header="0"/>
        </w:sectPr>
      </w:pPr>
    </w:p>
    <w:bookmarkStart w:id="14" w:name="page15"/>
    <w:bookmarkEnd w:id="14"/>
    <w:p>
      <w:pPr>
        <w:ind w:left="460"/>
        <w:spacing w:after="0"/>
        <w:rPr>
          <w:sz w:val="20"/>
          <w:szCs w:val="20"/>
          <w:color w:val="auto"/>
        </w:rPr>
      </w:pPr>
      <w:r>
        <w:rPr>
          <w:rFonts w:ascii="Courier New" w:cs="Courier New" w:eastAsia="Courier New" w:hAnsi="Courier New"/>
          <w:sz w:val="16"/>
          <w:szCs w:val="16"/>
          <w:color w:val="auto"/>
        </w:rPr>
        <w:t>Net Sales</w:t>
      </w:r>
    </w:p>
    <w:p>
      <w:pPr>
        <w:spacing w:after="0" w:line="180" w:lineRule="exact"/>
        <w:rPr>
          <w:sz w:val="20"/>
          <w:szCs w:val="20"/>
          <w:color w:val="auto"/>
        </w:rPr>
      </w:pPr>
    </w:p>
    <w:p>
      <w:pPr>
        <w:ind w:right="2639" w:firstLine="469"/>
        <w:spacing w:after="0" w:line="250" w:lineRule="auto"/>
        <w:rPr>
          <w:sz w:val="20"/>
          <w:szCs w:val="20"/>
          <w:color w:val="auto"/>
        </w:rPr>
      </w:pPr>
      <w:r>
        <w:rPr>
          <w:rFonts w:ascii="Courier New" w:cs="Courier New" w:eastAsia="Courier New" w:hAnsi="Courier New"/>
          <w:sz w:val="16"/>
          <w:szCs w:val="16"/>
          <w:color w:val="auto"/>
        </w:rPr>
        <w:t>Consolidated net sales for the first quarter of 2000 were higher by 100% compared to the first quarter of 1999, principally due to an increase in the volume of megabits of memory sold. The increase in net sales for the first quarter of 2000 as compared to the first quarter of 1999 was partially offset by a decline in both the volume and average price per unit of PC systems sold. Average selling prices per megabit of semiconductor memory generally declined during the second half of 1999 but recovered during the first quarter of 2000 to reach average selling prices similar to those in the first quarter of 1999. Consolidated net sales for the first quarter of 2000 increased by 47% compared to the fourth quarter of 1999, principally due to a 70% increase in average selling prices per megabit of memory.</w:t>
      </w:r>
    </w:p>
    <w:p>
      <w:pPr>
        <w:spacing w:after="0" w:line="90"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Net sales from semiconductor operations for the first quarter of 2000 increased by 206% as compared to the first quarter of 1999 due primarily to a 227% increase in total megabits of semiconductor memory sold. This increase in shipments was made possible by an increase in product available from continued improvements in manufacturing efficiencies through ongoing transitions to successive reduced die size ("shrink") versions of existing memory products, shifts in the Company's mix of semiconductor memory products to higher average density products and additional output from the ramp of the Company's international operations and joint ventures.</w:t>
      </w:r>
    </w:p>
    <w:p>
      <w:pPr>
        <w:spacing w:after="0" w:line="93" w:lineRule="exact"/>
        <w:rPr>
          <w:sz w:val="20"/>
          <w:szCs w:val="20"/>
          <w:color w:val="auto"/>
        </w:rPr>
      </w:pPr>
    </w:p>
    <w:p>
      <w:pPr>
        <w:ind w:right="2639" w:firstLine="469"/>
        <w:spacing w:after="0" w:line="267" w:lineRule="auto"/>
        <w:rPr>
          <w:sz w:val="20"/>
          <w:szCs w:val="20"/>
          <w:color w:val="auto"/>
        </w:rPr>
      </w:pPr>
      <w:r>
        <w:rPr>
          <w:rFonts w:ascii="Courier New" w:cs="Courier New" w:eastAsia="Courier New" w:hAnsi="Courier New"/>
          <w:sz w:val="15"/>
          <w:szCs w:val="15"/>
          <w:color w:val="auto"/>
        </w:rPr>
        <w:t>Net sales from semiconductor operations increased by 63% in the first quarter of 2000 as compared to the fourth quarter of 1999, primarily due to an approximate 70% increase in the average selling prices of semiconductor memory products. The Company expects average selling prices for semiconductor memory products to decrease in the second quarter of 2000 as compared to the first quarter. The level of megabit sales remained relatively constant comparing the first quarter of 2000 with the fourth quarter of 1999. The level of megabit sales achieved in the first quarter was made possible primarily by production gains while the level of megabit sales in the fourth quarter was attributable in part to a reduction in finished goods inventory. Finished goods inventory levels at the end of the first quarter of 2000 were higher than at the end of the fourth quarter of 1999, but remained constant in terms of weeks of production.</w:t>
      </w:r>
    </w:p>
    <w:p>
      <w:pPr>
        <w:spacing w:after="0" w:line="79"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The Company's primary memory product in the first quarter of 2000 was the 64 Meg Synchronous DRAM ("SDRAM"), which comprised approximately 70% of the net sales of semiconductor memory for the period. The 64 Meg SDRAM comprised approximately 56% and 70% of the net sales of semiconductor memory for the first and fourth quarters of 1999, respectively.</w:t>
      </w:r>
    </w:p>
    <w:p>
      <w:pPr>
        <w:spacing w:after="0" w:line="79" w:lineRule="exact"/>
        <w:rPr>
          <w:sz w:val="20"/>
          <w:szCs w:val="20"/>
          <w:color w:val="auto"/>
        </w:rPr>
      </w:pPr>
    </w:p>
    <w:p>
      <w:pPr>
        <w:ind w:right="2639" w:firstLine="469"/>
        <w:spacing w:after="0" w:line="246" w:lineRule="auto"/>
        <w:rPr>
          <w:sz w:val="20"/>
          <w:szCs w:val="20"/>
          <w:color w:val="auto"/>
        </w:rPr>
      </w:pPr>
      <w:r>
        <w:rPr>
          <w:rFonts w:ascii="Courier New" w:cs="Courier New" w:eastAsia="Courier New" w:hAnsi="Courier New"/>
          <w:sz w:val="16"/>
          <w:szCs w:val="16"/>
          <w:color w:val="auto"/>
        </w:rPr>
        <w:t>Net sales from the Company's PC operations for the first quarter of 2000 decreased by approximately 28% as compared to the first quarter of 1999 primarily due to a 26% decrease in unit sales and to a lesser extent due to a 9% decrease in overall average selling prices for the Company's PC systems. The decrease in unit sales for the first quarter of 2000 as compared to the first quarter of 1999 is primarily due to lower consumer and government PC unit sales, together with a 44% reduction in notebook shipments. The significant decline in the consumer business was due in part to the Company's ongoing effort to focus its PC business resources on increasing the levels of sales in the small business, commercial and government sectors, which efforts have not yet resulted in the expected increase in sales. The decline in government sector sales reflects increased pricing competition and lower than usual purchases by federal government agencies. The decline in overall average selling prices is primarily attributed to price competition in the market served by the Company's desktop product line.</w:t>
      </w:r>
    </w:p>
    <w:p>
      <w:pPr>
        <w:spacing w:after="0" w:line="102" w:lineRule="exact"/>
        <w:rPr>
          <w:sz w:val="20"/>
          <w:szCs w:val="20"/>
          <w:color w:val="auto"/>
        </w:rPr>
      </w:pPr>
    </w:p>
    <w:p>
      <w:pPr>
        <w:ind w:right="2639" w:firstLine="469"/>
        <w:spacing w:after="0" w:line="275" w:lineRule="auto"/>
        <w:rPr>
          <w:sz w:val="20"/>
          <w:szCs w:val="20"/>
          <w:color w:val="auto"/>
        </w:rPr>
      </w:pPr>
      <w:r>
        <w:rPr>
          <w:rFonts w:ascii="Courier New" w:cs="Courier New" w:eastAsia="Courier New" w:hAnsi="Courier New"/>
          <w:sz w:val="16"/>
          <w:szCs w:val="16"/>
          <w:color w:val="auto"/>
        </w:rPr>
        <w:t>Net sales from PC operations for the first quarter of 2000 decreased by approximately 2% as compared to the fourth quarter of 1999 primarily due to a 4% decrease in unit sales. The decrease in unit sales is primarily due to a 16% decrease in notebook shipments.</w:t>
      </w:r>
    </w:p>
    <w:p>
      <w:pPr>
        <w:spacing w:after="0" w:line="7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Gross Margin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First Quarter</w:t>
            </w:r>
          </w:p>
        </w:tc>
        <w:tc>
          <w:tcPr>
            <w:tcW w:w="700" w:type="dxa"/>
            <w:vAlign w:val="bottom"/>
          </w:tcPr>
          <w:p>
            <w:pPr>
              <w:spacing w:after="0"/>
              <w:rPr>
                <w:sz w:val="15"/>
                <w:szCs w:val="15"/>
                <w:color w:val="auto"/>
              </w:rPr>
            </w:pPr>
          </w:p>
        </w:tc>
      </w:tr>
      <w:tr>
        <w:trPr>
          <w:trHeight w:val="181"/>
        </w:trPr>
        <w:tc>
          <w:tcPr>
            <w:tcW w:w="3000" w:type="dxa"/>
            <w:vAlign w:val="bottom"/>
          </w:tcPr>
          <w:p>
            <w:pPr>
              <w:spacing w:after="0"/>
              <w:rPr>
                <w:sz w:val="15"/>
                <w:szCs w:val="15"/>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3000" w:type="dxa"/>
            <w:vAlign w:val="bottom"/>
          </w:tcPr>
          <w:p>
            <w:pPr>
              <w:spacing w:after="0"/>
              <w:rPr>
                <w:sz w:val="15"/>
                <w:szCs w:val="15"/>
                <w:color w:val="auto"/>
              </w:rPr>
            </w:pPr>
          </w:p>
        </w:tc>
        <w:tc>
          <w:tcPr>
            <w:tcW w:w="2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Change</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264"/>
        </w:trPr>
        <w:tc>
          <w:tcPr>
            <w:tcW w:w="3000" w:type="dxa"/>
            <w:vAlign w:val="bottom"/>
          </w:tcPr>
          <w:p>
            <w:pPr>
              <w:spacing w:after="0"/>
              <w:rPr>
                <w:sz w:val="22"/>
                <w:szCs w:val="22"/>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277"/>
        </w:trPr>
        <w:tc>
          <w:tcPr>
            <w:tcW w:w="30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2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$813.7</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602.1%</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$115.9</w:t>
            </w:r>
          </w:p>
        </w:tc>
      </w:tr>
      <w:tr>
        <w:trPr>
          <w:trHeight w:val="264"/>
        </w:trPr>
        <w:tc>
          <w:tcPr>
            <w:tcW w:w="3000" w:type="dxa"/>
            <w:vAlign w:val="bottom"/>
          </w:tcPr>
          <w:p>
            <w:pPr>
              <w:ind w:left="560"/>
              <w:spacing w:after="0"/>
              <w:rPr>
                <w:sz w:val="20"/>
                <w:szCs w:val="20"/>
                <w:color w:val="auto"/>
              </w:rPr>
            </w:pPr>
            <w:r>
              <w:rPr>
                <w:rFonts w:ascii="Courier New" w:cs="Courier New" w:eastAsia="Courier New" w:hAnsi="Courier New"/>
                <w:sz w:val="16"/>
                <w:szCs w:val="16"/>
                <w:color w:val="auto"/>
              </w:rPr>
              <w:t>as a % of net sales</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51.4%</w:t>
            </w:r>
          </w:p>
        </w:tc>
        <w:tc>
          <w:tcPr>
            <w:tcW w:w="1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542"/>
        </w:trPr>
        <w:tc>
          <w:tcPr>
            <w:tcW w:w="3000" w:type="dxa"/>
            <w:vAlign w:val="bottom"/>
          </w:tcPr>
          <w:p>
            <w:pPr>
              <w:spacing w:after="0"/>
              <w:rPr>
                <w:sz w:val="24"/>
                <w:szCs w:val="24"/>
                <w:color w:val="auto"/>
              </w:rPr>
            </w:pPr>
          </w:p>
        </w:tc>
        <w:tc>
          <w:tcPr>
            <w:tcW w:w="22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14</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139"/>
          </w:cols>
          <w:pgMar w:left="320" w:top="631" w:right="1440" w:bottom="1440" w:gutter="0" w:footer="0" w:header="0"/>
        </w:sectPr>
      </w:pPr>
    </w:p>
    <w:bookmarkStart w:id="15" w:name="page16"/>
    <w:bookmarkEnd w:id="15"/>
    <w:p>
      <w:pPr>
        <w:ind w:right="2819" w:firstLine="469"/>
        <w:spacing w:after="0" w:line="254" w:lineRule="auto"/>
        <w:rPr>
          <w:sz w:val="20"/>
          <w:szCs w:val="20"/>
          <w:color w:val="auto"/>
        </w:rPr>
      </w:pPr>
      <w:r>
        <w:rPr>
          <w:rFonts w:ascii="Courier New" w:cs="Courier New" w:eastAsia="Courier New" w:hAnsi="Courier New"/>
          <w:sz w:val="16"/>
          <w:szCs w:val="16"/>
          <w:color w:val="auto"/>
        </w:rPr>
        <w:t>The increase in the Company's consolidated gross margin for the first quarter of 2000 as compared to the first quarter of 1999 is attributable to reductions in the Company's per megabit costs in its semiconductor operations. The Company's consolidated gross margin percentage for the fourth quarter of 1999 was 21%. The increase in gross margin for the first quarter of 2000 as compared to the fourth quarter of 1999 resulted primarily from an approximate 70% increase in average selling prices for the Company's semiconductor memory products.</w:t>
      </w:r>
    </w:p>
    <w:p>
      <w:pPr>
        <w:spacing w:after="0" w:line="91" w:lineRule="exact"/>
        <w:rPr>
          <w:sz w:val="20"/>
          <w:szCs w:val="20"/>
          <w:color w:val="auto"/>
        </w:rPr>
      </w:pPr>
    </w:p>
    <w:p>
      <w:pPr>
        <w:ind w:right="2719" w:firstLine="469"/>
        <w:spacing w:after="0" w:line="274" w:lineRule="auto"/>
        <w:rPr>
          <w:sz w:val="20"/>
          <w:szCs w:val="20"/>
          <w:color w:val="auto"/>
        </w:rPr>
      </w:pPr>
      <w:r>
        <w:rPr>
          <w:rFonts w:ascii="Courier New" w:cs="Courier New" w:eastAsia="Courier New" w:hAnsi="Courier New"/>
          <w:sz w:val="15"/>
          <w:szCs w:val="15"/>
          <w:color w:val="auto"/>
        </w:rPr>
        <w:t>The gross margin percentage for the Company's semiconductor operations for the first quarter of 2000 was 58%, compared to 14% for the first quarter of</w:t>
      </w:r>
    </w:p>
    <w:p>
      <w:pPr>
        <w:spacing w:after="0" w:line="1" w:lineRule="exact"/>
        <w:rPr>
          <w:sz w:val="20"/>
          <w:szCs w:val="20"/>
          <w:color w:val="auto"/>
        </w:rPr>
      </w:pPr>
    </w:p>
    <w:p>
      <w:pPr>
        <w:ind w:right="2639"/>
        <w:spacing w:after="0" w:line="251" w:lineRule="auto"/>
        <w:rPr>
          <w:sz w:val="20"/>
          <w:szCs w:val="20"/>
          <w:color w:val="auto"/>
        </w:rPr>
      </w:pPr>
      <w:r>
        <w:rPr>
          <w:rFonts w:ascii="Courier New" w:cs="Courier New" w:eastAsia="Courier New" w:hAnsi="Courier New"/>
          <w:sz w:val="16"/>
          <w:szCs w:val="16"/>
          <w:color w:val="auto"/>
        </w:rPr>
        <w:t>1999. The gross margin increase was due to comparative decreases in per megabit costs which were achieved primarily through continued improvements in manufacturing efficiencies and improved cost on products purchased from MTI's joint ventures. Decreases in per megabit manufacturing costs were achieved principally through transitions to shrink versions of existing products and shifts in the Company's mix of semiconductor memory products to a higher average density.</w:t>
      </w:r>
    </w:p>
    <w:p>
      <w:pPr>
        <w:spacing w:after="0" w:line="90"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The gross margin percentage on sales of semiconductor memory products for the fourth quarter of 1999 was 23%. The increase in gross margin percentage for semiconductor memory products sold in the first quarter of 2000 as compared to the fourth quarter of 1999 was primarily the result of the 70% increase in average selling prices per megabit of memory.</w:t>
      </w:r>
    </w:p>
    <w:p>
      <w:pPr>
        <w:spacing w:after="0" w:line="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Subject to certain terms and conditions, MTI has agreed to purchase the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entire output from two joint venture wafer fabrication facilities, TECH</w:t>
      </w:r>
    </w:p>
    <w:p>
      <w:pPr>
        <w:spacing w:after="0"/>
        <w:rPr>
          <w:sz w:val="20"/>
          <w:szCs w:val="20"/>
          <w:color w:val="auto"/>
        </w:rPr>
      </w:pPr>
      <w:r>
        <w:rPr>
          <w:rFonts w:ascii="Courier New" w:cs="Courier New" w:eastAsia="Courier New" w:hAnsi="Courier New"/>
          <w:sz w:val="16"/>
          <w:szCs w:val="16"/>
          <w:color w:val="auto"/>
        </w:rPr>
        <w:t>Semiconductor Singapore Pte. Ltd. ("TECH") and KMT Semiconductor Limited</w:t>
      </w:r>
    </w:p>
    <w:p>
      <w:pPr>
        <w:spacing w:after="0"/>
        <w:rPr>
          <w:sz w:val="20"/>
          <w:szCs w:val="20"/>
          <w:color w:val="auto"/>
        </w:rPr>
      </w:pPr>
      <w:r>
        <w:rPr>
          <w:rFonts w:ascii="Courier New" w:cs="Courier New" w:eastAsia="Courier New" w:hAnsi="Courier New"/>
          <w:sz w:val="15"/>
          <w:szCs w:val="15"/>
          <w:color w:val="auto"/>
        </w:rPr>
        <w:t>("KMT"). TECH and KMT are collectively referred to herein as the "JVs." The cost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products purchased from the JVs is subject to significant fluctuations, based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part on MTI's average selling prices. The Company expects the cost of</w:t>
      </w:r>
    </w:p>
    <w:p>
      <w:pPr>
        <w:spacing w:after="0"/>
        <w:rPr>
          <w:sz w:val="20"/>
          <w:szCs w:val="20"/>
          <w:color w:val="auto"/>
        </w:rPr>
      </w:pPr>
      <w:r>
        <w:rPr>
          <w:rFonts w:ascii="Courier New" w:cs="Courier New" w:eastAsia="Courier New" w:hAnsi="Courier New"/>
          <w:sz w:val="15"/>
          <w:szCs w:val="15"/>
          <w:color w:val="auto"/>
        </w:rPr>
        <w:t>products purchased from the JVs to be higher in the second quarter of 2000 than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first quarter. MTI is a party to various agreements with the JVs whereby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MTI provides technology, engineering support, training and information systems</w:t>
      </w:r>
    </w:p>
    <w:p>
      <w:pPr>
        <w:spacing w:after="0"/>
        <w:rPr>
          <w:sz w:val="20"/>
          <w:szCs w:val="20"/>
          <w:color w:val="auto"/>
        </w:rPr>
      </w:pPr>
      <w:r>
        <w:rPr>
          <w:rFonts w:ascii="Courier New" w:cs="Courier New" w:eastAsia="Courier New" w:hAnsi="Courier New"/>
          <w:sz w:val="16"/>
          <w:szCs w:val="16"/>
          <w:color w:val="auto"/>
        </w:rPr>
        <w:t>support to the JVs. MTI also performs assembly and test services on product</w:t>
      </w:r>
    </w:p>
    <w:p>
      <w:pPr>
        <w:spacing w:after="0"/>
        <w:rPr>
          <w:sz w:val="20"/>
          <w:szCs w:val="20"/>
          <w:color w:val="auto"/>
        </w:rPr>
      </w:pPr>
      <w:r>
        <w:rPr>
          <w:rFonts w:ascii="Courier New" w:cs="Courier New" w:eastAsia="Courier New" w:hAnsi="Courier New"/>
          <w:sz w:val="15"/>
          <w:szCs w:val="15"/>
          <w:color w:val="auto"/>
        </w:rPr>
        <w:t>manufactured by the JVs. All transactions with the JVs are recognized as part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net cost of products purchased from the JVs and as such can impact the</w:t>
      </w:r>
    </w:p>
    <w:p>
      <w:pPr>
        <w:spacing w:after="0"/>
        <w:rPr>
          <w:sz w:val="20"/>
          <w:szCs w:val="20"/>
          <w:color w:val="auto"/>
        </w:rPr>
      </w:pPr>
      <w:r>
        <w:rPr>
          <w:rFonts w:ascii="Courier New" w:cs="Courier New" w:eastAsia="Courier New" w:hAnsi="Courier New"/>
          <w:sz w:val="16"/>
          <w:szCs w:val="16"/>
          <w:color w:val="auto"/>
        </w:rPr>
        <w:t>Company's gross margin percentage. The Company expects the gross margin on</w:t>
      </w:r>
    </w:p>
    <w:p>
      <w:pPr>
        <w:spacing w:after="0"/>
        <w:rPr>
          <w:sz w:val="20"/>
          <w:szCs w:val="20"/>
          <w:color w:val="auto"/>
        </w:rPr>
      </w:pPr>
      <w:r>
        <w:rPr>
          <w:rFonts w:ascii="Courier New" w:cs="Courier New" w:eastAsia="Courier New" w:hAnsi="Courier New"/>
          <w:sz w:val="16"/>
          <w:szCs w:val="16"/>
          <w:color w:val="auto"/>
        </w:rPr>
        <w:t>products purchased from the JVs to be lower in the second quarter of 2000 than</w:t>
      </w:r>
    </w:p>
    <w:p>
      <w:pPr>
        <w:spacing w:after="0"/>
        <w:rPr>
          <w:sz w:val="20"/>
          <w:szCs w:val="20"/>
          <w:color w:val="auto"/>
        </w:rPr>
      </w:pPr>
      <w:r>
        <w:rPr>
          <w:rFonts w:ascii="Courier New" w:cs="Courier New" w:eastAsia="Courier New" w:hAnsi="Courier New"/>
          <w:sz w:val="16"/>
          <w:szCs w:val="16"/>
          <w:color w:val="auto"/>
        </w:rPr>
        <w:t>in the first quarter.</w:t>
      </w:r>
    </w:p>
    <w:p>
      <w:pPr>
        <w:spacing w:after="0" w:line="152" w:lineRule="exact"/>
        <w:rPr>
          <w:sz w:val="20"/>
          <w:szCs w:val="20"/>
          <w:color w:val="auto"/>
        </w:rPr>
      </w:pPr>
    </w:p>
    <w:p>
      <w:pPr>
        <w:ind w:right="2819" w:firstLine="469"/>
        <w:spacing w:after="0" w:line="274" w:lineRule="auto"/>
        <w:rPr>
          <w:sz w:val="20"/>
          <w:szCs w:val="20"/>
          <w:color w:val="auto"/>
        </w:rPr>
      </w:pPr>
      <w:r>
        <w:rPr>
          <w:rFonts w:ascii="Courier New" w:cs="Courier New" w:eastAsia="Courier New" w:hAnsi="Courier New"/>
          <w:sz w:val="15"/>
          <w:szCs w:val="15"/>
          <w:color w:val="auto"/>
        </w:rPr>
        <w:t>The gross margin percentage for the Company's PC operations for the first quarter of 2000 was 14%, compared with 15% and 18%, respectively, in the first and fourth quarters of 1999. The decrease for the PC operations gross margin percentage comparing the first quarter of 2000 to the first quarter of 1999 is due to the 9% decrease in average selling prices for the Company's PC systems. The decrease in PC operations gross margin percentage for the first quarter of 2000 as compared to the fourth quarter of 1999 is primarily due to increased costs for materials and increased pricing pressure in the government sector.</w:t>
      </w:r>
    </w:p>
    <w:p>
      <w:pPr>
        <w:spacing w:after="0" w:line="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First Quarter</w:t>
            </w:r>
          </w:p>
        </w:tc>
      </w:tr>
      <w:tr>
        <w:trPr>
          <w:trHeight w:val="181"/>
        </w:trPr>
        <w:tc>
          <w:tcPr>
            <w:tcW w:w="3620" w:type="dxa"/>
            <w:vAlign w:val="bottom"/>
          </w:tcPr>
          <w:p>
            <w:pPr>
              <w:spacing w:after="0"/>
              <w:rPr>
                <w:sz w:val="15"/>
                <w:szCs w:val="15"/>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362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 Change</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r>
      <w:tr>
        <w:trPr>
          <w:trHeight w:val="264"/>
        </w:trPr>
        <w:tc>
          <w:tcPr>
            <w:tcW w:w="3620" w:type="dxa"/>
            <w:vAlign w:val="bottom"/>
          </w:tcPr>
          <w:p>
            <w:pPr>
              <w:spacing w:after="0"/>
              <w:rPr>
                <w:sz w:val="22"/>
                <w:szCs w:val="22"/>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277"/>
        </w:trPr>
        <w:tc>
          <w:tcPr>
            <w:tcW w:w="36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$167.6</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62.7%</w:t>
            </w:r>
          </w:p>
        </w:tc>
        <w:tc>
          <w:tcPr>
            <w:tcW w:w="9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$103.0</w:t>
            </w:r>
          </w:p>
        </w:tc>
      </w:tr>
      <w:tr>
        <w:trPr>
          <w:trHeight w:val="264"/>
        </w:trPr>
        <w:tc>
          <w:tcPr>
            <w:tcW w:w="3620" w:type="dxa"/>
            <w:vAlign w:val="bottom"/>
          </w:tcPr>
          <w:p>
            <w:pPr>
              <w:ind w:left="280"/>
              <w:spacing w:after="0"/>
              <w:rPr>
                <w:sz w:val="20"/>
                <w:szCs w:val="20"/>
                <w:color w:val="auto"/>
              </w:rPr>
            </w:pPr>
            <w:r>
              <w:rPr>
                <w:rFonts w:ascii="Courier New" w:cs="Courier New" w:eastAsia="Courier New" w:hAnsi="Courier New"/>
                <w:sz w:val="16"/>
                <w:szCs w:val="16"/>
                <w:color w:val="auto"/>
              </w:rPr>
              <w:t>as a % of net sales</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10.6%</w:t>
            </w:r>
          </w:p>
        </w:tc>
        <w:tc>
          <w:tcPr>
            <w:tcW w:w="108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13.0%</w:t>
            </w:r>
          </w:p>
        </w:tc>
      </w:tr>
    </w:tbl>
    <w:p>
      <w:pPr>
        <w:spacing w:after="0" w:line="277" w:lineRule="exact"/>
        <w:rPr>
          <w:sz w:val="20"/>
          <w:szCs w:val="20"/>
          <w:color w:val="auto"/>
        </w:rPr>
      </w:pPr>
    </w:p>
    <w:p>
      <w:pPr>
        <w:ind w:right="2639" w:firstLine="469"/>
        <w:spacing w:after="0" w:line="252" w:lineRule="auto"/>
        <w:rPr>
          <w:sz w:val="20"/>
          <w:szCs w:val="20"/>
          <w:color w:val="auto"/>
        </w:rPr>
      </w:pPr>
      <w:r>
        <w:rPr>
          <w:rFonts w:ascii="Courier New" w:cs="Courier New" w:eastAsia="Courier New" w:hAnsi="Courier New"/>
          <w:sz w:val="16"/>
          <w:szCs w:val="16"/>
          <w:color w:val="auto"/>
        </w:rPr>
        <w:t>Selling, general and administrative expenses increased in the first quarter of 2000 as compared to the first and fourth quarters of 1999 primarily as a result of a $19 million charge for the market value of MEI common stock contributed by MTI to the Micron Technology Foundation, a higher level of performance based compensation costs for the Company's semiconductor operations and increased advertising expense for the Company's PC operations. Additionally, the increase in selling, general and administrative expense for the first quarter of 2000 as compared to the first quarter of 1999 reflects a higher level of personnel expense for an increased number of administrative</w:t>
      </w:r>
    </w:p>
    <w:p>
      <w:pPr>
        <w:spacing w:after="0" w:line="9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631" w:right="1440" w:bottom="1440" w:gutter="0" w:footer="0" w:header="0"/>
        </w:sectPr>
      </w:pPr>
    </w:p>
    <w:bookmarkStart w:id="16" w:name="page17"/>
    <w:bookmarkEnd w:id="16"/>
    <w:p>
      <w:pPr>
        <w:ind w:right="420"/>
        <w:spacing w:after="0" w:line="266" w:lineRule="auto"/>
        <w:rPr>
          <w:sz w:val="20"/>
          <w:szCs w:val="20"/>
          <w:color w:val="auto"/>
        </w:rPr>
      </w:pPr>
      <w:r>
        <w:rPr>
          <w:rFonts w:ascii="Courier New" w:cs="Courier New" w:eastAsia="Courier New" w:hAnsi="Courier New"/>
          <w:sz w:val="16"/>
          <w:szCs w:val="16"/>
          <w:color w:val="auto"/>
        </w:rPr>
        <w:t>employees associated with semiconductor and PC operations. Selling, general and administrative expenses for the first quarter of 2000 increased by 26% as compared to the fourth quarter of 1999. The Company expects selling, general and administrative expenses to remain at approximately the same level as the first quarter of 2000 for the remainder of the year.</w:t>
      </w:r>
    </w:p>
    <w:p>
      <w:pPr>
        <w:spacing w:after="0" w:line="2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 of net sales</w:t>
      </w:r>
    </w:p>
    <w:p>
      <w:pPr>
        <w:spacing w:after="0" w:line="332" w:lineRule="exact"/>
        <w:rPr>
          <w:sz w:val="20"/>
          <w:szCs w:val="20"/>
          <w:color w:val="auto"/>
        </w:rPr>
      </w:pPr>
    </w:p>
    <w:p>
      <w:pPr>
        <w:ind w:right="420" w:firstLine="469"/>
        <w:spacing w:after="0" w:line="263" w:lineRule="auto"/>
        <w:rPr>
          <w:sz w:val="20"/>
          <w:szCs w:val="20"/>
          <w:color w:val="auto"/>
        </w:rPr>
      </w:pPr>
      <w:r>
        <w:rPr>
          <w:rFonts w:ascii="Courier New" w:cs="Courier New" w:eastAsia="Courier New" w:hAnsi="Courier New"/>
          <w:sz w:val="15"/>
          <w:szCs w:val="15"/>
          <w:color w:val="auto"/>
        </w:rPr>
        <w:t>Substantially all the Company's research and development efforts relate to its semiconductor operations. Research and development expenses vary primarily with personnel costs, the cost of advanced equipment dedicated to new product and process development and the number of development wafers processed. Research and development efforts are focused on .15 micron line widths process technology, which is the primary determinant in transitioning to next generation and future products. Simultaneous research and development efforts across multiple products prepare the Company for future product introductions and allow current products to utilize the advanced process technology to achieve higher performance at lower production costs. Application of advanced process technology currently is concentrated on design of shrink versions of the Company's 64 Meg and 128 Meg SDRAMs and on design and development of the Company's 256 Meg and 512 Meg SDRAMs, Rambus(R) DRAM ("RDRAM"), Double Data Rate ("DDR") SDRAM, Flash and SRAM memory products. Other research and development efforts are currently devoted to the design and development of embedded memory products, system-on-a-chip ("SOC") solutions, and memory technology enablement.</w:t>
      </w:r>
    </w:p>
    <w:p>
      <w:pPr>
        <w:spacing w:after="0" w:line="2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Operating Expense, net</w:t>
      </w:r>
    </w:p>
    <w:p>
      <w:pPr>
        <w:spacing w:after="0" w:line="180" w:lineRule="exact"/>
        <w:rPr>
          <w:sz w:val="20"/>
          <w:szCs w:val="20"/>
          <w:color w:val="auto"/>
        </w:rPr>
      </w:pPr>
    </w:p>
    <w:p>
      <w:pPr>
        <w:ind w:right="600" w:firstLine="469"/>
        <w:spacing w:after="0" w:line="294" w:lineRule="auto"/>
        <w:rPr>
          <w:sz w:val="20"/>
          <w:szCs w:val="20"/>
          <w:color w:val="auto"/>
        </w:rPr>
      </w:pPr>
      <w:r>
        <w:rPr>
          <w:rFonts w:ascii="Courier New" w:cs="Courier New" w:eastAsia="Courier New" w:hAnsi="Courier New"/>
          <w:sz w:val="16"/>
          <w:szCs w:val="16"/>
          <w:color w:val="auto"/>
        </w:rPr>
        <w:t>Other operating expense for the first quarter of 2000 includes a net pre-tax charge of $18 million from the write down and disposal of semiconductor operations equipment.</w:t>
      </w:r>
    </w:p>
    <w:p>
      <w:pPr>
        <w:spacing w:after="0" w:line="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Non-Operating Income, net</w:t>
      </w:r>
    </w:p>
    <w:p>
      <w:pPr>
        <w:spacing w:after="0" w:line="180" w:lineRule="exact"/>
        <w:rPr>
          <w:sz w:val="20"/>
          <w:szCs w:val="20"/>
          <w:color w:val="auto"/>
        </w:rPr>
      </w:pPr>
    </w:p>
    <w:p>
      <w:pPr>
        <w:ind w:right="420" w:firstLine="469"/>
        <w:spacing w:after="0" w:line="281" w:lineRule="auto"/>
        <w:rPr>
          <w:sz w:val="20"/>
          <w:szCs w:val="20"/>
          <w:color w:val="auto"/>
        </w:rPr>
      </w:pPr>
      <w:r>
        <w:rPr>
          <w:rFonts w:ascii="Courier New" w:cs="Courier New" w:eastAsia="Courier New" w:hAnsi="Courier New"/>
          <w:sz w:val="15"/>
          <w:szCs w:val="15"/>
          <w:color w:val="auto"/>
        </w:rPr>
        <w:t>Other non-operating income for the first quarter of 2000 includes a $10 million gain on the contribution by MTI of 1.9 million shares of MEI Common Stock (the "Contribution") to the Micron Technology Foundation. The Contribution decreased MTI's ownership interest in MEI from approximately 63% to 61%. Selling, general and administrative expense in the first quarter of 2000 reflects a $19 million charge for the market value of the stock contributed.</w:t>
      </w:r>
    </w:p>
    <w:p>
      <w:pPr>
        <w:spacing w:after="0" w:line="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 Provision (Benefit)</w:t>
      </w:r>
    </w:p>
    <w:p>
      <w:pPr>
        <w:spacing w:after="0" w:line="180" w:lineRule="exact"/>
        <w:rPr>
          <w:sz w:val="20"/>
          <w:szCs w:val="20"/>
          <w:color w:val="auto"/>
        </w:rPr>
      </w:pPr>
    </w:p>
    <w:p>
      <w:pPr>
        <w:ind w:right="420" w:firstLine="469"/>
        <w:spacing w:after="0" w:line="257" w:lineRule="auto"/>
        <w:rPr>
          <w:sz w:val="20"/>
          <w:szCs w:val="20"/>
          <w:color w:val="auto"/>
        </w:rPr>
      </w:pPr>
      <w:r>
        <w:rPr>
          <w:rFonts w:ascii="Courier New" w:cs="Courier New" w:eastAsia="Courier New" w:hAnsi="Courier New"/>
          <w:sz w:val="16"/>
          <w:szCs w:val="16"/>
          <w:color w:val="auto"/>
        </w:rPr>
        <w:t>The effective tax rates for the first quarter of 2000 and 1999 approximated 35% and 40%, respectively. The reduction in the effective tax rate is principally a result of favorable tax treatment on permanently reinvested earnings from certain of the Company's foreign operations. Taxes on earnings of certain foreign operations and domestic subsidiaries not consolidated for tax purposes may cause the effective tax rate to vary significantly from period to period.</w:t>
      </w:r>
    </w:p>
    <w:p>
      <w:pPr>
        <w:spacing w:after="0" w:line="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0" w:lineRule="exact"/>
        <w:rPr>
          <w:sz w:val="20"/>
          <w:szCs w:val="20"/>
          <w:color w:val="auto"/>
        </w:rPr>
      </w:pPr>
    </w:p>
    <w:p>
      <w:pPr>
        <w:ind w:right="420" w:firstLine="469"/>
        <w:spacing w:after="0" w:line="266" w:lineRule="auto"/>
        <w:rPr>
          <w:sz w:val="20"/>
          <w:szCs w:val="20"/>
          <w:color w:val="auto"/>
        </w:rPr>
      </w:pPr>
      <w:r>
        <w:rPr>
          <w:rFonts w:ascii="Courier New" w:cs="Courier New" w:eastAsia="Courier New" w:hAnsi="Courier New"/>
          <w:sz w:val="16"/>
          <w:szCs w:val="16"/>
          <w:color w:val="auto"/>
        </w:rPr>
        <w:t>Recently issued accounting standards include Statement of Position ("SOP") 98-1 "Accounting for the Costs of Computer Software Developed or Obtained for Internal Use," issued by the AICPA in March 1998 and Statement of Financial Accounting Standards ("SFAS") No. 133 "Accounting for Derivative Instruments and Hedging Activities," issued by the FASB in June 1998.</w:t>
      </w:r>
    </w:p>
    <w:p>
      <w:pPr>
        <w:spacing w:after="0" w:line="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First Quarter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80"/>
        <w:spacing w:after="0"/>
        <w:tabs>
          <w:tab w:leader="none" w:pos="820" w:val="left"/>
          <w:tab w:leader="none" w:pos="2040" w:val="left"/>
        </w:tabs>
        <w:rPr>
          <w:sz w:val="20"/>
          <w:szCs w:val="20"/>
          <w:color w:val="auto"/>
        </w:rPr>
      </w:pPr>
      <w:r>
        <w:rPr>
          <w:rFonts w:ascii="Courier New" w:cs="Courier New" w:eastAsia="Courier New" w:hAnsi="Courier New"/>
          <w:sz w:val="16"/>
          <w:szCs w:val="16"/>
          <w:color w:val="auto"/>
        </w:rPr>
        <w:t>2000</w:t>
        <w:tab/>
        <w:t>% Change</w:t>
      </w:r>
      <w:r>
        <w:rPr>
          <w:sz w:val="20"/>
          <w:szCs w:val="20"/>
          <w:color w:val="auto"/>
        </w:rPr>
        <w:tab/>
      </w:r>
      <w:r>
        <w:rPr>
          <w:rFonts w:ascii="Courier New" w:cs="Courier New" w:eastAsia="Courier New" w:hAnsi="Courier New"/>
          <w:sz w:val="15"/>
          <w:szCs w:val="15"/>
          <w:color w:val="auto"/>
        </w:rPr>
        <w:t>1999</w:t>
      </w:r>
    </w:p>
    <w:p>
      <w:pPr>
        <w:spacing w:after="0"/>
        <w:rPr>
          <w:sz w:val="20"/>
          <w:szCs w:val="20"/>
          <w:color w:val="auto"/>
        </w:rPr>
      </w:pPr>
      <w:r>
        <w:rPr>
          <w:rFonts w:ascii="Courier New" w:cs="Courier New" w:eastAsia="Courier New" w:hAnsi="Courier New"/>
          <w:sz w:val="15"/>
          <w:szCs w:val="15"/>
          <w:color w:val="auto"/>
        </w:rPr>
        <w:t>-----------------------------</w:t>
      </w:r>
    </w:p>
    <w:tbl>
      <w:tblPr>
        <w:tblLayout w:type="fixed"/>
        <w:tblInd w:w="80" w:type="dxa"/>
        <w:tblCellMar>
          <w:top w:w="0" w:type="dxa"/>
          <w:left w:w="0" w:type="dxa"/>
          <w:bottom w:w="0" w:type="dxa"/>
          <w:right w:w="0" w:type="dxa"/>
        </w:tblCellMar>
      </w:tblPr>
      <w:tr>
        <w:trPr>
          <w:trHeight w:val="163"/>
        </w:trPr>
        <w:tc>
          <w:tcPr>
            <w:tcW w:w="760" w:type="dxa"/>
            <w:vAlign w:val="bottom"/>
          </w:tcPr>
          <w:p>
            <w:pPr>
              <w:jc w:val="right"/>
              <w:ind w:right="202"/>
              <w:spacing w:after="0" w:line="164" w:lineRule="exact"/>
              <w:rPr>
                <w:sz w:val="20"/>
                <w:szCs w:val="20"/>
                <w:color w:val="auto"/>
              </w:rPr>
            </w:pPr>
            <w:r>
              <w:rPr>
                <w:rFonts w:ascii="Courier New" w:cs="Courier New" w:eastAsia="Courier New" w:hAnsi="Courier New"/>
                <w:sz w:val="16"/>
                <w:szCs w:val="16"/>
                <w:color w:val="auto"/>
                <w:w w:val="95"/>
              </w:rPr>
              <w:t>$91.7</w:t>
            </w:r>
          </w:p>
        </w:tc>
        <w:tc>
          <w:tcPr>
            <w:tcW w:w="940" w:type="dxa"/>
            <w:vAlign w:val="bottom"/>
          </w:tcPr>
          <w:p>
            <w:pPr>
              <w:jc w:val="right"/>
              <w:ind w:right="202"/>
              <w:spacing w:after="0" w:line="164" w:lineRule="exact"/>
              <w:rPr>
                <w:sz w:val="20"/>
                <w:szCs w:val="20"/>
                <w:color w:val="auto"/>
              </w:rPr>
            </w:pPr>
            <w:r>
              <w:rPr>
                <w:rFonts w:ascii="Courier New" w:cs="Courier New" w:eastAsia="Courier New" w:hAnsi="Courier New"/>
                <w:sz w:val="16"/>
                <w:szCs w:val="16"/>
                <w:color w:val="auto"/>
              </w:rPr>
              <w:t>35.5%</w:t>
            </w:r>
          </w:p>
        </w:tc>
        <w:tc>
          <w:tcPr>
            <w:tcW w:w="840" w:type="dxa"/>
            <w:vAlign w:val="bottom"/>
          </w:tcPr>
          <w:p>
            <w:pPr>
              <w:jc w:val="right"/>
              <w:ind w:right="22"/>
              <w:spacing w:after="0" w:line="164" w:lineRule="exact"/>
              <w:rPr>
                <w:sz w:val="20"/>
                <w:szCs w:val="20"/>
                <w:color w:val="auto"/>
              </w:rPr>
            </w:pPr>
            <w:r>
              <w:rPr>
                <w:rFonts w:ascii="Courier New" w:cs="Courier New" w:eastAsia="Courier New" w:hAnsi="Courier New"/>
                <w:sz w:val="16"/>
                <w:szCs w:val="16"/>
                <w:color w:val="auto"/>
              </w:rPr>
              <w:t>$67.7</w:t>
            </w:r>
          </w:p>
        </w:tc>
      </w:tr>
      <w:tr>
        <w:trPr>
          <w:trHeight w:val="264"/>
        </w:trPr>
        <w:tc>
          <w:tcPr>
            <w:tcW w:w="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w:t>
            </w:r>
          </w:p>
        </w:tc>
        <w:tc>
          <w:tcPr>
            <w:tcW w:w="9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bl>
    <w:p>
      <w:pPr>
        <w:sectPr>
          <w:pgSz w:w="11900" w:h="16838" w:orient="portrait"/>
          <w:cols w:equalWidth="0" w:num="2">
            <w:col w:w="7920" w:space="720"/>
            <w:col w:w="2700"/>
          </w:cols>
          <w:pgMar w:left="320" w:top="631" w:right="239" w:bottom="1440" w:gutter="0" w:footer="0" w:header="0"/>
        </w:sectPr>
      </w:pPr>
    </w:p>
    <w:bookmarkStart w:id="17" w:name="page18"/>
    <w:bookmarkEnd w:id="17"/>
    <w:p>
      <w:pPr>
        <w:ind w:right="2639" w:firstLine="469"/>
        <w:spacing w:after="0" w:line="257" w:lineRule="auto"/>
        <w:rPr>
          <w:sz w:val="20"/>
          <w:szCs w:val="20"/>
          <w:color w:val="auto"/>
        </w:rPr>
      </w:pPr>
      <w:r>
        <w:rPr>
          <w:rFonts w:ascii="Courier New" w:cs="Courier New" w:eastAsia="Courier New" w:hAnsi="Courier New"/>
          <w:sz w:val="16"/>
          <w:szCs w:val="16"/>
          <w:color w:val="auto"/>
        </w:rPr>
        <w:t>SOP 98-1 requires companies to capitalize certain costs of computer software developed or obtained for internal use. The Company, which previously capitalized costs of purchased internal-use computer software and expensed costs of internally developed internal-use software as incurred, adopted the standard in the first quarter of 2000 for developmental costs incurred in that quarter and thereafter. The adoption did not have a material impact on the Company's results of operations.</w:t>
      </w:r>
    </w:p>
    <w:p>
      <w:pPr>
        <w:spacing w:after="0" w:line="86" w:lineRule="exact"/>
        <w:rPr>
          <w:sz w:val="20"/>
          <w:szCs w:val="20"/>
          <w:color w:val="auto"/>
        </w:rPr>
      </w:pPr>
    </w:p>
    <w:p>
      <w:pPr>
        <w:ind w:right="2639" w:firstLine="469"/>
        <w:spacing w:after="0" w:line="267" w:lineRule="auto"/>
        <w:rPr>
          <w:sz w:val="20"/>
          <w:szCs w:val="20"/>
          <w:color w:val="auto"/>
        </w:rPr>
      </w:pPr>
      <w:r>
        <w:rPr>
          <w:rFonts w:ascii="Courier New" w:cs="Courier New" w:eastAsia="Courier New" w:hAnsi="Courier New"/>
          <w:sz w:val="15"/>
          <w:szCs w:val="15"/>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The implementation of SFAS 133 is not expected to have a significant impact on the Company's future results of operations or financial position.</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0"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As of December 2, 1999, the Company had cash and liquid investments totaling $1.9 billion, representing an increase of $273 million during the first three months of 2000. The Company's principal source of liquidity during the first three months of 2000 was net cash flow from operations of $549 million. The principal use of funds during the first three months of 2000 was $220 million for property, plant and equipment expenditures.</w:t>
      </w:r>
    </w:p>
    <w:p>
      <w:pPr>
        <w:spacing w:after="0" w:line="81" w:lineRule="exact"/>
        <w:rPr>
          <w:sz w:val="20"/>
          <w:szCs w:val="20"/>
          <w:color w:val="auto"/>
        </w:rPr>
      </w:pPr>
    </w:p>
    <w:p>
      <w:pPr>
        <w:ind w:right="2639" w:firstLine="469"/>
        <w:spacing w:after="0" w:line="269" w:lineRule="auto"/>
        <w:rPr>
          <w:sz w:val="20"/>
          <w:szCs w:val="20"/>
          <w:color w:val="auto"/>
        </w:rPr>
      </w:pPr>
      <w:r>
        <w:rPr>
          <w:rFonts w:ascii="Courier New" w:cs="Courier New" w:eastAsia="Courier New" w:hAnsi="Courier New"/>
          <w:sz w:val="15"/>
          <w:szCs w:val="15"/>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$1.5 billion in fiscal 2000 for purchases of equipment and for construction and improvement of buildings, of which it has spent approximately $291 million to date. As of December 2, 1999, the Company had entered into contracts extending into fiscal 2001 for approximately $911 million for equipment purchases and approximately $65 million for the construction of facilities.</w:t>
      </w:r>
    </w:p>
    <w:p>
      <w:pPr>
        <w:spacing w:after="0" w:line="82" w:lineRule="exact"/>
        <w:rPr>
          <w:sz w:val="20"/>
          <w:szCs w:val="20"/>
          <w:color w:val="auto"/>
        </w:rPr>
      </w:pPr>
    </w:p>
    <w:p>
      <w:pPr>
        <w:ind w:right="2639" w:firstLine="469"/>
        <w:spacing w:after="0" w:line="252" w:lineRule="auto"/>
        <w:rPr>
          <w:sz w:val="20"/>
          <w:szCs w:val="20"/>
          <w:color w:val="auto"/>
        </w:rPr>
      </w:pPr>
      <w:r>
        <w:rPr>
          <w:rFonts w:ascii="Courier New" w:cs="Courier New" w:eastAsia="Courier New" w:hAnsi="Courier New"/>
          <w:sz w:val="16"/>
          <w:szCs w:val="16"/>
          <w:color w:val="auto"/>
        </w:rPr>
        <w:t>As of December 2, 1999, approximately $363 million of the Company's consolidated cash and liquid investments were held by MEI. Cash generated by MEI is not readily available to finance operations or other expenditures of MTI's semiconductor memory operations. MEI has a $100 million unsecured credit agreement, expiring June 2001 which contains certain restrictive covenants pertaining to MEI, including certain financial ratios and limitations on the amount of dividends declared or paid by the Company. As of December 2, 1999, MEI had no borrowings outstanding under the agreement. MTI terminated its secured revolving credit agreement effective December 2, 1999.</w:t>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0"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The Company did not experience an interruption of its operations as a consequence of the transition from the year 1999 to the year 2000. The Company incurred aggregate incremental costs of approximately $6.4 million to complete its Year 2000 compliance programs.</w:t>
      </w:r>
    </w:p>
    <w:p>
      <w:pPr>
        <w:spacing w:after="0" w:line="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63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Certain Factors</w:t>
      </w:r>
    </w:p>
    <w:p>
      <w:pPr>
        <w:spacing w:after="0" w:line="180"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In addition to the factors discussed elsewhere in this Form 10-Q and in the Company's Form 10-K for the fiscal year ended September 2, 1999, the following are important factors which could cause actual results or events to differ materially from those contained in any forward looking statements made by or on behalf of the Company.</w:t>
      </w:r>
    </w:p>
    <w:p>
      <w:pPr>
        <w:spacing w:after="0" w:line="79" w:lineRule="exact"/>
        <w:rPr>
          <w:sz w:val="20"/>
          <w:szCs w:val="20"/>
          <w:color w:val="auto"/>
        </w:rPr>
      </w:pPr>
    </w:p>
    <w:p>
      <w:pPr>
        <w:ind w:right="2639" w:firstLine="469"/>
        <w:spacing w:after="0" w:line="251"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have approximated 30% on an annualized basis; however, significant fluctuations from this rate have occurred from time to time, including in recent periods.</w:t>
      </w:r>
    </w:p>
    <w:p>
      <w:pPr>
        <w:spacing w:after="0" w:line="91" w:lineRule="exact"/>
        <w:rPr>
          <w:sz w:val="20"/>
          <w:szCs w:val="20"/>
          <w:color w:val="auto"/>
        </w:rPr>
      </w:pPr>
    </w:p>
    <w:p>
      <w:pPr>
        <w:ind w:right="2639" w:firstLine="469"/>
        <w:spacing w:after="0" w:line="264"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outpaced growth in worldwide demand in recent years, resulting in a significant decrease in average selling prices for the Company's semiconductor memory products. The semiconductor industry in general and the DRAM market in particular, experienced a severe downturn from mid 1996 through 1999. Average per megabit prices declined approximately 37% comparing 1999 to 1998, following a 60% decline comparing 1998 to 1997 and a 75% decline comparing 1997 to 1996. Although the Company experienced improvements in average per megabit prices in the first quarter of 2000 as compared to the fourth quarter of 1999, the Company is unable to predict future prices for its products. In the event that average selling prices decline at a faster rate than the rate at which the Company is able to decrease per unit manufacturing costs, the Company's operations, cash flows and financial condition could be adversely affected.</w:t>
      </w:r>
    </w:p>
    <w:p>
      <w:pPr>
        <w:spacing w:after="0" w:line="85" w:lineRule="exact"/>
        <w:rPr>
          <w:sz w:val="20"/>
          <w:szCs w:val="20"/>
          <w:color w:val="auto"/>
        </w:rPr>
      </w:pPr>
    </w:p>
    <w:p>
      <w:pPr>
        <w:ind w:right="2639" w:firstLine="469"/>
        <w:spacing w:after="0" w:line="246" w:lineRule="auto"/>
        <w:rPr>
          <w:sz w:val="20"/>
          <w:szCs w:val="20"/>
          <w:color w:val="auto"/>
        </w:rPr>
      </w:pPr>
      <w:r>
        <w:rPr>
          <w:rFonts w:ascii="Courier New" w:cs="Courier New" w:eastAsia="Courier New" w:hAnsi="Courier New"/>
          <w:sz w:val="16"/>
          <w:szCs w:val="16"/>
          <w:color w:val="auto"/>
        </w:rPr>
        <w:t>The Company and its competitors are seeking improved yields, smaller die size and fewer mask levels in their product designs. These improvements could result in a significant increase in worldwide supply of semiconductor memory devices which could lead to further downward pressures on prices. The increase in worldwide semiconductor memory production resulting from the Company's full utilization of its international wafer fabrication operations and the transfer of its product and process technology to these operations may result in further downward pricing pressure on semiconductor memory products. In addition, consolidation by competitors in the semiconductor memory industry could provide competitors with greater capital resources and create the potential for greater worldwide investment in semiconductor memory capacity, which could exert further downward pressure on prices. Recent evidence of improved economic conditions in Asia could increase capital flows to that region and result in increased investment by Asian DRAM manufacturers to finance technology advancements and expansion projects, potentially increasing worldwide supply and leading to further downward pricing pressure.</w:t>
      </w:r>
    </w:p>
    <w:p>
      <w:pPr>
        <w:spacing w:after="0" w:line="97" w:lineRule="exact"/>
        <w:rPr>
          <w:sz w:val="20"/>
          <w:szCs w:val="20"/>
          <w:color w:val="auto"/>
        </w:rPr>
      </w:pPr>
    </w:p>
    <w:p>
      <w:pPr>
        <w:ind w:right="2639" w:firstLine="469"/>
        <w:spacing w:after="0" w:line="249" w:lineRule="auto"/>
        <w:rPr>
          <w:sz w:val="20"/>
          <w:szCs w:val="20"/>
          <w:color w:val="auto"/>
        </w:rPr>
      </w:pPr>
      <w:r>
        <w:rPr>
          <w:rFonts w:ascii="Courier New" w:cs="Courier New" w:eastAsia="Courier New" w:hAnsi="Courier New"/>
          <w:sz w:val="16"/>
          <w:szCs w:val="16"/>
          <w:color w:val="auto"/>
        </w:rPr>
        <w:t>The PC market continues to consume the majority of the Company's semiconductor production. In the first quarter of 2000, approximately 87% of the Company's sales of semiconductor memory products were sold into the PC or peripheral markets. DRAMs are the most widely used semiconductor memory component in most PC systems. Should the rate of growth for PC industry units decrease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marketing or inventory management strategies or end user demand, which are significant factors that influence prices for the Company's semiconductor memory products.</w:t>
      </w:r>
    </w:p>
    <w:p>
      <w:pPr>
        <w:spacing w:after="0" w:line="91"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6"/>
          <w:szCs w:val="16"/>
          <w:color w:val="auto"/>
        </w:rPr>
        <w:t>Over the past several years, the Company's productivity gains have continued to increase its semiconductor memory output. In recent periods, the Company has sold this additional semiconductor memory output by increasing its market share with several of its larger OEM customers and through sales to a broader customer base including accounts of lesser size and potentially lesser financial stability. In the event the Company is unable to further increase its market share with OEM customers, broaden its customer base, or if the Company experiences</w:t>
      </w:r>
    </w:p>
    <w:p>
      <w:pPr>
        <w:spacing w:after="0" w:line="9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139"/>
          </w:cols>
          <w:pgMar w:left="320" w:top="631" w:right="1440" w:bottom="1440" w:gutter="0" w:footer="0" w:header="0"/>
        </w:sectPr>
      </w:pPr>
    </w:p>
    <w:bookmarkStart w:id="19" w:name="page20"/>
    <w:bookmarkEnd w:id="19"/>
    <w:p>
      <w:pPr>
        <w:ind w:right="2819"/>
        <w:spacing w:after="0" w:line="349" w:lineRule="auto"/>
        <w:rPr>
          <w:sz w:val="20"/>
          <w:szCs w:val="20"/>
          <w:color w:val="auto"/>
        </w:rPr>
      </w:pPr>
      <w:r>
        <w:rPr>
          <w:rFonts w:ascii="Courier New" w:cs="Courier New" w:eastAsia="Courier New" w:hAnsi="Courier New"/>
          <w:sz w:val="16"/>
          <w:szCs w:val="16"/>
          <w:color w:val="auto"/>
        </w:rPr>
        <w:t>reductions in the level of OEM orders, the Company's results of operations and cash flows could be adversely affected.</w:t>
      </w:r>
    </w:p>
    <w:p>
      <w:pPr>
        <w:spacing w:after="0" w:line="15" w:lineRule="exact"/>
        <w:rPr>
          <w:sz w:val="20"/>
          <w:szCs w:val="20"/>
          <w:color w:val="auto"/>
        </w:rPr>
      </w:pPr>
    </w:p>
    <w:p>
      <w:pPr>
        <w:ind w:right="2639" w:firstLine="469"/>
        <w:spacing w:after="0" w:line="254" w:lineRule="auto"/>
        <w:rPr>
          <w:sz w:val="20"/>
          <w:szCs w:val="20"/>
          <w:color w:val="auto"/>
        </w:rPr>
      </w:pPr>
      <w:r>
        <w:rPr>
          <w:rFonts w:ascii="Courier New" w:cs="Courier New" w:eastAsia="Courier New" w:hAnsi="Courier New"/>
          <w:sz w:val="16"/>
          <w:szCs w:val="16"/>
          <w:color w:val="auto"/>
        </w:rPr>
        <w:t>The Company's semiconductor operations experience intense competition from a number of companies, including Hyundai Electronics Industries Co., Ltd., Infineon Technologies AG, NEC Corporation and Samsung Semiconductor, Inc. Some of the Company's competitors are very large corporations or conglomerates which may have greater resources and a better ability to withstand downturns in the semiconductor memory market. Additional mergers or consolidation in the industry could put the Company at a further disadvantage with respect to such competitors.</w:t>
      </w:r>
    </w:p>
    <w:p>
      <w:pPr>
        <w:spacing w:after="0" w:line="91" w:lineRule="exact"/>
        <w:rPr>
          <w:sz w:val="20"/>
          <w:szCs w:val="20"/>
          <w:color w:val="auto"/>
        </w:rPr>
      </w:pPr>
    </w:p>
    <w:p>
      <w:pPr>
        <w:ind w:right="2639" w:firstLine="469"/>
        <w:spacing w:after="0" w:line="246" w:lineRule="auto"/>
        <w:rPr>
          <w:sz w:val="20"/>
          <w:szCs w:val="20"/>
          <w:color w:val="auto"/>
        </w:rPr>
      </w:pPr>
      <w:r>
        <w:rPr>
          <w:rFonts w:ascii="Courier New" w:cs="Courier New" w:eastAsia="Courier New" w:hAnsi="Courier New"/>
          <w:sz w:val="16"/>
          <w:szCs w:val="16"/>
          <w:color w:val="auto"/>
        </w:rPr>
        <w:t>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 As the semiconductor industry transitions to higher bandwidth products including DDR SDRAM and RDRAM, the Company may encounter difficulties in achieving the semiconductor manufacturing efficiencies that it has historically achieved. The Company's productivity levels, die per wafer yields and in particular, backend assembly and test equipment requirements are expected to be affected by a transition to higher bandwidth products, likely resulting in higher per megabit production costs. There can be no assurance that the Company will successfully transition to these products or that it will be able to achieve its historical rate of cost per megabit reductions.</w:t>
      </w:r>
    </w:p>
    <w:p>
      <w:pPr>
        <w:spacing w:after="0" w:line="102" w:lineRule="exact"/>
        <w:rPr>
          <w:sz w:val="20"/>
          <w:szCs w:val="20"/>
          <w:color w:val="auto"/>
        </w:rPr>
      </w:pPr>
    </w:p>
    <w:p>
      <w:pPr>
        <w:ind w:right="2639" w:firstLine="469"/>
        <w:spacing w:after="0" w:line="250" w:lineRule="auto"/>
        <w:rPr>
          <w:sz w:val="20"/>
          <w:szCs w:val="20"/>
          <w:color w:val="auto"/>
        </w:rPr>
      </w:pPr>
      <w:r>
        <w:rPr>
          <w:rFonts w:ascii="Courier New" w:cs="Courier New" w:eastAsia="Courier New" w:hAnsi="Courier New"/>
          <w:sz w:val="16"/>
          <w:szCs w:val="16"/>
          <w:color w:val="auto"/>
        </w:rPr>
        <w:t>The Company is engaged in ongoing efforts to enhance its production processes to reduce per unit costs by reducing the die size of existing products. The result of such efforts has generally led to significant increases in megabit production. There can be no assurance that the Company will be able to maintain or approximate the rate of increase in megabit production at a level approaching that experienced in recent years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w:t>
      </w:r>
    </w:p>
    <w:p>
      <w:pPr>
        <w:spacing w:after="0" w:line="90"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5"/>
          <w:szCs w:val="15"/>
          <w:color w:val="auto"/>
        </w:rPr>
        <w:t>The raw materials utilized by the Company's semiconductor operations generally must meet exacting product specifications. The Company generally uses multiple sources of supply, but the number of suppliers capable of delivering certain raw materials is very limited. The availability of raw materials, such as silicon wafers, photolithography reticles, certain chemicals, lead frames and molding compound,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operations. Interruption of any one raw material source could adversely affect the Company's operations. Moreover, interruption of manufacturing due to any cause could materially adversely affect the Company's results of operations.</w:t>
      </w:r>
    </w:p>
    <w:p>
      <w:pPr>
        <w:spacing w:after="0" w:line="80" w:lineRule="exact"/>
        <w:rPr>
          <w:sz w:val="20"/>
          <w:szCs w:val="20"/>
          <w:color w:val="auto"/>
        </w:rPr>
      </w:pPr>
    </w:p>
    <w:p>
      <w:pPr>
        <w:ind w:right="2639" w:firstLine="469"/>
        <w:spacing w:after="0" w:line="263" w:lineRule="auto"/>
        <w:rPr>
          <w:sz w:val="20"/>
          <w:szCs w:val="20"/>
          <w:color w:val="auto"/>
        </w:rPr>
      </w:pPr>
      <w:r>
        <w:rPr>
          <w:rFonts w:ascii="Courier New" w:cs="Courier New" w:eastAsia="Courier New" w:hAnsi="Courier New"/>
          <w:sz w:val="15"/>
          <w:szCs w:val="15"/>
          <w:color w:val="auto"/>
        </w:rPr>
        <w:t>Subject to certain terms and conditions, MTI has agreed to purchase the entire output of the JVs. Historically, the JVs have required external financing to fund operations and to transition to the latest generation technologies in a timely or efficient manner. The JVs are also dependent on certain key personnel and on a limited number of sources for certain raw materials. In the event either of the JVs are unable to secure required external financing, experience a loss of key personnel, or incur significant interruption in the delivery of raw materials, the Company would experience a reduction in supply of product from the JVs. Any reduction of supply, regardless of cause, could adversely affect the Company's results of operations and cash flows. The JVs also rely on Texas Instruments Incorporated ("TI") computer networks and information technology services purchased from TI. If unforeseen difficulties are encountered in transitioning the JVs away from TI's software, hardware or services or if TI fails to perform its service agreement with the JVs before the JVs are ready to transition to new systems, JV production could be impacted and the Company's results of operations could be adversely affected.</w:t>
      </w:r>
    </w:p>
    <w:p>
      <w:pPr>
        <w:spacing w:after="0" w:line="90"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The semiconductor and PC industries have experienced a substantial amount of litigation regarding patent and other intellectual property rights. From time to time, third parties have asserted, and may in the future assert,</w:t>
      </w:r>
    </w:p>
    <w:p>
      <w:pPr>
        <w:spacing w:after="0" w:line="5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39"/>
          </w:cols>
          <w:pgMar w:left="320" w:top="631" w:right="1440" w:bottom="1440" w:gutter="0" w:footer="0" w:header="0"/>
        </w:sectPr>
      </w:pPr>
    </w:p>
    <w:bookmarkStart w:id="20" w:name="page21"/>
    <w:bookmarkEnd w:id="20"/>
    <w:p>
      <w:pPr>
        <w:ind w:right="2639"/>
        <w:spacing w:after="0" w:line="264" w:lineRule="auto"/>
        <w:rPr>
          <w:sz w:val="20"/>
          <w:szCs w:val="20"/>
          <w:color w:val="auto"/>
        </w:rPr>
      </w:pPr>
      <w:r>
        <w:rPr>
          <w:rFonts w:ascii="Courier New" w:cs="Courier New" w:eastAsia="Courier New" w:hAnsi="Courier New"/>
          <w:sz w:val="15"/>
          <w:szCs w:val="15"/>
          <w:color w:val="auto"/>
        </w:rPr>
        <w:t>that the Company's products or its processes infringe product or process technology rights held by such parties.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The Company is currently involved in litigation to enforce patents held by the Company and to defend the Company against claimed infringement of the rights of others. Adverse determinations that the Company's manufacturing processes or products have infringed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272" w:lineRule="exact"/>
        <w:rPr>
          <w:sz w:val="20"/>
          <w:szCs w:val="20"/>
          <w:color w:val="auto"/>
        </w:rPr>
      </w:pPr>
    </w:p>
    <w:p>
      <w:pPr>
        <w:ind w:right="2639" w:firstLine="469"/>
        <w:spacing w:after="0" w:line="246" w:lineRule="auto"/>
        <w:rPr>
          <w:sz w:val="20"/>
          <w:szCs w:val="20"/>
          <w:color w:val="auto"/>
        </w:rPr>
      </w:pPr>
      <w:r>
        <w:rPr>
          <w:rFonts w:ascii="Courier New" w:cs="Courier New" w:eastAsia="Courier New" w:hAnsi="Courier New"/>
          <w:sz w:val="16"/>
          <w:szCs w:val="16"/>
          <w:color w:val="auto"/>
        </w:rPr>
        <w:t>The Company's PC operations, through MEI, participate in a highly competitive industry characterized by intense pricing pressure, generally low gross margin percentages, rapid technological advances in hardware and software, frequent introduction of new products and rapidly declining component costs. Many of the Company's PC competitors have experienced greater growth rate, have greater brand name recognition and market share, offer broader product lines and have substantially greater financial, technical, marketing and other resources than the Company. The Company's PC competitors may also benefit from component volume purchasing and product and process technology license arrangements that are more favorable in terms of pricing and availability than the Company's arrangements. In addition, the Company may be at a relative cost disadvantage to certain of its competitors as a result of the Company's U.S. dollar denominated purchases of PC components during a period of relative weakening of the U.S. dollar. The failure of the Company to compete effectively in the PC market could have a material adverse effect on the Company's results of operations and financial position.</w:t>
      </w:r>
    </w:p>
    <w:p>
      <w:pPr>
        <w:spacing w:after="0" w:line="97" w:lineRule="exact"/>
        <w:rPr>
          <w:sz w:val="20"/>
          <w:szCs w:val="20"/>
          <w:color w:val="auto"/>
        </w:rPr>
      </w:pPr>
    </w:p>
    <w:p>
      <w:pPr>
        <w:ind w:right="2639" w:firstLine="469"/>
        <w:spacing w:after="0" w:line="262" w:lineRule="auto"/>
        <w:rPr>
          <w:sz w:val="20"/>
          <w:szCs w:val="20"/>
          <w:color w:val="auto"/>
        </w:rPr>
      </w:pPr>
      <w:r>
        <w:rPr>
          <w:rFonts w:ascii="Courier New" w:cs="Courier New" w:eastAsia="Courier New" w:hAnsi="Courier New"/>
          <w:sz w:val="15"/>
          <w:szCs w:val="15"/>
          <w:color w:val="auto"/>
        </w:rPr>
        <w:t>The Company's PC operations compete with a number of PC manufacturers, which sell their products primarily through direct channels, including Dell Computer Corporation and Gateway 2000, Inc. The Company also competes with PC manufacturers, such as Apple Computer, Inc., Compaq Computer Corporation, Hewlett-Packard Company, International Business Machines Corporation ("IBM"), NEC Corporation and Toshiba Corporation among others. Several of these manufacturers, which have traditionally sold their products through national and regional distributors, dealers and value added resellers and retail stores now sell their products through the direct channel. In addition, the Company expects to face increased competition in the U.S. direct sales market from foreign PC suppliers and from foreign and domestic suppliers of PC products that decide to implement, or devote additional resources to, a direct sales strategy. In order to gain an increased share of the United States PC direct sales market, these competitors may effect a pricing strategy that is more aggressive than the current pricing in the direct sales market or may have pricing strategies influenced by relative fluctuations in the U.S. dollar compared to other currencies. The Company continues to experience significant pressure on its PC operating results as a result of intense competition in the PC industry and consumer expectations of more powerful PC systems at lower prices.</w:t>
      </w:r>
    </w:p>
    <w:p>
      <w:pPr>
        <w:spacing w:after="0" w:line="272" w:lineRule="exact"/>
        <w:rPr>
          <w:sz w:val="20"/>
          <w:szCs w:val="20"/>
          <w:color w:val="auto"/>
        </w:rPr>
      </w:pPr>
    </w:p>
    <w:p>
      <w:pPr>
        <w:ind w:right="2639" w:firstLine="469"/>
        <w:spacing w:after="0" w:line="263" w:lineRule="auto"/>
        <w:rPr>
          <w:sz w:val="20"/>
          <w:szCs w:val="20"/>
          <w:color w:val="auto"/>
        </w:rPr>
      </w:pPr>
      <w:r>
        <w:rPr>
          <w:rFonts w:ascii="Courier New" w:cs="Courier New" w:eastAsia="Courier New" w:hAnsi="Courier New"/>
          <w:sz w:val="15"/>
          <w:szCs w:val="15"/>
          <w:color w:val="auto"/>
        </w:rPr>
        <w:t>MEI's e-services initiatives are designed around four key areas: web hosting, e-commerce, connectivity and computer hardware and desktop management. The offering of e-services increases the complexity of the Company's PC operations and may place a significant strain on MEI's operating, financial and managerial resources. There can be no assurance that MEI's resources will be adequate to support these initiatives. Furthermore, web hosting and connectivity are areas that are extremely competitive and subject to rapid changes in technology. A large number of companies, including Verio Inc. and Concentric Network Corporation, offer e-services similar to those provided by the Company. Large diversified companies such as Intel Corporation ("Intel"), IBM and AT&amp;T Corp. have indicated their intent to enter into the e-services market, which will intensify the competition. Many of these competitors have greater financial resources, strategic relationships, brand recognition and a larger customer base than MEI, any or all of which may prove critical for success in the e-service market. There can be no assurance that the Company will successfully compete in this market or that its efforts to succeed in this market will not diminish its ability to compete effectively in the PC market.</w:t>
      </w:r>
    </w:p>
    <w:p>
      <w:pPr>
        <w:spacing w:after="0" w:line="2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39"/>
          </w:cols>
          <w:pgMar w:left="320" w:top="631" w:right="1440" w:bottom="1440" w:gutter="0" w:footer="0" w:header="0"/>
        </w:sectPr>
      </w:pPr>
    </w:p>
    <w:bookmarkStart w:id="21" w:name="page22"/>
    <w:bookmarkEnd w:id="21"/>
    <w:p>
      <w:pPr>
        <w:ind w:right="2719" w:firstLine="469"/>
        <w:spacing w:after="0" w:line="248" w:lineRule="auto"/>
        <w:rPr>
          <w:sz w:val="20"/>
          <w:szCs w:val="20"/>
          <w:color w:val="auto"/>
        </w:rPr>
      </w:pPr>
      <w:r>
        <w:rPr>
          <w:rFonts w:ascii="Courier New" w:cs="Courier New" w:eastAsia="Courier New" w:hAnsi="Courier New"/>
          <w:sz w:val="16"/>
          <w:szCs w:val="16"/>
          <w:color w:val="auto"/>
        </w:rPr>
        <w:t>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 prices for its PC products, fluctuating market pricing for PCs,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MEI and its competitors and global market and economic conditions. MEI's operating results could have a material impact on the Company's consolidated operating results.</w:t>
      </w:r>
    </w:p>
    <w:p>
      <w:pPr>
        <w:spacing w:after="0" w:line="274" w:lineRule="exact"/>
        <w:rPr>
          <w:sz w:val="20"/>
          <w:szCs w:val="20"/>
          <w:color w:val="auto"/>
        </w:rPr>
      </w:pPr>
    </w:p>
    <w:p>
      <w:pPr>
        <w:ind w:right="2639" w:firstLine="469"/>
        <w:spacing w:after="0" w:line="248" w:lineRule="auto"/>
        <w:rPr>
          <w:sz w:val="20"/>
          <w:szCs w:val="20"/>
          <w:color w:val="auto"/>
        </w:rPr>
      </w:pPr>
      <w:r>
        <w:rPr>
          <w:rFonts w:ascii="Courier New" w:cs="Courier New" w:eastAsia="Courier New" w:hAnsi="Courier New"/>
          <w:sz w:val="16"/>
          <w:szCs w:val="16"/>
          <w:color w:val="auto"/>
        </w:rPr>
        <w:t>The Company is dependent upon a limited number of key management and technical personnel. In addition, the Company's future success will depend in part upon its ability to attract and retain highly qualified personnel in its worldwide operations particularly as it adds different product types to its product line, which require parallel design efforts and significantly increase the need for highly skilled technical personnel. The Company competes for such personnel with other companies, academic institutions and government entities. The Company has experienced, and expects to continue to experience,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93" w:lineRule="exact"/>
        <w:rPr>
          <w:sz w:val="20"/>
          <w:szCs w:val="20"/>
          <w:color w:val="auto"/>
        </w:rPr>
      </w:pPr>
    </w:p>
    <w:p>
      <w:pPr>
        <w:ind w:right="2639" w:firstLine="469"/>
        <w:spacing w:after="0" w:line="262" w:lineRule="auto"/>
        <w:rPr>
          <w:sz w:val="20"/>
          <w:szCs w:val="20"/>
          <w:color w:val="auto"/>
        </w:rPr>
      </w:pPr>
      <w:r>
        <w:rPr>
          <w:rFonts w:ascii="Courier New" w:cs="Courier New" w:eastAsia="Courier New" w:hAnsi="Courier New"/>
          <w:sz w:val="15"/>
          <w:szCs w:val="15"/>
          <w:color w:val="auto"/>
        </w:rPr>
        <w:t>International sales comprised approximately 39% and 27% of the Company's consolidated net sales in the first quarter of 2000 and 1999, respectively. The Company expects international sales to continue to increase as a result of increased production by its international operations. International sales and operations are subject to a variety of risks, including those arising from fluctuations in currency exchange rates, import tariffs and export duties, changes to import and export regulations, possible restrictions on the repatriation and other transfer of funds, longer customer payment terms, greater difficulty in collecting accounts receivable, the burdens and costs of compliance with a variety of international laws and regulations, and, in certain instances, political and economic instability. While to date these factors have not had a significant adverse impact on the Company's results of operations, there can be no assurance that there will not be such an impact in the future. The only portion of the Company's workforce subject to collective bargaining agreements is based in Italy. The Company has experienced minimal interruptions in work flow as a result of union activity. While to date such interruptions have not had a material impact on the Company's business or results of operations, there can be no assurance that a future interruption, if any, would not have an adverse effect on the Company's business or results of operations.</w:t>
      </w:r>
    </w:p>
    <w:p>
      <w:pPr>
        <w:spacing w:after="0" w:line="87" w:lineRule="exact"/>
        <w:rPr>
          <w:sz w:val="20"/>
          <w:szCs w:val="20"/>
          <w:color w:val="auto"/>
        </w:rPr>
      </w:pPr>
    </w:p>
    <w:p>
      <w:pPr>
        <w:ind w:right="2639" w:firstLine="469"/>
        <w:spacing w:after="0" w:line="246" w:lineRule="auto"/>
        <w:rPr>
          <w:sz w:val="20"/>
          <w:szCs w:val="20"/>
          <w:color w:val="auto"/>
        </w:rPr>
      </w:pPr>
      <w:r>
        <w:rPr>
          <w:rFonts w:ascii="Courier New" w:cs="Courier New" w:eastAsia="Courier New" w:hAnsi="Courier New"/>
          <w:sz w:val="16"/>
          <w:szCs w:val="16"/>
          <w:color w:val="auto"/>
        </w:rPr>
        <w:t>Historically, the Company has reinvested substantially all cash flow from its semiconductor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There can be no assurance that, if needed, external sources of liquidity will be available to fund the Company's operations or its capacity and product and process technology enhancement programs. Failure to obtain financing could hinder the Company's ability to make continued investments in such programs, which could materially adversely affect the Company's business, results of operations and financial condition. Cash generated by MEI is not readily available to finance operations or other expenditures of MTI's semiconductor operations.</w:t>
      </w:r>
    </w:p>
    <w:p>
      <w:pPr>
        <w:spacing w:after="0" w:line="102" w:lineRule="exact"/>
        <w:rPr>
          <w:sz w:val="20"/>
          <w:szCs w:val="20"/>
          <w:color w:val="auto"/>
        </w:rPr>
      </w:pPr>
    </w:p>
    <w:p>
      <w:pPr>
        <w:ind w:right="2639" w:firstLine="563"/>
        <w:spacing w:after="0" w:line="269" w:lineRule="auto"/>
        <w:rPr>
          <w:sz w:val="20"/>
          <w:szCs w:val="20"/>
          <w:color w:val="auto"/>
        </w:rPr>
      </w:pPr>
      <w:r>
        <w:rPr>
          <w:rFonts w:ascii="Courier New" w:cs="Courier New" w:eastAsia="Courier New" w:hAnsi="Courier New"/>
          <w:sz w:val="15"/>
          <w:szCs w:val="15"/>
          <w:color w:val="auto"/>
        </w:rPr>
        <w:t>As of December 2, 1999, TI and Intel held an aggregate of 44,743,369 shares of common stock, representing 17% of the Company's total outstanding common stock. These shares have not been registered with the Securities and Exchange Commission ("SEC"), however TI and Intel each have registration rights. Until such time as TI and Intel substantially reduce their holdings of Company common stock, the Company may be hindered in obtaining new equity capital. As of December 2, 1999, the Company also had outstanding $500 million of convertible subordinated notes that were issued in an SEC registered offering in June 1997 that are convertible into 7,413,997 shares of common stock. TI holds notes with a face value of $740 million which are convertible into 12,333,333</w:t>
      </w:r>
    </w:p>
    <w:p>
      <w:pPr>
        <w:spacing w:after="0" w:line="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139"/>
          </w:cols>
          <w:pgMar w:left="320" w:top="631" w:right="1440" w:bottom="1440" w:gutter="0" w:footer="0" w:header="0"/>
        </w:sectPr>
      </w:pPr>
    </w:p>
    <w:bookmarkStart w:id="22" w:name="page23"/>
    <w:bookmarkEnd w:id="22"/>
    <w:p>
      <w:pPr>
        <w:jc w:val="both"/>
        <w:ind w:right="2999"/>
        <w:spacing w:after="0" w:line="294" w:lineRule="auto"/>
        <w:rPr>
          <w:sz w:val="20"/>
          <w:szCs w:val="20"/>
          <w:color w:val="auto"/>
        </w:rPr>
      </w:pPr>
      <w:r>
        <w:rPr>
          <w:rFonts w:ascii="Courier New" w:cs="Courier New" w:eastAsia="Courier New" w:hAnsi="Courier New"/>
          <w:sz w:val="16"/>
          <w:szCs w:val="16"/>
          <w:color w:val="auto"/>
        </w:rPr>
        <w:t>shares of common stock. TI's resale of these notes could limit the Company's ability to raise capital through the issuance of additional convertible debt instruments.</w:t>
      </w:r>
    </w:p>
    <w:p>
      <w:pPr>
        <w:spacing w:after="0" w:line="5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139"/>
          </w:cols>
          <w:pgMar w:left="320" w:top="631" w:right="1440" w:bottom="1440" w:gutter="0" w:footer="0" w:header="0"/>
        </w:sectPr>
      </w:pPr>
    </w:p>
    <w:bookmarkStart w:id="23" w:name="page24"/>
    <w:bookmarkEnd w:id="23"/>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2" w:lineRule="exact"/>
        <w:rPr>
          <w:sz w:val="20"/>
          <w:szCs w:val="20"/>
          <w:color w:val="auto"/>
        </w:rPr>
      </w:pPr>
    </w:p>
    <w:p>
      <w:pPr>
        <w:ind w:right="2639" w:firstLine="469"/>
        <w:spacing w:after="0" w:line="250" w:lineRule="auto"/>
        <w:rPr>
          <w:sz w:val="20"/>
          <w:szCs w:val="20"/>
          <w:color w:val="auto"/>
        </w:rPr>
      </w:pPr>
      <w:r>
        <w:rPr>
          <w:rFonts w:ascii="Courier New" w:cs="Courier New" w:eastAsia="Courier New" w:hAnsi="Courier New"/>
          <w:sz w:val="16"/>
          <w:szCs w:val="16"/>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December 2, 1999, the Company held aggregate cash and receivables in foreign currency valued at approximately US $164 million and aggregate foreign currency payables valued at approximately US $255 million (including long-term liabilities denominated in Euros valued at approximately US $129 million). Foreign currency receivables and payables are comprised primarily of Euros, Singapore Dollars and British Pounds.</w:t>
      </w:r>
    </w:p>
    <w:p>
      <w:pPr>
        <w:spacing w:after="0" w:line="9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139"/>
          </w:cols>
          <w:pgMar w:left="320" w:top="631" w:right="1440" w:bottom="1440" w:gutter="0" w:footer="0" w:header="0"/>
        </w:sectPr>
      </w:pPr>
    </w:p>
    <w:bookmarkStart w:id="24" w:name="page25"/>
    <w:bookmarkEnd w:id="24"/>
    <w:p>
      <w:pPr>
        <w:ind w:left="2444"/>
        <w:spacing w:after="0"/>
        <w:tabs>
          <w:tab w:leader="none" w:pos="336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200" w:lineRule="exact"/>
        <w:rPr>
          <w:sz w:val="20"/>
          <w:szCs w:val="20"/>
          <w:color w:val="auto"/>
        </w:rPr>
      </w:pPr>
    </w:p>
    <w:p>
      <w:pPr>
        <w:spacing w:after="0" w:line="341"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332" w:lineRule="exact"/>
        <w:rPr>
          <w:sz w:val="20"/>
          <w:szCs w:val="20"/>
          <w:color w:val="auto"/>
        </w:rPr>
      </w:pPr>
    </w:p>
    <w:p>
      <w:pPr>
        <w:ind w:left="464" w:hanging="464"/>
        <w:spacing w:after="0"/>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filed as a part of this report:</w:t>
      </w:r>
    </w:p>
    <w:p>
      <w:pPr>
        <w:spacing w:after="0" w:line="179"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10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0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Description of Exhibit</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By-laws of the Registrant, as amended</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w:t>
      </w:r>
    </w:p>
    <w:p>
      <w:pPr>
        <w:spacing w:after="0" w:line="179" w:lineRule="exact"/>
        <w:rPr>
          <w:sz w:val="20"/>
          <w:szCs w:val="20"/>
          <w:color w:val="auto"/>
        </w:rPr>
      </w:pPr>
    </w:p>
    <w:p>
      <w:pPr>
        <w:ind w:left="464" w:right="3199" w:hanging="464"/>
        <w:spacing w:after="0" w:line="349"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did not file any reports on Form 8-K during the fiscal quarter ended December 2, 1999.</w:t>
      </w:r>
    </w:p>
    <w:p>
      <w:pPr>
        <w:spacing w:after="0" w:line="1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143"/>
          </w:cols>
          <w:pgMar w:left="316" w:top="631" w:right="1440" w:bottom="1440" w:gutter="0" w:footer="0" w:header="0"/>
        </w:sectPr>
      </w:pPr>
    </w:p>
    <w:bookmarkStart w:id="25" w:name="page26"/>
    <w:bookmarkEnd w:id="25"/>
    <w:p>
      <w:pPr>
        <w:ind w:left="3180"/>
        <w:spacing w:after="0"/>
        <w:rPr>
          <w:sz w:val="20"/>
          <w:szCs w:val="20"/>
          <w:color w:val="auto"/>
        </w:rPr>
      </w:pPr>
      <w:r>
        <w:rPr>
          <w:rFonts w:ascii="Courier New" w:cs="Courier New" w:eastAsia="Courier New" w:hAnsi="Courier New"/>
          <w:sz w:val="16"/>
          <w:szCs w:val="16"/>
          <w:color w:val="auto"/>
        </w:rPr>
        <w:t>SIGNATURES</w:t>
      </w:r>
    </w:p>
    <w:p>
      <w:pPr>
        <w:spacing w:after="0" w:line="360" w:lineRule="exact"/>
        <w:rPr>
          <w:sz w:val="20"/>
          <w:szCs w:val="20"/>
          <w:color w:val="auto"/>
        </w:rPr>
      </w:pPr>
    </w:p>
    <w:p>
      <w:pPr>
        <w:ind w:right="2919" w:firstLine="469"/>
        <w:spacing w:after="0" w:line="29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Micron Technology, Inc.</w:t>
      </w:r>
    </w:p>
    <w:p>
      <w:pPr>
        <w:spacing w:after="0" w:line="2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139"/>
          </w:cols>
          <w:pgMar w:left="32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January 13,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Wilbur G. Stover, Jr.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Wilbur G. Stover, Jr., Vice President of Finance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152" w:lineRule="exact"/>
        <w:rPr>
          <w:sz w:val="20"/>
          <w:szCs w:val="20"/>
          <w:color w:val="auto"/>
        </w:rPr>
      </w:pPr>
    </w:p>
    <w:p>
      <w:pPr>
        <w:sectPr>
          <w:pgSz w:w="11900" w:h="16838" w:orient="portrait"/>
          <w:cols w:equalWidth="0" w:num="2">
            <w:col w:w="2160" w:space="380"/>
            <w:col w:w="7599"/>
          </w:cols>
          <w:pgMar w:left="320" w:top="631"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631" w:right="1440" w:bottom="1440" w:gutter="0" w:footer="0" w:header="0"/>
          <w:type w:val="continuous"/>
        </w:sectPr>
      </w:pPr>
    </w:p>
    <w:bookmarkStart w:id="26" w:name="page27"/>
    <w:bookmarkEnd w:id="26"/>
    <w:p>
      <w:pPr>
        <w:jc w:val="right"/>
        <w:ind w:right="2639"/>
        <w:spacing w:after="0"/>
        <w:rPr>
          <w:sz w:val="20"/>
          <w:szCs w:val="20"/>
          <w:color w:val="auto"/>
        </w:rPr>
      </w:pPr>
      <w:r>
        <w:rPr>
          <w:rFonts w:ascii="Courier New" w:cs="Courier New" w:eastAsia="Courier New" w:hAnsi="Courier New"/>
          <w:sz w:val="16"/>
          <w:szCs w:val="16"/>
          <w:color w:val="auto"/>
        </w:rPr>
        <w:t>EXHIBIT 3.7</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BYLAWS</w:t>
      </w:r>
    </w:p>
    <w:p>
      <w:pPr>
        <w:spacing w:after="0" w:line="2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OF</w:t>
      </w:r>
    </w:p>
    <w:p>
      <w:pPr>
        <w:jc w:val="center"/>
        <w:ind w:right="2719"/>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OFFICES</w:t>
      </w:r>
    </w:p>
    <w:p>
      <w:pPr>
        <w:spacing w:after="0" w:line="180" w:lineRule="exact"/>
        <w:rPr>
          <w:sz w:val="20"/>
          <w:szCs w:val="20"/>
          <w:color w:val="auto"/>
        </w:rPr>
      </w:pPr>
    </w:p>
    <w:p>
      <w:pPr>
        <w:ind w:right="2919" w:firstLine="469"/>
        <w:spacing w:after="0" w:line="349" w:lineRule="auto"/>
        <w:rPr>
          <w:sz w:val="20"/>
          <w:szCs w:val="20"/>
          <w:color w:val="auto"/>
        </w:rPr>
      </w:pPr>
      <w:r>
        <w:rPr>
          <w:rFonts w:ascii="Courier New" w:cs="Courier New" w:eastAsia="Courier New" w:hAnsi="Courier New"/>
          <w:sz w:val="16"/>
          <w:szCs w:val="16"/>
          <w:color w:val="auto"/>
        </w:rPr>
        <w:t>SECTION 1. The registered office shall be 100 West Tenth Street, in the City of Wilmington, County of New Castle, State of Delaware.</w:t>
      </w:r>
    </w:p>
    <w:p>
      <w:pPr>
        <w:spacing w:after="0" w:line="15" w:lineRule="exact"/>
        <w:rPr>
          <w:sz w:val="20"/>
          <w:szCs w:val="20"/>
          <w:color w:val="auto"/>
        </w:rPr>
      </w:pPr>
    </w:p>
    <w:p>
      <w:pPr>
        <w:jc w:val="both"/>
        <w:ind w:right="2639" w:firstLine="469"/>
        <w:spacing w:after="0" w:line="294" w:lineRule="auto"/>
        <w:rPr>
          <w:sz w:val="20"/>
          <w:szCs w:val="20"/>
          <w:color w:val="auto"/>
        </w:rPr>
      </w:pPr>
      <w:r>
        <w:rPr>
          <w:rFonts w:ascii="Courier New" w:cs="Courier New" w:eastAsia="Courier New" w:hAnsi="Courier New"/>
          <w:sz w:val="16"/>
          <w:szCs w:val="16"/>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OF STOCKHOLDERS</w:t>
      </w:r>
    </w:p>
    <w:p>
      <w:pPr>
        <w:spacing w:after="0" w:line="180" w:lineRule="exact"/>
        <w:rPr>
          <w:sz w:val="20"/>
          <w:szCs w:val="20"/>
          <w:color w:val="auto"/>
        </w:rPr>
      </w:pPr>
    </w:p>
    <w:p>
      <w:pPr>
        <w:ind w:right="2639" w:firstLine="469"/>
        <w:spacing w:after="0" w:line="299" w:lineRule="auto"/>
        <w:rPr>
          <w:sz w:val="20"/>
          <w:szCs w:val="20"/>
          <w:color w:val="auto"/>
        </w:rPr>
      </w:pPr>
      <w:r>
        <w:rPr>
          <w:rFonts w:ascii="Courier New" w:cs="Courier New" w:eastAsia="Courier New" w:hAnsi="Courier New"/>
          <w:sz w:val="15"/>
          <w:szCs w:val="15"/>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56"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79" w:lineRule="exact"/>
        <w:rPr>
          <w:sz w:val="20"/>
          <w:szCs w:val="20"/>
          <w:color w:val="auto"/>
        </w:rPr>
      </w:pPr>
    </w:p>
    <w:p>
      <w:pPr>
        <w:ind w:right="2819" w:firstLine="469"/>
        <w:spacing w:after="0" w:line="275" w:lineRule="auto"/>
        <w:rPr>
          <w:sz w:val="20"/>
          <w:szCs w:val="20"/>
          <w:color w:val="auto"/>
        </w:rPr>
      </w:pPr>
      <w:r>
        <w:rPr>
          <w:rFonts w:ascii="Courier New" w:cs="Courier New" w:eastAsia="Courier New" w:hAnsi="Courier New"/>
          <w:sz w:val="16"/>
          <w:szCs w:val="16"/>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72" w:lineRule="exact"/>
        <w:rPr>
          <w:sz w:val="20"/>
          <w:szCs w:val="20"/>
          <w:color w:val="auto"/>
        </w:rPr>
      </w:pPr>
    </w:p>
    <w:p>
      <w:pPr>
        <w:ind w:right="2639" w:firstLine="469"/>
        <w:spacing w:after="0" w:line="248" w:lineRule="auto"/>
        <w:rPr>
          <w:sz w:val="20"/>
          <w:szCs w:val="20"/>
          <w:color w:val="auto"/>
        </w:rPr>
      </w:pPr>
      <w:r>
        <w:rPr>
          <w:rFonts w:ascii="Courier New" w:cs="Courier New" w:eastAsia="Courier New" w:hAnsi="Courier New"/>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93"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81" w:lineRule="exact"/>
        <w:rPr>
          <w:sz w:val="20"/>
          <w:szCs w:val="20"/>
          <w:color w:val="auto"/>
        </w:rPr>
      </w:pPr>
    </w:p>
    <w:p>
      <w:pPr>
        <w:ind w:right="2639" w:firstLine="469"/>
        <w:spacing w:after="0" w:line="275" w:lineRule="auto"/>
        <w:rPr>
          <w:sz w:val="20"/>
          <w:szCs w:val="20"/>
          <w:color w:val="auto"/>
        </w:rPr>
      </w:pPr>
      <w:r>
        <w:rPr>
          <w:rFonts w:ascii="Courier New" w:cs="Courier New" w:eastAsia="Courier New" w:hAnsi="Courier New"/>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139"/>
          </w:cols>
          <w:pgMar w:left="320" w:top="475" w:right="1440" w:bottom="1440" w:gutter="0" w:footer="0" w:header="0"/>
        </w:sectPr>
      </w:pPr>
    </w:p>
    <w:bookmarkStart w:id="27" w:name="page28"/>
    <w:bookmarkEnd w:id="27"/>
    <w:p>
      <w:pPr>
        <w:ind w:right="3099" w:firstLine="469"/>
        <w:spacing w:after="0" w:line="349" w:lineRule="auto"/>
        <w:rPr>
          <w:sz w:val="20"/>
          <w:szCs w:val="20"/>
          <w:color w:val="auto"/>
        </w:rPr>
      </w:pPr>
      <w:r>
        <w:rPr>
          <w:rFonts w:ascii="Courier New" w:cs="Courier New" w:eastAsia="Courier New" w:hAnsi="Courier New"/>
          <w:sz w:val="16"/>
          <w:szCs w:val="16"/>
          <w:color w:val="auto"/>
        </w:rPr>
        <w:t>SECTION 7. Business transacted at any special meeting of stockholders shall be limited to the purposes stated in the notice.</w:t>
      </w:r>
    </w:p>
    <w:p>
      <w:pPr>
        <w:spacing w:after="0" w:line="15" w:lineRule="exact"/>
        <w:rPr>
          <w:sz w:val="20"/>
          <w:szCs w:val="20"/>
          <w:color w:val="auto"/>
        </w:rPr>
      </w:pPr>
    </w:p>
    <w:p>
      <w:pPr>
        <w:ind w:right="2719" w:firstLine="469"/>
        <w:spacing w:after="0" w:line="246" w:lineRule="auto"/>
        <w:rPr>
          <w:sz w:val="20"/>
          <w:szCs w:val="20"/>
          <w:color w:val="auto"/>
        </w:rPr>
      </w:pPr>
      <w:r>
        <w:rPr>
          <w:rFonts w:ascii="Courier New" w:cs="Courier New" w:eastAsia="Courier New" w:hAnsi="Courier New"/>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02" w:lineRule="exact"/>
        <w:rPr>
          <w:sz w:val="20"/>
          <w:szCs w:val="20"/>
          <w:color w:val="auto"/>
        </w:rPr>
      </w:pPr>
    </w:p>
    <w:p>
      <w:pPr>
        <w:ind w:right="2639" w:firstLine="469"/>
        <w:spacing w:after="0" w:line="281" w:lineRule="auto"/>
        <w:rPr>
          <w:sz w:val="20"/>
          <w:szCs w:val="20"/>
          <w:color w:val="auto"/>
        </w:rPr>
      </w:pPr>
      <w:r>
        <w:rPr>
          <w:rFonts w:ascii="Courier New" w:cs="Courier New" w:eastAsia="Courier New" w:hAnsi="Courier New"/>
          <w:sz w:val="15"/>
          <w:szCs w:val="15"/>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70" w:lineRule="exact"/>
        <w:rPr>
          <w:sz w:val="20"/>
          <w:szCs w:val="20"/>
          <w:color w:val="auto"/>
        </w:rPr>
      </w:pPr>
    </w:p>
    <w:p>
      <w:pPr>
        <w:ind w:right="2639" w:firstLine="469"/>
        <w:spacing w:after="0" w:line="269" w:lineRule="auto"/>
        <w:rPr>
          <w:sz w:val="20"/>
          <w:szCs w:val="20"/>
          <w:color w:val="auto"/>
        </w:rPr>
      </w:pPr>
      <w:r>
        <w:rPr>
          <w:rFonts w:ascii="Courier New" w:cs="Courier New" w:eastAsia="Courier New" w:hAnsi="Courier New"/>
          <w:sz w:val="15"/>
          <w:szCs w:val="15"/>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82" w:lineRule="exact"/>
        <w:rPr>
          <w:sz w:val="20"/>
          <w:szCs w:val="20"/>
          <w:color w:val="auto"/>
        </w:rPr>
      </w:pPr>
    </w:p>
    <w:p>
      <w:pPr>
        <w:ind w:right="2639" w:firstLine="469"/>
        <w:spacing w:after="0" w:line="269" w:lineRule="auto"/>
        <w:rPr>
          <w:sz w:val="20"/>
          <w:szCs w:val="20"/>
          <w:color w:val="auto"/>
        </w:rPr>
      </w:pPr>
      <w:r>
        <w:rPr>
          <w:rFonts w:ascii="Courier New" w:cs="Courier New" w:eastAsia="Courier New" w:hAnsi="Courier New"/>
          <w:sz w:val="15"/>
          <w:szCs w:val="15"/>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pacing w:after="0" w:line="180"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72"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86"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ectPr>
          <w:pgSz w:w="11900" w:h="16838" w:orient="portrait"/>
          <w:cols w:equalWidth="0" w:num="1">
            <w:col w:w="10139"/>
          </w:cols>
          <w:pgMar w:left="320" w:top="631" w:right="1440" w:bottom="1440" w:gutter="0" w:footer="0" w:header="0"/>
        </w:sectPr>
      </w:pPr>
    </w:p>
    <w:bookmarkStart w:id="28" w:name="page29"/>
    <w:bookmarkEnd w:id="28"/>
    <w:p>
      <w:pPr>
        <w:jc w:val="both"/>
        <w:ind w:right="2639" w:firstLine="469"/>
        <w:spacing w:after="0" w:line="275" w:lineRule="auto"/>
        <w:rPr>
          <w:sz w:val="20"/>
          <w:szCs w:val="20"/>
          <w:color w:val="auto"/>
        </w:rPr>
      </w:pPr>
      <w:r>
        <w:rPr>
          <w:rFonts w:ascii="Courier New" w:cs="Courier New" w:eastAsia="Courier New" w:hAnsi="Courier New"/>
          <w:sz w:val="16"/>
          <w:szCs w:val="16"/>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72" w:lineRule="exact"/>
        <w:rPr>
          <w:sz w:val="20"/>
          <w:szCs w:val="20"/>
          <w:color w:val="auto"/>
        </w:rPr>
      </w:pPr>
    </w:p>
    <w:p>
      <w:pPr>
        <w:ind w:right="2719" w:firstLine="939"/>
        <w:spacing w:after="0" w:line="294" w:lineRule="auto"/>
        <w:rPr>
          <w:sz w:val="20"/>
          <w:szCs w:val="20"/>
          <w:color w:val="auto"/>
        </w:rPr>
      </w:pPr>
      <w:r>
        <w:rPr>
          <w:rFonts w:ascii="Courier New" w:cs="Courier New" w:eastAsia="Courier New" w:hAnsi="Courier New"/>
          <w:sz w:val="16"/>
          <w:szCs w:val="16"/>
          <w:color w:val="auto"/>
        </w:rPr>
        <w:t>No reduction of the authorized number of directors shall have the effect of removing any director prior to the expiration of such director's term of office.</w:t>
      </w:r>
    </w:p>
    <w:p>
      <w:pPr>
        <w:spacing w:after="0" w:line="56"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81" w:lineRule="exact"/>
        <w:rPr>
          <w:sz w:val="20"/>
          <w:szCs w:val="20"/>
          <w:color w:val="auto"/>
        </w:rPr>
      </w:pPr>
    </w:p>
    <w:p>
      <w:pPr>
        <w:ind w:right="2639" w:firstLine="939"/>
        <w:spacing w:after="0" w:line="261" w:lineRule="auto"/>
        <w:rPr>
          <w:sz w:val="20"/>
          <w:szCs w:val="20"/>
          <w:color w:val="auto"/>
        </w:rPr>
      </w:pPr>
      <w:r>
        <w:rPr>
          <w:rFonts w:ascii="Courier New" w:cs="Courier New" w:eastAsia="Courier New" w:hAnsi="Courier New"/>
          <w:sz w:val="16"/>
          <w:szCs w:val="16"/>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81" w:lineRule="exact"/>
        <w:rPr>
          <w:sz w:val="20"/>
          <w:szCs w:val="20"/>
          <w:color w:val="auto"/>
        </w:rPr>
      </w:pPr>
    </w:p>
    <w:p>
      <w:pPr>
        <w:ind w:right="2639" w:firstLine="939"/>
        <w:spacing w:after="0" w:line="275" w:lineRule="auto"/>
        <w:rPr>
          <w:sz w:val="20"/>
          <w:szCs w:val="20"/>
          <w:color w:val="auto"/>
        </w:rPr>
      </w:pPr>
      <w:r>
        <w:rPr>
          <w:rFonts w:ascii="Courier New" w:cs="Courier New" w:eastAsia="Courier New" w:hAnsi="Courier New"/>
          <w:sz w:val="16"/>
          <w:szCs w:val="16"/>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72"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OF THE BOARD OF DIRECTORS</w:t>
      </w:r>
    </w:p>
    <w:p>
      <w:pPr>
        <w:spacing w:after="0" w:line="180" w:lineRule="exact"/>
        <w:rPr>
          <w:sz w:val="20"/>
          <w:szCs w:val="20"/>
          <w:color w:val="auto"/>
        </w:rPr>
      </w:pPr>
    </w:p>
    <w:p>
      <w:pPr>
        <w:ind w:right="2919" w:firstLine="469"/>
        <w:spacing w:after="0" w:line="382" w:lineRule="auto"/>
        <w:rPr>
          <w:sz w:val="20"/>
          <w:szCs w:val="20"/>
          <w:color w:val="auto"/>
        </w:rPr>
      </w:pPr>
      <w:r>
        <w:rPr>
          <w:rFonts w:ascii="Courier New" w:cs="Courier New" w:eastAsia="Courier New" w:hAnsi="Courier New"/>
          <w:sz w:val="15"/>
          <w:szCs w:val="15"/>
          <w:color w:val="auto"/>
        </w:rPr>
        <w:t>SECTION 7. The Board of Directors of the corporation may hold meetings, both regular and special, either within or without the State of Delaware.</w:t>
      </w:r>
    </w:p>
    <w:p>
      <w:pPr>
        <w:spacing w:after="0" w:line="1" w:lineRule="exact"/>
        <w:rPr>
          <w:sz w:val="20"/>
          <w:szCs w:val="20"/>
          <w:color w:val="auto"/>
        </w:rPr>
      </w:pPr>
    </w:p>
    <w:p>
      <w:pPr>
        <w:ind w:right="2639" w:firstLine="469"/>
        <w:spacing w:after="0" w:line="250" w:lineRule="auto"/>
        <w:rPr>
          <w:sz w:val="20"/>
          <w:szCs w:val="20"/>
          <w:color w:val="auto"/>
        </w:rPr>
      </w:pPr>
      <w:r>
        <w:rPr>
          <w:rFonts w:ascii="Courier New" w:cs="Courier New" w:eastAsia="Courier New" w:hAnsi="Courier New"/>
          <w:sz w:val="16"/>
          <w:szCs w:val="16"/>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90" w:lineRule="exact"/>
        <w:rPr>
          <w:sz w:val="20"/>
          <w:szCs w:val="20"/>
          <w:color w:val="auto"/>
        </w:rPr>
      </w:pPr>
    </w:p>
    <w:p>
      <w:pPr>
        <w:jc w:val="both"/>
        <w:ind w:right="2719" w:firstLine="469"/>
        <w:spacing w:after="0" w:line="294" w:lineRule="auto"/>
        <w:rPr>
          <w:sz w:val="20"/>
          <w:szCs w:val="20"/>
          <w:color w:val="auto"/>
        </w:rPr>
      </w:pPr>
      <w:r>
        <w:rPr>
          <w:rFonts w:ascii="Courier New" w:cs="Courier New" w:eastAsia="Courier New" w:hAnsi="Courier New"/>
          <w:sz w:val="16"/>
          <w:szCs w:val="16"/>
          <w:color w:val="auto"/>
        </w:rPr>
        <w:t>SECTION 9. Regular meetings of the Board of Directors may be held without notice at such time and at such place as shall from time to time be determined by the Board.</w:t>
      </w:r>
    </w:p>
    <w:p>
      <w:pPr>
        <w:spacing w:after="0" w:line="56"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79" w:lineRule="exact"/>
        <w:rPr>
          <w:sz w:val="20"/>
          <w:szCs w:val="20"/>
          <w:color w:val="auto"/>
        </w:rPr>
      </w:pPr>
    </w:p>
    <w:p>
      <w:pPr>
        <w:ind w:right="2639" w:firstLine="469"/>
        <w:spacing w:after="0" w:line="252" w:lineRule="auto"/>
        <w:rPr>
          <w:sz w:val="20"/>
          <w:szCs w:val="20"/>
          <w:color w:val="auto"/>
        </w:rPr>
      </w:pPr>
      <w:r>
        <w:rPr>
          <w:rFonts w:ascii="Courier New" w:cs="Courier New" w:eastAsia="Courier New" w:hAnsi="Courier New"/>
          <w:sz w:val="16"/>
          <w:szCs w:val="16"/>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ectPr>
          <w:pgSz w:w="11900" w:h="16838" w:orient="portrait"/>
          <w:cols w:equalWidth="0" w:num="1">
            <w:col w:w="10139"/>
          </w:cols>
          <w:pgMar w:left="320" w:top="631" w:right="1440" w:bottom="1440" w:gutter="0" w:footer="0" w:header="0"/>
        </w:sectPr>
      </w:pPr>
    </w:p>
    <w:bookmarkStart w:id="29" w:name="page30"/>
    <w:bookmarkEnd w:id="29"/>
    <w:p>
      <w:pPr>
        <w:ind w:right="2639" w:firstLine="469"/>
        <w:spacing w:after="0" w:line="261" w:lineRule="auto"/>
        <w:rPr>
          <w:sz w:val="20"/>
          <w:szCs w:val="20"/>
          <w:color w:val="auto"/>
        </w:rPr>
      </w:pPr>
      <w:r>
        <w:rPr>
          <w:rFonts w:ascii="Courier New" w:cs="Courier New" w:eastAsia="Courier New" w:hAnsi="Courier New"/>
          <w:sz w:val="16"/>
          <w:szCs w:val="16"/>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81"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DIRECTORS</w:t>
      </w:r>
    </w:p>
    <w:p>
      <w:pPr>
        <w:spacing w:after="0" w:line="180" w:lineRule="exact"/>
        <w:rPr>
          <w:sz w:val="20"/>
          <w:szCs w:val="20"/>
          <w:color w:val="auto"/>
        </w:rPr>
      </w:pPr>
    </w:p>
    <w:p>
      <w:pPr>
        <w:ind w:right="2639" w:firstLine="469"/>
        <w:spacing w:after="0" w:line="262" w:lineRule="auto"/>
        <w:rPr>
          <w:sz w:val="20"/>
          <w:szCs w:val="20"/>
          <w:color w:val="auto"/>
        </w:rPr>
      </w:pPr>
      <w:r>
        <w:rPr>
          <w:rFonts w:ascii="Courier New" w:cs="Courier New" w:eastAsia="Courier New" w:hAnsi="Courier New"/>
          <w:sz w:val="15"/>
          <w:szCs w:val="15"/>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9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15. The Board of Directors may, by resolution adopted by 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majority of the authorized number of directors, designate such other committees,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consisting of 2 or more directors, as it may from time to time deem</w:t>
      </w:r>
    </w:p>
    <w:p>
      <w:pPr>
        <w:spacing w:after="0"/>
        <w:rPr>
          <w:sz w:val="20"/>
          <w:szCs w:val="20"/>
          <w:color w:val="auto"/>
        </w:rPr>
      </w:pPr>
      <w:r>
        <w:rPr>
          <w:rFonts w:ascii="Courier New" w:cs="Courier New" w:eastAsia="Courier New" w:hAnsi="Courier New"/>
          <w:sz w:val="15"/>
          <w:szCs w:val="15"/>
          <w:color w:val="auto"/>
        </w:rPr>
        <w:t>advisable to perform such general or special duties as may from time to time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delegated to any such committee by the Board of Directors, subject to the</w:t>
      </w:r>
    </w:p>
    <w:p>
      <w:pPr>
        <w:spacing w:after="0"/>
        <w:rPr>
          <w:sz w:val="20"/>
          <w:szCs w:val="20"/>
          <w:color w:val="auto"/>
        </w:rPr>
      </w:pPr>
      <w:r>
        <w:rPr>
          <w:rFonts w:ascii="Courier New" w:cs="Courier New" w:eastAsia="Courier New" w:hAnsi="Courier New"/>
          <w:sz w:val="16"/>
          <w:szCs w:val="16"/>
          <w:color w:val="auto"/>
        </w:rPr>
        <w:t>limitations imposed by statute or by the Certificate of Incorporation or by</w:t>
      </w:r>
    </w:p>
    <w:p>
      <w:pPr>
        <w:spacing w:after="0"/>
        <w:tabs>
          <w:tab w:leader="none" w:pos="1380" w:val="left"/>
        </w:tabs>
        <w:rPr>
          <w:sz w:val="20"/>
          <w:szCs w:val="20"/>
          <w:color w:val="auto"/>
        </w:rPr>
      </w:pPr>
      <w:r>
        <w:rPr>
          <w:rFonts w:ascii="Courier New" w:cs="Courier New" w:eastAsia="Courier New" w:hAnsi="Courier New"/>
          <w:sz w:val="16"/>
          <w:szCs w:val="16"/>
          <w:color w:val="auto"/>
        </w:rPr>
        <w:t>these Bylaws.</w:t>
      </w:r>
      <w:r>
        <w:rPr>
          <w:sz w:val="20"/>
          <w:szCs w:val="20"/>
          <w:color w:val="auto"/>
        </w:rPr>
        <w:tab/>
      </w:r>
      <w:r>
        <w:rPr>
          <w:rFonts w:ascii="Courier New" w:cs="Courier New" w:eastAsia="Courier New" w:hAnsi="Courier New"/>
          <w:sz w:val="15"/>
          <w:szCs w:val="15"/>
          <w:color w:val="auto"/>
        </w:rPr>
        <w:t>The Board may designate one or more directors as alternate</w:t>
      </w:r>
    </w:p>
    <w:p>
      <w:pPr>
        <w:spacing w:after="0"/>
        <w:rPr>
          <w:sz w:val="20"/>
          <w:szCs w:val="20"/>
          <w:color w:val="auto"/>
        </w:rPr>
      </w:pPr>
      <w:r>
        <w:rPr>
          <w:rFonts w:ascii="Courier New" w:cs="Courier New" w:eastAsia="Courier New" w:hAnsi="Courier New"/>
          <w:sz w:val="16"/>
          <w:szCs w:val="16"/>
          <w:color w:val="auto"/>
        </w:rPr>
        <w:t>members of any committee, who may replace any absent member at any meeting of</w:t>
      </w:r>
    </w:p>
    <w:p>
      <w:pPr>
        <w:spacing w:after="0"/>
        <w:rPr>
          <w:sz w:val="20"/>
          <w:szCs w:val="20"/>
          <w:color w:val="auto"/>
        </w:rPr>
      </w:pPr>
      <w:r>
        <w:rPr>
          <w:rFonts w:ascii="Courier New" w:cs="Courier New" w:eastAsia="Courier New" w:hAnsi="Courier New"/>
          <w:sz w:val="16"/>
          <w:szCs w:val="16"/>
          <w:color w:val="auto"/>
        </w:rPr>
        <w:t>the committee.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0" w:lineRule="exact"/>
        <w:rPr>
          <w:sz w:val="20"/>
          <w:szCs w:val="20"/>
          <w:color w:val="auto"/>
        </w:rPr>
      </w:pPr>
    </w:p>
    <w:p>
      <w:pPr>
        <w:ind w:right="2639" w:firstLine="469"/>
        <w:spacing w:after="0" w:line="252" w:lineRule="auto"/>
        <w:rPr>
          <w:sz w:val="20"/>
          <w:szCs w:val="20"/>
          <w:color w:val="auto"/>
        </w:rPr>
      </w:pPr>
      <w:r>
        <w:rPr>
          <w:rFonts w:ascii="Courier New" w:cs="Courier New" w:eastAsia="Courier New" w:hAnsi="Courier New"/>
          <w:sz w:val="16"/>
          <w:szCs w:val="16"/>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0" w:lineRule="exact"/>
        <w:rPr>
          <w:sz w:val="20"/>
          <w:szCs w:val="20"/>
          <w:color w:val="auto"/>
        </w:rPr>
      </w:pPr>
    </w:p>
    <w:p>
      <w:pPr>
        <w:ind w:right="2639" w:firstLine="469"/>
        <w:spacing w:after="0" w:line="254" w:lineRule="auto"/>
        <w:rPr>
          <w:sz w:val="20"/>
          <w:szCs w:val="20"/>
          <w:color w:val="auto"/>
        </w:rPr>
      </w:pPr>
      <w:r>
        <w:rPr>
          <w:rFonts w:ascii="Courier New" w:cs="Courier New" w:eastAsia="Courier New" w:hAnsi="Courier New"/>
          <w:sz w:val="16"/>
          <w:szCs w:val="16"/>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ectPr>
          <w:pgSz w:w="11900" w:h="16838" w:orient="portrait"/>
          <w:cols w:equalWidth="0" w:num="1">
            <w:col w:w="10139"/>
          </w:cols>
          <w:pgMar w:left="320" w:top="631" w:right="1440" w:bottom="1440" w:gutter="0" w:footer="0" w:header="0"/>
        </w:sectPr>
      </w:pPr>
    </w:p>
    <w:bookmarkStart w:id="30" w:name="page31"/>
    <w:bookmarkEnd w:id="30"/>
    <w:p>
      <w:pPr>
        <w:ind w:right="2639" w:firstLine="469"/>
        <w:spacing w:after="0" w:line="266" w:lineRule="auto"/>
        <w:rPr>
          <w:sz w:val="20"/>
          <w:szCs w:val="20"/>
          <w:color w:val="auto"/>
        </w:rPr>
      </w:pPr>
      <w:r>
        <w:rPr>
          <w:rFonts w:ascii="Courier New" w:cs="Courier New" w:eastAsia="Courier New" w:hAnsi="Courier New"/>
          <w:sz w:val="16"/>
          <w:szCs w:val="16"/>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pacing w:after="0" w:line="180"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81"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SECTION 2. The Board of Directors at its first meeting after each annual meeting of stockholders shall choose a president, one or more vice-presidents, a secretary and a treasurer.</w:t>
      </w:r>
    </w:p>
    <w:p>
      <w:pPr>
        <w:spacing w:after="0" w:line="56" w:lineRule="exact"/>
        <w:rPr>
          <w:sz w:val="20"/>
          <w:szCs w:val="20"/>
          <w:color w:val="auto"/>
        </w:rPr>
      </w:pPr>
    </w:p>
    <w:p>
      <w:pPr>
        <w:ind w:right="2919" w:firstLine="469"/>
        <w:spacing w:after="0" w:line="275" w:lineRule="auto"/>
        <w:rPr>
          <w:sz w:val="20"/>
          <w:szCs w:val="20"/>
          <w:color w:val="auto"/>
        </w:rPr>
      </w:pPr>
      <w:r>
        <w:rPr>
          <w:rFonts w:ascii="Courier New" w:cs="Courier New" w:eastAsia="Courier New" w:hAnsi="Courier New"/>
          <w:sz w:val="16"/>
          <w:szCs w:val="16"/>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72"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SECTION 4. The salaries of all officers and agents of the corporation shall be fixed by the Board of Directors.</w:t>
      </w:r>
    </w:p>
    <w:p>
      <w:pPr>
        <w:spacing w:after="0" w:line="15"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79" w:lineRule="exact"/>
        <w:rPr>
          <w:sz w:val="20"/>
          <w:szCs w:val="20"/>
          <w:color w:val="auto"/>
        </w:rPr>
      </w:pPr>
    </w:p>
    <w:p>
      <w:pPr>
        <w:ind w:right="2719" w:firstLine="939"/>
        <w:spacing w:after="0" w:line="266" w:lineRule="auto"/>
        <w:rPr>
          <w:sz w:val="20"/>
          <w:szCs w:val="20"/>
          <w:color w:val="auto"/>
        </w:rPr>
      </w:pPr>
      <w:r>
        <w:rPr>
          <w:rFonts w:ascii="Courier New" w:cs="Courier New" w:eastAsia="Courier New" w:hAnsi="Courier New"/>
          <w:sz w:val="16"/>
          <w:szCs w:val="16"/>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CHAIRMAN OF THE BOARD</w:t>
      </w:r>
    </w:p>
    <w:p>
      <w:pPr>
        <w:spacing w:after="0" w:line="180"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PRESIDENT</w:t>
      </w:r>
    </w:p>
    <w:p>
      <w:pPr>
        <w:spacing w:after="0" w:line="180" w:lineRule="exact"/>
        <w:rPr>
          <w:sz w:val="20"/>
          <w:szCs w:val="20"/>
          <w:color w:val="auto"/>
        </w:rPr>
      </w:pPr>
    </w:p>
    <w:p>
      <w:pPr>
        <w:ind w:right="2639" w:firstLine="469"/>
        <w:spacing w:after="0" w:line="249" w:lineRule="auto"/>
        <w:rPr>
          <w:sz w:val="20"/>
          <w:szCs w:val="20"/>
          <w:color w:val="auto"/>
        </w:rPr>
      </w:pPr>
      <w:r>
        <w:rPr>
          <w:rFonts w:ascii="Courier New" w:cs="Courier New" w:eastAsia="Courier New" w:hAnsi="Courier New"/>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91"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ectPr>
          <w:pgSz w:w="11900" w:h="16838" w:orient="portrait"/>
          <w:cols w:equalWidth="0" w:num="1">
            <w:col w:w="10139"/>
          </w:cols>
          <w:pgMar w:left="320" w:top="63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THE VICE-PRESIDENTS</w:t>
      </w:r>
    </w:p>
    <w:p>
      <w:pPr>
        <w:spacing w:after="0" w:line="180" w:lineRule="exact"/>
        <w:rPr>
          <w:sz w:val="20"/>
          <w:szCs w:val="20"/>
          <w:color w:val="auto"/>
        </w:rPr>
      </w:pPr>
    </w:p>
    <w:p>
      <w:pPr>
        <w:ind w:right="2819" w:firstLine="469"/>
        <w:spacing w:after="0" w:line="274" w:lineRule="auto"/>
        <w:rPr>
          <w:sz w:val="20"/>
          <w:szCs w:val="20"/>
          <w:color w:val="auto"/>
        </w:rPr>
      </w:pPr>
      <w:r>
        <w:rPr>
          <w:rFonts w:ascii="Courier New" w:cs="Courier New" w:eastAsia="Courier New" w:hAnsi="Courier New"/>
          <w:sz w:val="15"/>
          <w:szCs w:val="15"/>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AND ASSISTANT SECRETARY</w:t>
      </w:r>
    </w:p>
    <w:p>
      <w:pPr>
        <w:spacing w:after="0" w:line="180" w:lineRule="exact"/>
        <w:rPr>
          <w:sz w:val="20"/>
          <w:szCs w:val="20"/>
          <w:color w:val="auto"/>
        </w:rPr>
      </w:pPr>
    </w:p>
    <w:p>
      <w:pPr>
        <w:ind w:right="2639" w:firstLine="469"/>
        <w:spacing w:after="0" w:line="247" w:lineRule="auto"/>
        <w:rPr>
          <w:sz w:val="20"/>
          <w:szCs w:val="20"/>
          <w:color w:val="auto"/>
        </w:rPr>
      </w:pPr>
      <w:r>
        <w:rPr>
          <w:rFonts w:ascii="Courier New" w:cs="Courier New" w:eastAsia="Courier New" w:hAnsi="Courier New"/>
          <w:sz w:val="16"/>
          <w:szCs w:val="16"/>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97" w:lineRule="exact"/>
        <w:rPr>
          <w:sz w:val="20"/>
          <w:szCs w:val="20"/>
          <w:color w:val="auto"/>
        </w:rPr>
      </w:pPr>
    </w:p>
    <w:p>
      <w:pPr>
        <w:ind w:right="2639" w:firstLine="469"/>
        <w:spacing w:after="0" w:line="257" w:lineRule="auto"/>
        <w:rPr>
          <w:sz w:val="20"/>
          <w:szCs w:val="20"/>
          <w:color w:val="auto"/>
        </w:rPr>
      </w:pPr>
      <w:r>
        <w:rPr>
          <w:rFonts w:ascii="Courier New" w:cs="Courier New" w:eastAsia="Courier New" w:hAnsi="Courier New"/>
          <w:sz w:val="16"/>
          <w:szCs w:val="16"/>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TREASURER AND ASSISTANT TREASURERS</w:t>
      </w:r>
    </w:p>
    <w:p>
      <w:pPr>
        <w:spacing w:after="0" w:line="180" w:lineRule="exact"/>
        <w:rPr>
          <w:sz w:val="20"/>
          <w:szCs w:val="20"/>
          <w:color w:val="auto"/>
        </w:rPr>
      </w:pPr>
    </w:p>
    <w:p>
      <w:pPr>
        <w:ind w:right="2639" w:firstLine="469"/>
        <w:spacing w:after="0" w:line="288" w:lineRule="auto"/>
        <w:rPr>
          <w:sz w:val="20"/>
          <w:szCs w:val="20"/>
          <w:color w:val="auto"/>
        </w:rPr>
      </w:pPr>
      <w:r>
        <w:rPr>
          <w:rFonts w:ascii="Courier New" w:cs="Courier New" w:eastAsia="Courier New" w:hAnsi="Courier New"/>
          <w:sz w:val="15"/>
          <w:szCs w:val="15"/>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4" w:lineRule="exact"/>
        <w:rPr>
          <w:sz w:val="20"/>
          <w:szCs w:val="20"/>
          <w:color w:val="auto"/>
        </w:rPr>
      </w:pPr>
    </w:p>
    <w:p>
      <w:pPr>
        <w:ind w:right="2719" w:firstLine="469"/>
        <w:spacing w:after="0" w:line="261" w:lineRule="auto"/>
        <w:rPr>
          <w:sz w:val="20"/>
          <w:szCs w:val="20"/>
          <w:color w:val="auto"/>
        </w:rPr>
      </w:pPr>
      <w:r>
        <w:rPr>
          <w:rFonts w:ascii="Courier New" w:cs="Courier New" w:eastAsia="Courier New" w:hAnsi="Courier New"/>
          <w:sz w:val="16"/>
          <w:szCs w:val="16"/>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81" w:lineRule="exact"/>
        <w:rPr>
          <w:sz w:val="20"/>
          <w:szCs w:val="20"/>
          <w:color w:val="auto"/>
        </w:rPr>
      </w:pPr>
    </w:p>
    <w:p>
      <w:pPr>
        <w:ind w:right="2639" w:firstLine="469"/>
        <w:spacing w:after="0" w:line="277" w:lineRule="auto"/>
        <w:rPr>
          <w:sz w:val="20"/>
          <w:szCs w:val="20"/>
          <w:color w:val="auto"/>
        </w:rPr>
      </w:pPr>
      <w:r>
        <w:rPr>
          <w:rFonts w:ascii="Courier New" w:cs="Courier New" w:eastAsia="Courier New" w:hAnsi="Courier New"/>
          <w:sz w:val="15"/>
          <w:szCs w:val="15"/>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2"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6"/>
          <w:szCs w:val="16"/>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ectPr>
          <w:pgSz w:w="11900" w:h="16838" w:orient="portrait"/>
          <w:cols w:equalWidth="0" w:num="1">
            <w:col w:w="10139"/>
          </w:cols>
          <w:pgMar w:left="320" w:top="63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ARTICLE VI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OF STOCK</w:t>
      </w:r>
    </w:p>
    <w:p>
      <w:pPr>
        <w:spacing w:after="0" w:line="180" w:lineRule="exact"/>
        <w:rPr>
          <w:sz w:val="20"/>
          <w:szCs w:val="20"/>
          <w:color w:val="auto"/>
        </w:rPr>
      </w:pPr>
    </w:p>
    <w:p>
      <w:pPr>
        <w:ind w:right="2639" w:firstLine="469"/>
        <w:spacing w:after="0" w:line="261" w:lineRule="auto"/>
        <w:rPr>
          <w:sz w:val="20"/>
          <w:szCs w:val="20"/>
          <w:color w:val="auto"/>
        </w:rPr>
      </w:pPr>
      <w:r>
        <w:rPr>
          <w:rFonts w:ascii="Courier New" w:cs="Courier New" w:eastAsia="Courier New" w:hAnsi="Courier New"/>
          <w:sz w:val="16"/>
          <w:szCs w:val="16"/>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81" w:lineRule="exact"/>
        <w:rPr>
          <w:sz w:val="20"/>
          <w:szCs w:val="20"/>
          <w:color w:val="auto"/>
        </w:rPr>
      </w:pPr>
    </w:p>
    <w:p>
      <w:pPr>
        <w:ind w:right="2719" w:firstLine="939"/>
        <w:spacing w:after="0" w:line="275" w:lineRule="auto"/>
        <w:rPr>
          <w:sz w:val="20"/>
          <w:szCs w:val="20"/>
          <w:color w:val="auto"/>
        </w:rPr>
      </w:pPr>
      <w:r>
        <w:rPr>
          <w:rFonts w:ascii="Courier New" w:cs="Courier New" w:eastAsia="Courier New" w:hAnsi="Courier New"/>
          <w:sz w:val="16"/>
          <w:szCs w:val="16"/>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72" w:lineRule="exact"/>
        <w:rPr>
          <w:sz w:val="20"/>
          <w:szCs w:val="20"/>
          <w:color w:val="auto"/>
        </w:rPr>
      </w:pPr>
    </w:p>
    <w:p>
      <w:pPr>
        <w:ind w:right="2639" w:firstLine="939"/>
        <w:spacing w:after="0" w:line="246"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02" w:lineRule="exact"/>
        <w:rPr>
          <w:sz w:val="20"/>
          <w:szCs w:val="20"/>
          <w:color w:val="auto"/>
        </w:rPr>
      </w:pPr>
    </w:p>
    <w:p>
      <w:pPr>
        <w:ind w:right="2719" w:firstLine="469"/>
        <w:spacing w:after="0" w:line="281" w:lineRule="auto"/>
        <w:rPr>
          <w:sz w:val="20"/>
          <w:szCs w:val="20"/>
          <w:color w:val="auto"/>
        </w:rPr>
      </w:pPr>
      <w:r>
        <w:rPr>
          <w:rFonts w:ascii="Courier New" w:cs="Courier New" w:eastAsia="Courier New" w:hAnsi="Courier New"/>
          <w:sz w:val="15"/>
          <w:szCs w:val="15"/>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LOST CERTIFICATES</w:t>
      </w:r>
    </w:p>
    <w:p>
      <w:pPr>
        <w:spacing w:after="0" w:line="180" w:lineRule="exact"/>
        <w:rPr>
          <w:sz w:val="20"/>
          <w:szCs w:val="20"/>
          <w:color w:val="auto"/>
        </w:rPr>
      </w:pPr>
    </w:p>
    <w:p>
      <w:pPr>
        <w:ind w:right="2639" w:firstLine="469"/>
        <w:spacing w:after="0" w:line="267" w:lineRule="auto"/>
        <w:rPr>
          <w:sz w:val="20"/>
          <w:szCs w:val="20"/>
          <w:color w:val="auto"/>
        </w:rPr>
      </w:pPr>
      <w:r>
        <w:rPr>
          <w:rFonts w:ascii="Courier New" w:cs="Courier New" w:eastAsia="Courier New" w:hAnsi="Courier New"/>
          <w:sz w:val="15"/>
          <w:szCs w:val="15"/>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OF STOCK</w:t>
      </w:r>
    </w:p>
    <w:p>
      <w:pPr>
        <w:spacing w:after="0" w:line="180" w:lineRule="exact"/>
        <w:rPr>
          <w:sz w:val="20"/>
          <w:szCs w:val="20"/>
          <w:color w:val="auto"/>
        </w:rPr>
      </w:pPr>
    </w:p>
    <w:p>
      <w:pPr>
        <w:ind w:right="2719" w:firstLine="469"/>
        <w:spacing w:after="0" w:line="288" w:lineRule="auto"/>
        <w:rPr>
          <w:sz w:val="20"/>
          <w:szCs w:val="20"/>
          <w:color w:val="auto"/>
        </w:rPr>
      </w:pPr>
      <w:r>
        <w:rPr>
          <w:rFonts w:ascii="Courier New" w:cs="Courier New" w:eastAsia="Courier New" w:hAnsi="Courier New"/>
          <w:sz w:val="15"/>
          <w:szCs w:val="15"/>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FIXING RECORD DATE</w:t>
      </w:r>
    </w:p>
    <w:p>
      <w:pPr>
        <w:spacing w:after="0" w:line="180" w:lineRule="exact"/>
        <w:rPr>
          <w:sz w:val="20"/>
          <w:szCs w:val="20"/>
          <w:color w:val="auto"/>
        </w:rPr>
      </w:pPr>
    </w:p>
    <w:p>
      <w:pPr>
        <w:ind w:right="2639" w:firstLine="469"/>
        <w:spacing w:after="0" w:line="271" w:lineRule="auto"/>
        <w:rPr>
          <w:sz w:val="20"/>
          <w:szCs w:val="20"/>
          <w:color w:val="auto"/>
        </w:rPr>
      </w:pPr>
      <w:r>
        <w:rPr>
          <w:rFonts w:ascii="Courier New" w:cs="Courier New" w:eastAsia="Courier New" w:hAnsi="Courier New"/>
          <w:sz w:val="15"/>
          <w:szCs w:val="15"/>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ectPr>
          <w:pgSz w:w="11900" w:h="16838" w:orient="portrait"/>
          <w:cols w:equalWidth="0" w:num="1">
            <w:col w:w="10139"/>
          </w:cols>
          <w:pgMar w:left="320" w:top="631" w:right="1440" w:bottom="1440" w:gutter="0" w:footer="0" w:header="0"/>
        </w:sectPr>
      </w:pPr>
    </w:p>
    <w:bookmarkStart w:id="33" w:name="page34"/>
    <w:bookmarkEnd w:id="33"/>
    <w:p>
      <w:pPr>
        <w:ind w:right="2639"/>
        <w:spacing w:after="0" w:line="275" w:lineRule="auto"/>
        <w:rPr>
          <w:sz w:val="20"/>
          <w:szCs w:val="20"/>
          <w:color w:val="auto"/>
        </w:rPr>
      </w:pPr>
      <w:r>
        <w:rPr>
          <w:rFonts w:ascii="Courier New" w:cs="Courier New" w:eastAsia="Courier New" w:hAnsi="Courier New"/>
          <w:sz w:val="16"/>
          <w:szCs w:val="16"/>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 STOCKHOLDERS</w:t>
      </w:r>
    </w:p>
    <w:p>
      <w:pPr>
        <w:spacing w:after="0" w:line="180"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91" w:lineRule="exact"/>
        <w:rPr>
          <w:sz w:val="20"/>
          <w:szCs w:val="20"/>
          <w:color w:val="auto"/>
        </w:rPr>
      </w:pPr>
    </w:p>
    <w:p>
      <w:pPr>
        <w:ind w:right="2639" w:firstLine="469"/>
        <w:spacing w:after="0" w:line="249" w:lineRule="auto"/>
        <w:rPr>
          <w:sz w:val="20"/>
          <w:szCs w:val="20"/>
          <w:color w:val="auto"/>
        </w:rPr>
      </w:pPr>
      <w:r>
        <w:rPr>
          <w:rFonts w:ascii="Courier New" w:cs="Courier New" w:eastAsia="Courier New" w:hAnsi="Courier New"/>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0" w:lineRule="exact"/>
        <w:rPr>
          <w:sz w:val="20"/>
          <w:szCs w:val="20"/>
          <w:color w:val="auto"/>
        </w:rPr>
      </w:pPr>
    </w:p>
    <w:p>
      <w:pPr>
        <w:ind w:right="2639" w:firstLine="469"/>
        <w:spacing w:after="0" w:line="266" w:lineRule="auto"/>
        <w:rPr>
          <w:sz w:val="20"/>
          <w:szCs w:val="20"/>
          <w:color w:val="auto"/>
        </w:rPr>
      </w:pPr>
      <w:r>
        <w:rPr>
          <w:rFonts w:ascii="Courier New" w:cs="Courier New" w:eastAsia="Courier New" w:hAnsi="Courier New"/>
          <w:sz w:val="16"/>
          <w:szCs w:val="16"/>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79" w:lineRule="exact"/>
        <w:rPr>
          <w:sz w:val="20"/>
          <w:szCs w:val="20"/>
          <w:color w:val="auto"/>
        </w:rPr>
      </w:pPr>
    </w:p>
    <w:p>
      <w:pPr>
        <w:ind w:right="2819" w:firstLine="469"/>
        <w:spacing w:after="0" w:line="254" w:lineRule="auto"/>
        <w:rPr>
          <w:sz w:val="20"/>
          <w:szCs w:val="20"/>
          <w:color w:val="auto"/>
        </w:rPr>
      </w:pPr>
      <w:r>
        <w:rPr>
          <w:rFonts w:ascii="Courier New" w:cs="Courier New" w:eastAsia="Courier New" w:hAnsi="Courier New"/>
          <w:sz w:val="16"/>
          <w:szCs w:val="16"/>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CHECKS</w:t>
      </w:r>
    </w:p>
    <w:p>
      <w:pPr>
        <w:spacing w:after="0" w:line="180"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SECTION 3. All checks or demands for money and notes of the corporation shall be signed by such officer or officers or such other person or persons as the Board of Directors may from time to time designate.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w:t>
      </w:r>
    </w:p>
    <w:p>
      <w:pPr>
        <w:spacing w:after="0" w:line="180" w:lineRule="exact"/>
        <w:rPr>
          <w:sz w:val="20"/>
          <w:szCs w:val="20"/>
          <w:color w:val="auto"/>
        </w:rPr>
      </w:pPr>
    </w:p>
    <w:p>
      <w:pPr>
        <w:ind w:right="2639" w:firstLine="469"/>
        <w:spacing w:after="0" w:line="349" w:lineRule="auto"/>
        <w:rPr>
          <w:sz w:val="20"/>
          <w:szCs w:val="20"/>
          <w:color w:val="auto"/>
        </w:rPr>
      </w:pPr>
      <w:r>
        <w:rPr>
          <w:rFonts w:ascii="Courier New" w:cs="Courier New" w:eastAsia="Courier New" w:hAnsi="Courier New"/>
          <w:sz w:val="16"/>
          <w:szCs w:val="16"/>
          <w:color w:val="auto"/>
        </w:rPr>
        <w:t>SECTION 4. The fiscal year of the corporation shall be fixed by resolution of the Board of Directors.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180" w:lineRule="exact"/>
        <w:rPr>
          <w:sz w:val="20"/>
          <w:szCs w:val="20"/>
          <w:color w:val="auto"/>
        </w:rPr>
      </w:pPr>
    </w:p>
    <w:p>
      <w:pPr>
        <w:ind w:right="2639" w:firstLine="469"/>
        <w:spacing w:after="0" w:line="275" w:lineRule="auto"/>
        <w:rPr>
          <w:sz w:val="20"/>
          <w:szCs w:val="20"/>
          <w:color w:val="auto"/>
        </w:rPr>
      </w:pPr>
      <w:r>
        <w:rPr>
          <w:rFonts w:ascii="Courier New" w:cs="Courier New" w:eastAsia="Courier New" w:hAnsi="Courier New"/>
          <w:sz w:val="16"/>
          <w:szCs w:val="16"/>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139"/>
          </w:cols>
          <w:pgMar w:left="320" w:top="63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INDEMNIFICATION</w:t>
      </w:r>
    </w:p>
    <w:p>
      <w:pPr>
        <w:spacing w:after="0" w:line="180"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SECTION 6. The corporation shall indemnify its officers, directors, employees and agents to the extent permitted by the General Corporation Law of Delaware.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w:t>
      </w:r>
    </w:p>
    <w:p>
      <w:pPr>
        <w:spacing w:after="0" w:line="180" w:lineRule="exact"/>
        <w:rPr>
          <w:sz w:val="20"/>
          <w:szCs w:val="20"/>
          <w:color w:val="auto"/>
        </w:rPr>
      </w:pPr>
    </w:p>
    <w:p>
      <w:pPr>
        <w:ind w:right="2719" w:firstLine="469"/>
        <w:spacing w:after="0" w:line="252" w:lineRule="auto"/>
        <w:rPr>
          <w:sz w:val="20"/>
          <w:szCs w:val="20"/>
          <w:color w:val="auto"/>
        </w:rPr>
      </w:pPr>
      <w:r>
        <w:rPr>
          <w:rFonts w:ascii="Courier New" w:cs="Courier New" w:eastAsia="Courier New" w:hAnsi="Courier New"/>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3"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 Nancy A. Stanger, the secretary of Micron Technology, Inc., a Delaware corporation, hereby certify:</w:t>
      </w:r>
    </w:p>
    <w:p>
      <w:pPr>
        <w:spacing w:after="0" w:line="15" w:lineRule="exact"/>
        <w:rPr>
          <w:sz w:val="20"/>
          <w:szCs w:val="20"/>
          <w:color w:val="auto"/>
        </w:rPr>
      </w:pPr>
    </w:p>
    <w:p>
      <w:pPr>
        <w:ind w:right="2919" w:firstLine="469"/>
        <w:spacing w:after="0" w:line="349" w:lineRule="auto"/>
        <w:rPr>
          <w:sz w:val="20"/>
          <w:szCs w:val="20"/>
          <w:color w:val="auto"/>
        </w:rPr>
      </w:pPr>
      <w:r>
        <w:rPr>
          <w:rFonts w:ascii="Courier New" w:cs="Courier New" w:eastAsia="Courier New" w:hAnsi="Courier New"/>
          <w:sz w:val="16"/>
          <w:szCs w:val="16"/>
          <w:color w:val="auto"/>
        </w:rPr>
        <w:t>The foregoing bylaws, comprising 14 pages, were adopted as the bylaws of Micron Technology on May 21, 1984.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25, 1984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Nancy A. Stanger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Nancy A. Stanger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CERTIFICATE OF FIRST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719" w:firstLine="469"/>
        <w:spacing w:after="0" w:line="266" w:lineRule="auto"/>
        <w:rPr>
          <w:sz w:val="20"/>
          <w:szCs w:val="20"/>
          <w:color w:val="auto"/>
        </w:rPr>
      </w:pPr>
      <w:r>
        <w:rPr>
          <w:rFonts w:ascii="Courier New" w:cs="Courier New" w:eastAsia="Courier New" w:hAnsi="Courier New"/>
          <w:sz w:val="16"/>
          <w:szCs w:val="16"/>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amendment adopted was pursuant to a Resolution reading as follows:</w:t>
      </w:r>
    </w:p>
    <w:p>
      <w:pPr>
        <w:spacing w:after="0" w:line="180" w:lineRule="exact"/>
        <w:rPr>
          <w:sz w:val="20"/>
          <w:szCs w:val="20"/>
          <w:color w:val="auto"/>
        </w:rPr>
      </w:pPr>
    </w:p>
    <w:p>
      <w:pPr>
        <w:ind w:right="2639" w:firstLine="469"/>
        <w:spacing w:after="0" w:line="349" w:lineRule="auto"/>
        <w:rPr>
          <w:sz w:val="20"/>
          <w:szCs w:val="20"/>
          <w:color w:val="auto"/>
        </w:rPr>
      </w:pPr>
      <w:r>
        <w:rPr>
          <w:rFonts w:ascii="Courier New" w:cs="Courier New" w:eastAsia="Courier New" w:hAnsi="Courier New"/>
          <w:sz w:val="16"/>
          <w:szCs w:val="16"/>
          <w:color w:val="auto"/>
        </w:rPr>
        <w:t>RESOLVED: The Board hereby approves that the second paragraph of Article II Section 10 of the Bylaws of the Company be amended to read as follows:</w:t>
      </w:r>
    </w:p>
    <w:p>
      <w:pPr>
        <w:spacing w:after="0" w:line="15" w:lineRule="exact"/>
        <w:rPr>
          <w:sz w:val="20"/>
          <w:szCs w:val="20"/>
          <w:color w:val="auto"/>
        </w:rPr>
      </w:pPr>
    </w:p>
    <w:p>
      <w:pPr>
        <w:ind w:right="2639" w:firstLine="469"/>
        <w:spacing w:after="0" w:line="274" w:lineRule="auto"/>
        <w:rPr>
          <w:sz w:val="20"/>
          <w:szCs w:val="20"/>
          <w:color w:val="auto"/>
        </w:rPr>
      </w:pPr>
      <w:r>
        <w:rPr>
          <w:rFonts w:ascii="Courier New" w:cs="Courier New" w:eastAsia="Courier New" w:hAnsi="Courier New"/>
          <w:sz w:val="15"/>
          <w:szCs w:val="15"/>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73"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IN WITNESS WHEREOF, we have hereunto set our hands and the seal of the Corporation this 5th day of July, 1985.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2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Joseph L. Parkinson</w:t>
            </w:r>
          </w:p>
        </w:tc>
        <w:tc>
          <w:tcPr>
            <w:tcW w:w="0" w:type="dxa"/>
            <w:vAlign w:val="bottom"/>
          </w:tcPr>
          <w:p>
            <w:pPr>
              <w:spacing w:after="0"/>
              <w:rPr>
                <w:sz w:val="1"/>
                <w:szCs w:val="1"/>
                <w:color w:val="auto"/>
              </w:rPr>
            </w:pPr>
          </w:p>
        </w:tc>
      </w:tr>
      <w:tr>
        <w:trPr>
          <w:trHeight w:val="264"/>
        </w:trPr>
        <w:tc>
          <w:tcPr>
            <w:tcW w:w="2820" w:type="dxa"/>
            <w:vAlign w:val="bottom"/>
            <w:gridSpan w:val="3"/>
          </w:tcPr>
          <w:p>
            <w:pPr>
              <w:spacing w:after="0"/>
              <w:rPr>
                <w:sz w:val="20"/>
                <w:szCs w:val="20"/>
                <w:color w:val="auto"/>
              </w:rPr>
            </w:pPr>
            <w:r>
              <w:rPr>
                <w:rFonts w:ascii="Courier New" w:cs="Courier New" w:eastAsia="Courier New" w:hAnsi="Courier New"/>
                <w:sz w:val="16"/>
                <w:szCs w:val="16"/>
                <w:color w:val="auto"/>
                <w:w w:val="97"/>
              </w:rPr>
              <w:t>Joseph L. Parkinson, President</w:t>
            </w:r>
          </w:p>
        </w:tc>
        <w:tc>
          <w:tcPr>
            <w:tcW w:w="0" w:type="dxa"/>
            <w:vAlign w:val="bottom"/>
          </w:tcPr>
          <w:p>
            <w:pPr>
              <w:spacing w:after="0"/>
              <w:rPr>
                <w:sz w:val="1"/>
                <w:szCs w:val="1"/>
                <w:color w:val="auto"/>
              </w:rPr>
            </w:pPr>
          </w:p>
        </w:tc>
      </w:tr>
      <w:tr>
        <w:trPr>
          <w:trHeight w:val="361"/>
        </w:trPr>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(SEAL)</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w w:val="99"/>
              </w:rPr>
              <w:t>Cathy L. Smith</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20" w:type="dxa"/>
            <w:vAlign w:val="bottom"/>
            <w:gridSpan w:val="3"/>
          </w:tcPr>
          <w:p>
            <w:pPr>
              <w:spacing w:after="0"/>
              <w:rPr>
                <w:sz w:val="20"/>
                <w:szCs w:val="20"/>
                <w:color w:val="auto"/>
              </w:rPr>
            </w:pPr>
            <w:r>
              <w:rPr>
                <w:rFonts w:ascii="Courier New" w:cs="Courier New" w:eastAsia="Courier New" w:hAnsi="Courier New"/>
                <w:sz w:val="16"/>
                <w:szCs w:val="16"/>
                <w:color w:val="auto"/>
              </w:rPr>
              <w:t>Cathy L. Smith, Secretary</w:t>
            </w:r>
          </w:p>
        </w:tc>
        <w:tc>
          <w:tcPr>
            <w:tcW w:w="0" w:type="dxa"/>
            <w:vAlign w:val="bottom"/>
          </w:tcPr>
          <w:p>
            <w:pPr>
              <w:spacing w:after="0"/>
              <w:rPr>
                <w:sz w:val="1"/>
                <w:szCs w:val="1"/>
                <w:color w:val="auto"/>
              </w:rPr>
            </w:pPr>
          </w:p>
        </w:tc>
      </w:tr>
      <w:tr>
        <w:trPr>
          <w:trHeight w:val="277"/>
        </w:trPr>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STATE OF IDAHO</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1"/>
        </w:trPr>
        <w:tc>
          <w:tcPr>
            <w:tcW w:w="18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County of Ada</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   ss.</w:t>
            </w:r>
          </w:p>
        </w:tc>
        <w:tc>
          <w:tcPr>
            <w:tcW w:w="0" w:type="dxa"/>
            <w:vAlign w:val="bottom"/>
          </w:tcPr>
          <w:p>
            <w:pPr>
              <w:spacing w:after="0"/>
              <w:rPr>
                <w:sz w:val="1"/>
                <w:szCs w:val="1"/>
                <w:color w:val="auto"/>
              </w:rPr>
            </w:pPr>
          </w:p>
        </w:tc>
      </w:tr>
      <w:tr>
        <w:trPr>
          <w:trHeight w:val="264"/>
        </w:trPr>
        <w:tc>
          <w:tcPr>
            <w:tcW w:w="1820" w:type="dxa"/>
            <w:vAlign w:val="bottom"/>
            <w:gridSpan w:val="2"/>
            <w:vMerge w:val="continue"/>
          </w:tcPr>
          <w:p>
            <w:pPr>
              <w:spacing w:after="0"/>
              <w:rPr>
                <w:sz w:val="22"/>
                <w:szCs w:val="22"/>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719"/>
        <w:spacing w:after="0" w:line="261" w:lineRule="auto"/>
        <w:rPr>
          <w:sz w:val="20"/>
          <w:szCs w:val="20"/>
          <w:color w:val="auto"/>
        </w:rPr>
      </w:pPr>
      <w:r>
        <w:rPr>
          <w:rFonts w:ascii="Courier New" w:cs="Courier New" w:eastAsia="Courier New" w:hAnsi="Courier New"/>
          <w:sz w:val="16"/>
          <w:szCs w:val="16"/>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81" w:lineRule="exact"/>
        <w:rPr>
          <w:sz w:val="20"/>
          <w:szCs w:val="20"/>
          <w:color w:val="auto"/>
        </w:rPr>
      </w:pPr>
    </w:p>
    <w:p>
      <w:pPr>
        <w:ind w:right="2719"/>
        <w:spacing w:after="0" w:line="349" w:lineRule="auto"/>
        <w:rPr>
          <w:sz w:val="20"/>
          <w:szCs w:val="20"/>
          <w:color w:val="auto"/>
        </w:rPr>
      </w:pPr>
      <w:r>
        <w:rPr>
          <w:rFonts w:ascii="Courier New" w:cs="Courier New" w:eastAsia="Courier New" w:hAnsi="Courier New"/>
          <w:sz w:val="16"/>
          <w:szCs w:val="16"/>
          <w:color w:val="auto"/>
        </w:rPr>
        <w:t>IN WITNESS WHEREOF, I have hereunto set my hand and affixed my official seal in said County the day and year first above written.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Jill L. Henson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 for Idaho Residing at Boise</w:t>
      </w:r>
    </w:p>
    <w:p>
      <w:pPr>
        <w:sectPr>
          <w:pgSz w:w="11900" w:h="16838" w:orient="portrait"/>
          <w:cols w:equalWidth="0" w:num="1">
            <w:col w:w="10139"/>
          </w:cols>
          <w:pgMar w:left="320" w:top="63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CERTIFICATE OF SECOND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March 3, 1986:</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82" w:lineRule="auto"/>
        <w:rPr>
          <w:sz w:val="20"/>
          <w:szCs w:val="20"/>
          <w:color w:val="auto"/>
        </w:rPr>
      </w:pPr>
      <w:r>
        <w:rPr>
          <w:rFonts w:ascii="Courier New" w:cs="Courier New" w:eastAsia="Courier New" w:hAnsi="Courier New"/>
          <w:sz w:val="15"/>
          <w:szCs w:val="15"/>
          <w:color w:val="auto"/>
        </w:rPr>
        <w:t>IN WITNESS WHEREOF, I have hereunto set my hand and affixed the corporate seal of said corporation effective as of the 3rd day of March, 1986.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CERTIFICATE THIRD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November 24, 1986:</w:t>
      </w:r>
    </w:p>
    <w:p>
      <w:pPr>
        <w:spacing w:after="0" w:line="56"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24th day of November, 1986.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CERTIFICATE OF FOURTH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28, 1987:</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7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28th day of September, 1987.</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CERTIFICATE OF FIFTH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March 28, 1988:</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28th day of March, 1988.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CERTIFICATE OF SIXTH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October 3, 1988:</w:t>
      </w:r>
    </w:p>
    <w:p>
      <w:pPr>
        <w:spacing w:after="0" w:line="56"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17th day of October, 1988.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CERTIFICATE OF SEVENTH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25, 1989:</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28th day September, 1989.</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CERTIFICATE OF EIGHTH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October 30, 1989:</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30th day of October, 1989.</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CERTIFICATE OF NINTH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August 27, 1990:</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27th day of August, 1990.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CERTIFICATE OF TENTH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24, 1990:</w:t>
      </w:r>
    </w:p>
    <w:p>
      <w:pPr>
        <w:spacing w:after="0" w:line="56"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24th day of September, 1990.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CERTIFICATE OF ELEVENTH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July 27, 1992:</w:t>
      </w:r>
    </w:p>
    <w:p>
      <w:pPr>
        <w:spacing w:after="0" w:line="56" w:lineRule="exact"/>
        <w:rPr>
          <w:sz w:val="20"/>
          <w:szCs w:val="20"/>
          <w:color w:val="auto"/>
        </w:rPr>
      </w:pPr>
    </w:p>
    <w:p>
      <w:pPr>
        <w:ind w:right="31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8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27th day of July, 1992.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CERTIFICATE OF TWELFTH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May 23, 1994:</w:t>
      </w:r>
    </w:p>
    <w:p>
      <w:pPr>
        <w:spacing w:after="0" w:line="56"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1. The authorized number of directors of the Corporation shall be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w:t>
      </w:r>
    </w:p>
    <w:p>
      <w:pPr>
        <w:spacing w:after="0" w:line="152" w:lineRule="exact"/>
        <w:rPr>
          <w:sz w:val="20"/>
          <w:szCs w:val="20"/>
          <w:color w:val="auto"/>
        </w:rPr>
      </w:pPr>
    </w:p>
    <w:p>
      <w:pPr>
        <w:jc w:val="both"/>
        <w:ind w:left="460" w:right="2639" w:firstLine="469"/>
        <w:spacing w:after="0" w:line="321" w:lineRule="auto"/>
        <w:rPr>
          <w:sz w:val="20"/>
          <w:szCs w:val="20"/>
          <w:color w:val="auto"/>
        </w:rPr>
      </w:pPr>
      <w:r>
        <w:rPr>
          <w:rFonts w:ascii="Courier New" w:cs="Courier New" w:eastAsia="Courier New" w:hAnsi="Courier New"/>
          <w:sz w:val="15"/>
          <w:szCs w:val="15"/>
          <w:color w:val="auto"/>
        </w:rPr>
        <w:t>The number of directors provided in this Section I may be changed by a Bylaw duly adopted by the affirmative vote of a majority of the outstanding shares entitled to vote or by a resolution of the Board of Directors.</w:t>
      </w:r>
    </w:p>
    <w:p>
      <w:pPr>
        <w:spacing w:after="0" w:line="40"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23rd day of May, 1994.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CERTIFICATE OF THIRTEENTH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September 1, 1994:</w:t>
      </w:r>
    </w:p>
    <w:p>
      <w:pPr>
        <w:spacing w:after="0" w:line="56" w:lineRule="exact"/>
        <w:rPr>
          <w:sz w:val="20"/>
          <w:szCs w:val="20"/>
          <w:color w:val="auto"/>
        </w:rPr>
      </w:pPr>
    </w:p>
    <w:p>
      <w:pPr>
        <w:ind w:right="29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719" w:firstLine="469"/>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1st day of September, 1994.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CERTIFICATE OF FOURTEENTH AMENDMENT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33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Cathy L. Smith, Corporate Secretary of Micron Technology, Inc. a Delaware corporation, hereby certify that the following resolution was adopted by the Board of Directors on October 27, 1994:</w:t>
      </w:r>
    </w:p>
    <w:p>
      <w:pPr>
        <w:spacing w:after="0" w:line="56" w:lineRule="exact"/>
        <w:rPr>
          <w:sz w:val="20"/>
          <w:szCs w:val="20"/>
          <w:color w:val="auto"/>
        </w:rPr>
      </w:pPr>
    </w:p>
    <w:p>
      <w:pPr>
        <w:ind w:right="2999" w:firstLine="469"/>
        <w:spacing w:after="0" w:line="349" w:lineRule="auto"/>
        <w:rPr>
          <w:sz w:val="20"/>
          <w:szCs w:val="20"/>
          <w:color w:val="auto"/>
        </w:rPr>
      </w:pPr>
      <w:r>
        <w:rPr>
          <w:rFonts w:ascii="Courier New" w:cs="Courier New" w:eastAsia="Courier New" w:hAnsi="Courier New"/>
          <w:sz w:val="16"/>
          <w:szCs w:val="16"/>
          <w:color w:val="auto"/>
        </w:rPr>
        <w:t>RESOLVED: Article III, Section 1 of the Bylaws of this corporation are hereby amended to read as follows:</w:t>
      </w:r>
    </w:p>
    <w:p>
      <w:pPr>
        <w:spacing w:after="0" w:line="15" w:lineRule="exact"/>
        <w:rPr>
          <w:sz w:val="20"/>
          <w:szCs w:val="20"/>
          <w:color w:val="auto"/>
        </w:rPr>
      </w:pPr>
    </w:p>
    <w:p>
      <w:pPr>
        <w:ind w:right="2719" w:firstLine="469"/>
        <w:spacing w:after="0" w:line="275" w:lineRule="auto"/>
        <w:rPr>
          <w:sz w:val="20"/>
          <w:szCs w:val="20"/>
          <w:color w:val="auto"/>
        </w:rPr>
      </w:pPr>
      <w:r>
        <w:rPr>
          <w:rFonts w:ascii="Courier New" w:cs="Courier New" w:eastAsia="Courier New" w:hAnsi="Courier New"/>
          <w:sz w:val="16"/>
          <w:szCs w:val="16"/>
          <w:color w:val="auto"/>
        </w:rPr>
        <w:t>SECTION 1.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72"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27th day of October, 1994.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49" w:name="page50"/>
    <w:bookmarkEnd w:id="49"/>
    <w:p>
      <w:pPr>
        <w:ind w:left="2540"/>
        <w:spacing w:after="0"/>
        <w:rPr>
          <w:sz w:val="20"/>
          <w:szCs w:val="20"/>
          <w:color w:val="auto"/>
        </w:rPr>
      </w:pPr>
      <w:r>
        <w:rPr>
          <w:rFonts w:ascii="Courier New" w:cs="Courier New" w:eastAsia="Courier New" w:hAnsi="Courier New"/>
          <w:sz w:val="16"/>
          <w:szCs w:val="16"/>
          <w:color w:val="auto"/>
        </w:rPr>
        <w:t>CERTIFICATE OF FIFTEENTH</w:t>
      </w:r>
    </w:p>
    <w:p>
      <w:pPr>
        <w:spacing w:after="0" w:line="2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AMENDMENT 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81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 was adopted by the Board of Directors on February 5, 1996:</w:t>
      </w:r>
    </w:p>
    <w:p>
      <w:pPr>
        <w:spacing w:after="0" w:line="56"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RESOLVED, that pursuant to Article VIII, Section 1 of the Company's Bylaws, the Board hereby amends Article V, Section 1 of the Bylaws to read in its entirety as follows:</w:t>
      </w:r>
    </w:p>
    <w:p>
      <w:pPr>
        <w:spacing w:after="0" w:line="56" w:lineRule="exact"/>
        <w:rPr>
          <w:sz w:val="20"/>
          <w:szCs w:val="20"/>
          <w:color w:val="auto"/>
        </w:rPr>
      </w:pPr>
    </w:p>
    <w:p>
      <w:pPr>
        <w:ind w:right="2639" w:firstLine="469"/>
        <w:spacing w:after="0" w:line="281" w:lineRule="auto"/>
        <w:rPr>
          <w:sz w:val="20"/>
          <w:szCs w:val="20"/>
          <w:color w:val="auto"/>
        </w:rPr>
      </w:pPr>
      <w:r>
        <w:rPr>
          <w:rFonts w:ascii="Courier New" w:cs="Courier New" w:eastAsia="Courier New" w:hAnsi="Courier New"/>
          <w:sz w:val="15"/>
          <w:szCs w:val="15"/>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70" w:lineRule="exact"/>
        <w:rPr>
          <w:sz w:val="20"/>
          <w:szCs w:val="20"/>
          <w:color w:val="auto"/>
        </w:rPr>
      </w:pPr>
    </w:p>
    <w:p>
      <w:pPr>
        <w:ind w:right="28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7th day of February, 1996.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 R. Reimer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CERTIFICATE OF SIXTEENTH</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THE BYLAWS OF</w:t>
      </w: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September 30, 1996:</w:t>
      </w:r>
    </w:p>
    <w:p>
      <w:pPr>
        <w:spacing w:after="0" w:line="56" w:lineRule="exact"/>
        <w:rPr>
          <w:sz w:val="20"/>
          <w:szCs w:val="20"/>
          <w:color w:val="auto"/>
        </w:rPr>
      </w:pPr>
    </w:p>
    <w:p>
      <w:pPr>
        <w:ind w:right="3099" w:firstLine="469"/>
        <w:spacing w:after="0" w:line="349" w:lineRule="auto"/>
        <w:rPr>
          <w:sz w:val="20"/>
          <w:szCs w:val="20"/>
          <w:color w:val="auto"/>
        </w:rPr>
      </w:pPr>
      <w:r>
        <w:rPr>
          <w:rFonts w:ascii="Courier New" w:cs="Courier New" w:eastAsia="Courier New" w:hAnsi="Courier New"/>
          <w:sz w:val="16"/>
          <w:szCs w:val="16"/>
          <w:color w:val="auto"/>
        </w:rPr>
        <w:t>RESOLVED, that Article II, Section 10 of the Bylaws of this Company be amended to read as follows:</w:t>
      </w:r>
    </w:p>
    <w:p>
      <w:pPr>
        <w:spacing w:after="0" w:line="15" w:lineRule="exact"/>
        <w:rPr>
          <w:sz w:val="20"/>
          <w:szCs w:val="20"/>
          <w:color w:val="auto"/>
        </w:rPr>
      </w:pPr>
    </w:p>
    <w:p>
      <w:pPr>
        <w:ind w:right="2639" w:firstLine="469"/>
        <w:spacing w:after="0" w:line="271" w:lineRule="auto"/>
        <w:rPr>
          <w:sz w:val="20"/>
          <w:szCs w:val="20"/>
          <w:color w:val="auto"/>
        </w:rPr>
      </w:pPr>
      <w:r>
        <w:rPr>
          <w:rFonts w:ascii="Courier New" w:cs="Courier New" w:eastAsia="Courier New" w:hAnsi="Courier New"/>
          <w:sz w:val="15"/>
          <w:szCs w:val="15"/>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79" w:lineRule="exact"/>
        <w:rPr>
          <w:sz w:val="20"/>
          <w:szCs w:val="20"/>
          <w:color w:val="auto"/>
        </w:rPr>
      </w:pPr>
    </w:p>
    <w:p>
      <w:pPr>
        <w:ind w:right="2719" w:firstLine="469"/>
        <w:spacing w:after="0" w:line="349" w:lineRule="auto"/>
        <w:rPr>
          <w:sz w:val="20"/>
          <w:szCs w:val="20"/>
          <w:color w:val="auto"/>
        </w:rPr>
      </w:pPr>
      <w:r>
        <w:rPr>
          <w:rFonts w:ascii="Courier New" w:cs="Courier New" w:eastAsia="Courier New" w:hAnsi="Courier New"/>
          <w:sz w:val="16"/>
          <w:szCs w:val="16"/>
          <w:color w:val="auto"/>
        </w:rPr>
        <w:t>RESOLVED FURTHER, that Article II of the Bylaws of this Company be amended to add Section 12, which will read in its entirety as follows:</w:t>
      </w:r>
    </w:p>
    <w:p>
      <w:pPr>
        <w:spacing w:after="0" w:line="15" w:lineRule="exact"/>
        <w:rPr>
          <w:sz w:val="20"/>
          <w:szCs w:val="20"/>
          <w:color w:val="auto"/>
        </w:rPr>
      </w:pPr>
    </w:p>
    <w:p>
      <w:pPr>
        <w:ind w:left="560" w:right="3199"/>
        <w:spacing w:after="0" w:line="349" w:lineRule="auto"/>
        <w:rPr>
          <w:sz w:val="20"/>
          <w:szCs w:val="20"/>
          <w:color w:val="auto"/>
        </w:rPr>
      </w:pPr>
      <w:r>
        <w:rPr>
          <w:rFonts w:ascii="Courier New" w:cs="Courier New" w:eastAsia="Courier New" w:hAnsi="Courier New"/>
          <w:sz w:val="16"/>
          <w:szCs w:val="16"/>
          <w:color w:val="auto"/>
        </w:rPr>
        <w:t>SECTION 12. Advance Notice of Stockholder Nominees and Stockholder Business</w:t>
      </w:r>
    </w:p>
    <w:p>
      <w:pPr>
        <w:spacing w:after="0" w:line="15" w:lineRule="exact"/>
        <w:rPr>
          <w:sz w:val="20"/>
          <w:szCs w:val="20"/>
          <w:color w:val="auto"/>
        </w:rPr>
      </w:pPr>
    </w:p>
    <w:p>
      <w:pPr>
        <w:ind w:left="560" w:right="2639"/>
        <w:spacing w:after="0" w:line="257" w:lineRule="auto"/>
        <w:tabs>
          <w:tab w:leader="none" w:pos="103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85" w:lineRule="exact"/>
        <w:rPr>
          <w:rFonts w:ascii="Courier New" w:cs="Courier New" w:eastAsia="Courier New" w:hAnsi="Courier New"/>
          <w:sz w:val="16"/>
          <w:szCs w:val="16"/>
          <w:color w:val="auto"/>
        </w:rPr>
      </w:pPr>
    </w:p>
    <w:p>
      <w:pPr>
        <w:ind w:left="560" w:right="2639"/>
        <w:spacing w:after="0" w:line="257" w:lineRule="auto"/>
        <w:tabs>
          <w:tab w:leader="none" w:pos="10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3" w:lineRule="exact"/>
        <w:rPr>
          <w:rFonts w:ascii="Courier New" w:cs="Courier New" w:eastAsia="Courier New" w:hAnsi="Courier New"/>
          <w:sz w:val="15"/>
          <w:szCs w:val="15"/>
          <w:color w:val="auto"/>
        </w:rPr>
      </w:pPr>
    </w:p>
    <w:p>
      <w:pPr>
        <w:ind w:left="560" w:right="2639"/>
        <w:spacing w:after="0" w:line="243" w:lineRule="auto"/>
        <w:tabs>
          <w:tab w:leader="none" w:pos="112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ectPr>
          <w:pgSz w:w="11900" w:h="16838" w:orient="portrait"/>
          <w:cols w:equalWidth="0" w:num="1">
            <w:col w:w="10139"/>
          </w:cols>
          <w:pgMar w:left="320" w:top="631" w:right="1440" w:bottom="1440" w:gutter="0" w:footer="0" w:header="0"/>
        </w:sectPr>
      </w:pPr>
    </w:p>
    <w:bookmarkStart w:id="51" w:name="page52"/>
    <w:bookmarkEnd w:id="51"/>
    <w:p>
      <w:pPr>
        <w:ind w:left="560" w:right="2639"/>
        <w:spacing w:after="0" w:line="258" w:lineRule="auto"/>
        <w:tabs>
          <w:tab w:leader="none" w:pos="112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RESOLVED FURTHER, that Article III, Section 1 of the Bylaws of this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be amended to read as follows:</w:t>
      </w:r>
    </w:p>
    <w:p>
      <w:pPr>
        <w:spacing w:after="0" w:line="152" w:lineRule="exact"/>
        <w:rPr>
          <w:sz w:val="20"/>
          <w:szCs w:val="20"/>
          <w:color w:val="auto"/>
        </w:rPr>
      </w:pPr>
    </w:p>
    <w:p>
      <w:pPr>
        <w:ind w:right="2719" w:firstLine="563"/>
        <w:spacing w:after="0" w:line="299" w:lineRule="auto"/>
        <w:rPr>
          <w:sz w:val="20"/>
          <w:szCs w:val="20"/>
          <w:color w:val="auto"/>
        </w:rPr>
      </w:pPr>
      <w:r>
        <w:rPr>
          <w:rFonts w:ascii="Courier New" w:cs="Courier New" w:eastAsia="Courier New" w:hAnsi="Courier New"/>
          <w:sz w:val="15"/>
          <w:szCs w:val="15"/>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56" w:lineRule="exact"/>
        <w:rPr>
          <w:sz w:val="20"/>
          <w:szCs w:val="20"/>
          <w:color w:val="auto"/>
        </w:rPr>
      </w:pPr>
    </w:p>
    <w:p>
      <w:pPr>
        <w:ind w:right="2719" w:firstLine="563"/>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affixed the corporate seal of said corporation effective as of the 30th day of September, 1996.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 R. Reimer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2" w:name="page53"/>
    <w:bookmarkEnd w:id="52"/>
    <w:p>
      <w:pPr>
        <w:ind w:left="1960"/>
        <w:spacing w:after="0"/>
        <w:rPr>
          <w:sz w:val="20"/>
          <w:szCs w:val="20"/>
          <w:color w:val="auto"/>
        </w:rPr>
      </w:pPr>
      <w:r>
        <w:rPr>
          <w:rFonts w:ascii="Courier New" w:cs="Courier New" w:eastAsia="Courier New" w:hAnsi="Courier New"/>
          <w:sz w:val="16"/>
          <w:szCs w:val="16"/>
          <w:color w:val="auto"/>
        </w:rPr>
        <w:t>CERTIFICATE OF SEVENTEENTH AMENDMENT</w:t>
      </w:r>
    </w:p>
    <w:p>
      <w:pPr>
        <w:spacing w:after="0" w:line="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June 30, 1997:</w:t>
      </w:r>
    </w:p>
    <w:p>
      <w:pPr>
        <w:spacing w:after="0" w:line="237" w:lineRule="exact"/>
        <w:rPr>
          <w:sz w:val="20"/>
          <w:szCs w:val="20"/>
          <w:color w:val="auto"/>
        </w:rPr>
      </w:pPr>
    </w:p>
    <w:p>
      <w:pPr>
        <w:ind w:left="460" w:right="3099"/>
        <w:spacing w:after="0" w:line="349" w:lineRule="auto"/>
        <w:rPr>
          <w:sz w:val="20"/>
          <w:szCs w:val="20"/>
          <w:color w:val="auto"/>
        </w:rPr>
      </w:pPr>
      <w:r>
        <w:rPr>
          <w:rFonts w:ascii="Courier New" w:cs="Courier New" w:eastAsia="Courier New" w:hAnsi="Courier New"/>
          <w:sz w:val="16"/>
          <w:szCs w:val="16"/>
          <w:color w:val="auto"/>
        </w:rPr>
        <w:t>RESOLVED, that Article III, Section 1 of the Bylaws of this Company be amended to read as follows:</w:t>
      </w:r>
    </w:p>
    <w:p>
      <w:pPr>
        <w:spacing w:after="0" w:line="15" w:lineRule="exact"/>
        <w:rPr>
          <w:sz w:val="20"/>
          <w:szCs w:val="20"/>
          <w:color w:val="auto"/>
        </w:rPr>
      </w:pPr>
    </w:p>
    <w:p>
      <w:pPr>
        <w:ind w:left="460" w:right="2719"/>
        <w:spacing w:after="0" w:line="266" w:lineRule="auto"/>
        <w:rPr>
          <w:sz w:val="20"/>
          <w:szCs w:val="20"/>
          <w:color w:val="auto"/>
        </w:rPr>
      </w:pPr>
      <w:r>
        <w:rPr>
          <w:rFonts w:ascii="Courier New" w:cs="Courier New" w:eastAsia="Courier New" w:hAnsi="Courier New"/>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79" w:lineRule="exact"/>
        <w:rPr>
          <w:sz w:val="20"/>
          <w:szCs w:val="20"/>
          <w:color w:val="auto"/>
        </w:rPr>
      </w:pPr>
    </w:p>
    <w:p>
      <w:pPr>
        <w:ind w:right="27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 the corporate seal of said corporation effective as of the 30th day of June, 1997.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 R. Reimer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3" w:name="page54"/>
    <w:bookmarkEnd w:id="53"/>
    <w:p>
      <w:pPr>
        <w:ind w:left="2060"/>
        <w:spacing w:after="0"/>
        <w:rPr>
          <w:sz w:val="20"/>
          <w:szCs w:val="20"/>
          <w:color w:val="auto"/>
        </w:rPr>
      </w:pPr>
      <w:r>
        <w:rPr>
          <w:rFonts w:ascii="Courier New" w:cs="Courier New" w:eastAsia="Courier New" w:hAnsi="Courier New"/>
          <w:sz w:val="16"/>
          <w:szCs w:val="16"/>
          <w:color w:val="auto"/>
        </w:rPr>
        <w:t>CERTIFICATE OF EIGHTEENTH AMENDMENT</w:t>
      </w:r>
    </w:p>
    <w:p>
      <w:pPr>
        <w:spacing w:after="0" w:line="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April 14, 1998:</w:t>
      </w:r>
    </w:p>
    <w:p>
      <w:pPr>
        <w:spacing w:after="0" w:line="237" w:lineRule="exact"/>
        <w:rPr>
          <w:sz w:val="20"/>
          <w:szCs w:val="20"/>
          <w:color w:val="auto"/>
        </w:rPr>
      </w:pPr>
    </w:p>
    <w:p>
      <w:pPr>
        <w:ind w:left="460" w:right="2639" w:firstLine="469"/>
        <w:spacing w:after="0" w:line="349" w:lineRule="auto"/>
        <w:rPr>
          <w:sz w:val="20"/>
          <w:szCs w:val="20"/>
          <w:color w:val="auto"/>
        </w:rPr>
      </w:pPr>
      <w:r>
        <w:rPr>
          <w:rFonts w:ascii="Courier New" w:cs="Courier New" w:eastAsia="Courier New" w:hAnsi="Courier New"/>
          <w:sz w:val="16"/>
          <w:szCs w:val="16"/>
          <w:color w:val="auto"/>
        </w:rPr>
        <w:t>RESOLVED, that Article III, Section 1 of the Bylaws of this Company be amended to read as follows:</w:t>
      </w:r>
    </w:p>
    <w:p>
      <w:pPr>
        <w:spacing w:after="0" w:line="15" w:lineRule="exact"/>
        <w:rPr>
          <w:sz w:val="20"/>
          <w:szCs w:val="20"/>
          <w:color w:val="auto"/>
        </w:rPr>
      </w:pPr>
    </w:p>
    <w:p>
      <w:pPr>
        <w:ind w:left="460" w:right="2719" w:firstLine="469"/>
        <w:spacing w:after="0" w:line="266" w:lineRule="auto"/>
        <w:rPr>
          <w:sz w:val="20"/>
          <w:szCs w:val="20"/>
          <w:color w:val="auto"/>
        </w:rPr>
      </w:pPr>
      <w:r>
        <w:rPr>
          <w:rFonts w:ascii="Courier New" w:cs="Courier New" w:eastAsia="Courier New" w:hAnsi="Courier New"/>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79" w:lineRule="exact"/>
        <w:rPr>
          <w:sz w:val="20"/>
          <w:szCs w:val="20"/>
          <w:color w:val="auto"/>
        </w:rPr>
      </w:pPr>
    </w:p>
    <w:p>
      <w:pPr>
        <w:ind w:right="27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 the corporate seal of said corporation effective as of the 20th day of July, 1998.</w:t>
      </w:r>
    </w:p>
    <w:p>
      <w:pPr>
        <w:spacing w:after="0" w:line="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Jan R. Reimer</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Assistant Secretary</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4" w:name="page55"/>
    <w:bookmarkEnd w:id="54"/>
    <w:p>
      <w:pPr>
        <w:ind w:left="2060"/>
        <w:spacing w:after="0"/>
        <w:rPr>
          <w:sz w:val="20"/>
          <w:szCs w:val="20"/>
          <w:color w:val="auto"/>
        </w:rPr>
      </w:pPr>
      <w:r>
        <w:rPr>
          <w:rFonts w:ascii="Courier New" w:cs="Courier New" w:eastAsia="Courier New" w:hAnsi="Courier New"/>
          <w:sz w:val="16"/>
          <w:szCs w:val="16"/>
          <w:color w:val="auto"/>
        </w:rPr>
        <w:t>CERTIFICATE OF NINETEENTH AMENDMENT</w:t>
      </w:r>
    </w:p>
    <w:p>
      <w:pPr>
        <w:spacing w:after="0" w:line="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November 23, 1998:</w:t>
      </w:r>
    </w:p>
    <w:p>
      <w:pPr>
        <w:spacing w:after="0" w:line="237" w:lineRule="exact"/>
        <w:rPr>
          <w:sz w:val="20"/>
          <w:szCs w:val="20"/>
          <w:color w:val="auto"/>
        </w:rPr>
      </w:pPr>
    </w:p>
    <w:p>
      <w:pPr>
        <w:ind w:left="460" w:right="2639" w:firstLine="469"/>
        <w:spacing w:after="0" w:line="349" w:lineRule="auto"/>
        <w:rPr>
          <w:sz w:val="20"/>
          <w:szCs w:val="20"/>
          <w:color w:val="auto"/>
        </w:rPr>
      </w:pPr>
      <w:r>
        <w:rPr>
          <w:rFonts w:ascii="Courier New" w:cs="Courier New" w:eastAsia="Courier New" w:hAnsi="Courier New"/>
          <w:sz w:val="16"/>
          <w:szCs w:val="16"/>
          <w:color w:val="auto"/>
        </w:rPr>
        <w:t>RESOLVED, that Article III, Section 1 of the Bylaws of this Company be amended to read as follows:</w:t>
      </w:r>
    </w:p>
    <w:p>
      <w:pPr>
        <w:spacing w:after="0" w:line="15" w:lineRule="exact"/>
        <w:rPr>
          <w:sz w:val="20"/>
          <w:szCs w:val="20"/>
          <w:color w:val="auto"/>
        </w:rPr>
      </w:pPr>
    </w:p>
    <w:p>
      <w:pPr>
        <w:ind w:left="460" w:right="2719" w:firstLine="469"/>
        <w:spacing w:after="0" w:line="266" w:lineRule="auto"/>
        <w:rPr>
          <w:sz w:val="20"/>
          <w:szCs w:val="20"/>
          <w:color w:val="auto"/>
        </w:rPr>
      </w:pPr>
      <w:r>
        <w:rPr>
          <w:rFonts w:ascii="Courier New" w:cs="Courier New" w:eastAsia="Courier New" w:hAnsi="Courier New"/>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79" w:lineRule="exact"/>
        <w:rPr>
          <w:sz w:val="20"/>
          <w:szCs w:val="20"/>
          <w:color w:val="auto"/>
        </w:rPr>
      </w:pPr>
    </w:p>
    <w:p>
      <w:pPr>
        <w:ind w:right="27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 the corporate seal of said corporation effective as of the 23rd day of November, 1998.</w:t>
      </w:r>
    </w:p>
    <w:p>
      <w:pPr>
        <w:spacing w:after="0" w:line="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Jan R. Reimer</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Assistant Secretary</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5" w:name="page56"/>
    <w:bookmarkEnd w:id="55"/>
    <w:p>
      <w:pPr>
        <w:ind w:left="2060"/>
        <w:spacing w:after="0"/>
        <w:rPr>
          <w:sz w:val="20"/>
          <w:szCs w:val="20"/>
          <w:color w:val="auto"/>
        </w:rPr>
      </w:pPr>
      <w:r>
        <w:rPr>
          <w:rFonts w:ascii="Courier New" w:cs="Courier New" w:eastAsia="Courier New" w:hAnsi="Courier New"/>
          <w:sz w:val="16"/>
          <w:szCs w:val="16"/>
          <w:color w:val="auto"/>
        </w:rPr>
        <w:t>CERTIFICATE OF TWENTIETH AMENDMENT</w:t>
      </w:r>
    </w:p>
    <w:p>
      <w:pPr>
        <w:spacing w:after="0" w:line="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June 16, 1999:</w:t>
      </w:r>
    </w:p>
    <w:p>
      <w:pPr>
        <w:spacing w:after="0" w:line="56" w:lineRule="exact"/>
        <w:rPr>
          <w:sz w:val="20"/>
          <w:szCs w:val="20"/>
          <w:color w:val="auto"/>
        </w:rPr>
      </w:pPr>
    </w:p>
    <w:p>
      <w:pPr>
        <w:ind w:left="460" w:right="2919" w:firstLine="469"/>
        <w:spacing w:after="0" w:line="294" w:lineRule="auto"/>
        <w:rPr>
          <w:sz w:val="20"/>
          <w:szCs w:val="20"/>
          <w:color w:val="auto"/>
        </w:rPr>
      </w:pPr>
      <w:r>
        <w:rPr>
          <w:rFonts w:ascii="Courier New" w:cs="Courier New" w:eastAsia="Courier New" w:hAnsi="Courier New"/>
          <w:sz w:val="16"/>
          <w:szCs w:val="16"/>
          <w:color w:val="auto"/>
        </w:rPr>
        <w:t>RESOLVED, that pursuant to Article VIII, Section 1 of the Company's Bylaws, the Board hereby amends Article III, Sections 14 and 15 of the Bylaws to read in their entirety as follows:</w:t>
      </w:r>
    </w:p>
    <w:p>
      <w:pPr>
        <w:spacing w:after="0" w:line="56" w:lineRule="exact"/>
        <w:rPr>
          <w:sz w:val="20"/>
          <w:szCs w:val="20"/>
          <w:color w:val="auto"/>
        </w:rPr>
      </w:pPr>
    </w:p>
    <w:p>
      <w:pPr>
        <w:ind w:left="460" w:right="2639" w:firstLine="469"/>
        <w:spacing w:after="0" w:line="244" w:lineRule="auto"/>
        <w:rPr>
          <w:sz w:val="20"/>
          <w:szCs w:val="20"/>
          <w:color w:val="auto"/>
        </w:rPr>
      </w:pPr>
      <w:r>
        <w:rPr>
          <w:rFonts w:ascii="Courier New" w:cs="Courier New" w:eastAsia="Courier New" w:hAnsi="Courier New"/>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07" w:lineRule="exact"/>
        <w:rPr>
          <w:sz w:val="20"/>
          <w:szCs w:val="20"/>
          <w:color w:val="auto"/>
        </w:rPr>
      </w:pPr>
    </w:p>
    <w:p>
      <w:pPr>
        <w:ind w:left="460" w:right="2639" w:firstLine="469"/>
        <w:spacing w:after="0" w:line="252" w:lineRule="auto"/>
        <w:rPr>
          <w:sz w:val="20"/>
          <w:szCs w:val="20"/>
          <w:color w:val="auto"/>
        </w:rPr>
      </w:pPr>
      <w:r>
        <w:rPr>
          <w:rFonts w:ascii="Courier New" w:cs="Courier New" w:eastAsia="Courier New" w:hAnsi="Courier New"/>
          <w:sz w:val="16"/>
          <w:szCs w:val="16"/>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93" w:lineRule="exact"/>
        <w:rPr>
          <w:sz w:val="20"/>
          <w:szCs w:val="20"/>
          <w:color w:val="auto"/>
        </w:rPr>
      </w:pPr>
    </w:p>
    <w:p>
      <w:pPr>
        <w:ind w:left="460" w:right="2639" w:firstLine="469"/>
        <w:spacing w:after="0" w:line="275" w:lineRule="auto"/>
        <w:rPr>
          <w:sz w:val="20"/>
          <w:szCs w:val="20"/>
          <w:color w:val="auto"/>
        </w:rPr>
      </w:pPr>
      <w:r>
        <w:rPr>
          <w:rFonts w:ascii="Courier New" w:cs="Courier New" w:eastAsia="Courier New" w:hAnsi="Courier New"/>
          <w:sz w:val="16"/>
          <w:szCs w:val="16"/>
          <w:color w:val="auto"/>
        </w:rPr>
        <w:t>RESOLVED FURTHER, that any and all actions taken prior to the adoption of the foregoing resolution by the "Employee Option Committee" of the Board are hereby ratified, confirmed, approved and adopted as actions of the Company.</w:t>
      </w:r>
    </w:p>
    <w:p>
      <w:pPr>
        <w:spacing w:after="0" w:line="72" w:lineRule="exact"/>
        <w:rPr>
          <w:sz w:val="20"/>
          <w:szCs w:val="20"/>
          <w:color w:val="auto"/>
        </w:rPr>
      </w:pPr>
    </w:p>
    <w:p>
      <w:pPr>
        <w:ind w:right="271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 the corporate seal of said corporation effective as of the 16th day of June, 1999.</w:t>
      </w:r>
    </w:p>
    <w:p>
      <w:pPr>
        <w:spacing w:after="0" w:line="19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/s/ Jan R. Reimer</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jc w:val="center"/>
        <w:ind w:right="-80"/>
        <w:spacing w:after="0"/>
        <w:rPr>
          <w:sz w:val="20"/>
          <w:szCs w:val="20"/>
          <w:color w:val="auto"/>
        </w:rPr>
      </w:pPr>
      <w:r>
        <w:rPr>
          <w:rFonts w:ascii="Courier New" w:cs="Courier New" w:eastAsia="Courier New" w:hAnsi="Courier New"/>
          <w:sz w:val="16"/>
          <w:szCs w:val="16"/>
          <w:color w:val="auto"/>
        </w:rPr>
        <w:t>Assistant Secretary</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6" w:name="page57"/>
    <w:bookmarkEnd w:id="56"/>
    <w:p>
      <w:pPr>
        <w:ind w:left="1960"/>
        <w:spacing w:after="0"/>
        <w:rPr>
          <w:sz w:val="20"/>
          <w:szCs w:val="20"/>
          <w:color w:val="auto"/>
        </w:rPr>
      </w:pPr>
      <w:r>
        <w:rPr>
          <w:rFonts w:ascii="Courier New" w:cs="Courier New" w:eastAsia="Courier New" w:hAnsi="Courier New"/>
          <w:sz w:val="16"/>
          <w:szCs w:val="16"/>
          <w:color w:val="auto"/>
        </w:rPr>
        <w:t>CERTIFICATE OF TWENTY-FIRST AMENDMENT</w:t>
      </w:r>
    </w:p>
    <w:p>
      <w:pPr>
        <w:spacing w:after="0" w:line="2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TO THE BYLAWS OF</w:t>
      </w: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52" w:lineRule="exact"/>
        <w:rPr>
          <w:sz w:val="20"/>
          <w:szCs w:val="20"/>
          <w:color w:val="auto"/>
        </w:rPr>
      </w:pPr>
    </w:p>
    <w:p>
      <w:pPr>
        <w:ind w:right="2639" w:firstLine="469"/>
        <w:spacing w:after="0" w:line="294" w:lineRule="auto"/>
        <w:rPr>
          <w:sz w:val="20"/>
          <w:szCs w:val="20"/>
          <w:color w:val="auto"/>
        </w:rPr>
      </w:pPr>
      <w:r>
        <w:rPr>
          <w:rFonts w:ascii="Courier New" w:cs="Courier New" w:eastAsia="Courier New" w:hAnsi="Courier New"/>
          <w:sz w:val="16"/>
          <w:szCs w:val="16"/>
          <w:color w:val="auto"/>
        </w:rPr>
        <w:t>I, Jan R. Reimer, Assistant Secretary of Micron Technology, Inc., a Delaware corporation, hereby certify that the following resolutions were adopted by the Board of Directors on November 23, 1999:</w:t>
      </w:r>
    </w:p>
    <w:p>
      <w:pPr>
        <w:spacing w:after="0" w:line="56" w:lineRule="exact"/>
        <w:rPr>
          <w:sz w:val="20"/>
          <w:szCs w:val="20"/>
          <w:color w:val="auto"/>
        </w:rPr>
      </w:pPr>
    </w:p>
    <w:p>
      <w:pPr>
        <w:jc w:val="both"/>
        <w:ind w:left="460" w:right="2919" w:firstLine="469"/>
        <w:spacing w:after="0" w:line="294" w:lineRule="auto"/>
        <w:rPr>
          <w:sz w:val="20"/>
          <w:szCs w:val="20"/>
          <w:color w:val="auto"/>
        </w:rPr>
      </w:pPr>
      <w:r>
        <w:rPr>
          <w:rFonts w:ascii="Courier New" w:cs="Courier New" w:eastAsia="Courier New" w:hAnsi="Courier New"/>
          <w:sz w:val="16"/>
          <w:szCs w:val="16"/>
          <w:color w:val="auto"/>
        </w:rPr>
        <w:t>RESOLVED, that pursuant to Article VIII, Section 1 of the Company's Bylaws, the Board hereby amends Article III, Section 1 of the Bylaws to read in its entirety as follows:</w:t>
      </w:r>
    </w:p>
    <w:p>
      <w:pPr>
        <w:spacing w:after="0" w:line="56" w:lineRule="exact"/>
        <w:rPr>
          <w:sz w:val="20"/>
          <w:szCs w:val="20"/>
          <w:color w:val="auto"/>
        </w:rPr>
      </w:pPr>
    </w:p>
    <w:p>
      <w:pPr>
        <w:ind w:left="460" w:right="2719" w:firstLine="469"/>
        <w:spacing w:after="0" w:line="266" w:lineRule="auto"/>
        <w:rPr>
          <w:sz w:val="20"/>
          <w:szCs w:val="20"/>
          <w:color w:val="auto"/>
        </w:rPr>
      </w:pPr>
      <w:r>
        <w:rPr>
          <w:rFonts w:ascii="Courier New" w:cs="Courier New" w:eastAsia="Courier New" w:hAnsi="Courier New"/>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79" w:lineRule="exact"/>
        <w:rPr>
          <w:sz w:val="20"/>
          <w:szCs w:val="20"/>
          <w:color w:val="auto"/>
        </w:rPr>
      </w:pPr>
    </w:p>
    <w:p>
      <w:pPr>
        <w:ind w:left="460" w:right="2719" w:firstLine="469"/>
        <w:spacing w:after="0" w:line="349" w:lineRule="auto"/>
        <w:rPr>
          <w:sz w:val="20"/>
          <w:szCs w:val="20"/>
          <w:color w:val="auto"/>
        </w:rPr>
      </w:pPr>
      <w:r>
        <w:rPr>
          <w:rFonts w:ascii="Courier New" w:cs="Courier New" w:eastAsia="Courier New" w:hAnsi="Courier New"/>
          <w:sz w:val="16"/>
          <w:szCs w:val="16"/>
          <w:color w:val="auto"/>
        </w:rPr>
        <w:t>RESOLVED FURTHER, that the Board hereby amends Article II, Section 12 of the Company's Bylaws to read in its entirely as follows:</w:t>
      </w:r>
    </w:p>
    <w:p>
      <w:pPr>
        <w:spacing w:after="0" w:line="15" w:lineRule="exact"/>
        <w:rPr>
          <w:sz w:val="20"/>
          <w:szCs w:val="20"/>
          <w:color w:val="auto"/>
        </w:rPr>
      </w:pPr>
    </w:p>
    <w:p>
      <w:pPr>
        <w:ind w:left="460" w:right="2919" w:firstLine="469"/>
        <w:spacing w:after="0" w:line="349" w:lineRule="auto"/>
        <w:rPr>
          <w:sz w:val="20"/>
          <w:szCs w:val="20"/>
          <w:color w:val="auto"/>
        </w:rPr>
      </w:pPr>
      <w:r>
        <w:rPr>
          <w:rFonts w:ascii="Courier New" w:cs="Courier New" w:eastAsia="Courier New" w:hAnsi="Courier New"/>
          <w:sz w:val="16"/>
          <w:szCs w:val="16"/>
          <w:color w:val="auto"/>
        </w:rPr>
        <w:t>SECTION 12. Advance Notice of Stockholder Nominees and Stockholder Business</w:t>
      </w:r>
    </w:p>
    <w:p>
      <w:pPr>
        <w:spacing w:after="0" w:line="15" w:lineRule="exact"/>
        <w:rPr>
          <w:sz w:val="20"/>
          <w:szCs w:val="20"/>
          <w:color w:val="auto"/>
        </w:rPr>
      </w:pPr>
    </w:p>
    <w:p>
      <w:pPr>
        <w:ind w:left="460" w:right="2639" w:firstLine="475"/>
        <w:spacing w:after="0" w:line="281" w:lineRule="auto"/>
        <w:tabs>
          <w:tab w:leader="none" w:pos="139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70" w:lineRule="exact"/>
        <w:rPr>
          <w:rFonts w:ascii="Courier New" w:cs="Courier New" w:eastAsia="Courier New" w:hAnsi="Courier New"/>
          <w:sz w:val="15"/>
          <w:szCs w:val="15"/>
          <w:color w:val="auto"/>
        </w:rPr>
      </w:pPr>
    </w:p>
    <w:p>
      <w:pPr>
        <w:ind w:left="460" w:right="2639" w:firstLine="475"/>
        <w:spacing w:after="0" w:line="257" w:lineRule="auto"/>
        <w:tabs>
          <w:tab w:leader="none" w:pos="139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3" w:lineRule="exact"/>
        <w:rPr>
          <w:rFonts w:ascii="Courier New" w:cs="Courier New" w:eastAsia="Courier New" w:hAnsi="Courier New"/>
          <w:sz w:val="15"/>
          <w:szCs w:val="15"/>
          <w:color w:val="auto"/>
        </w:rPr>
      </w:pPr>
    </w:p>
    <w:p>
      <w:pPr>
        <w:ind w:left="460" w:right="2639" w:firstLine="6"/>
        <w:spacing w:after="0" w:line="255" w:lineRule="auto"/>
        <w:tabs>
          <w:tab w:leader="none" w:pos="102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w:t>
      </w:r>
    </w:p>
    <w:p>
      <w:pPr>
        <w:ind w:left="460" w:right="2639" w:firstLine="6"/>
        <w:spacing w:after="0" w:line="253" w:lineRule="auto"/>
        <w:tabs>
          <w:tab w:leader="none" w:pos="9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ectPr>
          <w:pgSz w:w="11900" w:h="16838" w:orient="portrait"/>
          <w:cols w:equalWidth="0" w:num="1">
            <w:col w:w="10139"/>
          </w:cols>
          <w:pgMar w:left="320" w:top="631" w:right="1440" w:bottom="1440" w:gutter="0" w:footer="0" w:header="0"/>
        </w:sectPr>
      </w:pPr>
    </w:p>
    <w:bookmarkStart w:id="57" w:name="page58"/>
    <w:bookmarkEnd w:id="57"/>
    <w:p>
      <w:pPr>
        <w:ind w:left="460" w:right="2639" w:firstLine="475"/>
        <w:spacing w:after="0" w:line="258" w:lineRule="auto"/>
        <w:tabs>
          <w:tab w:leader="none" w:pos="139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w:t>
      </w:r>
    </w:p>
    <w:p>
      <w:pPr>
        <w:spacing w:after="0" w:line="7" w:lineRule="exact"/>
        <w:rPr>
          <w:rFonts w:ascii="Courier New" w:cs="Courier New" w:eastAsia="Courier New" w:hAnsi="Courier New"/>
          <w:sz w:val="15"/>
          <w:szCs w:val="15"/>
          <w:color w:val="auto"/>
        </w:rPr>
      </w:pPr>
    </w:p>
    <w:p>
      <w:pPr>
        <w:ind w:left="460" w:right="2639" w:firstLine="6"/>
        <w:spacing w:after="0" w:line="242" w:lineRule="auto"/>
        <w:tabs>
          <w:tab w:leader="none" w:pos="83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98" w:lineRule="exact"/>
        <w:rPr>
          <w:sz w:val="20"/>
          <w:szCs w:val="20"/>
          <w:color w:val="auto"/>
        </w:rPr>
      </w:pPr>
    </w:p>
    <w:p>
      <w:pPr>
        <w:ind w:right="2639" w:firstLine="469"/>
        <w:spacing w:after="0" w:line="349" w:lineRule="auto"/>
        <w:rPr>
          <w:sz w:val="20"/>
          <w:szCs w:val="20"/>
          <w:color w:val="auto"/>
        </w:rPr>
      </w:pPr>
      <w:r>
        <w:rPr>
          <w:rFonts w:ascii="Courier New" w:cs="Courier New" w:eastAsia="Courier New" w:hAnsi="Courier New"/>
          <w:sz w:val="16"/>
          <w:szCs w:val="16"/>
          <w:color w:val="auto"/>
        </w:rPr>
        <w:t>IN WITNESS WHEREOF, I hereunto set my hand and affix the corporate seal of said corporation effective as of the 23rd day of November, 1999.</w:t>
      </w:r>
    </w:p>
    <w:p>
      <w:pPr>
        <w:spacing w:after="0" w:line="1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/s/ Jan R. Reimer</w:t>
      </w:r>
    </w:p>
    <w:p>
      <w:pPr>
        <w:spacing w:after="0" w:line="2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jc w:val="center"/>
        <w:ind w:right="-80"/>
        <w:spacing w:after="0"/>
        <w:rPr>
          <w:sz w:val="20"/>
          <w:szCs w:val="20"/>
          <w:color w:val="auto"/>
        </w:rPr>
      </w:pPr>
      <w:r>
        <w:rPr>
          <w:rFonts w:ascii="Courier New" w:cs="Courier New" w:eastAsia="Courier New" w:hAnsi="Courier New"/>
          <w:sz w:val="16"/>
          <w:szCs w:val="16"/>
          <w:color w:val="auto"/>
        </w:rPr>
        <w:t>Assistant Secretary</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139"/>
          </w:cols>
          <w:pgMar w:left="320" w:top="631"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80"/>
        <w:spacing w:after="0"/>
        <w:rPr>
          <w:sz w:val="20"/>
          <w:szCs w:val="20"/>
          <w:color w:val="auto"/>
        </w:rPr>
      </w:pPr>
      <w:r>
        <w:rPr>
          <w:rFonts w:ascii="Courier New" w:cs="Courier New" w:eastAsia="Courier New" w:hAnsi="Courier New"/>
          <w:sz w:val="16"/>
          <w:szCs w:val="16"/>
          <w:color w:val="auto"/>
        </w:rPr>
        <w:t>5</w:t>
      </w:r>
    </w:p>
    <w:p>
      <w:pPr>
        <w:spacing w:after="0" w:line="180" w:lineRule="exact"/>
        <w:rPr>
          <w:sz w:val="20"/>
          <w:szCs w:val="20"/>
          <w:color w:val="auto"/>
        </w:rPr>
      </w:pPr>
    </w:p>
    <w:p>
      <w:pPr>
        <w:ind w:right="2699"/>
        <w:spacing w:after="0" w:line="294" w:lineRule="auto"/>
        <w:rPr>
          <w:sz w:val="20"/>
          <w:szCs w:val="20"/>
          <w:color w:val="auto"/>
        </w:rPr>
      </w:pPr>
      <w:r>
        <w:rPr>
          <w:rFonts w:ascii="Courier New" w:cs="Courier New" w:eastAsia="Courier New" w:hAnsi="Courier New"/>
          <w:sz w:val="16"/>
          <w:szCs w:val="16"/>
          <w:color w:val="auto"/>
        </w:rPr>
        <w:t>THIS SCHEDULE CONTAINS SUMMARY FINANCIAL INFORMATION EXTRACTED FROM THE ACCOMPANYING FINANCIAL STATEMENTS AND IS QUALIFIED IN ITS ENTIRETY BY REFERENCE TO SUCH FINANCIAL STATEMENTS.</w:t>
      </w:r>
    </w:p>
    <w:p>
      <w:pPr>
        <w:spacing w:after="0" w:line="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3-MOS</w:t>
      </w:r>
    </w:p>
    <w:p>
      <w:pPr>
        <w:spacing w:after="0" w:line="2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AUG-31-2000</w:t>
      </w:r>
    </w:p>
    <w:p>
      <w:pPr>
        <w:ind w:left="2700"/>
        <w:spacing w:after="0"/>
        <w:rPr>
          <w:sz w:val="20"/>
          <w:szCs w:val="20"/>
          <w:color w:val="auto"/>
        </w:rPr>
      </w:pPr>
      <w:r>
        <w:rPr>
          <w:rFonts w:ascii="Courier New" w:cs="Courier New" w:eastAsia="Courier New" w:hAnsi="Courier New"/>
          <w:sz w:val="16"/>
          <w:szCs w:val="16"/>
          <w:color w:val="auto"/>
        </w:rPr>
        <w:t>SEP-03-1999</w:t>
      </w:r>
    </w:p>
    <w:p>
      <w:pPr>
        <w:ind w:left="2880"/>
        <w:spacing w:after="0"/>
        <w:rPr>
          <w:sz w:val="20"/>
          <w:szCs w:val="20"/>
          <w:color w:val="auto"/>
        </w:rPr>
      </w:pPr>
      <w:r>
        <w:rPr>
          <w:rFonts w:ascii="Courier New" w:cs="Courier New" w:eastAsia="Courier New" w:hAnsi="Courier New"/>
          <w:sz w:val="16"/>
          <w:szCs w:val="16"/>
          <w:color w:val="auto"/>
        </w:rPr>
        <w:t>DEC-02-1999</w:t>
      </w:r>
    </w:p>
    <w:p>
      <w:pPr>
        <w:ind w:left="4200"/>
        <w:spacing w:after="0"/>
        <w:rPr>
          <w:sz w:val="20"/>
          <w:szCs w:val="20"/>
          <w:color w:val="auto"/>
        </w:rPr>
      </w:pPr>
      <w:r>
        <w:rPr>
          <w:rFonts w:ascii="Courier New" w:cs="Courier New" w:eastAsia="Courier New" w:hAnsi="Courier New"/>
          <w:sz w:val="16"/>
          <w:szCs w:val="16"/>
          <w:color w:val="auto"/>
        </w:rPr>
        <w:t>442</w:t>
      </w:r>
    </w:p>
    <w:p>
      <w:pPr>
        <w:ind w:left="3460"/>
        <w:spacing w:after="0"/>
        <w:rPr>
          <w:sz w:val="20"/>
          <w:szCs w:val="20"/>
          <w:color w:val="auto"/>
        </w:rPr>
      </w:pPr>
      <w:r>
        <w:rPr>
          <w:rFonts w:ascii="Courier New" w:cs="Courier New" w:eastAsia="Courier New" w:hAnsi="Courier New"/>
          <w:sz w:val="16"/>
          <w:szCs w:val="16"/>
          <w:color w:val="auto"/>
        </w:rPr>
        <w:t>1,445</w:t>
      </w:r>
    </w:p>
    <w:p>
      <w:pPr>
        <w:ind w:left="3540"/>
        <w:spacing w:after="0"/>
        <w:rPr>
          <w:sz w:val="20"/>
          <w:szCs w:val="20"/>
          <w:color w:val="auto"/>
        </w:rPr>
      </w:pPr>
      <w:r>
        <w:rPr>
          <w:rFonts w:ascii="Courier New" w:cs="Courier New" w:eastAsia="Courier New" w:hAnsi="Courier New"/>
          <w:sz w:val="16"/>
          <w:szCs w:val="16"/>
          <w:color w:val="auto"/>
        </w:rPr>
        <w:t>960</w:t>
      </w:r>
    </w:p>
    <w:p>
      <w:pPr>
        <w:ind w:left="3540"/>
        <w:spacing w:after="0"/>
        <w:rPr>
          <w:sz w:val="20"/>
          <w:szCs w:val="20"/>
          <w:color w:val="auto"/>
        </w:rPr>
      </w:pPr>
      <w:r>
        <w:rPr>
          <w:rFonts w:ascii="Courier New" w:cs="Courier New" w:eastAsia="Courier New" w:hAnsi="Courier New"/>
          <w:sz w:val="16"/>
          <w:szCs w:val="16"/>
          <w:color w:val="auto"/>
        </w:rPr>
        <w:t>(43)</w:t>
      </w:r>
    </w:p>
    <w:p>
      <w:pPr>
        <w:ind w:left="3740"/>
        <w:spacing w:after="0"/>
        <w:rPr>
          <w:sz w:val="20"/>
          <w:szCs w:val="20"/>
          <w:color w:val="auto"/>
        </w:rPr>
      </w:pPr>
      <w:r>
        <w:rPr>
          <w:rFonts w:ascii="Courier New" w:cs="Courier New" w:eastAsia="Courier New" w:hAnsi="Courier New"/>
          <w:sz w:val="16"/>
          <w:szCs w:val="16"/>
          <w:color w:val="auto"/>
        </w:rPr>
        <w:t>504</w:t>
      </w:r>
    </w:p>
    <w:p>
      <w:pPr>
        <w:ind w:left="3080"/>
        <w:spacing w:after="0"/>
        <w:rPr>
          <w:sz w:val="20"/>
          <w:szCs w:val="20"/>
          <w:color w:val="auto"/>
        </w:rPr>
      </w:pPr>
      <w:r>
        <w:rPr>
          <w:rFonts w:ascii="Courier New" w:cs="Courier New" w:eastAsia="Courier New" w:hAnsi="Courier New"/>
          <w:sz w:val="16"/>
          <w:szCs w:val="16"/>
          <w:color w:val="auto"/>
        </w:rPr>
        <w:t>3,428</w:t>
      </w:r>
    </w:p>
    <w:p>
      <w:pPr>
        <w:ind w:left="4020"/>
        <w:spacing w:after="0"/>
        <w:rPr>
          <w:sz w:val="20"/>
          <w:szCs w:val="20"/>
          <w:color w:val="auto"/>
        </w:rPr>
      </w:pPr>
      <w:r>
        <w:rPr>
          <w:rFonts w:ascii="Courier New" w:cs="Courier New" w:eastAsia="Courier New" w:hAnsi="Courier New"/>
          <w:sz w:val="16"/>
          <w:szCs w:val="16"/>
          <w:color w:val="auto"/>
        </w:rPr>
        <w:t>6,206</w:t>
      </w:r>
    </w:p>
    <w:p>
      <w:pPr>
        <w:jc w:val="right"/>
        <w:ind w:right="6379"/>
        <w:spacing w:after="0"/>
        <w:rPr>
          <w:sz w:val="20"/>
          <w:szCs w:val="20"/>
          <w:color w:val="auto"/>
        </w:rPr>
      </w:pPr>
      <w:r>
        <w:rPr>
          <w:rFonts w:ascii="Courier New" w:cs="Courier New" w:eastAsia="Courier New" w:hAnsi="Courier New"/>
          <w:sz w:val="16"/>
          <w:szCs w:val="16"/>
          <w:color w:val="auto"/>
        </w:rPr>
        <w:t>(2,378)</w:t>
      </w:r>
    </w:p>
    <w:p>
      <w:pPr>
        <w:jc w:val="right"/>
        <w:ind w:right="6379"/>
        <w:spacing w:after="0"/>
        <w:rPr>
          <w:sz w:val="20"/>
          <w:szCs w:val="20"/>
          <w:color w:val="auto"/>
        </w:rPr>
      </w:pPr>
      <w:r>
        <w:rPr>
          <w:rFonts w:ascii="Courier New" w:cs="Courier New" w:eastAsia="Courier New" w:hAnsi="Courier New"/>
          <w:sz w:val="16"/>
          <w:szCs w:val="16"/>
          <w:color w:val="auto"/>
        </w:rPr>
        <w:t>7,581</w:t>
      </w:r>
    </w:p>
    <w:p>
      <w:pPr>
        <w:ind w:left="2600"/>
        <w:spacing w:after="0"/>
        <w:rPr>
          <w:sz w:val="20"/>
          <w:szCs w:val="20"/>
          <w:color w:val="auto"/>
        </w:rPr>
      </w:pPr>
      <w:r>
        <w:rPr>
          <w:rFonts w:ascii="Courier New" w:cs="Courier New" w:eastAsia="Courier New" w:hAnsi="Courier New"/>
          <w:sz w:val="16"/>
          <w:szCs w:val="16"/>
          <w:color w:val="auto"/>
        </w:rPr>
        <w:t>1,105</w:t>
      </w:r>
    </w:p>
    <w:p>
      <w:pPr>
        <w:ind w:left="4300"/>
        <w:spacing w:after="0"/>
        <w:rPr>
          <w:sz w:val="20"/>
          <w:szCs w:val="20"/>
          <w:color w:val="auto"/>
        </w:rPr>
      </w:pPr>
      <w:r>
        <w:rPr>
          <w:rFonts w:ascii="Courier New" w:cs="Courier New" w:eastAsia="Courier New" w:hAnsi="Courier New"/>
          <w:sz w:val="16"/>
          <w:szCs w:val="16"/>
          <w:color w:val="auto"/>
        </w:rPr>
        <w:t>0</w:t>
      </w:r>
    </w:p>
    <w:p>
      <w:pPr>
        <w:ind w:left="2980"/>
        <w:spacing w:after="0"/>
        <w:rPr>
          <w:sz w:val="20"/>
          <w:szCs w:val="20"/>
          <w:color w:val="auto"/>
        </w:rPr>
      </w:pPr>
      <w:r>
        <w:rPr>
          <w:rFonts w:ascii="Courier New" w:cs="Courier New" w:eastAsia="Courier New" w:hAnsi="Courier New"/>
          <w:sz w:val="16"/>
          <w:szCs w:val="16"/>
          <w:color w:val="auto"/>
        </w:rPr>
        <w:t>0</w:t>
      </w:r>
    </w:p>
    <w:p>
      <w:pPr>
        <w:ind w:left="3920"/>
        <w:spacing w:after="0"/>
        <w:rPr>
          <w:sz w:val="20"/>
          <w:szCs w:val="20"/>
          <w:color w:val="auto"/>
        </w:rPr>
      </w:pPr>
      <w:r>
        <w:rPr>
          <w:rFonts w:ascii="Courier New" w:cs="Courier New" w:eastAsia="Courier New" w:hAnsi="Courier New"/>
          <w:sz w:val="16"/>
          <w:szCs w:val="16"/>
          <w:color w:val="auto"/>
        </w:rPr>
        <w:t>0</w:t>
      </w:r>
    </w:p>
    <w:p>
      <w:pPr>
        <w:ind w:left="4100"/>
        <w:spacing w:after="0"/>
        <w:rPr>
          <w:sz w:val="20"/>
          <w:szCs w:val="20"/>
          <w:color w:val="auto"/>
        </w:rPr>
      </w:pPr>
      <w:r>
        <w:rPr>
          <w:rFonts w:ascii="Courier New" w:cs="Courier New" w:eastAsia="Courier New" w:hAnsi="Courier New"/>
          <w:sz w:val="16"/>
          <w:szCs w:val="16"/>
          <w:color w:val="auto"/>
        </w:rPr>
        <w:t>27</w:t>
      </w:r>
    </w:p>
    <w:p>
      <w:pPr>
        <w:ind w:left="3640"/>
        <w:spacing w:after="0"/>
        <w:rPr>
          <w:sz w:val="20"/>
          <w:szCs w:val="20"/>
          <w:color w:val="auto"/>
        </w:rPr>
      </w:pPr>
      <w:r>
        <w:rPr>
          <w:rFonts w:ascii="Courier New" w:cs="Courier New" w:eastAsia="Courier New" w:hAnsi="Courier New"/>
          <w:sz w:val="16"/>
          <w:szCs w:val="16"/>
          <w:color w:val="auto"/>
        </w:rPr>
        <w:t>4,359</w:t>
      </w:r>
    </w:p>
    <w:p>
      <w:pPr>
        <w:ind w:left="1940"/>
        <w:spacing w:after="0"/>
        <w:rPr>
          <w:sz w:val="20"/>
          <w:szCs w:val="20"/>
          <w:color w:val="auto"/>
        </w:rPr>
      </w:pPr>
      <w:r>
        <w:rPr>
          <w:rFonts w:ascii="Courier New" w:cs="Courier New" w:eastAsia="Courier New" w:hAnsi="Courier New"/>
          <w:sz w:val="16"/>
          <w:szCs w:val="16"/>
          <w:color w:val="auto"/>
        </w:rPr>
        <w:t>7,581</w:t>
      </w:r>
    </w:p>
    <w:p>
      <w:pPr>
        <w:ind w:left="3920"/>
        <w:spacing w:after="0"/>
        <w:rPr>
          <w:sz w:val="20"/>
          <w:szCs w:val="20"/>
          <w:color w:val="auto"/>
        </w:rPr>
      </w:pPr>
      <w:r>
        <w:rPr>
          <w:rFonts w:ascii="Courier New" w:cs="Courier New" w:eastAsia="Courier New" w:hAnsi="Courier New"/>
          <w:sz w:val="16"/>
          <w:szCs w:val="16"/>
          <w:color w:val="auto"/>
        </w:rPr>
        <w:t>1,584</w:t>
      </w:r>
    </w:p>
    <w:p>
      <w:pPr>
        <w:ind w:left="3080"/>
        <w:spacing w:after="0"/>
        <w:rPr>
          <w:sz w:val="20"/>
          <w:szCs w:val="20"/>
          <w:color w:val="auto"/>
        </w:rPr>
      </w:pPr>
      <w:r>
        <w:rPr>
          <w:rFonts w:ascii="Courier New" w:cs="Courier New" w:eastAsia="Courier New" w:hAnsi="Courier New"/>
          <w:sz w:val="16"/>
          <w:szCs w:val="16"/>
          <w:color w:val="auto"/>
        </w:rPr>
        <w:t>1,584</w:t>
      </w:r>
    </w:p>
    <w:p>
      <w:pPr>
        <w:ind w:left="4300"/>
        <w:spacing w:after="0"/>
        <w:rPr>
          <w:sz w:val="20"/>
          <w:szCs w:val="20"/>
          <w:color w:val="auto"/>
        </w:rPr>
      </w:pPr>
      <w:r>
        <w:rPr>
          <w:rFonts w:ascii="Courier New" w:cs="Courier New" w:eastAsia="Courier New" w:hAnsi="Courier New"/>
          <w:sz w:val="16"/>
          <w:szCs w:val="16"/>
          <w:color w:val="auto"/>
        </w:rPr>
        <w:t>771</w:t>
      </w:r>
    </w:p>
    <w:p>
      <w:pPr>
        <w:ind w:left="3360"/>
        <w:spacing w:after="0"/>
        <w:rPr>
          <w:sz w:val="20"/>
          <w:szCs w:val="20"/>
          <w:color w:val="auto"/>
        </w:rPr>
      </w:pPr>
      <w:r>
        <w:rPr>
          <w:rFonts w:ascii="Courier New" w:cs="Courier New" w:eastAsia="Courier New" w:hAnsi="Courier New"/>
          <w:sz w:val="16"/>
          <w:szCs w:val="16"/>
          <w:color w:val="auto"/>
        </w:rPr>
        <w:t>1,052</w:t>
      </w:r>
    </w:p>
    <w:p>
      <w:pPr>
        <w:ind w:left="3460"/>
        <w:spacing w:after="0"/>
        <w:rPr>
          <w:sz w:val="20"/>
          <w:szCs w:val="20"/>
          <w:color w:val="auto"/>
        </w:rPr>
      </w:pPr>
      <w:r>
        <w:rPr>
          <w:rFonts w:ascii="Courier New" w:cs="Courier New" w:eastAsia="Courier New" w:hAnsi="Courier New"/>
          <w:sz w:val="16"/>
          <w:szCs w:val="16"/>
          <w:color w:val="auto"/>
        </w:rPr>
        <w:t>0</w:t>
      </w:r>
    </w:p>
    <w:p>
      <w:pPr>
        <w:ind w:left="3460"/>
        <w:spacing w:after="0"/>
        <w:rPr>
          <w:sz w:val="20"/>
          <w:szCs w:val="20"/>
          <w:color w:val="auto"/>
        </w:rPr>
      </w:pPr>
      <w:r>
        <w:rPr>
          <w:rFonts w:ascii="Courier New" w:cs="Courier New" w:eastAsia="Courier New" w:hAnsi="Courier New"/>
          <w:sz w:val="16"/>
          <w:szCs w:val="16"/>
          <w:color w:val="auto"/>
        </w:rPr>
        <w:t>0</w:t>
      </w:r>
    </w:p>
    <w:p>
      <w:pPr>
        <w:ind w:left="3080"/>
        <w:spacing w:after="0"/>
        <w:rPr>
          <w:sz w:val="20"/>
          <w:szCs w:val="20"/>
          <w:color w:val="auto"/>
        </w:rPr>
      </w:pPr>
      <w:r>
        <w:rPr>
          <w:rFonts w:ascii="Courier New" w:cs="Courier New" w:eastAsia="Courier New" w:hAnsi="Courier New"/>
          <w:sz w:val="16"/>
          <w:szCs w:val="16"/>
          <w:color w:val="auto"/>
        </w:rPr>
        <w:t>(9)</w:t>
      </w:r>
    </w:p>
    <w:p>
      <w:pPr>
        <w:ind w:left="3360"/>
        <w:spacing w:after="0"/>
        <w:rPr>
          <w:sz w:val="20"/>
          <w:szCs w:val="20"/>
          <w:color w:val="auto"/>
        </w:rPr>
      </w:pPr>
      <w:r>
        <w:rPr>
          <w:rFonts w:ascii="Courier New" w:cs="Courier New" w:eastAsia="Courier New" w:hAnsi="Courier New"/>
          <w:sz w:val="16"/>
          <w:szCs w:val="16"/>
          <w:color w:val="auto"/>
        </w:rPr>
        <w:t>528</w:t>
      </w:r>
    </w:p>
    <w:p>
      <w:pPr>
        <w:ind w:left="3460"/>
        <w:spacing w:after="0"/>
        <w:rPr>
          <w:sz w:val="20"/>
          <w:szCs w:val="20"/>
          <w:color w:val="auto"/>
        </w:rPr>
      </w:pPr>
      <w:r>
        <w:rPr>
          <w:rFonts w:ascii="Courier New" w:cs="Courier New" w:eastAsia="Courier New" w:hAnsi="Courier New"/>
          <w:sz w:val="16"/>
          <w:szCs w:val="16"/>
          <w:color w:val="auto"/>
        </w:rPr>
        <w:t>(186)</w:t>
      </w:r>
    </w:p>
    <w:p>
      <w:pPr>
        <w:ind w:left="3160"/>
        <w:spacing w:after="0"/>
        <w:rPr>
          <w:sz w:val="20"/>
          <w:szCs w:val="20"/>
          <w:color w:val="auto"/>
        </w:rPr>
      </w:pPr>
      <w:r>
        <w:rPr>
          <w:rFonts w:ascii="Courier New" w:cs="Courier New" w:eastAsia="Courier New" w:hAnsi="Courier New"/>
          <w:sz w:val="16"/>
          <w:szCs w:val="16"/>
          <w:color w:val="auto"/>
        </w:rPr>
        <w:t>0</w:t>
      </w:r>
    </w:p>
    <w:p>
      <w:pPr>
        <w:ind w:left="3640"/>
        <w:spacing w:after="0"/>
        <w:rPr>
          <w:sz w:val="20"/>
          <w:szCs w:val="20"/>
          <w:color w:val="auto"/>
        </w:rPr>
      </w:pPr>
      <w:r>
        <w:rPr>
          <w:rFonts w:ascii="Courier New" w:cs="Courier New" w:eastAsia="Courier New" w:hAnsi="Courier New"/>
          <w:sz w:val="16"/>
          <w:szCs w:val="16"/>
          <w:color w:val="auto"/>
        </w:rPr>
        <w:t>0</w:t>
      </w:r>
    </w:p>
    <w:p>
      <w:pPr>
        <w:ind w:left="3540"/>
        <w:spacing w:after="0"/>
        <w:rPr>
          <w:sz w:val="20"/>
          <w:szCs w:val="20"/>
          <w:color w:val="auto"/>
        </w:rPr>
      </w:pPr>
      <w:r>
        <w:rPr>
          <w:rFonts w:ascii="Courier New" w:cs="Courier New" w:eastAsia="Courier New" w:hAnsi="Courier New"/>
          <w:sz w:val="16"/>
          <w:szCs w:val="16"/>
          <w:color w:val="auto"/>
        </w:rPr>
        <w:t>0</w:t>
      </w:r>
    </w:p>
    <w:p>
      <w:pPr>
        <w:ind w:left="4100"/>
        <w:spacing w:after="0"/>
        <w:rPr>
          <w:sz w:val="20"/>
          <w:szCs w:val="20"/>
          <w:color w:val="auto"/>
        </w:rPr>
      </w:pPr>
      <w:r>
        <w:rPr>
          <w:rFonts w:ascii="Courier New" w:cs="Courier New" w:eastAsia="Courier New" w:hAnsi="Courier New"/>
          <w:sz w:val="16"/>
          <w:szCs w:val="16"/>
          <w:color w:val="auto"/>
        </w:rPr>
        <w:t>0</w:t>
      </w:r>
    </w:p>
    <w:p>
      <w:pPr>
        <w:ind w:left="3640"/>
        <w:spacing w:after="0"/>
        <w:rPr>
          <w:sz w:val="20"/>
          <w:szCs w:val="20"/>
          <w:color w:val="auto"/>
        </w:rPr>
      </w:pPr>
      <w:r>
        <w:rPr>
          <w:rFonts w:ascii="Courier New" w:cs="Courier New" w:eastAsia="Courier New" w:hAnsi="Courier New"/>
          <w:sz w:val="16"/>
          <w:szCs w:val="16"/>
          <w:color w:val="auto"/>
        </w:rPr>
        <w:t>341</w:t>
      </w:r>
    </w:p>
    <w:p>
      <w:pPr>
        <w:ind w:left="3640"/>
        <w:spacing w:after="0"/>
        <w:rPr>
          <w:sz w:val="20"/>
          <w:szCs w:val="20"/>
          <w:color w:val="auto"/>
        </w:rPr>
      </w:pPr>
      <w:r>
        <w:rPr>
          <w:rFonts w:ascii="Courier New" w:cs="Courier New" w:eastAsia="Courier New" w:hAnsi="Courier New"/>
          <w:sz w:val="16"/>
          <w:szCs w:val="16"/>
          <w:color w:val="auto"/>
        </w:rPr>
        <w:t>1.27</w:t>
      </w:r>
    </w:p>
    <w:p>
      <w:pPr>
        <w:ind w:left="3460"/>
        <w:spacing w:after="0"/>
        <w:rPr>
          <w:sz w:val="20"/>
          <w:szCs w:val="20"/>
          <w:color w:val="auto"/>
        </w:rPr>
      </w:pPr>
      <w:r>
        <w:rPr>
          <w:rFonts w:ascii="Courier New" w:cs="Courier New" w:eastAsia="Courier New" w:hAnsi="Courier New"/>
          <w:sz w:val="16"/>
          <w:szCs w:val="16"/>
          <w:color w:val="auto"/>
        </w:rPr>
        <w:t>1.19</w:t>
      </w:r>
    </w:p>
    <w:sectPr>
      <w:pgSz w:w="11900" w:h="16838" w:orient="portrait"/>
      <w:cols w:equalWidth="0" w:num="1">
        <w:col w:w="10119"/>
      </w:cols>
      <w:pgMar w:left="3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208"/>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6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1"/>
    </w:lvl>
    <w:lvl w:ilvl="1">
      <w:lvlJc w:val="left"/>
      <w:lvlText w:val="(%2)"/>
      <w:numFmt w:val="lowerLetter"/>
      <w:start w:val="1"/>
    </w:lvl>
  </w:abstractNum>
  <w:abstractNum w:abstractNumId="20">
    <w:nsid w:val="2443A858"/>
    <w:multiLevelType w:val="hybridMultilevel"/>
    <w:lvl w:ilvl="0">
      <w:lvlJc w:val="left"/>
      <w:lvlText w:val="(%1)"/>
      <w:numFmt w:val="lowerLetter"/>
      <w:start w:val="61"/>
    </w:lvl>
    <w:lvl w:ilvl="1">
      <w:lvlJc w:val="left"/>
      <w:lvlText w:val="%2"/>
      <w:numFmt w:val="lowerLetter"/>
      <w:start w:val="1"/>
    </w:lvl>
  </w:abstractNum>
  <w:abstractNum w:abstractNumId="21">
    <w:nsid w:val="2D1D5AE9"/>
    <w:multiLevelType w:val="hybridMultilevel"/>
    <w:lvl w:ilvl="0">
      <w:lvlJc w:val="left"/>
      <w:lvlText w:val="%1."/>
      <w:numFmt w:val="decimal"/>
      <w:start w:val="12"/>
    </w:lvl>
  </w:abstractNum>
  <w:abstractNum w:abstractNumId="22">
    <w:nsid w:val="6763845E"/>
    <w:multiLevelType w:val="hybridMultilevel"/>
    <w:lvl w:ilvl="0">
      <w:lvlJc w:val="left"/>
      <w:lvlText w:val="%1"/>
      <w:numFmt w:val="lowerLetter"/>
      <w:start w:val="1"/>
    </w:lvl>
    <w:lvl w:ilvl="1">
      <w:lvlJc w:val="left"/>
      <w:lvlText w:val="(%2)"/>
      <w:numFmt w:val="lowerLetter"/>
      <w:start w:val="3"/>
    </w:lvl>
  </w:abstractNum>
  <w:abstractNum w:abstractNumId="23">
    <w:nsid w:val="75A2A8D4"/>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2020-10-07T10:04:25Z</dcterms:created>
  <dcterms:modified xsi:type="dcterms:W3CDTF">2020-10-07T10:04:25Z</dcterms:modified>
</cp:coreProperties>
</file>