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6,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20" w:space="720"/>
            <w:col w:w="294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Item 2.04. Triggering Events That Accelerate or Increase a Direct Financial Obligation or an Obligation under an Off-Balance Sheet Arrangement.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set forth below under Item 8.01 is hereby incorporated by reference herein.</w:t>
      </w:r>
    </w:p>
    <w:p>
      <w:pPr>
        <w:spacing w:after="0" w:line="221"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Exchanges and Repurchases</w:t>
      </w:r>
      <w:r>
        <w:rPr>
          <w:rFonts w:ascii="Arial" w:cs="Arial" w:eastAsia="Arial" w:hAnsi="Arial"/>
          <w:sz w:val="18"/>
          <w:szCs w:val="18"/>
          <w:color w:val="auto"/>
        </w:rPr>
        <w:t>.</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November 6, 2013, the Company entered into separate privately negotiated agreements with certain holders of its 1.875% Convertible Senior Notes due 2027 (the “2027 Notes”), 1.50% Convertible Senior Notes due 2031 (the “2031A Notes”) and 1.875% Convertible Senior Notes due 2031 (the “2031B Notes”) to exchange in a private placement (the “Exchange Transactions”) approximately $80 million in aggregate principal amount of 2027 Notes, approximately $155 million in aggregate principal amount of 2031A Notes and approximately $205 million in aggregate principal amount of 2031B Notes for approximately $1,025 million in aggregate principal amount at maturity of new 3.00% Convertible Senior Notes due 2043 (the “New Notes”) of the Company.</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The Company anticipates that the closings of the Exchange Transactions will occur on or about November 12, 2013.</w:t>
      </w:r>
    </w:p>
    <w:p>
      <w:pPr>
        <w:spacing w:after="0" w:line="225" w:lineRule="exact"/>
        <w:rPr>
          <w:sz w:val="24"/>
          <w:szCs w:val="24"/>
          <w:color w:val="auto"/>
        </w:rPr>
      </w:pPr>
    </w:p>
    <w:p>
      <w:pPr>
        <w:jc w:val="both"/>
        <w:ind w:right="140"/>
        <w:spacing w:after="0" w:line="264" w:lineRule="auto"/>
        <w:rPr>
          <w:sz w:val="20"/>
          <w:szCs w:val="20"/>
          <w:color w:val="auto"/>
        </w:rPr>
      </w:pPr>
      <w:r>
        <w:rPr>
          <w:rFonts w:ascii="Arial" w:cs="Arial" w:eastAsia="Arial" w:hAnsi="Arial"/>
          <w:sz w:val="18"/>
          <w:szCs w:val="18"/>
          <w:color w:val="auto"/>
        </w:rPr>
        <w:t>Following the closings of the Exchange Transactions, the Company anticipates that approximately $95 million in aggregate principal amount of 2027 Notes, approximately $190 million in aggregate principal amount of 2031A Notes, and approximately $140 million in aggregate principal amount of 2031B Notes will remain outstanding.</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Summary of Terms of the New Notes</w:t>
      </w:r>
      <w:r>
        <w:rPr>
          <w:rFonts w:ascii="Arial" w:cs="Arial" w:eastAsia="Arial" w:hAnsi="Arial"/>
          <w:sz w:val="18"/>
          <w:szCs w:val="18"/>
          <w:color w:val="auto"/>
        </w:rPr>
        <w:t>.</w:t>
      </w:r>
    </w:p>
    <w:p>
      <w:pPr>
        <w:spacing w:after="0" w:line="225"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The New Notes will be issued under an indenture, to be dated as of November 12, 2013, between the Company and U.S. Bank National Association, as trustee.</w:t>
      </w:r>
    </w:p>
    <w:p>
      <w:pPr>
        <w:spacing w:after="0" w:line="170" w:lineRule="exact"/>
        <w:rPr>
          <w:sz w:val="24"/>
          <w:szCs w:val="24"/>
          <w:color w:val="auto"/>
        </w:rPr>
      </w:pPr>
    </w:p>
    <w:p>
      <w:pPr>
        <w:ind w:right="60"/>
        <w:spacing w:after="0" w:line="342" w:lineRule="auto"/>
        <w:rPr>
          <w:sz w:val="20"/>
          <w:szCs w:val="20"/>
          <w:color w:val="auto"/>
        </w:rPr>
      </w:pPr>
      <w:r>
        <w:rPr>
          <w:rFonts w:ascii="Arial" w:cs="Arial" w:eastAsia="Arial" w:hAnsi="Arial"/>
          <w:sz w:val="16"/>
          <w:szCs w:val="16"/>
          <w:color w:val="auto"/>
        </w:rPr>
        <w:t>Each $1,000 principal amount at maturity of New Notes will have an issue price of $800 for purposes of the indenture for the New Notes. An amount equal to the difference between the issue price and the principal amount at maturity will accrue in accordance with a schedule to be set forth in the indenture for the</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New Notes. The issue price plus such accrued amount per $1,000 principal amount at maturity of New Notes is referred to herein as the “accreted principal amount.”</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New Notes will have an interest rate of 3.00% per year per $1,000 principal amount at maturity, payable in cash semi-annually in arrears on May 15 and November 15 of each year, beginning May 15, 2014, and will mature on November 15, 2043, unless earlier repurchased, redeemed or converted.</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Holders of New Notes will have the right to require the Company to repurchase for cash all or any portion of such holders’ New Notes on November 15, 2028 at a price per $1,000 principal amount at maturity of New Notes equal to accreted principal amount plus accrued and unpaid interest, to, but excluding the repurchase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New Notes will have an initial conversion rate of 34.2936 shares of the Company’s common stock, par value $0.10 per share (“Common Stock”), per $1,000 principal amount at maturity of New Notes, subject to adjustment, and will be convertible into cash, shares of the Company’s Common Stock or any combination of cash and shares of the Company’s Common Stock, at the Company’s election. Prior to August 15, 2043, the New Notes will be convertible at such times as certain conditions set forth in the indenture for the New Notes have been satisfied.</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event of a fundamental change (as defined in the indenture), holders of the New Notes may require the Company to repurchase all or a portion of their New Notes at a repurchase price equal to 100% of the accreted principal amount of New Notes, plus accrued and unpaid interest, if any, to, but excluding, the applicable repurchase date. Holders of New Notes who convert their New Notes in connection with a make-whole change in control (as defined in the indenture) or in connection with a redemption of such New Notes prior to November 20, 2018 will, under, certain circumstances, be entitled to a make-whole premium in the form of an increase in the conversion rate determined by reference to a make-whole table set forth in the indenture.</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may elect to redeem all or any portion of the New Notes at a redemption price equal to 100% of the principal amount at maturity of New Notes, plus accrued and unpaid interest, if any, to, but excluding, the redemption date, if the daily volume weighted average price of the Company’s Common Stock is greater than or equal to 130% of the conversion price for at least 20 trading days during any 30 consecutive trading day period. On or after November 20, 2018, the Company may elect to redeem all or any portion of the New Notes without regard to the price of the Company’s Common Stock at a redemption price equal to 100% of the accreted principal amount of New Notes, plus accrued and unpaid interest, if any, to, but excluding the redemption date.</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indenture applicable to the New Notes will include customary events of default. Upon an event of default which is continuing, the accreted principal amount of New Notes plus accrued and unpaid interest may be accelerated.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Conversion Termination with respect to 2027 Notes</w:t>
      </w:r>
      <w:r>
        <w:rPr>
          <w:rFonts w:ascii="Arial" w:cs="Arial" w:eastAsia="Arial" w:hAnsi="Arial"/>
          <w:sz w:val="18"/>
          <w:szCs w:val="18"/>
          <w:color w:val="auto"/>
        </w:rPr>
        <w:t>.</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November 7, 2013, the Company gave notice in accordance with the indenture applicable to the 2027 Notes of its election to terminate the right of noteholders to convert the 2027 Notes into cash and shares of the Company’s Common Stock effective as of December 13, 2013 and its election to settle any conversions prior to the effective time of such termination entirely in cash. As a result, the right of holders to convert 2027 Notes will terminate at the close of business on December 13, 2013. Upon any conversions effected prior to the conversion right termination date, in addition to being entitled to receive a cash amount equal to the conversion settlement value with respect to the converted notes determined in accordance with the formula set forth in the indenture governing the 2027 Notes, the converting holder will be entitled to receive a payment equal to the aggregate amount of interest payments that would have been payable on such converted 2027 Notes from June 1, 2013 to, but excluding, June 1, 2014, discounted to the present value of such amount, or $9.38 per $1,000 of principal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of Redemption of the 2031A Notes</w:t>
      </w:r>
      <w:r>
        <w:rPr>
          <w:rFonts w:ascii="Arial" w:cs="Arial" w:eastAsia="Arial" w:hAnsi="Arial"/>
          <w:sz w:val="18"/>
          <w:szCs w:val="18"/>
          <w:color w:val="auto"/>
        </w:rPr>
        <w:t>.</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November 7, 2013, the Company gave notice in accordance with the indenture applicable to 2031A Notes of its election to redeem all outstanding 2031A Notes on December 7, 2013 at a redemption price per $1,000 principal amount of 2031A Notes redeemed of $1,029.61.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2031A Notes will continue to be convertible at the option of the holder until the close of business on the last business day prior to the redemption date. The Company currently expects to elect to settle any such conversions of the 2031A Notes entirely in cash, although under the indenture applicable to the 2013A Notes, it may settle amounts payable in respect of conversions in excess of the $1,000 principal amount of each note in cash, shares or a combination thereof. Upon any conversions effected prior to the close of business on the last business day prior to the redemption date, in addition to being entitled to receive the conversion settlement value with respect to the converted notes determined in accordance with the formula forth in the indenture governing the 2031A Notes, the converting holder will be entitled to receive a payment equal to the aggregate amount of interest payments that would have been payable on such converted 2031A Notes from August 1, 2013 to, but excluding, August 5, 2015, discounted to the present value of such amount.</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expects to use approximately $525 million of cash on hand in connection with the anticipated conversions of the 2027 Notes and 2031A Notes as a result of the early termination of the conversion right with respect to the 2027 Notes and the call for redemption of the 2031A Notes assuming an $18 stock price for each trading day of the applicable measurement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Press Release.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November 6, 2013, the Company issued a press release with respect to the transactions described above. A copy of this press release is furnished as Exhibit 99.1 hereto.</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Company offered the New Notes in reliance on the exemption from registration provided by Section 4(a)(2) of the Securities Act of 1933, as amended (the “Securities Act”). The offer and sale of the New Notes to certain holders of the 2027 Notes, 2031A Notes and 2031B Notes did not involve a public offering, the solicitation of offers for the New Notes was not done by any form of general solicitation or general advertising, and offers for the New Notes were only solicited from persons believed to be institutional “accredited investors” within the meaning of Rule 501(a)(1), (2), (3) or (7) of Regulation D</w:t>
      </w:r>
    </w:p>
    <w:p>
      <w:pPr>
        <w:sectPr>
          <w:pgSz w:w="11900" w:h="16945" w:orient="portrait"/>
          <w:cols w:equalWidth="0" w:num="1">
            <w:col w:w="11420"/>
          </w:cols>
          <w:pgMar w:left="240" w:top="125" w:right="239" w:bottom="0" w:gutter="0" w:footer="0" w:header="0"/>
        </w:sectPr>
      </w:pPr>
    </w:p>
    <w:bookmarkStart w:id="2" w:name="page3"/>
    <w:bookmarkEnd w:id="2"/>
    <w:p>
      <w:pPr>
        <w:ind w:right="60"/>
        <w:spacing w:after="0" w:line="259" w:lineRule="auto"/>
        <w:rPr>
          <w:sz w:val="20"/>
          <w:szCs w:val="20"/>
          <w:color w:val="auto"/>
        </w:rPr>
      </w:pPr>
      <w:r>
        <w:rPr>
          <w:rFonts w:ascii="Arial" w:cs="Arial" w:eastAsia="Arial" w:hAnsi="Arial"/>
          <w:sz w:val="18"/>
          <w:szCs w:val="18"/>
          <w:color w:val="auto"/>
        </w:rPr>
        <w:t>promulgated under the Securities Act or “qualified institutional buyers” within the meaning of Rule 144A promulgated under the Securities Act. The New Notes and any shares of the Company’s Common Stock that may be issued upon conversion of the New Notes will not be registered under the Securities Act, or the securities laws of any other jurisdiction, and may not be offered or sold in the United States absent registration under the Securities Act or an applicable exemption from registration requirements.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any security and shall not constitute an offer, solicitation or sale in any jurisdiction in which such offering would be unlawful.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6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50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500" w:type="dxa"/>
            <w:vAlign w:val="bottom"/>
            <w:gridSpan w:val="3"/>
          </w:tcPr>
          <w:p>
            <w:pPr>
              <w:ind w:left="280"/>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342"/>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220" w:type="dxa"/>
            <w:vAlign w:val="bottom"/>
            <w:gridSpan w:val="2"/>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10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0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60" w:type="dxa"/>
            <w:vAlign w:val="bottom"/>
            <w:gridSpan w:val="2"/>
          </w:tcPr>
          <w:p>
            <w:pPr>
              <w:jc w:val="right"/>
              <w:ind w:right="5579"/>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-1915795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-1915795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November 7, 2013</w:t>
            </w:r>
          </w:p>
        </w:tc>
        <w:tc>
          <w:tcPr>
            <w:tcW w:w="2760" w:type="dxa"/>
            <w:vAlign w:val="bottom"/>
          </w:tcPr>
          <w:p>
            <w:pPr>
              <w:ind w:left="20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76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760" w:type="dxa"/>
            <w:vAlign w:val="bottom"/>
          </w:tcPr>
          <w:p>
            <w:pPr>
              <w:ind w:left="20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ind w:left="1940"/>
              <w:spacing w:after="0"/>
              <w:rPr>
                <w:sz w:val="20"/>
                <w:szCs w:val="20"/>
                <w:color w:val="auto"/>
              </w:rPr>
            </w:pPr>
            <w:r>
              <w:rPr>
                <w:rFonts w:ascii="Arial" w:cs="Arial" w:eastAsia="Arial" w:hAnsi="Arial"/>
                <w:sz w:val="18"/>
                <w:szCs w:val="18"/>
                <w:color w:val="auto"/>
              </w:rPr>
              <w:t>6</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 DATED NOVEMBER 7,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vMerge w:val="restart"/>
          </w:tcPr>
          <w:p>
            <w:pPr>
              <w:ind w:left="27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2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spacing w:after="0" w:line="13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975" w:orient="portrait"/>
          <w:cols w:equalWidth="0" w:num="1">
            <w:col w:w="11420"/>
          </w:cols>
          <w:pgMar w:left="240" w:top="121" w:right="239" w:bottom="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Kipp A. Bedard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kbedard@micron.com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368-4465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200" w:lineRule="exact"/>
        <w:rPr>
          <w:sz w:val="20"/>
          <w:szCs w:val="20"/>
          <w:color w:val="auto"/>
        </w:rPr>
      </w:pPr>
    </w:p>
    <w:p>
      <w:pPr>
        <w:sectPr>
          <w:pgSz w:w="11900" w:h="16975" w:orient="portrait"/>
          <w:cols w:equalWidth="0" w:num="3">
            <w:col w:w="880" w:space="720"/>
            <w:col w:w="3680" w:space="720"/>
            <w:col w:w="5420"/>
          </w:cols>
          <w:pgMar w:left="240" w:top="121" w:right="239" w:bottom="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CONVERTIBLE DEBT TRANSACTIONS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BOISE, Idaho, November 6, 2013 </w:t>
      </w:r>
      <w:r>
        <w:rPr>
          <w:rFonts w:ascii="Arial" w:cs="Arial" w:eastAsia="Arial" w:hAnsi="Arial"/>
          <w:sz w:val="18"/>
          <w:szCs w:val="18"/>
          <w:color w:val="auto"/>
        </w:rPr>
        <w:t>— Micron Technology, Inc., (NASDAQ: MU) today announced a series of actions that it expects will result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extinguishment of its 1.875% Convertible Senior Notes due 2027 (the “2027 Notes”), its 1.50% Convertible Senior Notes due 2031 (the “2031A Notes”) and approximately 59 percent of its 1.875% Convertible Senior Notes due 2031 (the “2031B Notes”). The company anticipates achieving this outcome through the use of approximately $525 million of cash in settlement of note conversions assuming an $18 stock price, and the issuance of approximately $1,025 million aggregate principal amount at maturity of new 3.00% Convertible Senior Notes due 2043 (the “New Notes”) pursuant to separate privately negotiated exchange transactions with certain existing noteholders.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announced actions will significantly reduce the current and future potential dilutive effect of our existing convertible notes,” said Ron Foster, Micron vice president and CFO. “At the completion of the transactions, we expect to eliminate approximately 34 million shares or approximately 3 percent from our current dilutive share count. In addition, our New Notes push out our debt maturities and further reduce our share dilution exposure until the stock price exceeds $29.16. We remain committed to improving the capital structure of the company and, with the New Notes, have designed a convertible security with financial flexibility, including early call features.”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Announced 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actions by the company with respect to certain of its convertible notes announced today are as follows:</w:t>
      </w:r>
    </w:p>
    <w:p>
      <w:pPr>
        <w:spacing w:after="0" w:line="225" w:lineRule="exact"/>
        <w:rPr>
          <w:sz w:val="20"/>
          <w:szCs w:val="20"/>
          <w:color w:val="auto"/>
        </w:rPr>
      </w:pPr>
    </w:p>
    <w:p>
      <w:pPr>
        <w:ind w:left="660" w:right="18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entry into separate privately negotiated exchange transactions pursuant to which it will exchange $80 million of the 2027 Notes, $155 million of the 2031A Notes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$205 million of the 2031B Notes for approximately $1,025 million in aggregate principal amount of the New Notes.</w:t>
      </w:r>
    </w:p>
    <w:p>
      <w:pPr>
        <w:spacing w:after="0" w:line="225" w:lineRule="exact"/>
        <w:rPr>
          <w:sz w:val="20"/>
          <w:szCs w:val="20"/>
          <w:color w:val="auto"/>
        </w:rPr>
      </w:pPr>
    </w:p>
    <w:p>
      <w:pPr>
        <w:ind w:left="660" w:right="5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election to terminate the conversion rights of holders of the 2027 Notes effective as of December 13, 2013, and to settle entirely in cash any conversions of the 2027 Notes that occur prior to the conversion right termination date.</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Its election to redeem the 2031A Notes on December 7, 2013, and its current intention to settle any conversions of the 2031A Notes entirely in cash.</w:t>
      </w:r>
    </w:p>
    <w:p>
      <w:pPr>
        <w:spacing w:after="0" w:line="248"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The company expects that all the 2027 Notes and 2031A Notes that remain outstanding after the exchange transactions will be converted prior to the expiration of their conversion rights because the effective conversion prices of the 2027 Notes and 2031A Notes are $10.90 and $9.50, respectively, representing a substantial discount to the current market price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Approximate Share Dilution and Other Impacts from all Micron Convertible Notes Assuming an $18 Stock Price</w:t>
      </w:r>
    </w:p>
    <w:p>
      <w:pPr>
        <w:spacing w:after="0" w:line="229"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Pre-Transactions – 116 million dilutive shares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from Transactions – 34 million share dilution reduction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Post-Transactions – 82 million dilutive shares (~29 percent reduction)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Benefit of Existing Capped Calls – 53 million dilutive share reduction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Post-Transactions Economic Impact of Convertible Notes, Net of Existing Capped Calls – 29 million dilutive shares (~54 percent reduction)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New Notes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New Notes will have a stated 30-year term and will be convertible under certain circumstances, at the holder’s option, at an initial conversion rate of 34.2936 common shares per $1,000 principal amount at maturity, which is equivalent to an initial conversion price of approximately $29.16 per share of the company’s common stock. Upon conversion, holders will receive cash, shares of the company’s common stock or a combination of cash and shares of the company’s stock, at the company’s election. Each $1,000 principal amount at maturity of New Notes will have an issue price of $800. This issue discount together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cash coupon of 3.00% will result in an effective annual yield to investors on the New Notes that starts out at approximately 4.5% (and declines slightly over time), but enables a much higher effective conversion price over time as principal accretes, as compared to a standard lower coupon convertible note. In addition, the company may redeem the New Notes any time after year five, and may redeem the New Notes at any time prior to year five if the company’s common stock hits certain thresholds relative to the conversion price applicable to the New Notes. The New Notes are puttable in year 15 at the option of the holders at their accreted principal amount. For more detail on the terms of the New Notes, see the description attached as Exhibit 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Timing Details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expects to record a non-cash charge in the first quarter of fiscal 2014 of approximately $50 million associated with the exchange of the notes. The company also expects to recognize an additional loss of approximately $60 million, substantially all of which would be recognized in the second quarter</w:t>
      </w:r>
    </w:p>
    <w:p>
      <w:pPr>
        <w:sectPr>
          <w:pgSz w:w="11900" w:h="16975" w:orient="portrait"/>
          <w:cols w:equalWidth="0" w:num="1">
            <w:col w:w="11420"/>
          </w:cols>
          <w:pgMar w:left="240" w:top="121" w:right="239" w:bottom="0" w:gutter="0" w:footer="0" w:header="0"/>
          <w:type w:val="continuous"/>
        </w:sectPr>
      </w:pPr>
    </w:p>
    <w:bookmarkStart w:id="4" w:name="page5"/>
    <w:bookmarkEnd w:id="4"/>
    <w:p>
      <w:pPr>
        <w:spacing w:after="0" w:line="10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of fiscal 2014, associated with the anticipated conversions of the 2027 Notes and 2031A Notes as a result of the early termination of the conversion rights with respect to the 2027 Notes and the call for redemption of the 2031A Notes. The company may record a gain or loss associated with the mark-to-market accounting impact for changes in the share price until the anticipated conversions of the 2027 Notes and 2031A Notes are completed.</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At the completion of the announced transactions, the company expects to have a carrying value of approximately $2.6 billion in convertible notes. This includes the impact from the transactions outlined above. The company expects to use approximately $525 million of cash on hand in connection with the conversion of the 2027 Notes and 2031A Notes assuming an $18 stock price. The actual amount will depend on the stock price movement over the applicable observation periods. The company exited its fiscal year 2013 with approximately $3.6 billion in cash, cash equivalents, short-term and long-term investments.</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anticipates that the closings of the exchange transactions will occur on or about November 12, 2013. In addition, the company anticipates that all of the 2027 Notes and 2031A Notes that remain outstanding after the closing of the exchange transactions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 converted and that all such conversions will be settled on December 13, 2013, in the case of the 2027 Notes, and no later than January 16, 2014, in the case of the 2031A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Available Information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Additional information with respect to the announced convertible note transactions will be made available by the company in a Current Report on Form 8-K filed with the Securities and Exchange Commission on November 7, 2013, and in a Q&amp;A presentation available on the company’s website at www.micron.com.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i w:val="1"/>
          <w:iCs w:val="1"/>
          <w:color w:val="auto"/>
        </w:rPr>
        <w:t>This press release contains forward-looking statements regarding the amount of the one-time charge to be recorded and the change to fully diluted shares. Actual events or results may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our forward-looking statements (see Certain Factors). Although the company believes that the expectations reflected in the forward-looking statements are reasonable, it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New Notes will be issued under an indenture, dated as of November 12, 2013, between the company and U.S. Bank National Association, as trustee. Capitalized terms not defined herein have the meanings set forth in the Indenture.</w:t>
      </w:r>
    </w:p>
    <w:p>
      <w:pPr>
        <w:sectPr>
          <w:pgSz w:w="11900" w:h="16941" w:orient="portrait"/>
          <w:cols w:equalWidth="0" w:num="1">
            <w:col w:w="11420"/>
          </w:cols>
          <w:pgMar w:left="240" w:top="125"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Approximately $820 million aggregate Issue Price (as defined below) of New Notes, corresponding to an aggregate principal amount at maturity of New Notes of approximately $1,025 million.</w:t>
      </w:r>
    </w:p>
    <w:p>
      <w:pPr>
        <w:spacing w:after="0" w:line="124" w:lineRule="exact"/>
        <w:rPr>
          <w:sz w:val="20"/>
          <w:szCs w:val="20"/>
          <w:color w:val="auto"/>
        </w:rPr>
      </w:pPr>
    </w:p>
    <w:p>
      <w:pPr>
        <w:sectPr>
          <w:pgSz w:w="11900" w:h="16941" w:orient="portrait"/>
          <w:cols w:equalWidth="0" w:num="2">
            <w:col w:w="3240" w:space="720"/>
            <w:col w:w="7460"/>
          </w:cols>
          <w:pgMar w:left="240" w:top="125" w:right="239" w:bottom="0" w:gutter="0" w:footer="0" w:header="0"/>
          <w:type w:val="continuous"/>
        </w:sectPr>
      </w:pPr>
    </w:p>
    <w:p>
      <w:pPr>
        <w:ind w:left="3960" w:right="60"/>
        <w:spacing w:after="0" w:line="297" w:lineRule="auto"/>
        <w:rPr>
          <w:sz w:val="20"/>
          <w:szCs w:val="20"/>
          <w:color w:val="auto"/>
        </w:rPr>
      </w:pPr>
      <w:r>
        <w:rPr>
          <w:rFonts w:ascii="Arial" w:cs="Arial" w:eastAsia="Arial" w:hAnsi="Arial"/>
          <w:sz w:val="16"/>
          <w:szCs w:val="16"/>
          <w:color w:val="auto"/>
        </w:rPr>
        <w:t>Each $1,000 principal amount at maturity (the “Principal Amount at Maturity”) of New Notes will have an issue price (the “Issue Price”) of $800. An amount equal to the difference between the Issue Price and the Principal Amount at Maturity will accrue in accordance with a schedule to be set forth in the New Indenture. The Issue Price per $1,000 Principal Amount at Maturity plus the accruals in accordance with the foregoing schedule is referred to as the “Accreted Principal Amount”.</w:t>
      </w:r>
    </w:p>
    <w:p>
      <w:pPr>
        <w:sectPr>
          <w:pgSz w:w="11900" w:h="16941" w:orient="portrait"/>
          <w:cols w:equalWidth="0" w:num="1">
            <w:col w:w="11420"/>
          </w:cols>
          <w:pgMar w:left="240" w:top="125" w:right="239" w:bottom="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3.00% on the Principal Amount at Maturity.</w:t>
      </w:r>
    </w:p>
    <w:p>
      <w:pPr>
        <w:spacing w:after="0" w:line="200" w:lineRule="exact"/>
        <w:rPr>
          <w:sz w:val="20"/>
          <w:szCs w:val="20"/>
          <w:color w:val="auto"/>
        </w:rPr>
      </w:pPr>
    </w:p>
    <w:p>
      <w:pPr>
        <w:sectPr>
          <w:pgSz w:w="11900" w:h="16941" w:orient="portrait"/>
          <w:cols w:equalWidth="0" w:num="2">
            <w:col w:w="3240" w:space="720"/>
            <w:col w:w="7460"/>
          </w:cols>
          <w:pgMar w:left="240" w:top="125"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Pari passu with all existing and future senior debt, senior to all future subordinated debt and junior to all existing and future senior secured debt to the extent of the collateral securing such debt.</w:t>
      </w:r>
    </w:p>
    <w:p>
      <w:pPr>
        <w:spacing w:after="0" w:line="124" w:lineRule="exact"/>
        <w:rPr>
          <w:sz w:val="20"/>
          <w:szCs w:val="20"/>
          <w:color w:val="auto"/>
        </w:rPr>
      </w:pPr>
    </w:p>
    <w:p>
      <w:pPr>
        <w:sectPr>
          <w:pgSz w:w="11900" w:h="16941" w:orient="portrait"/>
          <w:cols w:equalWidth="0" w:num="2">
            <w:col w:w="3240" w:space="720"/>
            <w:col w:w="7460"/>
          </w:cols>
          <w:pgMar w:left="24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Conversion Rate</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34.2936 shares per $1,000 Principal Amount at Maturity of New Notes, which is equivalent to an initial conversion price of approximately $29.16 based on the Principal Amount at Maturity of the New Notes.</w:t>
      </w:r>
    </w:p>
    <w:p>
      <w:pPr>
        <w:spacing w:after="0" w:line="181" w:lineRule="exact"/>
        <w:rPr>
          <w:sz w:val="20"/>
          <w:szCs w:val="20"/>
          <w:color w:val="auto"/>
        </w:rPr>
      </w:pPr>
    </w:p>
    <w:p>
      <w:pPr>
        <w:sectPr>
          <w:pgSz w:w="11900" w:h="16941" w:orient="portrait"/>
          <w:cols w:equalWidth="0" w:num="2">
            <w:col w:w="3240" w:space="720"/>
            <w:col w:w="7460"/>
          </w:cols>
          <w:pgMar w:left="240" w:top="125" w:right="239" w:bottom="0" w:gutter="0" w:footer="0" w:header="0"/>
          <w:type w:val="continuous"/>
        </w:sectPr>
      </w:pPr>
    </w:p>
    <w:p>
      <w:pPr>
        <w:ind w:left="3960" w:right="60"/>
        <w:spacing w:after="0" w:line="277" w:lineRule="auto"/>
        <w:rPr>
          <w:sz w:val="20"/>
          <w:szCs w:val="20"/>
          <w:color w:val="auto"/>
        </w:rPr>
      </w:pPr>
      <w:r>
        <w:rPr>
          <w:rFonts w:ascii="Arial" w:cs="Arial" w:eastAsia="Arial" w:hAnsi="Arial"/>
          <w:sz w:val="18"/>
          <w:szCs w:val="18"/>
          <w:color w:val="auto"/>
        </w:rPr>
        <w:t>The Conversion Price of the New Notes will equal the Principal Amount at Maturity of the New Notes divided by the then applicable Conversion Rate.</w:t>
      </w:r>
    </w:p>
    <w:p>
      <w:pPr>
        <w:sectPr>
          <w:pgSz w:w="11900" w:h="16941" w:orient="portrait"/>
          <w:cols w:equalWidth="0" w:num="1">
            <w:col w:w="11420"/>
          </w:cols>
          <w:pgMar w:left="240" w:top="125" w:right="239" w:bottom="0" w:gutter="0" w:footer="0" w:header="0"/>
          <w:type w:val="continuous"/>
        </w:sectPr>
      </w:pP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Optional Redemption and Optional Redemption Price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 may redeem all or part of the Principal Amount at Maturity of the New Notes if the Daily VWAP for its Common Stock is at least 130% of the then current Conversion Price for at least 20 Trading Days during any 30 consecutive Trading Day period, at a redemption price equal to the Principal Amount at Maturity of the New Notes to be redeemed, plus accrued but unpaid interest to, but excluding, the redemption date. If the Company elects to redeem all or part of the Principal</w:t>
      </w:r>
    </w:p>
    <w:p>
      <w:pPr>
        <w:sectPr>
          <w:pgSz w:w="11900" w:h="16941" w:orient="portrait"/>
          <w:cols w:equalWidth="0" w:num="2">
            <w:col w:w="3460" w:space="500"/>
            <w:col w:w="746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w w:val="96"/>
              </w:rPr>
              <w:t>Amount at Maturity of the New Notes prior to November 20, 2018, it will issue additional shares to</w:t>
            </w:r>
          </w:p>
        </w:tc>
      </w:tr>
      <w:tr>
        <w:trPr>
          <w:trHeight w:val="216"/>
        </w:trPr>
        <w:tc>
          <w:tcPr>
            <w:tcW w:w="2580" w:type="dxa"/>
            <w:vAlign w:val="bottom"/>
          </w:tcPr>
          <w:p>
            <w:pPr>
              <w:spacing w:after="0"/>
              <w:rPr>
                <w:sz w:val="18"/>
                <w:szCs w:val="18"/>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w w:val="95"/>
              </w:rPr>
              <w:t>holders who convert the Principal Amount at Maturity of the New Notes selected for redemption by</w:t>
            </w:r>
          </w:p>
        </w:tc>
      </w:tr>
      <w:tr>
        <w:trPr>
          <w:trHeight w:val="216"/>
        </w:trPr>
        <w:tc>
          <w:tcPr>
            <w:tcW w:w="2580" w:type="dxa"/>
            <w:vAlign w:val="bottom"/>
          </w:tcPr>
          <w:p>
            <w:pPr>
              <w:spacing w:after="0"/>
              <w:rPr>
                <w:sz w:val="18"/>
                <w:szCs w:val="18"/>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w w:val="94"/>
              </w:rPr>
              <w:t>reference to a “make-whole” table and make a payment equal to the amount of accrued and unpaid</w:t>
            </w:r>
          </w:p>
        </w:tc>
      </w:tr>
      <w:tr>
        <w:trPr>
          <w:trHeight w:val="230"/>
        </w:trPr>
        <w:tc>
          <w:tcPr>
            <w:tcW w:w="2580" w:type="dxa"/>
            <w:vAlign w:val="bottom"/>
          </w:tcPr>
          <w:p>
            <w:pPr>
              <w:spacing w:after="0"/>
              <w:rPr>
                <w:sz w:val="20"/>
                <w:szCs w:val="20"/>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rPr>
              <w:t>interest to such holders.</w:t>
            </w:r>
          </w:p>
        </w:tc>
      </w:tr>
      <w:tr>
        <w:trPr>
          <w:trHeight w:val="418"/>
        </w:trPr>
        <w:tc>
          <w:tcPr>
            <w:tcW w:w="2580" w:type="dxa"/>
            <w:vAlign w:val="bottom"/>
          </w:tcPr>
          <w:p>
            <w:pPr>
              <w:spacing w:after="0"/>
              <w:rPr>
                <w:sz w:val="24"/>
                <w:szCs w:val="24"/>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w w:val="93"/>
              </w:rPr>
              <w:t>On or after November 20, 2018, the Company may redeem all or any part of the Principal Amount at</w:t>
            </w:r>
          </w:p>
        </w:tc>
      </w:tr>
      <w:tr>
        <w:trPr>
          <w:trHeight w:val="216"/>
        </w:trPr>
        <w:tc>
          <w:tcPr>
            <w:tcW w:w="2580" w:type="dxa"/>
            <w:vAlign w:val="bottom"/>
          </w:tcPr>
          <w:p>
            <w:pPr>
              <w:spacing w:after="0"/>
              <w:rPr>
                <w:sz w:val="18"/>
                <w:szCs w:val="18"/>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rPr>
              <w:t>Maturity of the New Notes without regard to the price of the Company’s Common Stock, at a</w:t>
            </w:r>
          </w:p>
        </w:tc>
      </w:tr>
      <w:tr>
        <w:trPr>
          <w:trHeight w:val="216"/>
        </w:trPr>
        <w:tc>
          <w:tcPr>
            <w:tcW w:w="2580" w:type="dxa"/>
            <w:vAlign w:val="bottom"/>
          </w:tcPr>
          <w:p>
            <w:pPr>
              <w:spacing w:after="0"/>
              <w:rPr>
                <w:sz w:val="18"/>
                <w:szCs w:val="18"/>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w w:val="97"/>
              </w:rPr>
              <w:t>redemption price equal to the Accreted Principal Amount of the New Notes to be redeemed, plus</w:t>
            </w:r>
          </w:p>
        </w:tc>
      </w:tr>
      <w:tr>
        <w:trPr>
          <w:trHeight w:val="230"/>
        </w:trPr>
        <w:tc>
          <w:tcPr>
            <w:tcW w:w="2580" w:type="dxa"/>
            <w:vAlign w:val="bottom"/>
          </w:tcPr>
          <w:p>
            <w:pPr>
              <w:spacing w:after="0"/>
              <w:rPr>
                <w:sz w:val="20"/>
                <w:szCs w:val="20"/>
                <w:color w:val="auto"/>
              </w:rPr>
            </w:pPr>
          </w:p>
        </w:tc>
        <w:tc>
          <w:tcPr>
            <w:tcW w:w="8880" w:type="dxa"/>
            <w:vAlign w:val="bottom"/>
          </w:tcPr>
          <w:p>
            <w:pPr>
              <w:ind w:left="1380"/>
              <w:spacing w:after="0"/>
              <w:rPr>
                <w:sz w:val="20"/>
                <w:szCs w:val="20"/>
                <w:color w:val="auto"/>
              </w:rPr>
            </w:pPr>
            <w:r>
              <w:rPr>
                <w:rFonts w:ascii="Arial" w:cs="Arial" w:eastAsia="Arial" w:hAnsi="Arial"/>
                <w:sz w:val="18"/>
                <w:szCs w:val="18"/>
                <w:color w:val="auto"/>
              </w:rPr>
              <w:t>accrued but unpaid interest to, but excluding, the redemption date.</w:t>
            </w:r>
          </w:p>
        </w:tc>
      </w:tr>
      <w:tr>
        <w:trPr>
          <w:trHeight w:val="432"/>
        </w:trPr>
        <w:tc>
          <w:tcPr>
            <w:tcW w:w="2580" w:type="dxa"/>
            <w:vAlign w:val="bottom"/>
          </w:tcPr>
          <w:p>
            <w:pPr>
              <w:spacing w:after="0"/>
              <w:rPr>
                <w:sz w:val="20"/>
                <w:szCs w:val="20"/>
                <w:color w:val="auto"/>
              </w:rPr>
            </w:pPr>
            <w:r>
              <w:rPr>
                <w:rFonts w:ascii="Arial" w:cs="Arial" w:eastAsia="Arial" w:hAnsi="Arial"/>
                <w:sz w:val="18"/>
                <w:szCs w:val="18"/>
                <w:color w:val="auto"/>
              </w:rPr>
              <w:t>Maturity Date</w:t>
            </w:r>
          </w:p>
        </w:tc>
        <w:tc>
          <w:tcPr>
            <w:tcW w:w="8880" w:type="dxa"/>
            <w:vAlign w:val="bottom"/>
          </w:tcPr>
          <w:p>
            <w:pPr>
              <w:ind w:left="1380"/>
              <w:spacing w:after="0"/>
              <w:rPr>
                <w:sz w:val="20"/>
                <w:szCs w:val="20"/>
                <w:color w:val="auto"/>
              </w:rPr>
            </w:pPr>
            <w:r>
              <w:rPr>
                <w:rFonts w:ascii="Arial" w:cs="Arial" w:eastAsia="Arial" w:hAnsi="Arial"/>
                <w:sz w:val="18"/>
                <w:szCs w:val="18"/>
                <w:color w:val="auto"/>
              </w:rPr>
              <w:t>November 15, 2043</w:t>
            </w:r>
          </w:p>
        </w:tc>
      </w:tr>
      <w:tr>
        <w:trPr>
          <w:trHeight w:val="432"/>
        </w:trPr>
        <w:tc>
          <w:tcPr>
            <w:tcW w:w="2580" w:type="dxa"/>
            <w:vAlign w:val="bottom"/>
          </w:tcPr>
          <w:p>
            <w:pPr>
              <w:spacing w:after="0"/>
              <w:rPr>
                <w:sz w:val="20"/>
                <w:szCs w:val="20"/>
                <w:color w:val="auto"/>
              </w:rPr>
            </w:pPr>
            <w:r>
              <w:rPr>
                <w:rFonts w:ascii="Arial" w:cs="Arial" w:eastAsia="Arial" w:hAnsi="Arial"/>
                <w:sz w:val="18"/>
                <w:szCs w:val="18"/>
                <w:color w:val="auto"/>
              </w:rPr>
              <w:t>Holder Put Date</w:t>
            </w:r>
          </w:p>
        </w:tc>
        <w:tc>
          <w:tcPr>
            <w:tcW w:w="8880" w:type="dxa"/>
            <w:vAlign w:val="bottom"/>
          </w:tcPr>
          <w:p>
            <w:pPr>
              <w:ind w:left="1380"/>
              <w:spacing w:after="0"/>
              <w:rPr>
                <w:sz w:val="20"/>
                <w:szCs w:val="20"/>
                <w:color w:val="auto"/>
              </w:rPr>
            </w:pPr>
            <w:r>
              <w:rPr>
                <w:rFonts w:ascii="Arial" w:cs="Arial" w:eastAsia="Arial" w:hAnsi="Arial"/>
                <w:sz w:val="18"/>
                <w:szCs w:val="18"/>
                <w:color w:val="auto"/>
              </w:rPr>
              <w:t>November 15, 2028</w:t>
            </w:r>
          </w:p>
        </w:tc>
      </w:tr>
      <w:tr>
        <w:trPr>
          <w:trHeight w:val="432"/>
        </w:trPr>
        <w:tc>
          <w:tcPr>
            <w:tcW w:w="2580" w:type="dxa"/>
            <w:vAlign w:val="bottom"/>
          </w:tcPr>
          <w:p>
            <w:pPr>
              <w:spacing w:after="0"/>
              <w:rPr>
                <w:sz w:val="20"/>
                <w:szCs w:val="20"/>
                <w:color w:val="auto"/>
              </w:rPr>
            </w:pPr>
            <w:r>
              <w:rPr>
                <w:rFonts w:ascii="Arial" w:cs="Arial" w:eastAsia="Arial" w:hAnsi="Arial"/>
                <w:sz w:val="18"/>
                <w:szCs w:val="18"/>
                <w:color w:val="auto"/>
              </w:rPr>
              <w:t>Holder Put Price</w:t>
            </w:r>
          </w:p>
        </w:tc>
        <w:tc>
          <w:tcPr>
            <w:tcW w:w="8880" w:type="dxa"/>
            <w:vAlign w:val="bottom"/>
          </w:tcPr>
          <w:p>
            <w:pPr>
              <w:ind w:left="1380"/>
              <w:spacing w:after="0"/>
              <w:rPr>
                <w:sz w:val="20"/>
                <w:szCs w:val="20"/>
                <w:color w:val="auto"/>
              </w:rPr>
            </w:pPr>
            <w:r>
              <w:rPr>
                <w:rFonts w:ascii="Arial" w:cs="Arial" w:eastAsia="Arial" w:hAnsi="Arial"/>
                <w:sz w:val="18"/>
                <w:szCs w:val="18"/>
                <w:color w:val="auto"/>
              </w:rPr>
              <w:t>Accreted Principal Amount plus accrued but unpaid interest to, but</w:t>
            </w:r>
          </w:p>
        </w:tc>
      </w:tr>
      <w:tr>
        <w:trPr>
          <w:trHeight w:val="348"/>
        </w:trPr>
        <w:tc>
          <w:tcPr>
            <w:tcW w:w="2580" w:type="dxa"/>
            <w:vAlign w:val="bottom"/>
            <w:tcBorders>
              <w:bottom w:val="single" w:sz="8" w:color="010101"/>
            </w:tcBorders>
          </w:tcPr>
          <w:p>
            <w:pPr>
              <w:spacing w:after="0"/>
              <w:rPr>
                <w:sz w:val="24"/>
                <w:szCs w:val="24"/>
                <w:color w:val="auto"/>
              </w:rPr>
            </w:pPr>
          </w:p>
        </w:tc>
        <w:tc>
          <w:tcPr>
            <w:tcW w:w="88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excluding, the repurchase date.</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Conversion by Holders</w:t>
            </w:r>
          </w:p>
        </w:tc>
        <w:tc>
          <w:tcPr>
            <w:tcW w:w="8140" w:type="dxa"/>
            <w:vAlign w:val="bottom"/>
          </w:tcPr>
          <w:p>
            <w:pPr>
              <w:ind w:left="640"/>
              <w:spacing w:after="0"/>
              <w:rPr>
                <w:sz w:val="20"/>
                <w:szCs w:val="20"/>
                <w:color w:val="auto"/>
              </w:rPr>
            </w:pPr>
            <w:r>
              <w:rPr>
                <w:rFonts w:ascii="Arial" w:cs="Arial" w:eastAsia="Arial" w:hAnsi="Arial"/>
                <w:sz w:val="18"/>
                <w:szCs w:val="18"/>
                <w:color w:val="auto"/>
                <w:w w:val="96"/>
              </w:rPr>
              <w:t>The Principal Amount at Maturity of the New Notes are convertible prior to the Final Maturity Date</w:t>
            </w:r>
          </w:p>
        </w:tc>
      </w:tr>
      <w:tr>
        <w:trPr>
          <w:trHeight w:val="230"/>
        </w:trPr>
        <w:tc>
          <w:tcPr>
            <w:tcW w:w="3320" w:type="dxa"/>
            <w:vAlign w:val="bottom"/>
          </w:tcPr>
          <w:p>
            <w:pPr>
              <w:spacing w:after="0"/>
              <w:rPr>
                <w:sz w:val="20"/>
                <w:szCs w:val="20"/>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under the following circumstances:</w:t>
            </w:r>
          </w:p>
        </w:tc>
      </w:tr>
      <w:tr>
        <w:trPr>
          <w:trHeight w:val="418"/>
        </w:trPr>
        <w:tc>
          <w:tcPr>
            <w:tcW w:w="3320" w:type="dxa"/>
            <w:vAlign w:val="bottom"/>
          </w:tcPr>
          <w:p>
            <w:pPr>
              <w:spacing w:after="0"/>
              <w:rPr>
                <w:sz w:val="24"/>
                <w:szCs w:val="24"/>
                <w:color w:val="auto"/>
              </w:rPr>
            </w:pPr>
          </w:p>
        </w:tc>
        <w:tc>
          <w:tcPr>
            <w:tcW w:w="8140" w:type="dxa"/>
            <w:vAlign w:val="bottom"/>
          </w:tcPr>
          <w:p>
            <w:pPr>
              <w:ind w:left="840"/>
              <w:spacing w:after="0"/>
              <w:rPr>
                <w:sz w:val="20"/>
                <w:szCs w:val="20"/>
                <w:color w:val="auto"/>
              </w:rPr>
            </w:pPr>
            <w:r>
              <w:rPr>
                <w:rFonts w:ascii="Arial" w:cs="Arial" w:eastAsia="Arial" w:hAnsi="Arial"/>
                <w:sz w:val="18"/>
                <w:szCs w:val="18"/>
                <w:color w:val="auto"/>
                <w:w w:val="92"/>
              </w:rPr>
              <w:t>·  During any calendar quarter commencing at any time after March 31, 2014 (and only during such</w:t>
            </w:r>
          </w:p>
        </w:tc>
      </w:tr>
      <w:tr>
        <w:trPr>
          <w:trHeight w:val="216"/>
        </w:trPr>
        <w:tc>
          <w:tcPr>
            <w:tcW w:w="33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w w:val="95"/>
              </w:rPr>
              <w:t>calendar quarter) if the closing price of the Company’s Common Stock for at least 20 Trading</w:t>
            </w:r>
          </w:p>
        </w:tc>
      </w:tr>
      <w:tr>
        <w:trPr>
          <w:trHeight w:val="216"/>
        </w:trPr>
        <w:tc>
          <w:tcPr>
            <w:tcW w:w="33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w w:val="97"/>
              </w:rPr>
              <w:t>Days in the 30 consecutive Trading Days ending on the last Trading Day of the immediately</w:t>
            </w:r>
          </w:p>
        </w:tc>
      </w:tr>
      <w:tr>
        <w:trPr>
          <w:trHeight w:val="230"/>
        </w:trPr>
        <w:tc>
          <w:tcPr>
            <w:tcW w:w="3320" w:type="dxa"/>
            <w:vAlign w:val="bottom"/>
          </w:tcPr>
          <w:p>
            <w:pPr>
              <w:spacing w:after="0"/>
              <w:rPr>
                <w:sz w:val="20"/>
                <w:szCs w:val="20"/>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preceding calendar quarter is more than 130% of the then current Conversion Price;</w:t>
            </w:r>
          </w:p>
        </w:tc>
      </w:tr>
      <w:tr>
        <w:trPr>
          <w:trHeight w:val="418"/>
        </w:trPr>
        <w:tc>
          <w:tcPr>
            <w:tcW w:w="3320" w:type="dxa"/>
            <w:vAlign w:val="bottom"/>
          </w:tcPr>
          <w:p>
            <w:pPr>
              <w:spacing w:after="0"/>
              <w:rPr>
                <w:sz w:val="24"/>
                <w:szCs w:val="24"/>
                <w:color w:val="auto"/>
              </w:rPr>
            </w:pPr>
          </w:p>
        </w:tc>
        <w:tc>
          <w:tcPr>
            <w:tcW w:w="8140" w:type="dxa"/>
            <w:vAlign w:val="bottom"/>
          </w:tcPr>
          <w:p>
            <w:pPr>
              <w:ind w:left="840"/>
              <w:spacing w:after="0"/>
              <w:rPr>
                <w:sz w:val="20"/>
                <w:szCs w:val="20"/>
                <w:color w:val="auto"/>
              </w:rPr>
            </w:pPr>
            <w:r>
              <w:rPr>
                <w:rFonts w:ascii="Arial" w:cs="Arial" w:eastAsia="Arial" w:hAnsi="Arial"/>
                <w:sz w:val="18"/>
                <w:szCs w:val="18"/>
                <w:color w:val="auto"/>
                <w:w w:val="98"/>
              </w:rPr>
              <w:t>·  If all or a portion of the Principal Amount at Maturity of the New Notes have been called for</w:t>
            </w:r>
          </w:p>
        </w:tc>
      </w:tr>
      <w:tr>
        <w:trPr>
          <w:trHeight w:val="216"/>
        </w:trPr>
        <w:tc>
          <w:tcPr>
            <w:tcW w:w="33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w w:val="97"/>
              </w:rPr>
              <w:t>redemption (with only such portion of such New Notes that have been called for redemption</w:t>
            </w:r>
          </w:p>
        </w:tc>
      </w:tr>
      <w:tr>
        <w:trPr>
          <w:trHeight w:val="230"/>
        </w:trPr>
        <w:tc>
          <w:tcPr>
            <w:tcW w:w="3320" w:type="dxa"/>
            <w:vAlign w:val="bottom"/>
          </w:tcPr>
          <w:p>
            <w:pPr>
              <w:spacing w:after="0"/>
              <w:rPr>
                <w:sz w:val="20"/>
                <w:szCs w:val="20"/>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being convertible);</w:t>
            </w:r>
          </w:p>
        </w:tc>
      </w:tr>
      <w:tr>
        <w:trPr>
          <w:trHeight w:val="418"/>
        </w:trPr>
        <w:tc>
          <w:tcPr>
            <w:tcW w:w="3320" w:type="dxa"/>
            <w:vAlign w:val="bottom"/>
          </w:tcPr>
          <w:p>
            <w:pPr>
              <w:spacing w:after="0"/>
              <w:rPr>
                <w:sz w:val="24"/>
                <w:szCs w:val="24"/>
                <w:color w:val="auto"/>
              </w:rPr>
            </w:pPr>
          </w:p>
        </w:tc>
        <w:tc>
          <w:tcPr>
            <w:tcW w:w="8140" w:type="dxa"/>
            <w:vAlign w:val="bottom"/>
          </w:tcPr>
          <w:p>
            <w:pPr>
              <w:ind w:left="840"/>
              <w:spacing w:after="0"/>
              <w:rPr>
                <w:sz w:val="20"/>
                <w:szCs w:val="20"/>
                <w:color w:val="auto"/>
              </w:rPr>
            </w:pPr>
            <w:r>
              <w:rPr>
                <w:rFonts w:ascii="Arial" w:cs="Arial" w:eastAsia="Arial" w:hAnsi="Arial"/>
                <w:sz w:val="18"/>
                <w:szCs w:val="18"/>
                <w:color w:val="auto"/>
                <w:w w:val="97"/>
              </w:rPr>
              <w:t>·  If specified distributions to holders of the Company’s Common Stock are made, or specified</w:t>
            </w:r>
          </w:p>
        </w:tc>
      </w:tr>
      <w:tr>
        <w:trPr>
          <w:trHeight w:val="230"/>
        </w:trPr>
        <w:tc>
          <w:tcPr>
            <w:tcW w:w="3320" w:type="dxa"/>
            <w:vAlign w:val="bottom"/>
          </w:tcPr>
          <w:p>
            <w:pPr>
              <w:spacing w:after="0"/>
              <w:rPr>
                <w:sz w:val="20"/>
                <w:szCs w:val="20"/>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corporate events occur;</w:t>
            </w:r>
          </w:p>
        </w:tc>
      </w:tr>
      <w:tr>
        <w:trPr>
          <w:trHeight w:val="418"/>
        </w:trPr>
        <w:tc>
          <w:tcPr>
            <w:tcW w:w="3320" w:type="dxa"/>
            <w:vAlign w:val="bottom"/>
          </w:tcPr>
          <w:p>
            <w:pPr>
              <w:spacing w:after="0"/>
              <w:rPr>
                <w:sz w:val="24"/>
                <w:szCs w:val="24"/>
                <w:color w:val="auto"/>
              </w:rPr>
            </w:pPr>
          </w:p>
        </w:tc>
        <w:tc>
          <w:tcPr>
            <w:tcW w:w="8140" w:type="dxa"/>
            <w:vAlign w:val="bottom"/>
          </w:tcPr>
          <w:p>
            <w:pPr>
              <w:ind w:left="840"/>
              <w:spacing w:after="0"/>
              <w:rPr>
                <w:sz w:val="20"/>
                <w:szCs w:val="20"/>
                <w:color w:val="auto"/>
              </w:rPr>
            </w:pPr>
            <w:r>
              <w:rPr>
                <w:rFonts w:ascii="Arial" w:cs="Arial" w:eastAsia="Arial" w:hAnsi="Arial"/>
                <w:sz w:val="18"/>
                <w:szCs w:val="18"/>
                <w:color w:val="auto"/>
                <w:w w:val="93"/>
              </w:rPr>
              <w:t>·  During the five business days after any five consecutive Trading Day period in which the trading</w:t>
            </w:r>
          </w:p>
        </w:tc>
      </w:tr>
      <w:tr>
        <w:trPr>
          <w:trHeight w:val="216"/>
        </w:trPr>
        <w:tc>
          <w:tcPr>
            <w:tcW w:w="33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w w:val="93"/>
              </w:rPr>
              <w:t>price per $1,000 Principal Amount at Maturity of New Notes for each Trading Day of that period</w:t>
            </w:r>
          </w:p>
        </w:tc>
      </w:tr>
      <w:tr>
        <w:trPr>
          <w:trHeight w:val="216"/>
        </w:trPr>
        <w:tc>
          <w:tcPr>
            <w:tcW w:w="332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w w:val="95"/>
              </w:rPr>
              <w:t>is less than 98% of the product of the closing price of the Company’s Common Stock and the</w:t>
            </w:r>
          </w:p>
        </w:tc>
      </w:tr>
      <w:tr>
        <w:trPr>
          <w:trHeight w:val="230"/>
        </w:trPr>
        <w:tc>
          <w:tcPr>
            <w:tcW w:w="3320" w:type="dxa"/>
            <w:vAlign w:val="bottom"/>
          </w:tcPr>
          <w:p>
            <w:pPr>
              <w:spacing w:after="0"/>
              <w:rPr>
                <w:sz w:val="20"/>
                <w:szCs w:val="20"/>
                <w:color w:val="auto"/>
              </w:rPr>
            </w:pPr>
          </w:p>
        </w:tc>
        <w:tc>
          <w:tcPr>
            <w:tcW w:w="8140" w:type="dxa"/>
            <w:vAlign w:val="bottom"/>
          </w:tcPr>
          <w:p>
            <w:pPr>
              <w:ind w:left="1040"/>
              <w:spacing w:after="0"/>
              <w:rPr>
                <w:sz w:val="20"/>
                <w:szCs w:val="20"/>
                <w:color w:val="auto"/>
              </w:rPr>
            </w:pPr>
            <w:r>
              <w:rPr>
                <w:rFonts w:ascii="Arial" w:cs="Arial" w:eastAsia="Arial" w:hAnsi="Arial"/>
                <w:sz w:val="18"/>
                <w:szCs w:val="18"/>
                <w:color w:val="auto"/>
              </w:rPr>
              <w:t>Conversion Rate of the New Notes; or</w:t>
            </w:r>
          </w:p>
        </w:tc>
      </w:tr>
      <w:tr>
        <w:trPr>
          <w:trHeight w:val="432"/>
        </w:trPr>
        <w:tc>
          <w:tcPr>
            <w:tcW w:w="3320" w:type="dxa"/>
            <w:vAlign w:val="bottom"/>
          </w:tcPr>
          <w:p>
            <w:pPr>
              <w:spacing w:after="0"/>
              <w:rPr>
                <w:sz w:val="24"/>
                <w:szCs w:val="24"/>
                <w:color w:val="auto"/>
              </w:rPr>
            </w:pPr>
          </w:p>
        </w:tc>
        <w:tc>
          <w:tcPr>
            <w:tcW w:w="8140" w:type="dxa"/>
            <w:vAlign w:val="bottom"/>
          </w:tcPr>
          <w:p>
            <w:pPr>
              <w:ind w:left="840"/>
              <w:spacing w:after="0"/>
              <w:rPr>
                <w:sz w:val="20"/>
                <w:szCs w:val="20"/>
                <w:color w:val="auto"/>
              </w:rPr>
            </w:pPr>
            <w:r>
              <w:rPr>
                <w:rFonts w:ascii="Arial" w:cs="Arial" w:eastAsia="Arial" w:hAnsi="Arial"/>
                <w:sz w:val="18"/>
                <w:szCs w:val="18"/>
                <w:color w:val="auto"/>
              </w:rPr>
              <w:t>·  At any time (without regard to stock price) on or after August 15, 2043.</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Settlement Method upon Conversion</w:t>
            </w:r>
          </w:p>
        </w:tc>
        <w:tc>
          <w:tcPr>
            <w:tcW w:w="8140" w:type="dxa"/>
            <w:vAlign w:val="bottom"/>
          </w:tcPr>
          <w:p>
            <w:pPr>
              <w:ind w:left="640"/>
              <w:spacing w:after="0"/>
              <w:rPr>
                <w:sz w:val="20"/>
                <w:szCs w:val="20"/>
                <w:color w:val="auto"/>
              </w:rPr>
            </w:pPr>
            <w:r>
              <w:rPr>
                <w:rFonts w:ascii="Arial" w:cs="Arial" w:eastAsia="Arial" w:hAnsi="Arial"/>
                <w:sz w:val="18"/>
                <w:szCs w:val="18"/>
                <w:color w:val="auto"/>
                <w:w w:val="91"/>
              </w:rPr>
              <w:t>The Company will deliver cash, shares of the Company’s Common Stock or a combination of cash and</w:t>
            </w:r>
          </w:p>
        </w:tc>
      </w:tr>
      <w:tr>
        <w:trPr>
          <w:trHeight w:val="230"/>
        </w:trPr>
        <w:tc>
          <w:tcPr>
            <w:tcW w:w="3320" w:type="dxa"/>
            <w:vAlign w:val="bottom"/>
          </w:tcPr>
          <w:p>
            <w:pPr>
              <w:spacing w:after="0"/>
              <w:rPr>
                <w:sz w:val="20"/>
                <w:szCs w:val="20"/>
                <w:color w:val="auto"/>
              </w:rPr>
            </w:pPr>
          </w:p>
        </w:tc>
        <w:tc>
          <w:tcPr>
            <w:tcW w:w="8140" w:type="dxa"/>
            <w:vAlign w:val="bottom"/>
          </w:tcPr>
          <w:p>
            <w:pPr>
              <w:ind w:left="640"/>
              <w:spacing w:after="0"/>
              <w:rPr>
                <w:sz w:val="20"/>
                <w:szCs w:val="20"/>
                <w:color w:val="auto"/>
              </w:rPr>
            </w:pPr>
            <w:r>
              <w:rPr>
                <w:rFonts w:ascii="Arial" w:cs="Arial" w:eastAsia="Arial" w:hAnsi="Arial"/>
                <w:sz w:val="18"/>
                <w:szCs w:val="18"/>
                <w:color w:val="auto"/>
              </w:rPr>
              <w:t>shares of the Company’s Common Stock, at the Company’s election.</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Amount due upon Acceleration</w:t>
            </w:r>
          </w:p>
        </w:tc>
        <w:tc>
          <w:tcPr>
            <w:tcW w:w="8140" w:type="dxa"/>
            <w:vAlign w:val="bottom"/>
          </w:tcPr>
          <w:p>
            <w:pPr>
              <w:ind w:left="640"/>
              <w:spacing w:after="0"/>
              <w:rPr>
                <w:sz w:val="20"/>
                <w:szCs w:val="20"/>
                <w:color w:val="auto"/>
              </w:rPr>
            </w:pPr>
            <w:r>
              <w:rPr>
                <w:rFonts w:ascii="Arial" w:cs="Arial" w:eastAsia="Arial" w:hAnsi="Arial"/>
                <w:sz w:val="18"/>
                <w:szCs w:val="18"/>
                <w:color w:val="auto"/>
              </w:rPr>
              <w:t>Accreted Principal Amount plus accrued but unpaid interest.</w:t>
            </w:r>
          </w:p>
        </w:tc>
      </w:tr>
      <w:tr>
        <w:trPr>
          <w:trHeight w:val="348"/>
        </w:trPr>
        <w:tc>
          <w:tcPr>
            <w:tcW w:w="3320" w:type="dxa"/>
            <w:vAlign w:val="bottom"/>
            <w:tcBorders>
              <w:bottom w:val="single" w:sz="8" w:color="010101"/>
            </w:tcBorders>
          </w:tcPr>
          <w:p>
            <w:pPr>
              <w:spacing w:after="0"/>
              <w:rPr>
                <w:sz w:val="24"/>
                <w:szCs w:val="24"/>
                <w:color w:val="auto"/>
              </w:rPr>
            </w:pPr>
          </w:p>
        </w:tc>
        <w:tc>
          <w:tcPr>
            <w:tcW w:w="81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2019-12-05T20:33:13Z</dcterms:created>
  <dcterms:modified xsi:type="dcterms:W3CDTF">2019-12-05T20:33:13Z</dcterms:modified>
</cp:coreProperties>
</file>