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152400</wp:posOffset>
            </wp:positionH>
            <wp:positionV relativeFrom="page">
              <wp:posOffset>111125</wp:posOffset>
            </wp:positionV>
            <wp:extent cx="7257415" cy="37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7415" cy="37465"/>
                    </a:xfrm>
                    <a:prstGeom prst="rect">
                      <a:avLst/>
                    </a:prstGeom>
                    <a:noFill/>
                  </pic:spPr>
                </pic:pic>
              </a:graphicData>
            </a:graphic>
          </wp:anchor>
        </w:drawing>
        <w:t>UNITED STATES</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SECURITIES AND EXCHANGE COMMISSION</w:t>
      </w: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FORM 8-K</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April 7, 2011</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Date of Report (date of earliest event reported)</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11430</wp:posOffset>
            </wp:positionV>
            <wp:extent cx="725297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pacing w:after="0" w:line="237"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3800" w:type="dxa"/>
            <w:vAlign w:val="bottom"/>
            <w:tcBorders>
              <w:bottom w:val="single" w:sz="8" w:color="auto"/>
            </w:tcBorders>
          </w:tcPr>
          <w:p>
            <w:pPr>
              <w:jc w:val="center"/>
              <w:ind w:left="334"/>
              <w:spacing w:after="0"/>
              <w:rPr>
                <w:sz w:val="20"/>
                <w:szCs w:val="20"/>
                <w:color w:val="auto"/>
              </w:rPr>
            </w:pPr>
            <w:r>
              <w:rPr>
                <w:rFonts w:ascii="Arial" w:cs="Arial" w:eastAsia="Arial" w:hAnsi="Arial"/>
                <w:sz w:val="17"/>
                <w:szCs w:val="17"/>
                <w:b w:val="1"/>
                <w:bCs w:val="1"/>
                <w:color w:val="auto"/>
                <w:w w:val="93"/>
              </w:rPr>
              <w:t>Delaware</w:t>
            </w:r>
          </w:p>
        </w:tc>
        <w:tc>
          <w:tcPr>
            <w:tcW w:w="4080" w:type="dxa"/>
            <w:vAlign w:val="bottom"/>
            <w:tcBorders>
              <w:bottom w:val="single" w:sz="8" w:color="auto"/>
            </w:tcBorders>
          </w:tcPr>
          <w:p>
            <w:pPr>
              <w:jc w:val="right"/>
              <w:ind w:right="1534"/>
              <w:spacing w:after="0"/>
              <w:rPr>
                <w:sz w:val="20"/>
                <w:szCs w:val="20"/>
                <w:color w:val="auto"/>
              </w:rPr>
            </w:pPr>
            <w:r>
              <w:rPr>
                <w:rFonts w:ascii="Arial" w:cs="Arial" w:eastAsia="Arial" w:hAnsi="Arial"/>
                <w:sz w:val="17"/>
                <w:szCs w:val="17"/>
                <w:b w:val="1"/>
                <w:bCs w:val="1"/>
                <w:color w:val="auto"/>
              </w:rPr>
              <w:t>1-10658</w:t>
            </w:r>
          </w:p>
        </w:tc>
        <w:tc>
          <w:tcPr>
            <w:tcW w:w="3540" w:type="dxa"/>
            <w:vAlign w:val="bottom"/>
            <w:tcBorders>
              <w:bottom w:val="single" w:sz="8" w:color="auto"/>
            </w:tcBorders>
          </w:tcPr>
          <w:p>
            <w:pPr>
              <w:jc w:val="right"/>
              <w:ind w:right="1334"/>
              <w:spacing w:after="0"/>
              <w:rPr>
                <w:sz w:val="20"/>
                <w:szCs w:val="20"/>
                <w:color w:val="auto"/>
              </w:rPr>
            </w:pPr>
            <w:r>
              <w:rPr>
                <w:rFonts w:ascii="Arial" w:cs="Arial" w:eastAsia="Arial" w:hAnsi="Arial"/>
                <w:sz w:val="17"/>
                <w:szCs w:val="17"/>
                <w:b w:val="1"/>
                <w:bCs w:val="1"/>
                <w:color w:val="auto"/>
              </w:rPr>
              <w:t>75-1618004</w:t>
            </w:r>
          </w:p>
        </w:tc>
      </w:tr>
      <w:tr>
        <w:trPr>
          <w:trHeight w:val="217"/>
        </w:trPr>
        <w:tc>
          <w:tcPr>
            <w:tcW w:w="3800" w:type="dxa"/>
            <w:vAlign w:val="bottom"/>
          </w:tcPr>
          <w:p>
            <w:pPr>
              <w:jc w:val="center"/>
              <w:ind w:left="334"/>
              <w:spacing w:after="0"/>
              <w:rPr>
                <w:sz w:val="20"/>
                <w:szCs w:val="20"/>
                <w:color w:val="auto"/>
              </w:rPr>
            </w:pPr>
            <w:r>
              <w:rPr>
                <w:rFonts w:ascii="Arial" w:cs="Arial" w:eastAsia="Arial" w:hAnsi="Arial"/>
                <w:sz w:val="17"/>
                <w:szCs w:val="17"/>
                <w:color w:val="auto"/>
                <w:w w:val="93"/>
              </w:rPr>
              <w:t>(State or other jurisdiction of incorporation)</w:t>
            </w:r>
          </w:p>
        </w:tc>
        <w:tc>
          <w:tcPr>
            <w:tcW w:w="4080" w:type="dxa"/>
            <w:vAlign w:val="bottom"/>
          </w:tcPr>
          <w:p>
            <w:pPr>
              <w:jc w:val="center"/>
              <w:ind w:left="174"/>
              <w:spacing w:after="0"/>
              <w:rPr>
                <w:sz w:val="20"/>
                <w:szCs w:val="20"/>
                <w:color w:val="auto"/>
              </w:rPr>
            </w:pPr>
            <w:r>
              <w:rPr>
                <w:rFonts w:ascii="Arial" w:cs="Arial" w:eastAsia="Arial" w:hAnsi="Arial"/>
                <w:sz w:val="17"/>
                <w:szCs w:val="17"/>
                <w:color w:val="auto"/>
                <w:w w:val="93"/>
              </w:rPr>
              <w:t>(Commission File Number)</w:t>
            </w:r>
          </w:p>
        </w:tc>
        <w:tc>
          <w:tcPr>
            <w:tcW w:w="3540" w:type="dxa"/>
            <w:vAlign w:val="bottom"/>
          </w:tcPr>
          <w:p>
            <w:pPr>
              <w:jc w:val="right"/>
              <w:ind w:right="454"/>
              <w:spacing w:after="0"/>
              <w:rPr>
                <w:sz w:val="20"/>
                <w:szCs w:val="20"/>
                <w:color w:val="auto"/>
              </w:rPr>
            </w:pPr>
            <w:r>
              <w:rPr>
                <w:rFonts w:ascii="Arial" w:cs="Arial" w:eastAsia="Arial" w:hAnsi="Arial"/>
                <w:sz w:val="17"/>
                <w:szCs w:val="17"/>
                <w:color w:val="auto"/>
              </w:rPr>
              <w:t>(I.R.S. Employer Identification No.)</w:t>
            </w:r>
          </w:p>
        </w:tc>
      </w:tr>
      <w:tr>
        <w:trPr>
          <w:trHeight w:val="410"/>
        </w:trPr>
        <w:tc>
          <w:tcPr>
            <w:tcW w:w="380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Arial" w:cs="Arial" w:eastAsia="Arial" w:hAnsi="Arial"/>
                <w:sz w:val="17"/>
                <w:szCs w:val="17"/>
                <w:b w:val="1"/>
                <w:bCs w:val="1"/>
                <w:color w:val="auto"/>
                <w:w w:val="92"/>
              </w:rPr>
              <w:t>8000 South Federal Way</w:t>
            </w:r>
          </w:p>
        </w:tc>
        <w:tc>
          <w:tcPr>
            <w:tcW w:w="3540" w:type="dxa"/>
            <w:vAlign w:val="bottom"/>
          </w:tcPr>
          <w:p>
            <w:pPr>
              <w:spacing w:after="0"/>
              <w:rPr>
                <w:sz w:val="24"/>
                <w:szCs w:val="24"/>
                <w:color w:val="auto"/>
              </w:rPr>
            </w:pPr>
          </w:p>
        </w:tc>
      </w:tr>
      <w:tr>
        <w:trPr>
          <w:trHeight w:val="231"/>
        </w:trPr>
        <w:tc>
          <w:tcPr>
            <w:tcW w:w="3800" w:type="dxa"/>
            <w:vAlign w:val="bottom"/>
          </w:tcPr>
          <w:p>
            <w:pPr>
              <w:spacing w:after="0"/>
              <w:rPr>
                <w:sz w:val="20"/>
                <w:szCs w:val="20"/>
                <w:color w:val="auto"/>
              </w:rPr>
            </w:pP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Boise, Idaho 83716-9632</w:t>
            </w:r>
          </w:p>
        </w:tc>
        <w:tc>
          <w:tcPr>
            <w:tcW w:w="3540" w:type="dxa"/>
            <w:vAlign w:val="bottom"/>
          </w:tcPr>
          <w:p>
            <w:pPr>
              <w:spacing w:after="0"/>
              <w:rPr>
                <w:sz w:val="20"/>
                <w:szCs w:val="20"/>
                <w:color w:val="auto"/>
              </w:rPr>
            </w:pPr>
          </w:p>
        </w:tc>
      </w:tr>
      <w:tr>
        <w:trPr>
          <w:trHeight w:val="217"/>
        </w:trPr>
        <w:tc>
          <w:tcPr>
            <w:tcW w:w="3800" w:type="dxa"/>
            <w:vAlign w:val="bottom"/>
          </w:tcPr>
          <w:p>
            <w:pPr>
              <w:spacing w:after="0"/>
              <w:rPr>
                <w:sz w:val="18"/>
                <w:szCs w:val="18"/>
                <w:color w:val="auto"/>
              </w:rPr>
            </w:pPr>
          </w:p>
        </w:tc>
        <w:tc>
          <w:tcPr>
            <w:tcW w:w="4080" w:type="dxa"/>
            <w:vAlign w:val="bottom"/>
          </w:tcPr>
          <w:p>
            <w:pPr>
              <w:jc w:val="center"/>
              <w:spacing w:after="0"/>
              <w:rPr>
                <w:sz w:val="20"/>
                <w:szCs w:val="20"/>
                <w:color w:val="auto"/>
              </w:rPr>
            </w:pPr>
            <w:r>
              <w:rPr>
                <w:rFonts w:ascii="Arial" w:cs="Arial" w:eastAsia="Arial" w:hAnsi="Arial"/>
                <w:sz w:val="17"/>
                <w:szCs w:val="17"/>
                <w:color w:val="auto"/>
                <w:w w:val="93"/>
              </w:rPr>
              <w:t>(Address of principal executive offices)</w:t>
            </w:r>
          </w:p>
        </w:tc>
        <w:tc>
          <w:tcPr>
            <w:tcW w:w="3540" w:type="dxa"/>
            <w:vAlign w:val="bottom"/>
          </w:tcPr>
          <w:p>
            <w:pPr>
              <w:spacing w:after="0"/>
              <w:rPr>
                <w:sz w:val="18"/>
                <w:szCs w:val="18"/>
                <w:color w:val="auto"/>
              </w:rPr>
            </w:pPr>
          </w:p>
        </w:tc>
      </w:tr>
    </w:tbl>
    <w:p>
      <w:pPr>
        <w:spacing w:after="0" w:line="203" w:lineRule="exact"/>
        <w:rPr>
          <w:sz w:val="24"/>
          <w:szCs w:val="24"/>
          <w:color w:val="auto"/>
        </w:rPr>
      </w:pPr>
    </w:p>
    <w:p>
      <w:pPr>
        <w:jc w:val="center"/>
        <w:ind w:left="560"/>
        <w:spacing w:after="0"/>
        <w:rPr>
          <w:sz w:val="20"/>
          <w:szCs w:val="20"/>
          <w:color w:val="auto"/>
        </w:rPr>
      </w:pPr>
      <w:r>
        <w:rPr>
          <w:rFonts w:ascii="Arial" w:cs="Arial" w:eastAsia="Arial" w:hAnsi="Arial"/>
          <w:sz w:val="17"/>
          <w:szCs w:val="17"/>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18415</wp:posOffset>
            </wp:positionV>
            <wp:extent cx="3286125"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86125" cy="16510"/>
                    </a:xfrm>
                    <a:prstGeom prst="rect">
                      <a:avLst/>
                    </a:prstGeom>
                    <a:noFill/>
                  </pic:spPr>
                </pic:pic>
              </a:graphicData>
            </a:graphic>
          </wp:anchor>
        </w:drawing>
      </w:r>
    </w:p>
    <w:p>
      <w:pPr>
        <w:spacing w:after="0" w:line="23" w:lineRule="exact"/>
        <w:rPr>
          <w:sz w:val="24"/>
          <w:szCs w:val="24"/>
          <w:color w:val="auto"/>
        </w:rPr>
      </w:pPr>
    </w:p>
    <w:p>
      <w:pPr>
        <w:jc w:val="center"/>
        <w:ind w:left="560"/>
        <w:spacing w:after="0"/>
        <w:rPr>
          <w:sz w:val="20"/>
          <w:szCs w:val="20"/>
          <w:color w:val="auto"/>
        </w:rPr>
      </w:pPr>
      <w:r>
        <w:rPr>
          <w:rFonts w:ascii="Arial" w:cs="Arial" w:eastAsia="Arial" w:hAnsi="Arial"/>
          <w:sz w:val="17"/>
          <w:szCs w:val="17"/>
          <w:color w:val="auto"/>
        </w:rPr>
        <w:t>(Registrant’s telephone number, including area code)</w:t>
      </w:r>
    </w:p>
    <w:p>
      <w:pPr>
        <w:spacing w:after="0" w:line="243" w:lineRule="exact"/>
        <w:rPr>
          <w:sz w:val="24"/>
          <w:szCs w:val="24"/>
          <w:color w:val="auto"/>
        </w:rPr>
      </w:pPr>
    </w:p>
    <w:p>
      <w:pPr>
        <w:ind w:right="620"/>
        <w:spacing w:after="0" w:line="280"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spacing w:after="0"/>
        <w:rPr>
          <w:sz w:val="20"/>
          <w:szCs w:val="20"/>
          <w:color w:val="auto"/>
        </w:rPr>
      </w:pPr>
      <w:r>
        <w:rPr>
          <w:rFonts w:ascii="Arial" w:cs="Arial" w:eastAsia="Arial" w:hAnsi="Arial"/>
          <w:sz w:val="17"/>
          <w:szCs w:val="17"/>
          <w:color w:val="auto"/>
        </w:rPr>
        <w:t>o Written communications pursuant to Rule 425 under the Securities Act (17 CFR 230.425)</w:t>
      </w:r>
    </w:p>
    <w:p>
      <w:pPr>
        <w:spacing w:after="0" w:line="243" w:lineRule="exact"/>
        <w:rPr>
          <w:sz w:val="24"/>
          <w:szCs w:val="24"/>
          <w:color w:val="auto"/>
        </w:rPr>
      </w:pPr>
    </w:p>
    <w:p>
      <w:pPr>
        <w:spacing w:after="0"/>
        <w:rPr>
          <w:sz w:val="20"/>
          <w:szCs w:val="20"/>
          <w:color w:val="auto"/>
        </w:rPr>
      </w:pPr>
      <w:r>
        <w:rPr>
          <w:rFonts w:ascii="Arial" w:cs="Arial" w:eastAsia="Arial" w:hAnsi="Arial"/>
          <w:sz w:val="17"/>
          <w:szCs w:val="17"/>
          <w:color w:val="auto"/>
        </w:rPr>
        <w:t>o Soliciting material pursuant to Rule 14a-12 under the Exchange Act (17 CFR 240.14a-12)</w:t>
      </w:r>
    </w:p>
    <w:p>
      <w:pPr>
        <w:spacing w:after="0" w:line="243" w:lineRule="exact"/>
        <w:rPr>
          <w:sz w:val="24"/>
          <w:szCs w:val="24"/>
          <w:color w:val="auto"/>
        </w:rPr>
      </w:pPr>
    </w:p>
    <w:p>
      <w:pPr>
        <w:spacing w:after="0"/>
        <w:rPr>
          <w:sz w:val="20"/>
          <w:szCs w:val="20"/>
          <w:color w:val="auto"/>
        </w:rPr>
      </w:pPr>
      <w:r>
        <w:rPr>
          <w:rFonts w:ascii="Arial" w:cs="Arial" w:eastAsia="Arial" w:hAnsi="Arial"/>
          <w:sz w:val="17"/>
          <w:szCs w:val="17"/>
          <w:color w:val="auto"/>
        </w:rPr>
        <w:t>o Pre-commencement communications pursuant to Rule 14d-2(b) under the Exchange Act (17 CFR 240.14d-2(b))</w:t>
      </w:r>
    </w:p>
    <w:p>
      <w:pPr>
        <w:spacing w:after="0" w:line="243" w:lineRule="exact"/>
        <w:rPr>
          <w:sz w:val="24"/>
          <w:szCs w:val="24"/>
          <w:color w:val="auto"/>
        </w:rPr>
      </w:pPr>
    </w:p>
    <w:p>
      <w:pPr>
        <w:spacing w:after="0"/>
        <w:rPr>
          <w:sz w:val="20"/>
          <w:szCs w:val="20"/>
          <w:color w:val="auto"/>
        </w:rPr>
      </w:pPr>
      <w:r>
        <w:rPr>
          <w:rFonts w:ascii="Arial" w:cs="Arial" w:eastAsia="Arial" w:hAnsi="Arial"/>
          <w:sz w:val="17"/>
          <w:szCs w:val="17"/>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5741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757" w:right="239" w:bottom="1440" w:gutter="0" w:footer="0" w:header="0"/>
        </w:sectPr>
      </w:pPr>
    </w:p>
    <w:bookmarkStart w:id="1" w:name="page2"/>
    <w:bookmarkEnd w:id="1"/>
    <w:p>
      <w:pPr>
        <w:spacing w:after="0"/>
        <w:tabs>
          <w:tab w:leader="none" w:pos="1220" w:val="left"/>
        </w:tabs>
        <w:rPr>
          <w:sz w:val="20"/>
          <w:szCs w:val="20"/>
          <w:color w:val="auto"/>
        </w:rPr>
      </w:pPr>
      <w:r>
        <w:rPr>
          <w:rFonts w:ascii="Arial" w:cs="Arial" w:eastAsia="Arial" w:hAnsi="Arial"/>
          <w:sz w:val="17"/>
          <w:szCs w:val="17"/>
          <w:b w:val="1"/>
          <w:bCs w:val="1"/>
          <w:color w:val="auto"/>
        </w:rPr>
        <w:t>Item 5.02.</w:t>
      </w:r>
      <w:r>
        <w:rPr>
          <w:sz w:val="20"/>
          <w:szCs w:val="20"/>
          <w:color w:val="auto"/>
        </w:rPr>
        <w:tab/>
      </w:r>
      <w:r>
        <w:rPr>
          <w:rFonts w:ascii="Arial" w:cs="Arial" w:eastAsia="Arial" w:hAnsi="Arial"/>
          <w:sz w:val="15"/>
          <w:szCs w:val="15"/>
          <w:b w:val="1"/>
          <w:bCs w:val="1"/>
          <w:color w:val="auto"/>
        </w:rPr>
        <w:t>Departure of Directors or Certain Officers; Election of Directors; Appointment of Certain Officers.</w:t>
      </w:r>
    </w:p>
    <w:p>
      <w:pPr>
        <w:spacing w:after="0" w:line="249" w:lineRule="exact"/>
        <w:rPr>
          <w:sz w:val="20"/>
          <w:szCs w:val="20"/>
          <w:color w:val="auto"/>
        </w:rPr>
      </w:pPr>
    </w:p>
    <w:p>
      <w:pPr>
        <w:ind w:firstLine="620"/>
        <w:spacing w:after="0" w:line="266" w:lineRule="auto"/>
        <w:rPr>
          <w:sz w:val="20"/>
          <w:szCs w:val="20"/>
          <w:color w:val="auto"/>
        </w:rPr>
      </w:pPr>
      <w:r>
        <w:rPr>
          <w:rFonts w:ascii="Arial" w:cs="Arial" w:eastAsia="Arial" w:hAnsi="Arial"/>
          <w:sz w:val="17"/>
          <w:szCs w:val="17"/>
          <w:color w:val="auto"/>
        </w:rPr>
        <w:t>Effective April 7, 2011, the Company’s Board of Directors appointed Patrick J. Byrne as a member of the Company’s Board of Directors. Mr. Byrne has also been appointed to the Compensation Committee and the Governance Committee of the Board of Directors. The full text of the press release issued in connection with the appointment of Mr. Byrne to the Board of Directors is attached as Exhibit 99.1 to this Current Report on Form 8-K.</w:t>
      </w:r>
    </w:p>
    <w:p>
      <w:pPr>
        <w:spacing w:after="0" w:line="200" w:lineRule="exact"/>
        <w:rPr>
          <w:sz w:val="20"/>
          <w:szCs w:val="20"/>
          <w:color w:val="auto"/>
        </w:rPr>
      </w:pPr>
    </w:p>
    <w:p>
      <w:pPr>
        <w:spacing w:after="0" w:line="228" w:lineRule="exact"/>
        <w:rPr>
          <w:sz w:val="20"/>
          <w:szCs w:val="20"/>
          <w:color w:val="auto"/>
        </w:rPr>
      </w:pPr>
    </w:p>
    <w:p>
      <w:pPr>
        <w:spacing w:after="0"/>
        <w:tabs>
          <w:tab w:leader="none" w:pos="1220" w:val="left"/>
        </w:tabs>
        <w:rPr>
          <w:sz w:val="20"/>
          <w:szCs w:val="20"/>
          <w:color w:val="auto"/>
        </w:rPr>
      </w:pPr>
      <w:r>
        <w:rPr>
          <w:rFonts w:ascii="Arial" w:cs="Arial" w:eastAsia="Arial" w:hAnsi="Arial"/>
          <w:sz w:val="17"/>
          <w:szCs w:val="17"/>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1500" w:type="dxa"/>
            <w:vAlign w:val="bottom"/>
            <w:gridSpan w:val="2"/>
          </w:tcPr>
          <w:p>
            <w:pPr>
              <w:ind w:left="1220"/>
              <w:spacing w:after="0"/>
              <w:rPr>
                <w:sz w:val="20"/>
                <w:szCs w:val="20"/>
                <w:color w:val="auto"/>
              </w:rPr>
            </w:pPr>
            <w:r>
              <w:rPr>
                <w:rFonts w:ascii="Arial" w:cs="Arial" w:eastAsia="Arial" w:hAnsi="Arial"/>
                <w:sz w:val="17"/>
                <w:szCs w:val="17"/>
                <w:color w:val="auto"/>
              </w:rPr>
              <w:t>(d)</w:t>
            </w:r>
          </w:p>
        </w:tc>
        <w:tc>
          <w:tcPr>
            <w:tcW w:w="9900" w:type="dxa"/>
            <w:vAlign w:val="bottom"/>
          </w:tcPr>
          <w:p>
            <w:pPr>
              <w:spacing w:after="0"/>
              <w:rPr>
                <w:sz w:val="20"/>
                <w:szCs w:val="20"/>
                <w:color w:val="auto"/>
              </w:rPr>
            </w:pPr>
            <w:r>
              <w:rPr>
                <w:rFonts w:ascii="Arial" w:cs="Arial" w:eastAsia="Arial" w:hAnsi="Arial"/>
                <w:sz w:val="17"/>
                <w:szCs w:val="17"/>
                <w:color w:val="auto"/>
              </w:rPr>
              <w:t>Exhibits.</w:t>
            </w:r>
          </w:p>
        </w:tc>
      </w:tr>
      <w:tr>
        <w:trPr>
          <w:trHeight w:val="653"/>
        </w:trPr>
        <w:tc>
          <w:tcPr>
            <w:tcW w:w="1520" w:type="dxa"/>
            <w:vAlign w:val="bottom"/>
            <w:gridSpan w:val="3"/>
          </w:tcPr>
          <w:p>
            <w:pPr>
              <w:spacing w:after="0"/>
              <w:rPr>
                <w:sz w:val="20"/>
                <w:szCs w:val="20"/>
                <w:color w:val="auto"/>
              </w:rPr>
            </w:pPr>
            <w:r>
              <w:rPr>
                <w:rFonts w:ascii="Arial" w:cs="Arial" w:eastAsia="Arial" w:hAnsi="Arial"/>
                <w:sz w:val="17"/>
                <w:szCs w:val="17"/>
                <w:b w:val="1"/>
                <w:bCs w:val="1"/>
                <w:color w:val="auto"/>
              </w:rPr>
              <w:t>Exhibit No.</w:t>
            </w:r>
          </w:p>
        </w:tc>
        <w:tc>
          <w:tcPr>
            <w:tcW w:w="9900" w:type="dxa"/>
            <w:vAlign w:val="bottom"/>
          </w:tcPr>
          <w:p>
            <w:pPr>
              <w:spacing w:after="0"/>
              <w:rPr>
                <w:sz w:val="20"/>
                <w:szCs w:val="20"/>
                <w:color w:val="auto"/>
              </w:rPr>
            </w:pPr>
            <w:r>
              <w:rPr>
                <w:rFonts w:ascii="Arial" w:cs="Arial" w:eastAsia="Arial" w:hAnsi="Arial"/>
                <w:sz w:val="17"/>
                <w:szCs w:val="17"/>
                <w:b w:val="1"/>
                <w:bCs w:val="1"/>
                <w:color w:val="auto"/>
              </w:rPr>
              <w:t>Description</w:t>
            </w:r>
          </w:p>
        </w:tc>
      </w:tr>
      <w:tr>
        <w:trPr>
          <w:trHeight w:val="217"/>
        </w:trPr>
        <w:tc>
          <w:tcPr>
            <w:tcW w:w="20" w:type="dxa"/>
            <w:vAlign w:val="bottom"/>
          </w:tcPr>
          <w:p>
            <w:pPr>
              <w:spacing w:after="0"/>
              <w:rPr>
                <w:sz w:val="18"/>
                <w:szCs w:val="18"/>
                <w:color w:val="auto"/>
              </w:rPr>
            </w:pPr>
          </w:p>
        </w:tc>
        <w:tc>
          <w:tcPr>
            <w:tcW w:w="1240" w:type="dxa"/>
            <w:vAlign w:val="bottom"/>
            <w:tcBorders>
              <w:top w:val="single" w:sz="8" w:color="auto"/>
            </w:tcBorders>
          </w:tcPr>
          <w:p>
            <w:pPr>
              <w:jc w:val="right"/>
              <w:ind w:right="394"/>
              <w:spacing w:after="0"/>
              <w:rPr>
                <w:sz w:val="20"/>
                <w:szCs w:val="20"/>
                <w:color w:val="auto"/>
              </w:rPr>
            </w:pPr>
            <w:r>
              <w:rPr>
                <w:rFonts w:ascii="Arial" w:cs="Arial" w:eastAsia="Arial" w:hAnsi="Arial"/>
                <w:sz w:val="17"/>
                <w:szCs w:val="17"/>
                <w:color w:val="auto"/>
              </w:rPr>
              <w:t>99.1</w:t>
            </w:r>
          </w:p>
        </w:tc>
        <w:tc>
          <w:tcPr>
            <w:tcW w:w="260" w:type="dxa"/>
            <w:vAlign w:val="bottom"/>
          </w:tcPr>
          <w:p>
            <w:pPr>
              <w:spacing w:after="0"/>
              <w:rPr>
                <w:sz w:val="18"/>
                <w:szCs w:val="18"/>
                <w:color w:val="auto"/>
              </w:rPr>
            </w:pPr>
          </w:p>
        </w:tc>
        <w:tc>
          <w:tcPr>
            <w:tcW w:w="990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Press Release issued on April 7, 2011</w:t>
            </w:r>
          </w:p>
        </w:tc>
      </w:tr>
    </w:tbl>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728"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SIGNATURE</w:t>
      </w:r>
    </w:p>
    <w:p>
      <w:pPr>
        <w:spacing w:after="0" w:line="249" w:lineRule="exact"/>
        <w:rPr>
          <w:sz w:val="20"/>
          <w:szCs w:val="20"/>
          <w:color w:val="auto"/>
        </w:rPr>
      </w:pPr>
    </w:p>
    <w:p>
      <w:pPr>
        <w:ind w:right="40" w:firstLine="620"/>
        <w:spacing w:after="0" w:line="280"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220" w:type="dxa"/>
            <w:vAlign w:val="bottom"/>
          </w:tcPr>
          <w:p>
            <w:pPr>
              <w:spacing w:after="0"/>
              <w:rPr>
                <w:sz w:val="19"/>
                <w:szCs w:val="19"/>
                <w:color w:val="auto"/>
              </w:rPr>
            </w:pPr>
          </w:p>
        </w:tc>
        <w:tc>
          <w:tcPr>
            <w:tcW w:w="7200" w:type="dxa"/>
            <w:vAlign w:val="bottom"/>
            <w:gridSpan w:val="2"/>
          </w:tcPr>
          <w:p>
            <w:pPr>
              <w:ind w:left="2720"/>
              <w:spacing w:after="0"/>
              <w:rPr>
                <w:sz w:val="20"/>
                <w:szCs w:val="20"/>
                <w:color w:val="auto"/>
              </w:rPr>
            </w:pPr>
            <w:r>
              <w:rPr>
                <w:rFonts w:ascii="Arial" w:cs="Arial" w:eastAsia="Arial" w:hAnsi="Arial"/>
                <w:sz w:val="17"/>
                <w:szCs w:val="17"/>
                <w:b w:val="1"/>
                <w:bCs w:val="1"/>
                <w:color w:val="auto"/>
              </w:rPr>
              <w:t>MICRON TECHNOLOGY, INC.</w:t>
            </w:r>
          </w:p>
        </w:tc>
      </w:tr>
      <w:tr>
        <w:trPr>
          <w:trHeight w:val="627"/>
        </w:trPr>
        <w:tc>
          <w:tcPr>
            <w:tcW w:w="4220" w:type="dxa"/>
            <w:vAlign w:val="bottom"/>
          </w:tcPr>
          <w:p>
            <w:pPr>
              <w:spacing w:after="0"/>
              <w:rPr>
                <w:sz w:val="20"/>
                <w:szCs w:val="20"/>
                <w:color w:val="auto"/>
              </w:rPr>
            </w:pPr>
            <w:r>
              <w:rPr>
                <w:rFonts w:ascii="Arial" w:cs="Arial" w:eastAsia="Arial" w:hAnsi="Arial"/>
                <w:sz w:val="17"/>
                <w:szCs w:val="17"/>
                <w:color w:val="auto"/>
              </w:rPr>
              <w:t>Date:  April 8, 2011</w:t>
            </w:r>
          </w:p>
        </w:tc>
        <w:tc>
          <w:tcPr>
            <w:tcW w:w="3580" w:type="dxa"/>
            <w:vAlign w:val="bottom"/>
          </w:tcPr>
          <w:p>
            <w:pPr>
              <w:ind w:left="2720"/>
              <w:spacing w:after="0"/>
              <w:rPr>
                <w:sz w:val="20"/>
                <w:szCs w:val="20"/>
                <w:color w:val="auto"/>
              </w:rPr>
            </w:pPr>
            <w:r>
              <w:rPr>
                <w:rFonts w:ascii="Arial" w:cs="Arial" w:eastAsia="Arial" w:hAnsi="Arial"/>
                <w:sz w:val="17"/>
                <w:szCs w:val="17"/>
                <w:color w:val="auto"/>
              </w:rPr>
              <w:t>By:</w:t>
            </w:r>
          </w:p>
        </w:tc>
        <w:tc>
          <w:tcPr>
            <w:tcW w:w="3620" w:type="dxa"/>
            <w:vAlign w:val="bottom"/>
            <w:tcBorders>
              <w:bottom w:val="single" w:sz="8" w:color="auto"/>
            </w:tcBorders>
          </w:tcPr>
          <w:p>
            <w:pPr>
              <w:spacing w:after="0"/>
              <w:rPr>
                <w:sz w:val="20"/>
                <w:szCs w:val="20"/>
                <w:color w:val="auto"/>
              </w:rPr>
            </w:pPr>
            <w:r>
              <w:rPr>
                <w:rFonts w:ascii="Arial" w:cs="Arial" w:eastAsia="Arial" w:hAnsi="Arial"/>
                <w:sz w:val="17"/>
                <w:szCs w:val="17"/>
                <w:i w:val="1"/>
                <w:iCs w:val="1"/>
                <w:color w:val="auto"/>
              </w:rPr>
              <w:t>/s/ Ronald C. Foster</w:t>
            </w:r>
          </w:p>
        </w:tc>
      </w:tr>
      <w:tr>
        <w:trPr>
          <w:trHeight w:val="194"/>
        </w:trPr>
        <w:tc>
          <w:tcPr>
            <w:tcW w:w="4220" w:type="dxa"/>
            <w:vAlign w:val="bottom"/>
          </w:tcPr>
          <w:p>
            <w:pPr>
              <w:spacing w:after="0"/>
              <w:rPr>
                <w:sz w:val="16"/>
                <w:szCs w:val="16"/>
                <w:color w:val="auto"/>
              </w:rPr>
            </w:pPr>
          </w:p>
        </w:tc>
        <w:tc>
          <w:tcPr>
            <w:tcW w:w="3580" w:type="dxa"/>
            <w:vAlign w:val="bottom"/>
          </w:tcPr>
          <w:p>
            <w:pPr>
              <w:ind w:left="2720"/>
              <w:spacing w:after="0" w:line="194" w:lineRule="exact"/>
              <w:rPr>
                <w:sz w:val="20"/>
                <w:szCs w:val="20"/>
                <w:color w:val="auto"/>
              </w:rPr>
            </w:pPr>
            <w:r>
              <w:rPr>
                <w:rFonts w:ascii="Arial" w:cs="Arial" w:eastAsia="Arial" w:hAnsi="Arial"/>
                <w:sz w:val="17"/>
                <w:szCs w:val="17"/>
                <w:color w:val="auto"/>
              </w:rPr>
              <w:t>Name:</w:t>
            </w:r>
          </w:p>
        </w:tc>
        <w:tc>
          <w:tcPr>
            <w:tcW w:w="3620" w:type="dxa"/>
            <w:vAlign w:val="bottom"/>
          </w:tcPr>
          <w:p>
            <w:pPr>
              <w:spacing w:after="0" w:line="194" w:lineRule="exact"/>
              <w:rPr>
                <w:sz w:val="20"/>
                <w:szCs w:val="20"/>
                <w:color w:val="auto"/>
              </w:rPr>
            </w:pPr>
            <w:r>
              <w:rPr>
                <w:rFonts w:ascii="Arial" w:cs="Arial" w:eastAsia="Arial" w:hAnsi="Arial"/>
                <w:sz w:val="17"/>
                <w:szCs w:val="17"/>
                <w:color w:val="auto"/>
              </w:rPr>
              <w:t>Ronald C. Foster</w:t>
            </w:r>
          </w:p>
        </w:tc>
      </w:tr>
      <w:tr>
        <w:trPr>
          <w:trHeight w:val="206"/>
        </w:trPr>
        <w:tc>
          <w:tcPr>
            <w:tcW w:w="4220" w:type="dxa"/>
            <w:vAlign w:val="bottom"/>
          </w:tcPr>
          <w:p>
            <w:pPr>
              <w:spacing w:after="0"/>
              <w:rPr>
                <w:sz w:val="17"/>
                <w:szCs w:val="17"/>
                <w:color w:val="auto"/>
              </w:rPr>
            </w:pPr>
          </w:p>
        </w:tc>
        <w:tc>
          <w:tcPr>
            <w:tcW w:w="3580" w:type="dxa"/>
            <w:vAlign w:val="bottom"/>
          </w:tcPr>
          <w:p>
            <w:pPr>
              <w:ind w:left="2720"/>
              <w:spacing w:after="0"/>
              <w:rPr>
                <w:sz w:val="20"/>
                <w:szCs w:val="20"/>
                <w:color w:val="auto"/>
              </w:rPr>
            </w:pPr>
            <w:r>
              <w:rPr>
                <w:rFonts w:ascii="Arial" w:cs="Arial" w:eastAsia="Arial" w:hAnsi="Arial"/>
                <w:sz w:val="17"/>
                <w:szCs w:val="17"/>
                <w:color w:val="auto"/>
              </w:rPr>
              <w:t>Title:</w:t>
            </w:r>
          </w:p>
        </w:tc>
        <w:tc>
          <w:tcPr>
            <w:tcW w:w="3620" w:type="dxa"/>
            <w:vAlign w:val="bottom"/>
          </w:tcPr>
          <w:p>
            <w:pPr>
              <w:spacing w:after="0"/>
              <w:rPr>
                <w:sz w:val="20"/>
                <w:szCs w:val="20"/>
                <w:color w:val="auto"/>
              </w:rPr>
            </w:pPr>
            <w:r>
              <w:rPr>
                <w:rFonts w:ascii="Arial" w:cs="Arial" w:eastAsia="Arial" w:hAnsi="Arial"/>
                <w:sz w:val="17"/>
                <w:szCs w:val="17"/>
                <w:color w:val="auto"/>
              </w:rPr>
              <w:t>Chief Financial Officer and</w:t>
            </w:r>
          </w:p>
        </w:tc>
      </w:tr>
      <w:tr>
        <w:trPr>
          <w:trHeight w:val="217"/>
        </w:trPr>
        <w:tc>
          <w:tcPr>
            <w:tcW w:w="42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7"/>
                <w:szCs w:val="17"/>
                <w:color w:val="auto"/>
              </w:rPr>
              <w:t>Vice President of Finance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3" w:name="page4"/>
    <w:bookmarkEnd w:id="3"/>
    <w:p>
      <w:pPr>
        <w:jc w:val="center"/>
        <w:ind w:right="-860"/>
        <w:spacing w:after="0"/>
        <w:rPr>
          <w:sz w:val="20"/>
          <w:szCs w:val="20"/>
          <w:color w:val="auto"/>
        </w:rPr>
      </w:pPr>
      <w:r>
        <w:rPr>
          <w:rFonts w:ascii="Arial" w:cs="Arial" w:eastAsia="Arial" w:hAnsi="Arial"/>
          <w:sz w:val="17"/>
          <w:szCs w:val="17"/>
          <w:b w:val="1"/>
          <w:bCs w:val="1"/>
          <w:color w:val="auto"/>
        </w:rPr>
        <w:t>INDEX TO EXHIBITS FILED WITH</w:t>
      </w:r>
    </w:p>
    <w:p>
      <w:pPr>
        <w:spacing w:after="0" w:line="28" w:lineRule="exact"/>
        <w:rPr>
          <w:sz w:val="20"/>
          <w:szCs w:val="20"/>
          <w:color w:val="auto"/>
        </w:rPr>
      </w:pPr>
    </w:p>
    <w:p>
      <w:pPr>
        <w:jc w:val="center"/>
        <w:ind w:right="-860"/>
        <w:spacing w:after="0"/>
        <w:rPr>
          <w:sz w:val="20"/>
          <w:szCs w:val="20"/>
          <w:color w:val="auto"/>
        </w:rPr>
      </w:pPr>
      <w:r>
        <w:rPr>
          <w:rFonts w:ascii="Arial" w:cs="Arial" w:eastAsia="Arial" w:hAnsi="Arial"/>
          <w:sz w:val="17"/>
          <w:szCs w:val="17"/>
          <w:b w:val="1"/>
          <w:bCs w:val="1"/>
          <w:color w:val="auto"/>
        </w:rPr>
        <w:t>THE CURRENT REPORT ON FORM 8-K DATED APRIL 7, 2011</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tabs>
          <w:tab w:leader="none" w:pos="1120" w:val="left"/>
        </w:tabs>
        <w:rPr>
          <w:sz w:val="20"/>
          <w:szCs w:val="20"/>
          <w:color w:val="auto"/>
        </w:rPr>
      </w:pPr>
      <w:r>
        <w:rPr>
          <w:rFonts w:ascii="Arial" w:cs="Arial" w:eastAsia="Arial" w:hAnsi="Arial"/>
          <w:sz w:val="17"/>
          <w:szCs w:val="17"/>
          <w:b w:val="1"/>
          <w:bCs w:val="1"/>
          <w:color w:val="auto"/>
        </w:rPr>
        <w:t>Exhibit</w:t>
      </w:r>
      <w:r>
        <w:rPr>
          <w:sz w:val="20"/>
          <w:szCs w:val="20"/>
          <w:color w:val="auto"/>
        </w:rPr>
        <w:tab/>
      </w:r>
      <w:r>
        <w:rPr>
          <w:rFonts w:ascii="Arial" w:cs="Arial" w:eastAsia="Arial" w:hAnsi="Arial"/>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18415</wp:posOffset>
            </wp:positionV>
            <wp:extent cx="7252970" cy="16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pacing w:after="0" w:line="23" w:lineRule="exact"/>
        <w:rPr>
          <w:sz w:val="20"/>
          <w:szCs w:val="20"/>
          <w:color w:val="auto"/>
        </w:rPr>
      </w:pPr>
    </w:p>
    <w:p>
      <w:pPr>
        <w:ind w:left="120"/>
        <w:spacing w:after="0"/>
        <w:tabs>
          <w:tab w:leader="none" w:pos="1120" w:val="left"/>
        </w:tabs>
        <w:rPr>
          <w:sz w:val="20"/>
          <w:szCs w:val="20"/>
          <w:color w:val="auto"/>
        </w:rPr>
      </w:pPr>
      <w:r>
        <w:rPr>
          <w:rFonts w:ascii="Arial" w:cs="Arial" w:eastAsia="Arial" w:hAnsi="Arial"/>
          <w:sz w:val="17"/>
          <w:szCs w:val="17"/>
          <w:color w:val="auto"/>
        </w:rPr>
        <w:t>99.1</w:t>
      </w:r>
      <w:r>
        <w:rPr>
          <w:sz w:val="20"/>
          <w:szCs w:val="20"/>
          <w:color w:val="auto"/>
        </w:rPr>
        <w:tab/>
      </w:r>
      <w:r>
        <w:rPr>
          <w:rFonts w:ascii="Arial" w:cs="Arial" w:eastAsia="Arial" w:hAnsi="Arial"/>
          <w:sz w:val="15"/>
          <w:szCs w:val="15"/>
          <w:color w:val="auto"/>
        </w:rPr>
        <w:t>Press Release issued on April 7,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32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71120</wp:posOffset>
            </wp:positionV>
            <wp:extent cx="7257415"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7415" cy="43180"/>
                    </a:xfrm>
                    <a:prstGeom prst="rect">
                      <a:avLst/>
                    </a:prstGeom>
                    <a:noFill/>
                  </pic:spPr>
                </pic:pic>
              </a:graphicData>
            </a:graphic>
          </wp:anchor>
        </w:drawing>
      </w:r>
    </w:p>
    <w:p>
      <w:pPr>
        <w:sectPr>
          <w:pgSz w:w="11900" w:h="16838" w:orient="portrait"/>
          <w:cols w:equalWidth="0" w:num="1">
            <w:col w:w="9859"/>
          </w:cols>
          <w:pgMar w:left="600" w:top="728"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152400</wp:posOffset>
            </wp:positionH>
            <wp:positionV relativeFrom="page">
              <wp:posOffset>488315</wp:posOffset>
            </wp:positionV>
            <wp:extent cx="7257415" cy="374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7415" cy="37465"/>
                    </a:xfrm>
                    <a:prstGeom prst="rect">
                      <a:avLst/>
                    </a:prstGeom>
                    <a:noFill/>
                  </pic:spPr>
                </pic:pic>
              </a:graphicData>
            </a:graphic>
          </wp:anchor>
        </w:drawing>
        <w:t>EXHIBIT 99.1</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320" w:type="dxa"/>
            <w:vAlign w:val="bottom"/>
          </w:tcPr>
          <w:p>
            <w:pPr>
              <w:spacing w:after="0"/>
              <w:rPr>
                <w:sz w:val="20"/>
                <w:szCs w:val="20"/>
                <w:color w:val="auto"/>
              </w:rPr>
            </w:pPr>
            <w:r>
              <w:rPr>
                <w:rFonts w:ascii="Arial" w:cs="Arial" w:eastAsia="Arial" w:hAnsi="Arial"/>
                <w:sz w:val="17"/>
                <w:szCs w:val="17"/>
                <w:b w:val="1"/>
                <w:bCs w:val="1"/>
                <w:color w:val="auto"/>
              </w:rPr>
              <w:t>FOR IMMEDIATE RELEASE</w:t>
            </w:r>
          </w:p>
        </w:tc>
        <w:tc>
          <w:tcPr>
            <w:tcW w:w="2900" w:type="dxa"/>
            <w:vAlign w:val="bottom"/>
          </w:tcPr>
          <w:p>
            <w:pPr>
              <w:spacing w:after="0"/>
              <w:rPr>
                <w:sz w:val="19"/>
                <w:szCs w:val="19"/>
                <w:color w:val="auto"/>
              </w:rPr>
            </w:pPr>
          </w:p>
        </w:tc>
        <w:tc>
          <w:tcPr>
            <w:tcW w:w="3040" w:type="dxa"/>
            <w:vAlign w:val="bottom"/>
          </w:tcPr>
          <w:p>
            <w:pPr>
              <w:spacing w:after="0"/>
              <w:rPr>
                <w:sz w:val="19"/>
                <w:szCs w:val="19"/>
                <w:color w:val="auto"/>
              </w:rPr>
            </w:pPr>
          </w:p>
        </w:tc>
      </w:tr>
      <w:tr>
        <w:trPr>
          <w:trHeight w:val="660"/>
        </w:trPr>
        <w:tc>
          <w:tcPr>
            <w:tcW w:w="2320" w:type="dxa"/>
            <w:vAlign w:val="bottom"/>
          </w:tcPr>
          <w:p>
            <w:pPr>
              <w:spacing w:after="0"/>
              <w:rPr>
                <w:sz w:val="20"/>
                <w:szCs w:val="20"/>
                <w:color w:val="auto"/>
              </w:rPr>
            </w:pPr>
            <w:r>
              <w:rPr>
                <w:rFonts w:ascii="Arial" w:cs="Arial" w:eastAsia="Arial" w:hAnsi="Arial"/>
                <w:sz w:val="17"/>
                <w:szCs w:val="17"/>
                <w:color w:val="auto"/>
              </w:rPr>
              <w:t>Contacts:</w:t>
            </w:r>
          </w:p>
        </w:tc>
        <w:tc>
          <w:tcPr>
            <w:tcW w:w="2900" w:type="dxa"/>
            <w:vAlign w:val="bottom"/>
          </w:tcPr>
          <w:p>
            <w:pPr>
              <w:spacing w:after="0"/>
              <w:rPr>
                <w:sz w:val="20"/>
                <w:szCs w:val="20"/>
                <w:color w:val="auto"/>
              </w:rPr>
            </w:pPr>
            <w:r>
              <w:rPr>
                <w:rFonts w:ascii="Arial" w:cs="Arial" w:eastAsia="Arial" w:hAnsi="Arial"/>
                <w:sz w:val="17"/>
                <w:szCs w:val="17"/>
                <w:color w:val="auto"/>
              </w:rPr>
              <w:t>Kipp A. Bedard</w:t>
            </w:r>
          </w:p>
        </w:tc>
        <w:tc>
          <w:tcPr>
            <w:tcW w:w="3040" w:type="dxa"/>
            <w:vAlign w:val="bottom"/>
          </w:tcPr>
          <w:p>
            <w:pPr>
              <w:ind w:left="1340"/>
              <w:spacing w:after="0"/>
              <w:rPr>
                <w:sz w:val="20"/>
                <w:szCs w:val="20"/>
                <w:color w:val="auto"/>
              </w:rPr>
            </w:pPr>
            <w:r>
              <w:rPr>
                <w:rFonts w:ascii="Arial" w:cs="Arial" w:eastAsia="Arial" w:hAnsi="Arial"/>
                <w:sz w:val="17"/>
                <w:szCs w:val="17"/>
                <w:color w:val="auto"/>
              </w:rPr>
              <w:t>Daniel Francisco</w:t>
            </w:r>
          </w:p>
        </w:tc>
      </w:tr>
      <w:tr>
        <w:trPr>
          <w:trHeight w:val="206"/>
        </w:trPr>
        <w:tc>
          <w:tcPr>
            <w:tcW w:w="2320" w:type="dxa"/>
            <w:vAlign w:val="bottom"/>
          </w:tcPr>
          <w:p>
            <w:pPr>
              <w:spacing w:after="0"/>
              <w:rPr>
                <w:sz w:val="17"/>
                <w:szCs w:val="17"/>
                <w:color w:val="auto"/>
              </w:rPr>
            </w:pPr>
          </w:p>
        </w:tc>
        <w:tc>
          <w:tcPr>
            <w:tcW w:w="2900" w:type="dxa"/>
            <w:vAlign w:val="bottom"/>
          </w:tcPr>
          <w:p>
            <w:pPr>
              <w:spacing w:after="0"/>
              <w:rPr>
                <w:sz w:val="20"/>
                <w:szCs w:val="20"/>
                <w:color w:val="auto"/>
              </w:rPr>
            </w:pPr>
            <w:r>
              <w:rPr>
                <w:rFonts w:ascii="Arial" w:cs="Arial" w:eastAsia="Arial" w:hAnsi="Arial"/>
                <w:sz w:val="17"/>
                <w:szCs w:val="17"/>
                <w:color w:val="auto"/>
              </w:rPr>
              <w:t>Investor Relations</w:t>
            </w:r>
          </w:p>
        </w:tc>
        <w:tc>
          <w:tcPr>
            <w:tcW w:w="3040" w:type="dxa"/>
            <w:vAlign w:val="bottom"/>
          </w:tcPr>
          <w:p>
            <w:pPr>
              <w:ind w:left="1340"/>
              <w:spacing w:after="0"/>
              <w:rPr>
                <w:sz w:val="20"/>
                <w:szCs w:val="20"/>
                <w:color w:val="auto"/>
              </w:rPr>
            </w:pPr>
            <w:r>
              <w:rPr>
                <w:rFonts w:ascii="Arial" w:cs="Arial" w:eastAsia="Arial" w:hAnsi="Arial"/>
                <w:sz w:val="17"/>
                <w:szCs w:val="17"/>
                <w:color w:val="auto"/>
              </w:rPr>
              <w:t>Media Relations</w:t>
            </w:r>
          </w:p>
        </w:tc>
      </w:tr>
      <w:tr>
        <w:trPr>
          <w:trHeight w:val="206"/>
        </w:trPr>
        <w:tc>
          <w:tcPr>
            <w:tcW w:w="2320" w:type="dxa"/>
            <w:vAlign w:val="bottom"/>
          </w:tcPr>
          <w:p>
            <w:pPr>
              <w:spacing w:after="0"/>
              <w:rPr>
                <w:sz w:val="17"/>
                <w:szCs w:val="17"/>
                <w:color w:val="auto"/>
              </w:rPr>
            </w:pPr>
          </w:p>
        </w:tc>
        <w:tc>
          <w:tcPr>
            <w:tcW w:w="2900" w:type="dxa"/>
            <w:vAlign w:val="bottom"/>
          </w:tcPr>
          <w:p>
            <w:pPr>
              <w:spacing w:after="0"/>
              <w:rPr>
                <w:sz w:val="20"/>
                <w:szCs w:val="20"/>
                <w:color w:val="auto"/>
              </w:rPr>
            </w:pPr>
            <w:r>
              <w:rPr>
                <w:rFonts w:ascii="Arial" w:cs="Arial" w:eastAsia="Arial" w:hAnsi="Arial"/>
                <w:sz w:val="17"/>
                <w:szCs w:val="17"/>
                <w:color w:val="auto"/>
              </w:rPr>
              <w:t>kbedard@micron.com</w:t>
            </w:r>
          </w:p>
        </w:tc>
        <w:tc>
          <w:tcPr>
            <w:tcW w:w="3040" w:type="dxa"/>
            <w:vAlign w:val="bottom"/>
          </w:tcPr>
          <w:p>
            <w:pPr>
              <w:ind w:left="1340"/>
              <w:spacing w:after="0"/>
              <w:rPr>
                <w:sz w:val="20"/>
                <w:szCs w:val="20"/>
                <w:color w:val="auto"/>
              </w:rPr>
            </w:pPr>
            <w:r>
              <w:rPr>
                <w:rFonts w:ascii="Arial" w:cs="Arial" w:eastAsia="Arial" w:hAnsi="Arial"/>
                <w:sz w:val="17"/>
                <w:szCs w:val="17"/>
                <w:color w:val="auto"/>
                <w:w w:val="91"/>
              </w:rPr>
              <w:t>dfrancisco@micron.com</w:t>
            </w:r>
          </w:p>
        </w:tc>
      </w:tr>
      <w:tr>
        <w:trPr>
          <w:trHeight w:val="217"/>
        </w:trPr>
        <w:tc>
          <w:tcPr>
            <w:tcW w:w="23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7"/>
                <w:szCs w:val="17"/>
                <w:color w:val="auto"/>
              </w:rPr>
              <w:t>(208) 368-4465</w:t>
            </w:r>
          </w:p>
        </w:tc>
        <w:tc>
          <w:tcPr>
            <w:tcW w:w="3040" w:type="dxa"/>
            <w:vAlign w:val="bottom"/>
          </w:tcPr>
          <w:p>
            <w:pPr>
              <w:ind w:left="1340"/>
              <w:spacing w:after="0"/>
              <w:rPr>
                <w:sz w:val="20"/>
                <w:szCs w:val="20"/>
                <w:color w:val="auto"/>
              </w:rPr>
            </w:pPr>
            <w:r>
              <w:rPr>
                <w:rFonts w:ascii="Arial" w:cs="Arial" w:eastAsia="Arial" w:hAnsi="Arial"/>
                <w:sz w:val="17"/>
                <w:szCs w:val="17"/>
                <w:color w:val="auto"/>
              </w:rPr>
              <w:t>(208) 368-5584</w:t>
            </w:r>
          </w:p>
        </w:tc>
      </w:tr>
    </w:tbl>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MICRON TECHNOLOGY ANNOUNCES DIRECTOR APPOINTMENT</w:t>
      </w:r>
    </w:p>
    <w:p>
      <w:pPr>
        <w:spacing w:after="0" w:line="243" w:lineRule="exact"/>
        <w:rPr>
          <w:sz w:val="20"/>
          <w:szCs w:val="20"/>
          <w:color w:val="auto"/>
        </w:rPr>
      </w:pPr>
    </w:p>
    <w:p>
      <w:pPr>
        <w:jc w:val="both"/>
        <w:ind w:right="60"/>
        <w:spacing w:after="0" w:line="270" w:lineRule="auto"/>
        <w:rPr>
          <w:sz w:val="20"/>
          <w:szCs w:val="20"/>
          <w:color w:val="auto"/>
        </w:rPr>
      </w:pPr>
      <w:r>
        <w:rPr>
          <w:rFonts w:ascii="Arial" w:cs="Arial" w:eastAsia="Arial" w:hAnsi="Arial"/>
          <w:sz w:val="17"/>
          <w:szCs w:val="17"/>
          <w:b w:val="1"/>
          <w:bCs w:val="1"/>
          <w:color w:val="auto"/>
        </w:rPr>
        <w:t xml:space="preserve">Boise, Idaho, Thursday, April 7, 2011 </w:t>
      </w:r>
      <w:r>
        <w:rPr>
          <w:rFonts w:ascii="Arial" w:cs="Arial" w:eastAsia="Arial" w:hAnsi="Arial"/>
          <w:sz w:val="17"/>
          <w:szCs w:val="17"/>
          <w:color w:val="auto"/>
        </w:rPr>
        <w:t>-- Micron Technology, Inc., (NASDAQ: MU) today announced the appointment of Patrick J. Byrne to the company’s Board</w:t>
      </w:r>
      <w:r>
        <w:rPr>
          <w:rFonts w:ascii="Arial" w:cs="Arial" w:eastAsia="Arial" w:hAnsi="Arial"/>
          <w:sz w:val="17"/>
          <w:szCs w:val="17"/>
          <w:b w:val="1"/>
          <w:bCs w:val="1"/>
          <w:color w:val="auto"/>
        </w:rPr>
        <w:t xml:space="preserve"> </w:t>
      </w:r>
      <w:r>
        <w:rPr>
          <w:rFonts w:ascii="Arial" w:cs="Arial" w:eastAsia="Arial" w:hAnsi="Arial"/>
          <w:sz w:val="17"/>
          <w:szCs w:val="17"/>
          <w:color w:val="auto"/>
        </w:rPr>
        <w:t>of Directors, effective immediately. Mr. Byrne is the Chief Executive Officer and President of Intermec, Inc., a leading developer and integrator of products, services and technologies that identify, track and manage supply chain assets and information.</w:t>
      </w:r>
    </w:p>
    <w:p>
      <w:pPr>
        <w:spacing w:after="0" w:line="198" w:lineRule="exact"/>
        <w:rPr>
          <w:sz w:val="20"/>
          <w:szCs w:val="20"/>
          <w:color w:val="auto"/>
        </w:rPr>
      </w:pPr>
    </w:p>
    <w:p>
      <w:pPr>
        <w:ind w:right="120"/>
        <w:spacing w:after="0" w:line="280" w:lineRule="auto"/>
        <w:rPr>
          <w:sz w:val="20"/>
          <w:szCs w:val="20"/>
          <w:color w:val="auto"/>
        </w:rPr>
      </w:pPr>
      <w:r>
        <w:rPr>
          <w:rFonts w:ascii="Arial" w:cs="Arial" w:eastAsia="Arial" w:hAnsi="Arial"/>
          <w:sz w:val="17"/>
          <w:szCs w:val="17"/>
          <w:color w:val="auto"/>
        </w:rPr>
        <w:t>“We are very pleased to welcome Pat to our Board of Directors,” said Steve Appleton, Micron Chairman and CEO. “Pat brings valuable experience and strengths to our Board, and we look forward to his contributions.”</w:t>
      </w:r>
    </w:p>
    <w:p>
      <w:pPr>
        <w:spacing w:after="0" w:line="189"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Mr. Byrne has served as Intermec President and CEO, as well as a member of its Board of Directors, since July 2007. Prior to joining Intermec, Mr. Byrne was a 24-year veteran of Agilent Technologies and Hewlett Packard, where he held increasingly responsible positions in research, engineering, marketing and general management. Most recently, he served as Senior Vice President of Agilent Technologies and President of Agilent’s Electronic Measurement Group.</w:t>
      </w:r>
    </w:p>
    <w:p>
      <w:pPr>
        <w:spacing w:after="0" w:line="200" w:lineRule="exact"/>
        <w:rPr>
          <w:sz w:val="20"/>
          <w:szCs w:val="20"/>
          <w:color w:val="auto"/>
        </w:rPr>
      </w:pPr>
    </w:p>
    <w:p>
      <w:pPr>
        <w:spacing w:after="0" w:line="215" w:lineRule="exact"/>
        <w:rPr>
          <w:sz w:val="20"/>
          <w:szCs w:val="20"/>
          <w:color w:val="auto"/>
        </w:rPr>
      </w:pPr>
    </w:p>
    <w:p>
      <w:pPr>
        <w:ind w:right="180"/>
        <w:spacing w:after="0" w:line="266" w:lineRule="auto"/>
        <w:rPr>
          <w:sz w:val="20"/>
          <w:szCs w:val="20"/>
          <w:color w:val="auto"/>
        </w:rPr>
      </w:pPr>
      <w:r>
        <w:rPr>
          <w:rFonts w:ascii="Arial" w:cs="Arial" w:eastAsia="Arial" w:hAnsi="Arial"/>
          <w:sz w:val="17"/>
          <w:szCs w:val="17"/>
          <w:color w:val="auto"/>
        </w:rPr>
        <w:t>Mr. Byrne is a member of the Board of Directors of Flow International, a manufacturer of ultrahigh-pressure waterjet technology and a leading provider of robotics and assembly equipment. Additionally, Mr. Byrne is a member of the Board of Samuel Ginn College of Engineering at Auburn University. He holds degrees in Electrical Engineering from the University of California, Berkeley and Stanford University.</w:t>
      </w:r>
    </w:p>
    <w:p>
      <w:pPr>
        <w:spacing w:after="0" w:line="202"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 xml:space="preserve">Micron Technology, Inc., is one of the world’s leading providers of advanced semiconductor solutions. Through its worldwide operations, Micron manufactures and markets a full range of DRAM, NAND Flash and NOR Flash memory, as well as other innovative memory technologies, packaging solutions and semiconductor systems for use in leading-edge computing, consumer, networking, embedded and mobile products. Micron's common stock is traded on the NASDAQ under the MU symbol. To learn more about Micron Technology, Inc., visit </w:t>
      </w:r>
      <w:r>
        <w:rPr>
          <w:rFonts w:ascii="Arial" w:cs="Arial" w:eastAsia="Arial" w:hAnsi="Arial"/>
          <w:sz w:val="17"/>
          <w:szCs w:val="17"/>
          <w:u w:val="single" w:color="auto"/>
          <w:color w:val="auto"/>
        </w:rPr>
        <w:t>www.micron.com</w:t>
      </w:r>
      <w:r>
        <w:rPr>
          <w:rFonts w:ascii="Arial" w:cs="Arial" w:eastAsia="Arial" w:hAnsi="Arial"/>
          <w:sz w:val="17"/>
          <w:szCs w:val="17"/>
          <w:color w:val="auto"/>
        </w:rPr>
        <w:t>.</w:t>
      </w:r>
    </w:p>
    <w:p>
      <w:pPr>
        <w:spacing w:after="0" w:line="3"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521970</wp:posOffset>
            </wp:positionV>
            <wp:extent cx="725741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7415" cy="43180"/>
                    </a:xfrm>
                    <a:prstGeom prst="rect">
                      <a:avLst/>
                    </a:prstGeom>
                    <a:noFill/>
                  </pic:spPr>
                </pic:pic>
              </a:graphicData>
            </a:graphic>
          </wp:anchor>
        </w:drawing>
      </w:r>
    </w:p>
    <w:sectPr>
      <w:pgSz w:w="11900" w:h="16838" w:orient="portrait"/>
      <w:cols w:equalWidth="0" w:num="1">
        <w:col w:w="11420"/>
      </w:cols>
      <w:pgMar w:left="240" w:top="112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2019-12-10T05:46:29Z</dcterms:created>
  <dcterms:modified xsi:type="dcterms:W3CDTF">2019-12-10T05:46:29Z</dcterms:modified>
</cp:coreProperties>
</file>