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250" w:lineRule="exact"/>
        <w:rPr>
          <w:sz w:val="24"/>
          <w:szCs w:val="24"/>
          <w:color w:val="auto"/>
        </w:rPr>
      </w:pPr>
    </w:p>
    <w:p>
      <w:pPr>
        <w:jc w:val="right"/>
        <w:ind w:right="100"/>
        <w:spacing w:after="0"/>
        <w:rPr>
          <w:sz w:val="20"/>
          <w:szCs w:val="20"/>
          <w:color w:val="auto"/>
        </w:rPr>
      </w:pPr>
      <w:r>
        <w:rPr>
          <w:rFonts w:ascii="Arial" w:cs="Arial" w:eastAsia="Arial" w:hAnsi="Arial"/>
          <w:sz w:val="18"/>
          <w:szCs w:val="18"/>
          <w:b w:val="1"/>
          <w:bCs w:val="1"/>
          <w:color w:val="auto"/>
        </w:rPr>
        <w:t> Filed pursuant to Rule 424(b)(5)​</w:t>
      </w:r>
    </w:p>
    <w:p>
      <w:pPr>
        <w:jc w:val="right"/>
        <w:ind w:right="100"/>
        <w:spacing w:after="0"/>
        <w:rPr>
          <w:sz w:val="20"/>
          <w:szCs w:val="20"/>
          <w:color w:val="auto"/>
        </w:rPr>
      </w:pPr>
      <w:r>
        <w:rPr>
          <w:rFonts w:ascii="Arial" w:cs="Arial" w:eastAsia="Arial" w:hAnsi="Arial"/>
          <w:sz w:val="18"/>
          <w:szCs w:val="18"/>
          <w:b w:val="1"/>
          <w:bCs w:val="1"/>
          <w:color w:val="auto"/>
        </w:rPr>
        <w:t> Registration No. 333-249838​</w:t>
      </w:r>
    </w:p>
    <w:p>
      <w:pPr>
        <w:spacing w:after="0" w:line="24" w:lineRule="exact"/>
        <w:rPr>
          <w:sz w:val="24"/>
          <w:szCs w:val="24"/>
          <w:color w:val="auto"/>
        </w:rPr>
      </w:pPr>
    </w:p>
    <w:p>
      <w:pPr>
        <w:ind w:left="500"/>
        <w:spacing w:after="0"/>
        <w:rPr>
          <w:sz w:val="20"/>
          <w:szCs w:val="20"/>
          <w:color w:val="auto"/>
        </w:rPr>
      </w:pPr>
      <w:r>
        <w:rPr>
          <w:rFonts w:ascii="Arial" w:cs="Arial" w:eastAsia="Arial" w:hAnsi="Arial"/>
          <w:sz w:val="14"/>
          <w:szCs w:val="14"/>
          <w:b w:val="1"/>
          <w:bCs w:val="1"/>
          <w:color w:val="auto"/>
        </w:rPr>
        <w:t>Prospectus Supplement</w:t>
      </w:r>
    </w:p>
    <w:p>
      <w:pPr>
        <w:spacing w:after="0" w:line="29" w:lineRule="exact"/>
        <w:rPr>
          <w:sz w:val="24"/>
          <w:szCs w:val="24"/>
          <w:color w:val="auto"/>
        </w:rPr>
      </w:pPr>
    </w:p>
    <w:p>
      <w:pPr>
        <w:ind w:left="500"/>
        <w:spacing w:after="0"/>
        <w:rPr>
          <w:sz w:val="20"/>
          <w:szCs w:val="20"/>
          <w:color w:val="auto"/>
        </w:rPr>
      </w:pPr>
      <w:r>
        <w:rPr>
          <w:rFonts w:ascii="Arial" w:cs="Arial" w:eastAsia="Arial" w:hAnsi="Arial"/>
          <w:sz w:val="14"/>
          <w:szCs w:val="14"/>
          <w:b w:val="1"/>
          <w:bCs w:val="1"/>
          <w:color w:val="auto"/>
        </w:rPr>
        <w:t>(To Prospectus dated November 4, 2020)</w:t>
      </w:r>
    </w:p>
    <w:p>
      <w:pPr>
        <w:spacing w:after="0" w:line="35"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$1,250,000,000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2557145</wp:posOffset>
            </wp:positionH>
            <wp:positionV relativeFrom="paragraph">
              <wp:posOffset>66040</wp:posOffset>
            </wp:positionV>
            <wp:extent cx="170561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561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3740"/>
        <w:spacing w:after="0"/>
        <w:rPr>
          <w:sz w:val="20"/>
          <w:szCs w:val="20"/>
          <w:color w:val="auto"/>
        </w:rPr>
      </w:pPr>
      <w:r>
        <w:rPr>
          <w:rFonts w:ascii="Arial" w:cs="Arial" w:eastAsia="Arial" w:hAnsi="Arial"/>
          <w:sz w:val="29"/>
          <w:szCs w:val="29"/>
          <w:b w:val="1"/>
          <w:bCs w:val="1"/>
          <w:color w:val="auto"/>
        </w:rPr>
        <w:t>Micron Technology, Inc.</w:t>
      </w:r>
      <w:r>
        <w:rPr>
          <w:rFonts w:ascii="Arial" w:cs="Arial" w:eastAsia="Arial" w:hAnsi="Arial"/>
          <w:sz w:val="39"/>
          <w:szCs w:val="39"/>
          <w:color w:val="auto"/>
        </w:rPr>
        <w:t>​</w:t>
      </w:r>
    </w:p>
    <w:p>
      <w:pPr>
        <w:spacing w:after="0" w:line="53" w:lineRule="exact"/>
        <w:rPr>
          <w:sz w:val="24"/>
          <w:szCs w:val="24"/>
          <w:color w:val="auto"/>
        </w:rPr>
      </w:pPr>
    </w:p>
    <w:p>
      <w:pPr>
        <w:ind w:left="3140"/>
        <w:spacing w:after="0"/>
        <w:rPr>
          <w:sz w:val="20"/>
          <w:szCs w:val="20"/>
          <w:color w:val="auto"/>
        </w:rPr>
      </w:pPr>
      <w:r>
        <w:rPr>
          <w:rFonts w:ascii="Arial" w:cs="Arial" w:eastAsia="Arial" w:hAnsi="Arial"/>
          <w:sz w:val="22"/>
          <w:szCs w:val="22"/>
          <w:b w:val="1"/>
          <w:bCs w:val="1"/>
          <w:color w:val="auto"/>
        </w:rPr>
        <w:t>$500,000,000 6.750% Senior Notes due 2029</w:t>
      </w:r>
    </w:p>
    <w:p>
      <w:pPr>
        <w:spacing w:after="0" w:line="86" w:lineRule="exact"/>
        <w:rPr>
          <w:sz w:val="24"/>
          <w:szCs w:val="24"/>
          <w:color w:val="auto"/>
        </w:rPr>
      </w:pPr>
    </w:p>
    <w:p>
      <w:pPr>
        <w:ind w:left="3140"/>
        <w:spacing w:after="0"/>
        <w:rPr>
          <w:sz w:val="20"/>
          <w:szCs w:val="20"/>
          <w:color w:val="auto"/>
        </w:rPr>
      </w:pPr>
      <w:r>
        <w:rPr>
          <w:rFonts w:ascii="Arial" w:cs="Arial" w:eastAsia="Arial" w:hAnsi="Arial"/>
          <w:sz w:val="22"/>
          <w:szCs w:val="22"/>
          <w:b w:val="1"/>
          <w:bCs w:val="1"/>
          <w:color w:val="auto"/>
        </w:rPr>
        <w:t>$750,000,000 5.875% Senior Notes due 2033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100330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3" w:lineRule="exact"/>
        <w:rPr>
          <w:sz w:val="24"/>
          <w:szCs w:val="24"/>
          <w:color w:val="auto"/>
        </w:rPr>
      </w:pPr>
    </w:p>
    <w:p>
      <w:pPr>
        <w:ind w:left="500" w:right="540"/>
        <w:spacing w:after="0" w:line="247" w:lineRule="auto"/>
        <w:rPr>
          <w:sz w:val="20"/>
          <w:szCs w:val="20"/>
          <w:color w:val="auto"/>
        </w:rPr>
      </w:pPr>
      <w:r>
        <w:rPr>
          <w:rFonts w:ascii="Arial" w:cs="Arial" w:eastAsia="Arial" w:hAnsi="Arial"/>
          <w:sz w:val="13"/>
          <w:szCs w:val="13"/>
          <w:color w:val="auto"/>
        </w:rPr>
        <w:t>Micron Technology, Inc. is offering an additional $500,000,000 in aggregate principal amount of 6.750% senior notes due 2029 (the ‘‘2029 notes’’) and $750,000,000 aggregate principal amount of 5.875% senior notes due 2033 (the ‘‘2033 notes’’ and, together with the 2029 notes, (the “notes”).</w:t>
      </w:r>
    </w:p>
    <w:p>
      <w:pPr>
        <w:spacing w:after="0" w:line="16" w:lineRule="exact"/>
        <w:rPr>
          <w:sz w:val="24"/>
          <w:szCs w:val="24"/>
          <w:color w:val="auto"/>
        </w:rPr>
      </w:pPr>
    </w:p>
    <w:p>
      <w:pPr>
        <w:ind w:left="500" w:right="260"/>
        <w:spacing w:after="0" w:line="247" w:lineRule="auto"/>
        <w:rPr>
          <w:sz w:val="20"/>
          <w:szCs w:val="20"/>
          <w:color w:val="auto"/>
        </w:rPr>
      </w:pPr>
      <w:r>
        <w:rPr>
          <w:rFonts w:ascii="Arial" w:cs="Arial" w:eastAsia="Arial" w:hAnsi="Arial"/>
          <w:sz w:val="13"/>
          <w:szCs w:val="13"/>
          <w:color w:val="auto"/>
        </w:rPr>
        <w:t>We previously issued 2029 notes in an aggregate principal amount of $750,000,000 on October 31, 2022 (the “Original 2029 Notes”). Accordingly, the 2029 notes offered by this prospectus supplement and the accompanying prospectus will:</w:t>
      </w:r>
    </w:p>
    <w:p>
      <w:pPr>
        <w:spacing w:after="0" w:line="57" w:lineRule="exact"/>
        <w:rPr>
          <w:sz w:val="24"/>
          <w:szCs w:val="24"/>
          <w:color w:val="auto"/>
        </w:rPr>
      </w:pPr>
    </w:p>
    <w:p>
      <w:pPr>
        <w:ind w:left="1040" w:hanging="188"/>
        <w:spacing w:after="0"/>
        <w:tabs>
          <w:tab w:leader="none" w:pos="1040" w:val="left"/>
        </w:tabs>
        <w:numPr>
          <w:ilvl w:val="0"/>
          <w:numId w:val="1"/>
        </w:numPr>
        <w:rPr>
          <w:rFonts w:ascii="Arial" w:cs="Arial" w:eastAsia="Arial" w:hAnsi="Arial"/>
          <w:sz w:val="13"/>
          <w:szCs w:val="13"/>
          <w:color w:val="auto"/>
        </w:rPr>
      </w:pPr>
      <w:r>
        <w:rPr>
          <w:rFonts w:ascii="Arial" w:cs="Arial" w:eastAsia="Arial" w:hAnsi="Arial"/>
          <w:sz w:val="13"/>
          <w:szCs w:val="13"/>
          <w:color w:val="auto"/>
        </w:rPr>
        <w:t>be identical to the terms of the Original 2029 Notes (other than the initial offering price);</w:t>
      </w:r>
    </w:p>
    <w:p>
      <w:pPr>
        <w:spacing w:after="0" w:line="80" w:lineRule="exact"/>
        <w:rPr>
          <w:rFonts w:ascii="Arial" w:cs="Arial" w:eastAsia="Arial" w:hAnsi="Arial"/>
          <w:sz w:val="13"/>
          <w:szCs w:val="13"/>
          <w:color w:val="auto"/>
        </w:rPr>
      </w:pPr>
    </w:p>
    <w:p>
      <w:pPr>
        <w:ind w:left="1040" w:hanging="188"/>
        <w:spacing w:after="0"/>
        <w:tabs>
          <w:tab w:leader="none" w:pos="1040" w:val="left"/>
        </w:tabs>
        <w:numPr>
          <w:ilvl w:val="0"/>
          <w:numId w:val="1"/>
        </w:numPr>
        <w:rPr>
          <w:rFonts w:ascii="Arial" w:cs="Arial" w:eastAsia="Arial" w:hAnsi="Arial"/>
          <w:sz w:val="13"/>
          <w:szCs w:val="13"/>
          <w:color w:val="auto"/>
        </w:rPr>
      </w:pPr>
      <w:r>
        <w:rPr>
          <w:rFonts w:ascii="Arial" w:cs="Arial" w:eastAsia="Arial" w:hAnsi="Arial"/>
          <w:sz w:val="13"/>
          <w:szCs w:val="13"/>
          <w:color w:val="auto"/>
        </w:rPr>
        <w:t>be treated as a single series with the Original 2029 Notes; and</w:t>
      </w:r>
    </w:p>
    <w:p>
      <w:pPr>
        <w:spacing w:after="0" w:line="93" w:lineRule="exact"/>
        <w:rPr>
          <w:rFonts w:ascii="Arial" w:cs="Arial" w:eastAsia="Arial" w:hAnsi="Arial"/>
          <w:sz w:val="13"/>
          <w:szCs w:val="13"/>
          <w:color w:val="auto"/>
        </w:rPr>
      </w:pPr>
    </w:p>
    <w:p>
      <w:pPr>
        <w:ind w:left="1040" w:hanging="188"/>
        <w:spacing w:after="0"/>
        <w:tabs>
          <w:tab w:leader="none" w:pos="1040" w:val="left"/>
        </w:tabs>
        <w:numPr>
          <w:ilvl w:val="0"/>
          <w:numId w:val="1"/>
        </w:numPr>
        <w:rPr>
          <w:rFonts w:ascii="Arial" w:cs="Arial" w:eastAsia="Arial" w:hAnsi="Arial"/>
          <w:sz w:val="13"/>
          <w:szCs w:val="13"/>
          <w:color w:val="auto"/>
        </w:rPr>
      </w:pPr>
      <w:r>
        <w:rPr>
          <w:rFonts w:ascii="Arial" w:cs="Arial" w:eastAsia="Arial" w:hAnsi="Arial"/>
          <w:sz w:val="13"/>
          <w:szCs w:val="13"/>
          <w:color w:val="auto"/>
        </w:rPr>
        <w:t>have the same CUSIP number and will be fungible with the Original 2029 Notes.</w:t>
      </w:r>
    </w:p>
    <w:p>
      <w:pPr>
        <w:spacing w:after="0" w:line="40" w:lineRule="exact"/>
        <w:rPr>
          <w:sz w:val="24"/>
          <w:szCs w:val="24"/>
          <w:color w:val="auto"/>
        </w:rPr>
      </w:pPr>
    </w:p>
    <w:p>
      <w:pPr>
        <w:ind w:left="500" w:right="260"/>
        <w:spacing w:after="0" w:line="246" w:lineRule="auto"/>
        <w:rPr>
          <w:sz w:val="20"/>
          <w:szCs w:val="20"/>
          <w:color w:val="auto"/>
        </w:rPr>
      </w:pPr>
      <w:r>
        <w:rPr>
          <w:rFonts w:ascii="Arial" w:cs="Arial" w:eastAsia="Arial" w:hAnsi="Arial"/>
          <w:sz w:val="12"/>
          <w:szCs w:val="12"/>
          <w:color w:val="auto"/>
        </w:rPr>
        <w:t>The 2029 notes will bear interest at the rate of 6.750% per year and the 2033 notes will bear interest at the rate of 5.875% per year. Interest on the 2029 notes will be payable semi-annually in arrears on May 1 and November 1 of each year, beginning May 1, 2023, and interest on the 2033 notes will be payable semi-annually in arrears</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3"/>
          <w:szCs w:val="13"/>
          <w:color w:val="auto"/>
        </w:rPr>
        <w:t>on February 9 and August 9 of each year, beginning August 9, 2023.</w:t>
      </w:r>
    </w:p>
    <w:p>
      <w:pPr>
        <w:spacing w:after="0" w:line="26" w:lineRule="exact"/>
        <w:rPr>
          <w:sz w:val="24"/>
          <w:szCs w:val="24"/>
          <w:color w:val="auto"/>
        </w:rPr>
      </w:pPr>
    </w:p>
    <w:p>
      <w:pPr>
        <w:ind w:left="500"/>
        <w:spacing w:after="0"/>
        <w:rPr>
          <w:sz w:val="20"/>
          <w:szCs w:val="20"/>
          <w:color w:val="auto"/>
        </w:rPr>
      </w:pPr>
      <w:r>
        <w:rPr>
          <w:rFonts w:ascii="Arial" w:cs="Arial" w:eastAsia="Arial" w:hAnsi="Arial"/>
          <w:sz w:val="13"/>
          <w:szCs w:val="13"/>
          <w:color w:val="auto"/>
        </w:rPr>
        <w:t>The 2029 notes will mature on November 1, 2029 and the 2033 notes will mature on February 9, 2033.</w:t>
      </w:r>
    </w:p>
    <w:p>
      <w:pPr>
        <w:spacing w:after="0" w:line="40" w:lineRule="exact"/>
        <w:rPr>
          <w:sz w:val="24"/>
          <w:szCs w:val="24"/>
          <w:color w:val="auto"/>
        </w:rPr>
      </w:pPr>
    </w:p>
    <w:p>
      <w:pPr>
        <w:ind w:left="500" w:right="380"/>
        <w:spacing w:after="0" w:line="246" w:lineRule="auto"/>
        <w:rPr>
          <w:sz w:val="20"/>
          <w:szCs w:val="20"/>
          <w:color w:val="auto"/>
        </w:rPr>
      </w:pPr>
      <w:r>
        <w:rPr>
          <w:rFonts w:ascii="Arial" w:cs="Arial" w:eastAsia="Arial" w:hAnsi="Arial"/>
          <w:sz w:val="12"/>
          <w:szCs w:val="12"/>
          <w:color w:val="auto"/>
        </w:rPr>
        <w:t>We may redeem some or all of the notes, at any time or from time to time, at a redemption price equal to the greater of (i) a make-whole amount (as described in the section entitled “Description of the Notes — Optional Redemption”) and (ii) 100% of the principal amount of the notes to be redeemed, plus accrued and unpaid interest</w:t>
      </w:r>
    </w:p>
    <w:p>
      <w:pPr>
        <w:ind w:left="500"/>
        <w:spacing w:after="0"/>
        <w:rPr>
          <w:sz w:val="20"/>
          <w:szCs w:val="20"/>
          <w:color w:val="auto"/>
        </w:rPr>
      </w:pPr>
      <w:r>
        <w:rPr>
          <w:rFonts w:ascii="Arial" w:cs="Arial" w:eastAsia="Arial" w:hAnsi="Arial"/>
          <w:sz w:val="13"/>
          <w:szCs w:val="13"/>
          <w:color w:val="auto"/>
        </w:rPr>
        <w:t>thereon to, but excluding, the redemption date. In addition, we may redeem the 2029 notes, in whole or in part, at any time from or after September 1, 2029 and we may</w:t>
      </w:r>
    </w:p>
    <w:p>
      <w:pPr>
        <w:ind w:left="500" w:right="300"/>
        <w:spacing w:after="0" w:line="246" w:lineRule="auto"/>
        <w:rPr>
          <w:sz w:val="20"/>
          <w:szCs w:val="20"/>
          <w:color w:val="auto"/>
        </w:rPr>
      </w:pPr>
      <w:r>
        <w:rPr>
          <w:rFonts w:ascii="Arial" w:cs="Arial" w:eastAsia="Arial" w:hAnsi="Arial"/>
          <w:sz w:val="12"/>
          <w:szCs w:val="12"/>
          <w:color w:val="auto"/>
        </w:rPr>
        <w:t>redeem the 2033 notes, in whole or in part, at any time from or after November 9, 2032, in each case, at a redemption price equal to 100% of the principal amount of the notes to be redeemed, plus accrued and unpaid interest thereon to, but excluding, the redemption date. See “Description of the Notes — Optional Redemption” in this</w:t>
      </w:r>
    </w:p>
    <w:p>
      <w:pPr>
        <w:ind w:left="500"/>
        <w:spacing w:after="0"/>
        <w:rPr>
          <w:sz w:val="20"/>
          <w:szCs w:val="20"/>
          <w:color w:val="auto"/>
        </w:rPr>
      </w:pPr>
      <w:r>
        <w:rPr>
          <w:rFonts w:ascii="Arial" w:cs="Arial" w:eastAsia="Arial" w:hAnsi="Arial"/>
          <w:sz w:val="13"/>
          <w:szCs w:val="13"/>
          <w:color w:val="auto"/>
        </w:rPr>
        <w:t>prospectus supplement for more information. We will be required to make an offer to purchase each series of the notes, at a price equal to 101% of their principal amount,</w:t>
      </w:r>
    </w:p>
    <w:p>
      <w:pPr>
        <w:ind w:left="500" w:right="180"/>
        <w:spacing w:after="0" w:line="233" w:lineRule="auto"/>
        <w:rPr>
          <w:sz w:val="20"/>
          <w:szCs w:val="20"/>
          <w:color w:val="auto"/>
        </w:rPr>
      </w:pPr>
      <w:r>
        <w:rPr>
          <w:rFonts w:ascii="Arial" w:cs="Arial" w:eastAsia="Arial" w:hAnsi="Arial"/>
          <w:sz w:val="13"/>
          <w:szCs w:val="13"/>
          <w:color w:val="auto"/>
        </w:rPr>
        <w:t>plus accrued and unpaid interest to, but excluding, the date of purchase, upon the occurrence of a Change of Control Triggering Event (as defined herein). See the section entitled “Description of the Notes — Repurchase of Notes Upon a Change of Control Triggering Event” for more information.</w:t>
      </w:r>
    </w:p>
    <w:p>
      <w:pPr>
        <w:spacing w:after="0" w:line="34" w:lineRule="exact"/>
        <w:rPr>
          <w:sz w:val="24"/>
          <w:szCs w:val="24"/>
          <w:color w:val="auto"/>
        </w:rPr>
      </w:pPr>
    </w:p>
    <w:p>
      <w:pPr>
        <w:ind w:left="500" w:right="280"/>
        <w:spacing w:after="0" w:line="233" w:lineRule="auto"/>
        <w:rPr>
          <w:sz w:val="20"/>
          <w:szCs w:val="20"/>
          <w:color w:val="auto"/>
        </w:rPr>
      </w:pPr>
      <w:r>
        <w:rPr>
          <w:rFonts w:ascii="Arial" w:cs="Arial" w:eastAsia="Arial" w:hAnsi="Arial"/>
          <w:sz w:val="13"/>
          <w:szCs w:val="13"/>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27305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2" w:lineRule="exact"/>
        <w:rPr>
          <w:sz w:val="24"/>
          <w:szCs w:val="24"/>
          <w:color w:val="auto"/>
        </w:rPr>
      </w:pPr>
    </w:p>
    <w:p>
      <w:pPr>
        <w:ind w:left="500" w:right="240"/>
        <w:spacing w:after="0" w:line="251" w:lineRule="auto"/>
        <w:rPr>
          <w:sz w:val="20"/>
          <w:szCs w:val="20"/>
          <w:color w:val="auto"/>
        </w:rPr>
      </w:pPr>
      <w:r>
        <w:rPr>
          <w:rFonts w:ascii="Arial" w:cs="Arial" w:eastAsia="Arial" w:hAnsi="Arial"/>
          <w:sz w:val="13"/>
          <w:szCs w:val="13"/>
          <w:b w:val="1"/>
          <w:bCs w:val="1"/>
          <w:color w:val="auto"/>
        </w:rPr>
        <w:t xml:space="preserve">Investing in the notes involves risks. See “Risk Factors” beginning on page </w:t>
      </w:r>
      <w:r>
        <w:rPr>
          <w:rFonts w:ascii="Arial" w:cs="Arial" w:eastAsia="Arial" w:hAnsi="Arial"/>
          <w:sz w:val="13"/>
          <w:szCs w:val="13"/>
          <w:b w:val="1"/>
          <w:bCs w:val="1"/>
          <w:u w:val="single" w:color="auto"/>
          <w:color w:val="0000EE"/>
        </w:rPr>
        <w:t>S-7</w:t>
      </w:r>
      <w:r>
        <w:rPr>
          <w:rFonts w:ascii="Arial" w:cs="Arial" w:eastAsia="Arial" w:hAnsi="Arial"/>
          <w:sz w:val="13"/>
          <w:szCs w:val="13"/>
          <w:b w:val="1"/>
          <w:bCs w:val="1"/>
          <w:color w:val="auto"/>
        </w:rPr>
        <w:t xml:space="preserve"> for a discussion of certain risks that should be considered in connection with an investment in the notes.</w:t>
      </w:r>
    </w:p>
    <w:p>
      <w:pPr>
        <w:spacing w:after="0" w:line="11" w:lineRule="exact"/>
        <w:rPr>
          <w:sz w:val="24"/>
          <w:szCs w:val="24"/>
          <w:color w:val="auto"/>
        </w:rPr>
      </w:pPr>
    </w:p>
    <w:p>
      <w:pPr>
        <w:ind w:left="500" w:right="400"/>
        <w:spacing w:after="0" w:line="251"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57785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99"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23"/>
              <w:spacing w:after="0"/>
              <w:rPr>
                <w:sz w:val="20"/>
                <w:szCs w:val="20"/>
                <w:color w:val="auto"/>
              </w:rPr>
            </w:pPr>
            <w:r>
              <w:rPr>
                <w:rFonts w:ascii="Arial" w:cs="Arial" w:eastAsia="Arial" w:hAnsi="Arial"/>
                <w:sz w:val="14"/>
                <w:szCs w:val="14"/>
                <w:b w:val="1"/>
                <w:bCs w:val="1"/>
                <w:color w:val="auto"/>
              </w:rPr>
              <w:t>Public</w:t>
            </w:r>
          </w:p>
        </w:tc>
        <w:tc>
          <w:tcPr>
            <w:tcW w:w="200" w:type="dxa"/>
            <w:vAlign w:val="bottom"/>
          </w:tcPr>
          <w:p>
            <w:pPr>
              <w:spacing w:after="0"/>
              <w:rPr>
                <w:sz w:val="14"/>
                <w:szCs w:val="14"/>
                <w:color w:val="auto"/>
              </w:rPr>
            </w:pPr>
          </w:p>
        </w:tc>
        <w:tc>
          <w:tcPr>
            <w:tcW w:w="124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rPr>
              <w:t>Underwriting</w:t>
            </w:r>
          </w:p>
        </w:tc>
        <w:tc>
          <w:tcPr>
            <w:tcW w:w="80" w:type="dxa"/>
            <w:vAlign w:val="bottom"/>
          </w:tcPr>
          <w:p>
            <w:pPr>
              <w:spacing w:after="0"/>
              <w:rPr>
                <w:sz w:val="14"/>
                <w:szCs w:val="14"/>
                <w:color w:val="auto"/>
              </w:rPr>
            </w:pPr>
          </w:p>
        </w:tc>
        <w:tc>
          <w:tcPr>
            <w:tcW w:w="110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Proceeds</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9"/>
              </w:rPr>
              <w:t>offering</w:t>
            </w:r>
          </w:p>
        </w:tc>
        <w:tc>
          <w:tcPr>
            <w:tcW w:w="2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 us, before</w:t>
            </w:r>
          </w:p>
        </w:tc>
        <w:tc>
          <w:tcPr>
            <w:tcW w:w="0" w:type="dxa"/>
            <w:vAlign w:val="bottom"/>
          </w:tcPr>
          <w:p>
            <w:pPr>
              <w:spacing w:after="0"/>
              <w:rPr>
                <w:sz w:val="1"/>
                <w:szCs w:val="1"/>
                <w:color w:val="auto"/>
              </w:rPr>
            </w:pPr>
          </w:p>
        </w:tc>
      </w:tr>
      <w:tr>
        <w:trPr>
          <w:trHeight w:val="189"/>
        </w:trPr>
        <w:tc>
          <w:tcPr>
            <w:tcW w:w="3540" w:type="dxa"/>
            <w:vAlign w:val="bottom"/>
          </w:tcPr>
          <w:p>
            <w:pPr>
              <w:spacing w:after="0"/>
              <w:rPr>
                <w:sz w:val="20"/>
                <w:szCs w:val="20"/>
                <w:color w:val="auto"/>
              </w:rPr>
            </w:pPr>
            <w:r>
              <w:rPr>
                <w:rFonts w:ascii="Arial" w:cs="Arial" w:eastAsia="Arial" w:hAnsi="Arial"/>
                <w:sz w:val="14"/>
                <w:szCs w:val="14"/>
                <w:b w:val="1"/>
                <w:bCs w:val="1"/>
                <w:color w:val="auto"/>
              </w:rPr>
              <w:t>​</w:t>
            </w:r>
          </w:p>
        </w:tc>
        <w:tc>
          <w:tcPr>
            <w:tcW w:w="2560" w:type="dxa"/>
            <w:vAlign w:val="bottom"/>
          </w:tcPr>
          <w:p>
            <w:pPr>
              <w:ind w:left="2400"/>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6"/>
                <w:szCs w:val="16"/>
                <w:color w:val="auto"/>
              </w:rPr>
            </w:pPr>
          </w:p>
        </w:tc>
        <w:tc>
          <w:tcPr>
            <w:tcW w:w="960" w:type="dxa"/>
            <w:vAlign w:val="bottom"/>
          </w:tcPr>
          <w:p>
            <w:pPr>
              <w:jc w:val="center"/>
              <w:ind w:right="123"/>
              <w:spacing w:after="0"/>
              <w:rPr>
                <w:sz w:val="20"/>
                <w:szCs w:val="20"/>
                <w:color w:val="auto"/>
              </w:rPr>
            </w:pPr>
            <w:r>
              <w:rPr>
                <w:rFonts w:ascii="Arial" w:cs="Arial" w:eastAsia="Arial" w:hAnsi="Arial"/>
                <w:sz w:val="14"/>
                <w:szCs w:val="14"/>
                <w:b w:val="1"/>
                <w:bCs w:val="1"/>
                <w:color w:val="auto"/>
              </w:rPr>
              <w:t>price</w:t>
            </w:r>
            <w:r>
              <w:rPr>
                <w:rFonts w:ascii="Arial" w:cs="Arial" w:eastAsia="Arial" w:hAnsi="Arial"/>
                <w:sz w:val="8"/>
                <w:szCs w:val="8"/>
                <w:b w:val="1"/>
                <w:bCs w:val="1"/>
                <w:color w:val="auto"/>
              </w:rPr>
              <w:t>(1)(2)</w:t>
            </w:r>
          </w:p>
        </w:tc>
        <w:tc>
          <w:tcPr>
            <w:tcW w:w="1440" w:type="dxa"/>
            <w:vAlign w:val="bottom"/>
            <w:gridSpan w:val="5"/>
          </w:tcPr>
          <w:p>
            <w:pPr>
              <w:jc w:val="center"/>
              <w:ind w:right="100"/>
              <w:spacing w:after="0" w:line="189"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discount</w:t>
            </w:r>
            <w:r>
              <w:rPr>
                <w:rFonts w:ascii="Arial" w:cs="Arial" w:eastAsia="Arial" w:hAnsi="Arial"/>
                <w:sz w:val="14"/>
                <w:szCs w:val="14"/>
                <w:b w:val="1"/>
                <w:bCs w:val="1"/>
                <w:color w:val="auto"/>
                <w:vertAlign w:val="superscript"/>
              </w:rPr>
              <w:t>(3)</w:t>
            </w:r>
            <w:r>
              <w:rPr>
                <w:rFonts w:ascii="Arial" w:cs="Arial" w:eastAsia="Arial" w:hAnsi="Arial"/>
                <w:sz w:val="12"/>
                <w:szCs w:val="12"/>
                <w:b w:val="1"/>
                <w:bCs w:val="1"/>
                <w:color w:val="auto"/>
              </w:rPr>
              <w:t xml:space="preserve">   </w:t>
            </w:r>
            <w:r>
              <w:rPr>
                <w:rFonts w:ascii="Arial" w:cs="Arial" w:eastAsia="Arial" w:hAnsi="Arial"/>
                <w:sz w:val="21"/>
                <w:szCs w:val="21"/>
                <w:b w:val="1"/>
                <w:bCs w:val="1"/>
                <w:color w:val="auto"/>
                <w:vertAlign w:val="subscript"/>
              </w:rPr>
              <w:t>​ ​</w:t>
            </w:r>
          </w:p>
        </w:tc>
        <w:tc>
          <w:tcPr>
            <w:tcW w:w="1180" w:type="dxa"/>
            <w:vAlign w:val="bottom"/>
            <w:gridSpan w:val="3"/>
          </w:tcPr>
          <w:p>
            <w:pPr>
              <w:ind w:left="20"/>
              <w:spacing w:after="0" w:line="189" w:lineRule="exact"/>
              <w:rPr>
                <w:sz w:val="20"/>
                <w:szCs w:val="20"/>
                <w:color w:val="auto"/>
              </w:rPr>
            </w:pPr>
            <w:r>
              <w:rPr>
                <w:rFonts w:ascii="Arial" w:cs="Arial" w:eastAsia="Arial" w:hAnsi="Arial"/>
                <w:sz w:val="12"/>
                <w:szCs w:val="12"/>
                <w:b w:val="1"/>
                <w:bCs w:val="1"/>
                <w:color w:val="auto"/>
              </w:rPr>
              <w:t>expenses</w:t>
            </w:r>
            <w:r>
              <w:rPr>
                <w:rFonts w:ascii="Arial" w:cs="Arial" w:eastAsia="Arial" w:hAnsi="Arial"/>
                <w:sz w:val="14"/>
                <w:szCs w:val="14"/>
                <w:b w:val="1"/>
                <w:bCs w:val="1"/>
                <w:color w:val="auto"/>
                <w:vertAlign w:val="superscript"/>
              </w:rPr>
              <w:t>(1)(2)</w:t>
            </w:r>
            <w:r>
              <w:rPr>
                <w:rFonts w:ascii="Arial" w:cs="Arial" w:eastAsia="Arial" w:hAnsi="Arial"/>
                <w:sz w:val="12"/>
                <w:szCs w:val="12"/>
                <w:b w:val="1"/>
                <w:bCs w:val="1"/>
                <w:color w:val="auto"/>
              </w:rPr>
              <w:t xml:space="preserve">   </w:t>
            </w:r>
            <w:r>
              <w:rPr>
                <w:rFonts w:ascii="Arial" w:cs="Arial" w:eastAsia="Arial" w:hAnsi="Arial"/>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Per 2029 Note</w:t>
            </w:r>
          </w:p>
        </w:tc>
        <w:tc>
          <w:tcPr>
            <w:tcW w:w="2760" w:type="dxa"/>
            <w:vAlign w:val="bottom"/>
            <w:gridSpan w:val="2"/>
            <w:shd w:val="clear" w:color="auto" w:fill="CCEEFF"/>
          </w:tcPr>
          <w:p>
            <w:pPr>
              <w:ind w:left="2400"/>
              <w:spacing w:after="0"/>
              <w:rPr>
                <w:sz w:val="20"/>
                <w:szCs w:val="20"/>
                <w:color w:val="auto"/>
              </w:rPr>
            </w:pPr>
            <w:r>
              <w:rPr>
                <w:rFonts w:ascii="Arial" w:cs="Arial" w:eastAsia="Arial" w:hAnsi="Arial"/>
                <w:sz w:val="16"/>
                <w:szCs w:val="16"/>
                <w:color w:val="auto"/>
              </w:rPr>
              <w:t>​ ​​ ​</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104.487​​% ​​ ​</w:t>
            </w:r>
          </w:p>
        </w:tc>
        <w:tc>
          <w:tcPr>
            <w:tcW w:w="1140" w:type="dxa"/>
            <w:vAlign w:val="bottom"/>
            <w:gridSpan w:val="4"/>
            <w:shd w:val="clear" w:color="auto" w:fill="CCEEFF"/>
          </w:tcPr>
          <w:p>
            <w:pPr>
              <w:ind w:left="320"/>
              <w:spacing w:after="0"/>
              <w:rPr>
                <w:sz w:val="20"/>
                <w:szCs w:val="20"/>
                <w:color w:val="auto"/>
              </w:rPr>
            </w:pPr>
            <w:r>
              <w:rPr>
                <w:rFonts w:ascii="Arial" w:cs="Arial" w:eastAsia="Arial" w:hAnsi="Arial"/>
                <w:sz w:val="16"/>
                <w:szCs w:val="16"/>
                <w:color w:val="auto"/>
              </w:rPr>
              <w:t>0.350​​% ​​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104.137</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6"/>
                <w:szCs w:val="16"/>
                <w:color w:val="auto"/>
              </w:rPr>
              <w:t>2029 Note Total</w:t>
            </w:r>
          </w:p>
        </w:tc>
        <w:tc>
          <w:tcPr>
            <w:tcW w:w="2760" w:type="dxa"/>
            <w:vAlign w:val="bottom"/>
            <w:gridSpan w:val="2"/>
          </w:tcPr>
          <w:p>
            <w:pPr>
              <w:ind w:left="2400"/>
              <w:spacing w:after="0"/>
              <w:rPr>
                <w:sz w:val="20"/>
                <w:szCs w:val="20"/>
                <w:color w:val="auto"/>
              </w:rPr>
            </w:pPr>
            <w:r>
              <w:rPr>
                <w:rFonts w:ascii="Arial" w:cs="Arial" w:eastAsia="Arial" w:hAnsi="Arial"/>
                <w:sz w:val="16"/>
                <w:szCs w:val="16"/>
                <w:color w:val="auto"/>
              </w:rPr>
              <w:t>​ ​​$</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522,435,000​​ ​​$</w:t>
            </w:r>
          </w:p>
        </w:tc>
        <w:tc>
          <w:tcPr>
            <w:tcW w:w="1060" w:type="dxa"/>
            <w:vAlign w:val="bottom"/>
            <w:gridSpan w:val="3"/>
          </w:tcPr>
          <w:p>
            <w:pPr>
              <w:spacing w:after="0"/>
              <w:rPr>
                <w:sz w:val="20"/>
                <w:szCs w:val="20"/>
                <w:color w:val="auto"/>
              </w:rPr>
            </w:pPr>
            <w:r>
              <w:rPr>
                <w:rFonts w:ascii="Arial" w:cs="Arial" w:eastAsia="Arial" w:hAnsi="Arial"/>
                <w:sz w:val="16"/>
                <w:szCs w:val="16"/>
                <w:color w:val="auto"/>
              </w:rPr>
              <w:t>1,750,000​​ ​​$</w:t>
            </w:r>
          </w:p>
        </w:tc>
        <w:tc>
          <w:tcPr>
            <w:tcW w:w="80" w:type="dxa"/>
            <w:vAlign w:val="bottom"/>
          </w:tcPr>
          <w:p>
            <w:pPr>
              <w:spacing w:after="0"/>
              <w:rPr>
                <w:sz w:val="18"/>
                <w:szCs w:val="18"/>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6"/>
                <w:szCs w:val="16"/>
                <w:color w:val="auto"/>
              </w:rPr>
              <w:t>520,685,000​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Per 2033 Note</w:t>
            </w:r>
          </w:p>
        </w:tc>
        <w:tc>
          <w:tcPr>
            <w:tcW w:w="2760" w:type="dxa"/>
            <w:vAlign w:val="bottom"/>
            <w:gridSpan w:val="2"/>
            <w:shd w:val="clear" w:color="auto" w:fill="CCEEFF"/>
          </w:tcPr>
          <w:p>
            <w:pPr>
              <w:ind w:left="2400"/>
              <w:spacing w:after="0"/>
              <w:rPr>
                <w:sz w:val="20"/>
                <w:szCs w:val="20"/>
                <w:color w:val="auto"/>
              </w:rPr>
            </w:pPr>
            <w:r>
              <w:rPr>
                <w:rFonts w:ascii="Arial" w:cs="Arial" w:eastAsia="Arial" w:hAnsi="Arial"/>
                <w:sz w:val="16"/>
                <w:szCs w:val="16"/>
                <w:color w:val="auto"/>
              </w:rPr>
              <w:t>​ ​​ ​</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99.933​​% ​​ ​</w:t>
            </w:r>
          </w:p>
        </w:tc>
        <w:tc>
          <w:tcPr>
            <w:tcW w:w="1140" w:type="dxa"/>
            <w:vAlign w:val="bottom"/>
            <w:gridSpan w:val="4"/>
            <w:shd w:val="clear" w:color="auto" w:fill="CCEEFF"/>
          </w:tcPr>
          <w:p>
            <w:pPr>
              <w:ind w:left="320"/>
              <w:spacing w:after="0"/>
              <w:rPr>
                <w:sz w:val="20"/>
                <w:szCs w:val="20"/>
                <w:color w:val="auto"/>
              </w:rPr>
            </w:pPr>
            <w:r>
              <w:rPr>
                <w:rFonts w:ascii="Arial" w:cs="Arial" w:eastAsia="Arial" w:hAnsi="Arial"/>
                <w:sz w:val="16"/>
                <w:szCs w:val="16"/>
                <w:color w:val="auto"/>
              </w:rPr>
              <w:t>0.400​​% ​​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99.533</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6"/>
                <w:szCs w:val="16"/>
                <w:color w:val="auto"/>
              </w:rPr>
              <w:t>2033 Note Total</w:t>
            </w:r>
          </w:p>
        </w:tc>
        <w:tc>
          <w:tcPr>
            <w:tcW w:w="2760" w:type="dxa"/>
            <w:vAlign w:val="bottom"/>
            <w:gridSpan w:val="2"/>
          </w:tcPr>
          <w:p>
            <w:pPr>
              <w:ind w:left="2400"/>
              <w:spacing w:after="0"/>
              <w:rPr>
                <w:sz w:val="20"/>
                <w:szCs w:val="20"/>
                <w:color w:val="auto"/>
              </w:rPr>
            </w:pPr>
            <w:r>
              <w:rPr>
                <w:rFonts w:ascii="Arial" w:cs="Arial" w:eastAsia="Arial" w:hAnsi="Arial"/>
                <w:sz w:val="16"/>
                <w:szCs w:val="16"/>
                <w:color w:val="auto"/>
              </w:rPr>
              <w:t>​ ​​$</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749,497,500​​ ​​$</w:t>
            </w:r>
          </w:p>
        </w:tc>
        <w:tc>
          <w:tcPr>
            <w:tcW w:w="1060" w:type="dxa"/>
            <w:vAlign w:val="bottom"/>
            <w:gridSpan w:val="3"/>
          </w:tcPr>
          <w:p>
            <w:pPr>
              <w:spacing w:after="0"/>
              <w:rPr>
                <w:sz w:val="20"/>
                <w:szCs w:val="20"/>
                <w:color w:val="auto"/>
              </w:rPr>
            </w:pPr>
            <w:r>
              <w:rPr>
                <w:rFonts w:ascii="Arial" w:cs="Arial" w:eastAsia="Arial" w:hAnsi="Arial"/>
                <w:sz w:val="16"/>
                <w:szCs w:val="16"/>
                <w:color w:val="auto"/>
              </w:rPr>
              <w:t>3,000,000​​ ​​$</w:t>
            </w:r>
          </w:p>
        </w:tc>
        <w:tc>
          <w:tcPr>
            <w:tcW w:w="80" w:type="dxa"/>
            <w:vAlign w:val="bottom"/>
          </w:tcPr>
          <w:p>
            <w:pPr>
              <w:spacing w:after="0"/>
              <w:rPr>
                <w:sz w:val="18"/>
                <w:szCs w:val="18"/>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6"/>
                <w:szCs w:val="16"/>
                <w:color w:val="auto"/>
              </w:rPr>
              <w:t>746,497,500​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4100" w:type="dxa"/>
            <w:vAlign w:val="bottom"/>
            <w:gridSpan w:val="5"/>
            <w:shd w:val="clear" w:color="auto" w:fill="CCEEFF"/>
          </w:tcPr>
          <w:p>
            <w:pPr>
              <w:ind w:left="2400"/>
              <w:spacing w:after="0"/>
              <w:rPr>
                <w:sz w:val="20"/>
                <w:szCs w:val="20"/>
                <w:color w:val="auto"/>
              </w:rPr>
            </w:pPr>
            <w:r>
              <w:rPr>
                <w:rFonts w:ascii="Arial" w:cs="Arial" w:eastAsia="Arial" w:hAnsi="Arial"/>
                <w:sz w:val="16"/>
                <w:szCs w:val="16"/>
                <w:color w:val="auto"/>
              </w:rPr>
              <w:t>​ ​​$1,271,932,500​​ ​​$</w:t>
            </w:r>
          </w:p>
        </w:tc>
        <w:tc>
          <w:tcPr>
            <w:tcW w:w="20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4,750,000​​ ​​$1,267,182,500</w:t>
            </w:r>
          </w:p>
        </w:tc>
        <w:tc>
          <w:tcPr>
            <w:tcW w:w="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5626100</wp:posOffset>
            </wp:positionH>
            <wp:positionV relativeFrom="paragraph">
              <wp:posOffset>-693420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-693420</wp:posOffset>
            </wp:positionV>
            <wp:extent cx="4749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120015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4" w:lineRule="exact"/>
        <w:rPr>
          <w:sz w:val="24"/>
          <w:szCs w:val="24"/>
          <w:color w:val="auto"/>
        </w:rPr>
      </w:pPr>
    </w:p>
    <w:p>
      <w:pPr>
        <w:ind w:left="860" w:right="300" w:hanging="368"/>
        <w:spacing w:after="0" w:line="281" w:lineRule="auto"/>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color w:val="auto"/>
        </w:rPr>
        <w:t>Without giving effect to accrued interest that must be paid by the purchasers of the 2029 notes from October 31, 2022 to, but not including, the issuance date. The total amount of accrued interest on the 2029 notes on February 9, 2023 will be $9,281,250, or approximately $18.56 per $1,000 principal amount of the notes.</w:t>
      </w:r>
    </w:p>
    <w:p>
      <w:pPr>
        <w:ind w:left="860" w:hanging="368"/>
        <w:spacing w:after="0"/>
        <w:tabs>
          <w:tab w:leader="none" w:pos="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Plus accrued interest, if any, from February 9, 2023.</w:t>
      </w:r>
    </w:p>
    <w:p>
      <w:pPr>
        <w:spacing w:after="0" w:line="39" w:lineRule="exact"/>
        <w:rPr>
          <w:rFonts w:ascii="Arial" w:cs="Arial" w:eastAsia="Arial" w:hAnsi="Arial"/>
          <w:sz w:val="13"/>
          <w:szCs w:val="13"/>
          <w:color w:val="auto"/>
        </w:rPr>
      </w:pPr>
    </w:p>
    <w:p>
      <w:pPr>
        <w:ind w:left="860" w:hanging="368"/>
        <w:spacing w:after="0"/>
        <w:tabs>
          <w:tab w:leader="none" w:pos="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underwriters have agreed to reimburse us for certain expenses in connection with the offering. See “Underwriting.”</w:t>
      </w:r>
    </w:p>
    <w:p>
      <w:pPr>
        <w:spacing w:after="0" w:line="40" w:lineRule="exact"/>
        <w:rPr>
          <w:sz w:val="24"/>
          <w:szCs w:val="24"/>
          <w:color w:val="auto"/>
        </w:rPr>
      </w:pPr>
    </w:p>
    <w:p>
      <w:pPr>
        <w:ind w:left="500" w:right="260"/>
        <w:spacing w:after="0" w:line="246" w:lineRule="auto"/>
        <w:rPr>
          <w:sz w:val="20"/>
          <w:szCs w:val="20"/>
          <w:color w:val="auto"/>
        </w:rPr>
      </w:pPr>
      <w:r>
        <w:rPr>
          <w:rFonts w:ascii="Arial" w:cs="Arial" w:eastAsia="Arial" w:hAnsi="Arial"/>
          <w:sz w:val="12"/>
          <w:szCs w:val="12"/>
          <w:color w:val="auto"/>
        </w:rPr>
        <w:t>Interest on the 2029 notes will accrue from October 31, 2022 and interest on the 2033 notes will accrue from February 9, 2023. The notes will be issued in registered, book-entry form only without interest coupons, in minimum denominations of $2,000 and integral multiples of $1,000 in excess thereof. The notes will not be listed on any</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3"/>
          <w:szCs w:val="13"/>
          <w:color w:val="auto"/>
        </w:rPr>
        <w:t>securities exchange. Currently there is no public market for the 2033 notes.</w:t>
      </w:r>
    </w:p>
    <w:p>
      <w:pPr>
        <w:spacing w:after="0" w:line="26" w:lineRule="exact"/>
        <w:rPr>
          <w:sz w:val="24"/>
          <w:szCs w:val="24"/>
          <w:color w:val="auto"/>
        </w:rPr>
      </w:pPr>
    </w:p>
    <w:p>
      <w:pPr>
        <w:ind w:left="500" w:right="540"/>
        <w:spacing w:after="0" w:line="288" w:lineRule="auto"/>
        <w:rPr>
          <w:sz w:val="20"/>
          <w:szCs w:val="20"/>
          <w:color w:val="auto"/>
        </w:rPr>
      </w:pPr>
      <w:r>
        <w:rPr>
          <w:rFonts w:ascii="Arial" w:cs="Arial" w:eastAsia="Arial" w:hAnsi="Arial"/>
          <w:sz w:val="12"/>
          <w:szCs w:val="12"/>
          <w:color w:val="auto"/>
        </w:rPr>
        <w:t>The underwriters expect to deliver the notes to purchasers through the book-entry delivery system of The Depository Trust Company and its participants, including Euroclear Bank S.A./N.V and Clearstream Banking, S.A., on or about February 9, 2023, which will be the third business day from the date of the pricing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18415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34" w:lineRule="exact"/>
        <w:rPr>
          <w:sz w:val="24"/>
          <w:szCs w:val="24"/>
          <w:color w:val="auto"/>
        </w:rPr>
      </w:pPr>
    </w:p>
    <w:p>
      <w:pPr>
        <w:jc w:val="center"/>
        <w:ind w:right="-339"/>
        <w:spacing w:after="0"/>
        <w:rPr>
          <w:sz w:val="20"/>
          <w:szCs w:val="20"/>
          <w:color w:val="auto"/>
        </w:rPr>
      </w:pPr>
      <w:r>
        <w:rPr>
          <w:rFonts w:ascii="Arial" w:cs="Arial" w:eastAsia="Arial" w:hAnsi="Arial"/>
          <w:sz w:val="13"/>
          <w:szCs w:val="13"/>
          <w:i w:val="1"/>
          <w:iCs w:val="1"/>
          <w:color w:val="auto"/>
        </w:rPr>
        <w:t>Joint Book-Running Managers</w:t>
      </w:r>
    </w:p>
    <w:p>
      <w:pPr>
        <w:spacing w:after="0" w:line="71" w:lineRule="exact"/>
        <w:rPr>
          <w:sz w:val="24"/>
          <w:szCs w:val="24"/>
          <w:color w:val="auto"/>
        </w:rPr>
      </w:pPr>
    </w:p>
    <w:tbl>
      <w:tblPr>
        <w:tblLayout w:type="fixed"/>
        <w:tblInd w:w="500" w:type="dxa"/>
        <w:tblCellMar>
          <w:top w:w="0" w:type="dxa"/>
          <w:left w:w="0" w:type="dxa"/>
          <w:bottom w:w="0" w:type="dxa"/>
          <w:right w:w="0" w:type="dxa"/>
        </w:tblCellMar>
      </w:tblPr>
      <w:tr>
        <w:trPr>
          <w:trHeight w:val="270"/>
        </w:trPr>
        <w:tc>
          <w:tcPr>
            <w:tcW w:w="1680" w:type="dxa"/>
            <w:vAlign w:val="bottom"/>
          </w:tcPr>
          <w:p>
            <w:pPr>
              <w:spacing w:after="0"/>
              <w:rPr>
                <w:sz w:val="20"/>
                <w:szCs w:val="20"/>
                <w:color w:val="auto"/>
              </w:rPr>
            </w:pPr>
            <w:r>
              <w:rPr>
                <w:rFonts w:ascii="Arial" w:cs="Arial" w:eastAsia="Arial" w:hAnsi="Arial"/>
                <w:sz w:val="22"/>
                <w:szCs w:val="22"/>
                <w:b w:val="1"/>
                <w:bCs w:val="1"/>
                <w:color w:val="auto"/>
              </w:rPr>
              <w:t>Morgan Stanley</w:t>
            </w:r>
          </w:p>
        </w:tc>
        <w:tc>
          <w:tcPr>
            <w:tcW w:w="1240" w:type="dxa"/>
            <w:vAlign w:val="bottom"/>
          </w:tcPr>
          <w:p>
            <w:pPr>
              <w:spacing w:after="0"/>
              <w:rPr>
                <w:sz w:val="23"/>
                <w:szCs w:val="23"/>
                <w:color w:val="auto"/>
              </w:rPr>
            </w:pPr>
          </w:p>
        </w:tc>
        <w:tc>
          <w:tcPr>
            <w:tcW w:w="2700" w:type="dxa"/>
            <w:vAlign w:val="bottom"/>
            <w:gridSpan w:val="2"/>
          </w:tcPr>
          <w:p>
            <w:pPr>
              <w:ind w:left="560"/>
              <w:spacing w:after="0"/>
              <w:rPr>
                <w:sz w:val="20"/>
                <w:szCs w:val="20"/>
                <w:color w:val="auto"/>
              </w:rPr>
            </w:pPr>
            <w:r>
              <w:rPr>
                <w:rFonts w:ascii="Arial" w:cs="Arial" w:eastAsia="Arial" w:hAnsi="Arial"/>
                <w:sz w:val="22"/>
                <w:szCs w:val="22"/>
                <w:b w:val="1"/>
                <w:bCs w:val="1"/>
                <w:color w:val="auto"/>
                <w:w w:val="96"/>
              </w:rPr>
              <w:t>        BofA Securities</w:t>
            </w:r>
          </w:p>
        </w:tc>
        <w:tc>
          <w:tcPr>
            <w:tcW w:w="1560" w:type="dxa"/>
            <w:vAlign w:val="bottom"/>
          </w:tcPr>
          <w:p>
            <w:pPr>
              <w:spacing w:after="0"/>
              <w:rPr>
                <w:sz w:val="23"/>
                <w:szCs w:val="23"/>
                <w:color w:val="auto"/>
              </w:rPr>
            </w:pPr>
          </w:p>
        </w:tc>
        <w:tc>
          <w:tcPr>
            <w:tcW w:w="2560" w:type="dxa"/>
            <w:vAlign w:val="bottom"/>
            <w:gridSpan w:val="2"/>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270"/>
        </w:trPr>
        <w:tc>
          <w:tcPr>
            <w:tcW w:w="1680" w:type="dxa"/>
            <w:vAlign w:val="bottom"/>
          </w:tcPr>
          <w:p>
            <w:pPr>
              <w:spacing w:after="0"/>
              <w:rPr>
                <w:sz w:val="20"/>
                <w:szCs w:val="20"/>
                <w:color w:val="auto"/>
              </w:rPr>
            </w:pPr>
            <w:r>
              <w:rPr>
                <w:rFonts w:ascii="Arial" w:cs="Arial" w:eastAsia="Arial" w:hAnsi="Arial"/>
                <w:sz w:val="22"/>
                <w:szCs w:val="22"/>
                <w:b w:val="1"/>
                <w:bCs w:val="1"/>
                <w:color w:val="auto"/>
              </w:rPr>
              <w:t>ANZ Securities</w:t>
            </w:r>
          </w:p>
        </w:tc>
        <w:tc>
          <w:tcPr>
            <w:tcW w:w="2420" w:type="dxa"/>
            <w:vAlign w:val="bottom"/>
            <w:gridSpan w:val="2"/>
          </w:tcPr>
          <w:p>
            <w:pPr>
              <w:ind w:left="600"/>
              <w:spacing w:after="0"/>
              <w:rPr>
                <w:sz w:val="20"/>
                <w:szCs w:val="20"/>
                <w:color w:val="auto"/>
              </w:rPr>
            </w:pPr>
            <w:r>
              <w:rPr>
                <w:rFonts w:ascii="Arial" w:cs="Arial" w:eastAsia="Arial" w:hAnsi="Arial"/>
                <w:sz w:val="22"/>
                <w:szCs w:val="22"/>
                <w:b w:val="1"/>
                <w:bCs w:val="1"/>
                <w:color w:val="auto"/>
              </w:rPr>
              <w:t>BNP PARIBAS</w:t>
            </w:r>
          </w:p>
        </w:tc>
        <w:tc>
          <w:tcPr>
            <w:tcW w:w="3080" w:type="dxa"/>
            <w:vAlign w:val="bottom"/>
            <w:gridSpan w:val="2"/>
          </w:tcPr>
          <w:p>
            <w:pPr>
              <w:ind w:left="420"/>
              <w:spacing w:after="0"/>
              <w:rPr>
                <w:sz w:val="20"/>
                <w:szCs w:val="20"/>
                <w:color w:val="auto"/>
              </w:rPr>
            </w:pPr>
            <w:r>
              <w:rPr>
                <w:rFonts w:ascii="Arial" w:cs="Arial" w:eastAsia="Arial" w:hAnsi="Arial"/>
                <w:sz w:val="22"/>
                <w:szCs w:val="22"/>
                <w:b w:val="1"/>
                <w:bCs w:val="1"/>
                <w:color w:val="auto"/>
              </w:rPr>
              <w:t>Credit Agricole CIB</w:t>
            </w:r>
          </w:p>
        </w:tc>
        <w:tc>
          <w:tcPr>
            <w:tcW w:w="800" w:type="dxa"/>
            <w:vAlign w:val="bottom"/>
          </w:tcPr>
          <w:p>
            <w:pPr>
              <w:ind w:left="120"/>
              <w:spacing w:after="0"/>
              <w:rPr>
                <w:sz w:val="20"/>
                <w:szCs w:val="20"/>
                <w:color w:val="auto"/>
              </w:rPr>
            </w:pPr>
            <w:r>
              <w:rPr>
                <w:rFonts w:ascii="Arial" w:cs="Arial" w:eastAsia="Arial" w:hAnsi="Arial"/>
                <w:sz w:val="22"/>
                <w:szCs w:val="22"/>
                <w:b w:val="1"/>
                <w:bCs w:val="1"/>
                <w:color w:val="auto"/>
              </w:rPr>
              <w:t>HSBC</w:t>
            </w:r>
          </w:p>
        </w:tc>
        <w:tc>
          <w:tcPr>
            <w:tcW w:w="1760" w:type="dxa"/>
            <w:vAlign w:val="bottom"/>
          </w:tcPr>
          <w:p>
            <w:pPr>
              <w:jc w:val="right"/>
              <w:spacing w:after="0"/>
              <w:rPr>
                <w:sz w:val="20"/>
                <w:szCs w:val="20"/>
                <w:color w:val="auto"/>
              </w:rPr>
            </w:pPr>
            <w:r>
              <w:rPr>
                <w:rFonts w:ascii="Arial" w:cs="Arial" w:eastAsia="Arial" w:hAnsi="Arial"/>
                <w:sz w:val="22"/>
                <w:szCs w:val="22"/>
                <w:b w:val="1"/>
                <w:bCs w:val="1"/>
                <w:color w:val="auto"/>
              </w:rPr>
              <w:t>J.P. Morgan</w:t>
            </w:r>
          </w:p>
        </w:tc>
      </w:tr>
      <w:tr>
        <w:trPr>
          <w:trHeight w:val="285"/>
        </w:trPr>
        <w:tc>
          <w:tcPr>
            <w:tcW w:w="1680" w:type="dxa"/>
            <w:vAlign w:val="bottom"/>
          </w:tcPr>
          <w:p>
            <w:pPr>
              <w:spacing w:after="0"/>
              <w:rPr>
                <w:sz w:val="20"/>
                <w:szCs w:val="20"/>
                <w:color w:val="auto"/>
              </w:rPr>
            </w:pPr>
            <w:r>
              <w:rPr>
                <w:rFonts w:ascii="Arial" w:cs="Arial" w:eastAsia="Arial" w:hAnsi="Arial"/>
                <w:sz w:val="22"/>
                <w:szCs w:val="22"/>
                <w:b w:val="1"/>
                <w:bCs w:val="1"/>
                <w:color w:val="auto"/>
              </w:rPr>
              <w:t>Mizuho</w:t>
            </w:r>
          </w:p>
        </w:tc>
        <w:tc>
          <w:tcPr>
            <w:tcW w:w="1240" w:type="dxa"/>
            <w:vAlign w:val="bottom"/>
          </w:tcPr>
          <w:p>
            <w:pPr>
              <w:ind w:left="80"/>
              <w:spacing w:after="0"/>
              <w:rPr>
                <w:sz w:val="20"/>
                <w:szCs w:val="20"/>
                <w:color w:val="auto"/>
              </w:rPr>
            </w:pPr>
            <w:r>
              <w:rPr>
                <w:rFonts w:ascii="Arial" w:cs="Arial" w:eastAsia="Arial" w:hAnsi="Arial"/>
                <w:sz w:val="22"/>
                <w:szCs w:val="22"/>
                <w:b w:val="1"/>
                <w:bCs w:val="1"/>
                <w:color w:val="auto"/>
              </w:rPr>
              <w:t>MUFG</w:t>
            </w:r>
          </w:p>
        </w:tc>
        <w:tc>
          <w:tcPr>
            <w:tcW w:w="2700" w:type="dxa"/>
            <w:vAlign w:val="bottom"/>
            <w:gridSpan w:val="2"/>
          </w:tcPr>
          <w:p>
            <w:pPr>
              <w:ind w:left="540"/>
              <w:spacing w:after="0"/>
              <w:rPr>
                <w:sz w:val="20"/>
                <w:szCs w:val="20"/>
                <w:color w:val="auto"/>
              </w:rPr>
            </w:pPr>
            <w:r>
              <w:rPr>
                <w:rFonts w:ascii="Arial" w:cs="Arial" w:eastAsia="Arial" w:hAnsi="Arial"/>
                <w:sz w:val="22"/>
                <w:szCs w:val="22"/>
                <w:b w:val="1"/>
                <w:bCs w:val="1"/>
                <w:color w:val="auto"/>
              </w:rPr>
              <w:t>Scotiabank</w:t>
            </w:r>
          </w:p>
        </w:tc>
        <w:tc>
          <w:tcPr>
            <w:tcW w:w="1560" w:type="dxa"/>
            <w:vAlign w:val="bottom"/>
          </w:tcPr>
          <w:p>
            <w:pPr>
              <w:ind w:left="80"/>
              <w:spacing w:after="0"/>
              <w:rPr>
                <w:sz w:val="20"/>
                <w:szCs w:val="20"/>
                <w:color w:val="auto"/>
              </w:rPr>
            </w:pPr>
            <w:r>
              <w:rPr>
                <w:rFonts w:ascii="Arial" w:cs="Arial" w:eastAsia="Arial" w:hAnsi="Arial"/>
                <w:sz w:val="22"/>
                <w:szCs w:val="22"/>
                <w:b w:val="1"/>
                <w:bCs w:val="1"/>
                <w:color w:val="auto"/>
              </w:rPr>
              <w:t>TD Securities</w:t>
            </w:r>
          </w:p>
        </w:tc>
        <w:tc>
          <w:tcPr>
            <w:tcW w:w="8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b w:val="1"/>
                <w:bCs w:val="1"/>
                <w:color w:val="auto"/>
              </w:rPr>
              <w:t>Truist Securities</w:t>
            </w:r>
          </w:p>
        </w:tc>
      </w:tr>
      <w:tr>
        <w:trPr>
          <w:trHeight w:val="217"/>
        </w:trPr>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ind w:left="380"/>
              <w:spacing w:after="0"/>
              <w:rPr>
                <w:sz w:val="20"/>
                <w:szCs w:val="20"/>
                <w:color w:val="auto"/>
              </w:rPr>
            </w:pPr>
            <w:r>
              <w:rPr>
                <w:rFonts w:ascii="Arial" w:cs="Arial" w:eastAsia="Arial" w:hAnsi="Arial"/>
                <w:sz w:val="13"/>
                <w:szCs w:val="13"/>
                <w:i w:val="1"/>
                <w:iCs w:val="1"/>
                <w:color w:val="auto"/>
              </w:rPr>
              <w:t>Co-Managers</w:t>
            </w: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63"/>
        </w:trPr>
        <w:tc>
          <w:tcPr>
            <w:tcW w:w="2920" w:type="dxa"/>
            <w:vAlign w:val="bottom"/>
            <w:gridSpan w:val="2"/>
          </w:tcPr>
          <w:p>
            <w:pPr>
              <w:spacing w:after="0"/>
              <w:rPr>
                <w:sz w:val="20"/>
                <w:szCs w:val="20"/>
                <w:color w:val="auto"/>
              </w:rPr>
            </w:pPr>
            <w:r>
              <w:rPr>
                <w:rFonts w:ascii="Arial" w:cs="Arial" w:eastAsia="Arial" w:hAnsi="Arial"/>
                <w:sz w:val="20"/>
                <w:szCs w:val="20"/>
                <w:b w:val="1"/>
                <w:bCs w:val="1"/>
                <w:color w:val="auto"/>
              </w:rPr>
              <w:t>Academy Securities</w:t>
            </w:r>
          </w:p>
        </w:tc>
        <w:tc>
          <w:tcPr>
            <w:tcW w:w="1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560" w:type="dxa"/>
            <w:vAlign w:val="bottom"/>
            <w:gridSpan w:val="2"/>
          </w:tcPr>
          <w:p>
            <w:pPr>
              <w:jc w:val="right"/>
              <w:spacing w:after="0"/>
              <w:rPr>
                <w:sz w:val="20"/>
                <w:szCs w:val="20"/>
                <w:color w:val="auto"/>
              </w:rPr>
            </w:pPr>
            <w:r>
              <w:rPr>
                <w:rFonts w:ascii="Arial" w:cs="Arial" w:eastAsia="Arial" w:hAnsi="Arial"/>
                <w:sz w:val="20"/>
                <w:szCs w:val="20"/>
                <w:b w:val="1"/>
                <w:bCs w:val="1"/>
                <w:color w:val="auto"/>
              </w:rPr>
              <w:t>Siebert Williams Shank</w:t>
            </w:r>
          </w:p>
        </w:tc>
      </w:tr>
    </w:tbl>
    <w:p>
      <w:pPr>
        <w:spacing w:after="0" w:line="68" w:lineRule="exact"/>
        <w:rPr>
          <w:sz w:val="24"/>
          <w:szCs w:val="24"/>
          <w:color w:val="auto"/>
        </w:rPr>
      </w:pPr>
    </w:p>
    <w:p>
      <w:pPr>
        <w:sectPr>
          <w:pgSz w:w="11900" w:h="16838" w:orient="portrait"/>
          <w:cols w:equalWidth="0" w:num="1">
            <w:col w:w="10380"/>
          </w:cols>
          <w:pgMar w:left="580" w:top="239" w:right="939" w:bottom="1440" w:gutter="0" w:footer="0" w:header="0"/>
        </w:sectPr>
      </w:pPr>
    </w:p>
    <w:p>
      <w:pPr>
        <w:jc w:val="center"/>
        <w:ind w:right="-359"/>
        <w:spacing w:after="0"/>
        <w:rPr>
          <w:sz w:val="20"/>
          <w:szCs w:val="20"/>
          <w:color w:val="auto"/>
        </w:rPr>
      </w:pPr>
      <w:r>
        <w:rPr>
          <w:rFonts w:ascii="Arial" w:cs="Arial" w:eastAsia="Arial" w:hAnsi="Arial"/>
          <w:sz w:val="12"/>
          <w:szCs w:val="12"/>
          <w:color w:val="auto"/>
        </w:rPr>
        <w:t>February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80"/>
          </w:cols>
          <w:pgMar w:left="580" w:top="239" w:right="9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TABLE OF CONTENTS</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Prospectus Supplement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Cautionary Note on Forward-Looking Statements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Cash and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the Notes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Underwriting</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Validity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Where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The Company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 </w:t>
      </w:r>
      <w:r>
        <w:rPr>
          <w:rFonts w:ascii="Arial" w:cs="Arial" w:eastAsia="Arial" w:hAnsi="Arial"/>
          <w:sz w:val="28"/>
          <w:szCs w:val="28"/>
          <w:b w:val="1"/>
          <w:bCs w:val="1"/>
          <w:color w:val="auto"/>
          <w:vertAlign w:val="subscript"/>
        </w:rPr>
        <w: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S-ii</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S-iii</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S-1</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S-7</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S-11</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S-12</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S-13</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S-36</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S-41</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S-47</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S-47</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S-47</w:t>
      </w:r>
      <w:r>
        <w:rPr>
          <w:rFonts w:ascii="Arial" w:cs="Arial" w:eastAsia="Arial" w:hAnsi="Arial"/>
          <w:sz w:val="18"/>
          <w:szCs w:val="18"/>
          <w:color w:val="auto"/>
        </w:rPr>
        <w:t>​</w:t>
      </w: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w:t>
      </w:r>
      <w:r>
        <w:rPr>
          <w:rFonts w:ascii="Arial" w:cs="Arial" w:eastAsia="Arial" w:hAnsi="Arial"/>
          <w:sz w:val="28"/>
          <w:szCs w:val="28"/>
          <w:b w:val="1"/>
          <w:bCs w:val="1"/>
          <w:color w:val="auto"/>
          <w:vertAlign w:val="subscript"/>
        </w:rPr>
        <w:t>​</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1</w:t>
            </w:r>
          </w:p>
        </w:tc>
        <w:tc>
          <w:tcPr>
            <w:tcW w:w="1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2</w:t>
            </w:r>
          </w:p>
        </w:tc>
        <w:tc>
          <w:tcPr>
            <w:tcW w:w="1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4</w:t>
            </w:r>
          </w:p>
        </w:tc>
        <w:tc>
          <w:tcPr>
            <w:tcW w:w="1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5</w:t>
            </w:r>
          </w:p>
        </w:tc>
        <w:tc>
          <w:tcPr>
            <w:tcW w:w="1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6</w:t>
            </w:r>
          </w:p>
        </w:tc>
        <w:tc>
          <w:tcPr>
            <w:tcW w:w="1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7</w:t>
            </w:r>
          </w:p>
        </w:tc>
        <w:tc>
          <w:tcPr>
            <w:tcW w:w="1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8</w:t>
            </w:r>
          </w:p>
        </w:tc>
        <w:tc>
          <w:tcPr>
            <w:tcW w:w="1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9</w:t>
            </w:r>
          </w:p>
        </w:tc>
        <w:tc>
          <w:tcPr>
            <w:tcW w:w="1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9</w:t>
            </w:r>
          </w:p>
        </w:tc>
        <w:tc>
          <w:tcPr>
            <w:tcW w:w="1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8120" w:space="720"/>
            <w:col w:w="1039"/>
          </w:cols>
          <w:pgMar w:left="580" w:top="131"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CAUTIONARY NOTE ON FORWARD-</w:t>
      </w:r>
    </w:p>
    <w:p>
      <w:pPr>
        <w:ind w:left="1260"/>
        <w:spacing w:after="0" w:line="236" w:lineRule="auto"/>
        <w:rPr>
          <w:sz w:val="20"/>
          <w:szCs w:val="20"/>
          <w:color w:val="auto"/>
        </w:rPr>
      </w:pPr>
      <w:r>
        <w:rPr>
          <w:rFonts w:ascii="Arial" w:cs="Arial" w:eastAsia="Arial" w:hAnsi="Arial"/>
          <w:sz w:val="40"/>
          <w:szCs w:val="40"/>
          <w:b w:val="1"/>
          <w:bCs w:val="1"/>
          <w:color w:val="auto"/>
        </w:rPr>
        <w:t>LOOKING</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STATEMENTS</w:t>
      </w:r>
      <w:r>
        <w:rPr>
          <w:rFonts w:ascii="Arial" w:cs="Arial" w:eastAsia="Arial" w:hAnsi="Arial"/>
          <w:sz w:val="40"/>
          <w:szCs w:val="40"/>
          <w:color w:val="auto"/>
        </w:rPr>
        <w:t>​</w:t>
      </w:r>
    </w:p>
    <w:p>
      <w:pPr>
        <w:spacing w:after="0" w:line="127"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color w:val="auto"/>
        </w:rPr>
        <w:t>This prospectus supplement, the accompanying prospectus and the information incorporated herein and therein by reference include statements that are, or may be deemed,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Specific forward-looking statements include, but are not limited to:</w:t>
      </w:r>
    </w:p>
    <w:p>
      <w:pPr>
        <w:spacing w:after="0" w:line="117" w:lineRule="exact"/>
        <w:rPr>
          <w:sz w:val="20"/>
          <w:szCs w:val="20"/>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such as those made regarding restructure plans and related charges;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conditions and profitability in our industry;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our wafer starts and the corresponding impact on our costs in 2023;</w:t>
      </w:r>
    </w:p>
    <w:p>
      <w:pPr>
        <w:spacing w:after="0" w:line="117" w:lineRule="exact"/>
        <w:rPr>
          <w:rFonts w:ascii="Arial" w:cs="Arial" w:eastAsia="Arial" w:hAnsi="Arial"/>
          <w:sz w:val="18"/>
          <w:szCs w:val="18"/>
          <w:color w:val="auto"/>
        </w:rPr>
      </w:pPr>
    </w:p>
    <w:p>
      <w:pPr>
        <w:ind w:left="1800" w:right="519" w:hanging="180"/>
        <w:spacing w:after="0" w:line="261"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for construction and ramping of production for new memory manufacturing fabs in the United States;</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receipt of government grants and investment tax credits;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investments;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spending in 2023;</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funding of sustainability-focused projects;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allocation and dispersal of the net proceeds of our 2032 Green Bonds.</w:t>
      </w:r>
    </w:p>
    <w:p>
      <w:pPr>
        <w:spacing w:after="0" w:line="144"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 on Form 10-Q incorporated by reference herein and as may be updated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38"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release publicly any revisions to these forward-looking statements to reflect events or circumstances after the date of this document or to reflect the occurrence of unanticipated events, unless the securities laws require us to do so.</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Trademarks and Service Marks</w:t>
      </w:r>
    </w:p>
    <w:p>
      <w:pPr>
        <w:spacing w:after="0" w:line="170"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color w:val="auto"/>
        </w:rPr>
        <w:t xml:space="preserve">We own or have rights to trademarks, service marks or trade names that we use in connection with the operation of our business. Other trademarks, service marks and trade names appearing in this prospectus supplement or the documents incorporated by reference herein are the property of their respective owners. Solely for convenience, the trademarks, service marks, and tradenames referred to in this prospectus supplement may be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symbols, but we will assert, to the fullest extent under applicable law, our rights or the rights of the applicable licensors to these trademarks, service marks, and tradenames.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ABOUT THIS PROSPECTUS SUPPLEMENT</w:t>
      </w:r>
    </w:p>
    <w:p>
      <w:pPr>
        <w:spacing w:after="0" w:line="177"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This prospectus supplement and the accompanying prospectus dated November 4, 2020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140"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130" w:lineRule="exact"/>
        <w:rPr>
          <w:sz w:val="20"/>
          <w:szCs w:val="20"/>
          <w:color w:val="auto"/>
        </w:rPr>
      </w:pPr>
    </w:p>
    <w:p>
      <w:pPr>
        <w:ind w:left="1260" w:right="659"/>
        <w:spacing w:after="0" w:line="254"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136" w:lineRule="exact"/>
        <w:rPr>
          <w:sz w:val="20"/>
          <w:szCs w:val="20"/>
          <w:color w:val="auto"/>
        </w:rPr>
      </w:pPr>
    </w:p>
    <w:p>
      <w:pPr>
        <w:ind w:left="1260" w:right="699"/>
        <w:spacing w:after="0" w:line="256"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134"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We expect that delivery of the notes will be made to investors on or about February 9, 2023, which will be the third business day following the date of this prospectus supplement (such settlement being referred to as T+3).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 prior to February 9, 2023 will be required, by virtue of the fact that the notes initially settle in T+3, to specify an alternate settlement arrangement to prevent a failed settlement. Purchasers of the notes who wish to trade the notes more than two business days prior to February 9, 2023 should consult their advisors.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8002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80"/>
        <w:spacing w:after="0"/>
        <w:rPr>
          <w:sz w:val="20"/>
          <w:szCs w:val="20"/>
          <w:color w:val="auto"/>
        </w:rPr>
      </w:pPr>
      <w:r>
        <w:rPr>
          <w:rFonts w:ascii="Arial" w:cs="Arial" w:eastAsia="Arial" w:hAnsi="Arial"/>
          <w:sz w:val="40"/>
          <w:szCs w:val="40"/>
          <w:b w:val="1"/>
          <w:bCs w:val="1"/>
          <w:color w:val="auto"/>
        </w:rPr>
        <w:t>SUMMARY</w:t>
      </w:r>
    </w:p>
    <w:p>
      <w:pPr>
        <w:spacing w:after="0" w:line="227" w:lineRule="exact"/>
        <w:rPr>
          <w:sz w:val="20"/>
          <w:szCs w:val="20"/>
          <w:color w:val="auto"/>
        </w:rPr>
      </w:pPr>
    </w:p>
    <w:p>
      <w:pPr>
        <w:ind w:left="1280" w:right="439"/>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heading “Risk Factors” included in this prospectus supplement, our </w:t>
      </w:r>
      <w:hyperlink r:id="rId32">
        <w:r>
          <w:rPr>
            <w:rFonts w:ascii="Arial" w:cs="Arial" w:eastAsia="Arial" w:hAnsi="Arial"/>
            <w:sz w:val="18"/>
            <w:szCs w:val="18"/>
            <w:i w:val="1"/>
            <w:iCs w:val="1"/>
            <w:u w:val="single" w:color="auto"/>
            <w:color w:val="0000EE"/>
          </w:rPr>
          <w:t>Annual Report on Form 10-K for the fiscal year ended September 1, 2022</w:t>
        </w:r>
      </w:hyperlink>
      <w:r>
        <w:rPr>
          <w:rFonts w:ascii="Arial" w:cs="Arial" w:eastAsia="Arial" w:hAnsi="Arial"/>
          <w:sz w:val="18"/>
          <w:szCs w:val="18"/>
          <w:i w:val="1"/>
          <w:iCs w:val="1"/>
          <w:color w:val="auto"/>
        </w:rPr>
        <w:t xml:space="preserve">, our </w:t>
      </w:r>
      <w:hyperlink r:id="rId33">
        <w:r>
          <w:rPr>
            <w:rFonts w:ascii="Arial" w:cs="Arial" w:eastAsia="Arial" w:hAnsi="Arial"/>
            <w:sz w:val="18"/>
            <w:szCs w:val="18"/>
            <w:i w:val="1"/>
            <w:iCs w:val="1"/>
            <w:u w:val="single" w:color="auto"/>
            <w:color w:val="0000EE"/>
          </w:rPr>
          <w:t>Quarterly Report on Form 10-Q for the fiscal quarter ended December 1, 2022</w:t>
        </w:r>
      </w:hyperlink>
      <w:r>
        <w:rPr>
          <w:rFonts w:ascii="Arial" w:cs="Arial" w:eastAsia="Arial" w:hAnsi="Arial"/>
          <w:sz w:val="18"/>
          <w:szCs w:val="18"/>
          <w:i w:val="1"/>
          <w:iCs w:val="1"/>
          <w:color w:val="auto"/>
        </w:rPr>
        <w:t>, documents that we subsequently file with the SEC and the financial statements and other information included or incorporated by reference in this prospectus supplement and the accompanying prospectus, before making an investment decision.</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6CB7"/>
        </w:rPr>
        <w:t>Micron Technology, Inc.</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Overview</w:t>
      </w:r>
    </w:p>
    <w:p>
      <w:pPr>
        <w:spacing w:after="0" w:line="180" w:lineRule="exact"/>
        <w:rPr>
          <w:sz w:val="20"/>
          <w:szCs w:val="20"/>
          <w:color w:val="auto"/>
        </w:rPr>
      </w:pPr>
    </w:p>
    <w:p>
      <w:pPr>
        <w:ind w:left="1280" w:right="399"/>
        <w:spacing w:after="0" w:line="237"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39" w:lineRule="exact"/>
        <w:rPr>
          <w:sz w:val="20"/>
          <w:szCs w:val="20"/>
          <w:color w:val="auto"/>
        </w:rPr>
      </w:pPr>
    </w:p>
    <w:p>
      <w:pPr>
        <w:ind w:left="1280" w:right="419"/>
        <w:spacing w:after="0" w:line="251"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142" w:lineRule="exact"/>
        <w:rPr>
          <w:sz w:val="20"/>
          <w:szCs w:val="20"/>
          <w:color w:val="auto"/>
        </w:rPr>
      </w:pPr>
    </w:p>
    <w:p>
      <w:pPr>
        <w:ind w:left="1280" w:right="739"/>
        <w:spacing w:after="0" w:line="252"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00" w:lineRule="exact"/>
        <w:rPr>
          <w:sz w:val="20"/>
          <w:szCs w:val="20"/>
          <w:color w:val="auto"/>
        </w:rPr>
      </w:pPr>
    </w:p>
    <w:p>
      <w:pPr>
        <w:spacing w:after="0" w:line="209" w:lineRule="exact"/>
        <w:rPr>
          <w:sz w:val="20"/>
          <w:szCs w:val="20"/>
          <w:color w:val="auto"/>
        </w:rPr>
      </w:pPr>
    </w:p>
    <w:p>
      <w:pPr>
        <w:ind w:left="1280" w:right="419"/>
        <w:spacing w:after="0" w:line="253" w:lineRule="auto"/>
        <w:rPr>
          <w:sz w:val="20"/>
          <w:szCs w:val="20"/>
          <w:color w:val="auto"/>
        </w:rPr>
      </w:pPr>
      <w:r>
        <w:rPr>
          <w:rFonts w:ascii="Arial" w:cs="Arial" w:eastAsia="Arial" w:hAnsi="Arial"/>
          <w:sz w:val="18"/>
          <w:szCs w:val="18"/>
          <w:color w:val="auto"/>
        </w:rPr>
        <w:t>Our executive offices are located at 8000 South Federal Way, Boise, Idaho 83716-9632 and our telephone number is (208) 368-4000. Information about us is available at our website www.micron.com. Information contained or referenced on our website is not incorporated by reference and does not form a part of this prospectus supplement or the accompanying prospectus. You should not rely on any such information in making your decision whether to purchase the notes.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8019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6CB7"/>
        </w:rPr>
        <w:t>The Offering</w:t>
      </w:r>
    </w:p>
    <w:p>
      <w:pPr>
        <w:spacing w:after="0" w:line="233" w:lineRule="exact"/>
        <w:rPr>
          <w:sz w:val="20"/>
          <w:szCs w:val="20"/>
          <w:color w:val="auto"/>
        </w:rPr>
      </w:pPr>
    </w:p>
    <w:p>
      <w:pPr>
        <w:ind w:left="1280" w:right="459"/>
        <w:spacing w:after="0" w:line="247" w:lineRule="auto"/>
        <w:rPr>
          <w:sz w:val="20"/>
          <w:szCs w:val="20"/>
          <w:color w:val="auto"/>
        </w:rPr>
      </w:pPr>
      <w:r>
        <w:rPr>
          <w:rFonts w:ascii="Arial" w:cs="Arial" w:eastAsia="Arial" w:hAnsi="Arial"/>
          <w:sz w:val="18"/>
          <w:szCs w:val="18"/>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90"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Micron Technology, Inc.</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7"/>
          <w:szCs w:val="17"/>
          <w:color w:val="auto"/>
        </w:rPr>
        <w:t>$500,000,000 aggregate principal amount of 6.750% Senior</w:t>
      </w:r>
    </w:p>
    <w:p>
      <w:pPr>
        <w:spacing w:after="0" w:line="9" w:lineRule="exact"/>
        <w:rPr>
          <w:sz w:val="20"/>
          <w:szCs w:val="20"/>
          <w:color w:val="auto"/>
        </w:rPr>
      </w:pPr>
    </w:p>
    <w:p>
      <w:pPr>
        <w:ind w:left="4300" w:right="399"/>
        <w:spacing w:after="0" w:line="251" w:lineRule="auto"/>
        <w:rPr>
          <w:sz w:val="20"/>
          <w:szCs w:val="20"/>
          <w:color w:val="auto"/>
        </w:rPr>
      </w:pPr>
      <w:r>
        <w:rPr>
          <w:rFonts w:ascii="Arial" w:cs="Arial" w:eastAsia="Arial" w:hAnsi="Arial"/>
          <w:sz w:val="18"/>
          <w:szCs w:val="18"/>
          <w:color w:val="auto"/>
        </w:rPr>
        <w:t>Notes due 2029 and $750,000,000 aggregate principal amount of 5.875% Senior Notes due 2033. The 2029 notes will form a single series with the $750,000,000 aggregate principal amount of 6.750% Senior Notes due 2029 that we issued on October 31, 2022. Accordingly, the 2029 notes offered by this prospectus supplement will have terms that are identical to the terms of the Original 2029 Notes (other than the initial offering price) and have the same CUSIP number and will be fungible with the Original 2029 Notes. Upon the issuance of the 2029 notes offered hereby, the outstanding principal amount of our 6.750% Senior Notes due 2029 will be $1,250,000,000.</w:t>
      </w:r>
    </w:p>
    <w:p>
      <w:pPr>
        <w:spacing w:after="0" w:line="103"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Maturity</w:t>
      </w:r>
      <w:r>
        <w:rPr>
          <w:sz w:val="20"/>
          <w:szCs w:val="20"/>
          <w:color w:val="auto"/>
        </w:rPr>
        <w:tab/>
      </w:r>
      <w:r>
        <w:rPr>
          <w:rFonts w:ascii="Arial" w:cs="Arial" w:eastAsia="Arial" w:hAnsi="Arial"/>
          <w:sz w:val="18"/>
          <w:szCs w:val="18"/>
          <w:color w:val="auto"/>
        </w:rPr>
        <w:t>The 2029 notes will mature on November 1, 2029 and the 2033</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notes will mature on February 9, 2033.</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Interest and Payment Dates</w:t>
      </w:r>
      <w:r>
        <w:rPr>
          <w:sz w:val="20"/>
          <w:szCs w:val="20"/>
          <w:color w:val="auto"/>
        </w:rPr>
        <w:tab/>
      </w:r>
      <w:r>
        <w:rPr>
          <w:rFonts w:ascii="Arial" w:cs="Arial" w:eastAsia="Arial" w:hAnsi="Arial"/>
          <w:sz w:val="17"/>
          <w:szCs w:val="17"/>
          <w:color w:val="auto"/>
        </w:rPr>
        <w:t>6.750% per year on the principal amount of the 2029 notes and</w:t>
      </w:r>
    </w:p>
    <w:p>
      <w:pPr>
        <w:spacing w:after="0" w:line="9" w:lineRule="exact"/>
        <w:rPr>
          <w:sz w:val="20"/>
          <w:szCs w:val="20"/>
          <w:color w:val="auto"/>
        </w:rPr>
      </w:pPr>
    </w:p>
    <w:p>
      <w:pPr>
        <w:ind w:left="4300" w:right="439"/>
        <w:spacing w:after="0" w:line="252" w:lineRule="auto"/>
        <w:rPr>
          <w:sz w:val="20"/>
          <w:szCs w:val="20"/>
          <w:color w:val="auto"/>
        </w:rPr>
      </w:pPr>
      <w:r>
        <w:rPr>
          <w:rFonts w:ascii="Arial" w:cs="Arial" w:eastAsia="Arial" w:hAnsi="Arial"/>
          <w:sz w:val="18"/>
          <w:szCs w:val="18"/>
          <w:color w:val="auto"/>
        </w:rPr>
        <w:t>5.875% per year on the principal amount of the 2033 notes. Interest is payable on the 2029 notes on May 1 and November 1 of each year after the date of issuance, commencing May 1, 2023, and interest is payable on the 2033 notes on February 9 and August 9 of each year after the date of issuance, commencing on August 9, 2023. Interest on the 2029 notes will accrue from October 31, 2022 and interest on the 2033 notes will accrue from February 9, 2023.</w:t>
      </w:r>
    </w:p>
    <w:p>
      <w:pPr>
        <w:spacing w:after="0" w:line="9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Ranking of the Notes</w:t>
      </w:r>
      <w:r>
        <w:rPr>
          <w:sz w:val="20"/>
          <w:szCs w:val="20"/>
          <w:color w:val="auto"/>
        </w:rPr>
        <w:tab/>
      </w:r>
      <w:r>
        <w:rPr>
          <w:rFonts w:ascii="Arial" w:cs="Arial" w:eastAsia="Arial" w:hAnsi="Arial"/>
          <w:sz w:val="17"/>
          <w:szCs w:val="17"/>
          <w:color w:val="auto"/>
        </w:rPr>
        <w:t>The notes will be senior unsecured obligations and will rank</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equally with all of our other existing and future unsecured and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unsubordinated indebtedness from time to time outstanding.</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of December 1, 2022:</w:t>
      </w:r>
    </w:p>
    <w:p>
      <w:pPr>
        <w:spacing w:after="0" w:line="144" w:lineRule="exact"/>
        <w:rPr>
          <w:sz w:val="20"/>
          <w:szCs w:val="20"/>
          <w:color w:val="auto"/>
        </w:rPr>
      </w:pPr>
    </w:p>
    <w:p>
      <w:pPr>
        <w:ind w:left="4300"/>
        <w:spacing w:after="0"/>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we had approximately $9.7 billion aggregate principal</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amount of indebtedness; and</w:t>
      </w:r>
    </w:p>
    <w:p>
      <w:pPr>
        <w:spacing w:after="0" w:line="144" w:lineRule="exact"/>
        <w:rPr>
          <w:sz w:val="20"/>
          <w:szCs w:val="20"/>
          <w:color w:val="auto"/>
        </w:rPr>
      </w:pPr>
    </w:p>
    <w:p>
      <w:pPr>
        <w:ind w:left="4300"/>
        <w:spacing w:after="0"/>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 subsidiaries had outstanding liabilities (including trade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payables and indebtedness to third parties at the full stated</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amount thereof but excluding intercompany indebtedness</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and other obligations and liabilities of a type not required to</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be reflected on a balance sheet of such subsidiaries in</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accordance with GAAP) of approximately $7.0 billion, all of</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which will be structurally senior to the notes with respect to</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claims on the assets and cash flows of our subsidiaries.</w:t>
      </w:r>
    </w:p>
    <w:p>
      <w:pPr>
        <w:spacing w:after="0" w:line="158" w:lineRule="exact"/>
        <w:rPr>
          <w:sz w:val="20"/>
          <w:szCs w:val="20"/>
          <w:color w:val="auto"/>
        </w:rPr>
      </w:pPr>
    </w:p>
    <w:p>
      <w:pPr>
        <w:ind w:left="4300" w:right="539"/>
        <w:spacing w:after="0" w:line="256" w:lineRule="auto"/>
        <w:rPr>
          <w:sz w:val="20"/>
          <w:szCs w:val="20"/>
          <w:color w:val="auto"/>
        </w:rPr>
      </w:pPr>
      <w:r>
        <w:rPr>
          <w:rFonts w:ascii="Arial" w:cs="Arial" w:eastAsia="Arial" w:hAnsi="Arial"/>
          <w:sz w:val="17"/>
          <w:szCs w:val="17"/>
          <w:color w:val="auto"/>
        </w:rPr>
        <w:t>The foregoing does not reflect the $600 million in aggregate principal amount of incremental term loans that we borrowed on</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January 5, 2023.</w:t>
      </w:r>
    </w:p>
    <w:p>
      <w:pPr>
        <w:spacing w:after="0" w:line="104"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Sinking Fund</w:t>
      </w:r>
      <w:r>
        <w:rPr>
          <w:sz w:val="20"/>
          <w:szCs w:val="20"/>
          <w:color w:val="auto"/>
        </w:rPr>
        <w:tab/>
      </w:r>
      <w:r>
        <w:rPr>
          <w:rFonts w:ascii="Arial" w:cs="Arial" w:eastAsia="Arial" w:hAnsi="Arial"/>
          <w:sz w:val="17"/>
          <w:szCs w:val="17"/>
          <w:color w:val="auto"/>
        </w:rPr>
        <w:t>None.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460" w:hanging="179"/>
        <w:spacing w:after="0" w:line="271" w:lineRule="auto"/>
        <w:rPr>
          <w:sz w:val="20"/>
          <w:szCs w:val="20"/>
          <w:color w:val="auto"/>
        </w:rPr>
      </w:pPr>
      <w:r>
        <w:rPr>
          <w:rFonts w:ascii="Arial" w:cs="Arial" w:eastAsia="Arial" w:hAnsi="Arial"/>
          <w:sz w:val="18"/>
          <w:szCs w:val="18"/>
          <w:color w:val="auto"/>
        </w:rPr>
        <w:t>Mandatory Offer to Repurchase Upon a Change of Control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Certain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Market; No Listing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39"/>
        <w:spacing w:after="0" w:line="265" w:lineRule="auto"/>
        <w:rPr>
          <w:sz w:val="20"/>
          <w:szCs w:val="20"/>
          <w:color w:val="auto"/>
        </w:rPr>
      </w:pPr>
      <w:r>
        <w:rPr>
          <w:rFonts w:ascii="Arial" w:cs="Arial" w:eastAsia="Arial" w:hAnsi="Arial"/>
          <w:sz w:val="17"/>
          <w:szCs w:val="17"/>
          <w:color w:val="auto"/>
        </w:rPr>
        <w:t>The notes will be redeemable at our option, in whole or in part, at any time and from time to time at a redemption price for each series of notes equal to the greater of (i) the make-whole amount (as described in the section entitled “Description of the Notes —  Optional Redemption”) and (ii) 100% of the principal amount of the notes to be redeemed, plus accrued and unpaid interest thereon to, but excluding, the redemption date. In addition, on or after September 1, 2029 in the case of the 2029 notes</w:t>
      </w:r>
    </w:p>
    <w:p>
      <w:pPr>
        <w:spacing w:after="0" w:line="1" w:lineRule="exact"/>
        <w:rPr>
          <w:sz w:val="20"/>
          <w:szCs w:val="20"/>
          <w:color w:val="auto"/>
        </w:rPr>
      </w:pPr>
    </w:p>
    <w:p>
      <w:pPr>
        <w:ind w:right="519"/>
        <w:spacing w:after="0" w:line="252" w:lineRule="auto"/>
        <w:rPr>
          <w:sz w:val="20"/>
          <w:szCs w:val="20"/>
          <w:color w:val="auto"/>
        </w:rPr>
      </w:pPr>
      <w:r>
        <w:rPr>
          <w:rFonts w:ascii="Arial" w:cs="Arial" w:eastAsia="Arial" w:hAnsi="Arial"/>
          <w:sz w:val="18"/>
          <w:szCs w:val="18"/>
          <w:color w:val="auto"/>
        </w:rPr>
        <w:t>(two months prior to the maturity date of the 2029 notes) and on or after November 9, 2032 in the case of the 2033 notes (three months prior to the maturity date of the 2033 notes), in each case, we may redeem the notes at a redemption price equal to 100% of the principal amount thereof plus accrued and unpaid interest to, but excluding, the date of redemption. See “Description of the Notes — Optional Redemption.”</w:t>
      </w:r>
    </w:p>
    <w:p>
      <w:pPr>
        <w:spacing w:after="0" w:line="200" w:lineRule="exact"/>
        <w:rPr>
          <w:sz w:val="20"/>
          <w:szCs w:val="20"/>
          <w:color w:val="auto"/>
        </w:rPr>
      </w:pPr>
    </w:p>
    <w:p>
      <w:pPr>
        <w:spacing w:after="0" w:line="358" w:lineRule="exact"/>
        <w:rPr>
          <w:sz w:val="20"/>
          <w:szCs w:val="20"/>
          <w:color w:val="auto"/>
        </w:rPr>
      </w:pPr>
    </w:p>
    <w:p>
      <w:pPr>
        <w:ind w:right="379"/>
        <w:spacing w:after="0" w:line="252" w:lineRule="auto"/>
        <w:rPr>
          <w:sz w:val="20"/>
          <w:szCs w:val="20"/>
          <w:color w:val="auto"/>
        </w:rPr>
      </w:pPr>
      <w:r>
        <w:rPr>
          <w:rFonts w:ascii="Arial" w:cs="Arial" w:eastAsia="Arial" w:hAnsi="Arial"/>
          <w:sz w:val="18"/>
          <w:szCs w:val="18"/>
          <w:color w:val="auto"/>
        </w:rPr>
        <w:t>Upon the occurrence of a Change of Control Triggering Event (as defined elsewhere in this prospectus supplement) with respect to a series of notes, we will be required to make an offer to purchase the notes of such series at a price equal to 101% of their principal amount plus accrued and unpaid interest to, but excluding, the date of purchase. See “Description of the Notes —  Repurchase of Notes Upon a Change of Control Triggering Event.”</w:t>
      </w:r>
    </w:p>
    <w:p>
      <w:pPr>
        <w:spacing w:after="0" w:line="97" w:lineRule="exact"/>
        <w:rPr>
          <w:sz w:val="20"/>
          <w:szCs w:val="20"/>
          <w:color w:val="auto"/>
        </w:rPr>
      </w:pPr>
    </w:p>
    <w:p>
      <w:pPr>
        <w:ind w:right="499"/>
        <w:spacing w:after="0" w:line="252" w:lineRule="auto"/>
        <w:rPr>
          <w:sz w:val="20"/>
          <w:szCs w:val="20"/>
          <w:color w:val="auto"/>
        </w:rPr>
      </w:pPr>
      <w:r>
        <w:rPr>
          <w:rFonts w:ascii="Arial" w:cs="Arial" w:eastAsia="Arial" w:hAnsi="Arial"/>
          <w:sz w:val="18"/>
          <w:szCs w:val="18"/>
          <w:color w:val="auto"/>
        </w:rPr>
        <w:t>The indenture that will govern each series of notes contains covenants that, subject to significant exceptions, limit our ability and/or the ability of our restricted subsidiaries (which are generally domestic subsidiaries in which we own at least 80% of the voting stock and which own Principal Property (as defined herein)) to:</w:t>
      </w:r>
    </w:p>
    <w:p>
      <w:pPr>
        <w:spacing w:after="0" w:line="167" w:lineRule="exact"/>
        <w:rPr>
          <w:sz w:val="20"/>
          <w:szCs w:val="20"/>
          <w:color w:val="auto"/>
        </w:rPr>
      </w:pPr>
    </w:p>
    <w:p>
      <w:pPr>
        <w:jc w:val="both"/>
        <w:ind w:left="360" w:right="499" w:hanging="358"/>
        <w:spacing w:after="0" w:line="254"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or incur certain liens on Principal Property owned by us or a Restricted Subsidiary and shares of capital stock of any restricted subsidiary and enter into sale and lease-back transactions with respect to Principal Property; and</w:t>
      </w:r>
    </w:p>
    <w:p>
      <w:pPr>
        <w:spacing w:after="0" w:line="149" w:lineRule="exact"/>
        <w:rPr>
          <w:rFonts w:ascii="Arial" w:cs="Arial" w:eastAsia="Arial" w:hAnsi="Arial"/>
          <w:sz w:val="18"/>
          <w:szCs w:val="18"/>
          <w:color w:val="auto"/>
        </w:rPr>
      </w:pPr>
    </w:p>
    <w:p>
      <w:pPr>
        <w:jc w:val="both"/>
        <w:ind w:left="360" w:right="459" w:hanging="358"/>
        <w:spacing w:after="0" w:line="291" w:lineRule="auto"/>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consolidate with or merge with or into, or convey, transfer or lease all or substantially all of our assets, to another person.</w:t>
      </w:r>
    </w:p>
    <w:p>
      <w:pPr>
        <w:spacing w:after="0" w:line="106" w:lineRule="exact"/>
        <w:rPr>
          <w:sz w:val="20"/>
          <w:szCs w:val="20"/>
          <w:color w:val="auto"/>
        </w:rPr>
      </w:pPr>
    </w:p>
    <w:p>
      <w:pPr>
        <w:jc w:val="both"/>
        <w:ind w:right="439"/>
        <w:spacing w:after="0" w:line="264" w:lineRule="auto"/>
        <w:rPr>
          <w:sz w:val="20"/>
          <w:szCs w:val="20"/>
          <w:color w:val="auto"/>
        </w:rPr>
      </w:pPr>
      <w:r>
        <w:rPr>
          <w:rFonts w:ascii="Arial" w:cs="Arial" w:eastAsia="Arial" w:hAnsi="Arial"/>
          <w:sz w:val="18"/>
          <w:szCs w:val="18"/>
          <w:color w:val="auto"/>
        </w:rPr>
        <w:t>These covenants are subject to a number of important limitations and exceptions as described under “Description of the Notes —  Certain Covenants.”</w:t>
      </w:r>
    </w:p>
    <w:p>
      <w:pPr>
        <w:spacing w:after="0" w:line="100" w:lineRule="exact"/>
        <w:rPr>
          <w:sz w:val="20"/>
          <w:szCs w:val="20"/>
          <w:color w:val="auto"/>
        </w:rPr>
      </w:pPr>
    </w:p>
    <w:p>
      <w:pPr>
        <w:ind w:right="419"/>
        <w:spacing w:after="0" w:line="251" w:lineRule="auto"/>
        <w:rPr>
          <w:sz w:val="20"/>
          <w:szCs w:val="20"/>
          <w:color w:val="auto"/>
        </w:rPr>
      </w:pPr>
      <w:r>
        <w:rPr>
          <w:rFonts w:ascii="Arial" w:cs="Arial" w:eastAsia="Arial" w:hAnsi="Arial"/>
          <w:sz w:val="18"/>
          <w:szCs w:val="18"/>
          <w:color w:val="auto"/>
        </w:rPr>
        <w:t>The 2033 notes will be a new issue of securities for which there is currently no established public market. Although the underwriters have informed us that they intend to make a market in the notes, they are not obligated to do so and may discontinue market-making with respect to the notes at any time without notice. Accordingly, a liquid market for the notes may not develop or be maintained. See “Risk Factors — Risks Related to the Notes — Your ability to transfer the notes may be limited by the absence of an active trading market, and an active trading market may not develop for the notes.”</w:t>
      </w:r>
    </w:p>
    <w:p>
      <w:pPr>
        <w:spacing w:after="0" w:line="200" w:lineRule="exact"/>
        <w:rPr>
          <w:sz w:val="20"/>
          <w:szCs w:val="20"/>
          <w:color w:val="auto"/>
        </w:rPr>
      </w:pPr>
    </w:p>
    <w:p>
      <w:pPr>
        <w:sectPr>
          <w:pgSz w:w="11900" w:h="16838" w:orient="portrait"/>
          <w:cols w:equalWidth="0" w:num="2">
            <w:col w:w="3780" w:space="520"/>
            <w:col w:w="5579"/>
          </w:cols>
          <w:pgMar w:left="580" w:top="131"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We do not intend to apply for the listing of the notes on any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securities exchange or for the quotation of the notes in any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dealer quotation system.</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estimate net proceeds from the sale of the notes, after</w:t>
      </w:r>
    </w:p>
    <w:p>
      <w:pPr>
        <w:spacing w:after="0" w:line="9" w:lineRule="exact"/>
        <w:rPr>
          <w:sz w:val="20"/>
          <w:szCs w:val="20"/>
          <w:color w:val="auto"/>
        </w:rPr>
      </w:pPr>
    </w:p>
    <w:p>
      <w:pPr>
        <w:ind w:left="4300" w:right="459"/>
        <w:spacing w:after="0" w:line="253" w:lineRule="auto"/>
        <w:rPr>
          <w:sz w:val="20"/>
          <w:szCs w:val="20"/>
          <w:color w:val="auto"/>
        </w:rPr>
      </w:pPr>
      <w:r>
        <w:rPr>
          <w:rFonts w:ascii="Arial" w:cs="Arial" w:eastAsia="Arial" w:hAnsi="Arial"/>
          <w:sz w:val="18"/>
          <w:szCs w:val="18"/>
          <w:color w:val="auto"/>
        </w:rPr>
        <w:t>deducting underwriter discounts and other estimated offering expenses, will be approximately $1.264 billion. We intend to use the net proceeds from the sale of the notes for general corporate purposes, which may include capital expenditures. See “Use of Proceeds.”</w:t>
      </w:r>
    </w:p>
    <w:p>
      <w:pPr>
        <w:spacing w:after="0" w:line="9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You should carefully consider all of the information set forth in</w:t>
      </w:r>
    </w:p>
    <w:p>
      <w:pPr>
        <w:spacing w:after="0" w:line="9" w:lineRule="exact"/>
        <w:rPr>
          <w:sz w:val="20"/>
          <w:szCs w:val="20"/>
          <w:color w:val="auto"/>
        </w:rPr>
      </w:pPr>
    </w:p>
    <w:p>
      <w:pPr>
        <w:ind w:left="4300" w:right="519"/>
        <w:spacing w:after="0" w:line="252" w:lineRule="auto"/>
        <w:rPr>
          <w:sz w:val="20"/>
          <w:szCs w:val="20"/>
          <w:color w:val="auto"/>
        </w:rPr>
      </w:pPr>
      <w:r>
        <w:rPr>
          <w:rFonts w:ascii="Arial" w:cs="Arial" w:eastAsia="Arial" w:hAnsi="Arial"/>
          <w:sz w:val="18"/>
          <w:szCs w:val="18"/>
          <w:color w:val="auto"/>
        </w:rPr>
        <w:t>this prospectus supplement and the accompanying prospectus and the documents, including the information incorporated by reference, and, in particular, should evaluate the specific factors set forth in this prospectus supplement under “Risk Factors” for an explanation of certain risks you should consider before investing in the notes.</w:t>
      </w:r>
    </w:p>
    <w:p>
      <w:pPr>
        <w:spacing w:after="0" w:line="100"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Form and Denomination</w:t>
      </w:r>
      <w:r>
        <w:rPr>
          <w:sz w:val="20"/>
          <w:szCs w:val="20"/>
          <w:color w:val="auto"/>
        </w:rPr>
        <w:tab/>
      </w:r>
      <w:r>
        <w:rPr>
          <w:rFonts w:ascii="Arial" w:cs="Arial" w:eastAsia="Arial" w:hAnsi="Arial"/>
          <w:sz w:val="17"/>
          <w:szCs w:val="17"/>
          <w:color w:val="auto"/>
        </w:rPr>
        <w:t>Each series of notes will be issued in the form of one or more</w:t>
      </w:r>
    </w:p>
    <w:p>
      <w:pPr>
        <w:spacing w:after="0" w:line="9" w:lineRule="exact"/>
        <w:rPr>
          <w:sz w:val="20"/>
          <w:szCs w:val="20"/>
          <w:color w:val="auto"/>
        </w:rPr>
      </w:pPr>
    </w:p>
    <w:p>
      <w:pPr>
        <w:ind w:left="4300" w:right="399"/>
        <w:spacing w:after="0" w:line="251" w:lineRule="auto"/>
        <w:rPr>
          <w:sz w:val="20"/>
          <w:szCs w:val="20"/>
          <w:color w:val="auto"/>
        </w:rPr>
      </w:pPr>
      <w:r>
        <w:rPr>
          <w:rFonts w:ascii="Arial" w:cs="Arial" w:eastAsia="Arial" w:hAnsi="Arial"/>
          <w:sz w:val="18"/>
          <w:szCs w:val="18"/>
          <w:color w:val="auto"/>
        </w:rPr>
        <w:t>fully registered global securities, without coupons, in denominations of $2,000 in principal amount and integral multiples of $1,000 in excess thereof. These global notes will be deposited with the trustee as custodian for, and registered in the name of, a nominee of The Depository Trust Company (“DTC”). Except in the limited circumstances described under “Description of the Notes — Book-Entry, Form, Denomination and Delivery of Notes,” notes in certificated form will not be issued or exchanged for interests in global securities. Investors may hold their interests in a global note directly through Euroclear Bank S.A./N.V, as operator of the Euroclear System (“Euroclear”), and Clearstream Banking, S.A.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Trustee, Registrar and Paying</w:t>
      </w:r>
    </w:p>
    <w:p>
      <w:pPr>
        <w:spacing w:after="0" w:line="9" w:lineRule="exact"/>
        <w:rPr>
          <w:sz w:val="20"/>
          <w:szCs w:val="20"/>
          <w:color w:val="auto"/>
        </w:rPr>
      </w:pPr>
    </w:p>
    <w:p>
      <w:pPr>
        <w:ind w:left="1460"/>
        <w:spacing w:after="0"/>
        <w:tabs>
          <w:tab w:leader="none" w:pos="4280" w:val="left"/>
        </w:tabs>
        <w:rPr>
          <w:sz w:val="20"/>
          <w:szCs w:val="20"/>
          <w:color w:val="auto"/>
        </w:rPr>
      </w:pPr>
      <w:r>
        <w:rPr>
          <w:rFonts w:ascii="Arial" w:cs="Arial" w:eastAsia="Arial" w:hAnsi="Arial"/>
          <w:sz w:val="18"/>
          <w:szCs w:val="18"/>
          <w:color w:val="auto"/>
        </w:rPr>
        <w:t>Agent</w:t>
      </w:r>
      <w:r>
        <w:rPr>
          <w:sz w:val="20"/>
          <w:szCs w:val="20"/>
          <w:color w:val="auto"/>
        </w:rPr>
        <w:tab/>
      </w:r>
      <w:r>
        <w:rPr>
          <w:rFonts w:ascii="Arial" w:cs="Arial" w:eastAsia="Arial" w:hAnsi="Arial"/>
          <w:sz w:val="18"/>
          <w:szCs w:val="18"/>
          <w:color w:val="auto"/>
        </w:rPr>
        <w:t>U.S. Bank Trust Company, National Association.</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Governing Law</w:t>
      </w:r>
      <w:r>
        <w:rPr>
          <w:sz w:val="20"/>
          <w:szCs w:val="20"/>
          <w:color w:val="auto"/>
        </w:rPr>
        <w:tab/>
      </w:r>
      <w:r>
        <w:rPr>
          <w:rFonts w:ascii="Arial" w:cs="Arial" w:eastAsia="Arial" w:hAnsi="Arial"/>
          <w:sz w:val="17"/>
          <w:szCs w:val="17"/>
          <w:color w:val="auto"/>
        </w:rPr>
        <w:t>The indenture and the notes will be governed by the laws of the</w:t>
      </w:r>
    </w:p>
    <w:p>
      <w:pPr>
        <w:spacing w:after="0" w:line="9"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State of New York.</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6CB7"/>
        </w:rPr>
        <w:t>Summary Consolidated Financial Data</w:t>
      </w:r>
    </w:p>
    <w:p>
      <w:pPr>
        <w:spacing w:after="0" w:line="184" w:lineRule="exact"/>
        <w:rPr>
          <w:sz w:val="20"/>
          <w:szCs w:val="20"/>
          <w:color w:val="auto"/>
        </w:rPr>
      </w:pPr>
    </w:p>
    <w:p>
      <w:pPr>
        <w:ind w:left="1280" w:right="439"/>
        <w:spacing w:after="0" w:line="267" w:lineRule="auto"/>
        <w:rPr>
          <w:rFonts w:ascii="Arial" w:cs="Arial" w:eastAsia="Arial" w:hAnsi="Arial"/>
          <w:sz w:val="17"/>
          <w:szCs w:val="17"/>
          <w:color w:val="0000EE"/>
        </w:rPr>
      </w:pPr>
      <w:r>
        <w:rPr>
          <w:rFonts w:ascii="Arial" w:cs="Arial" w:eastAsia="Arial" w:hAnsi="Arial"/>
          <w:sz w:val="17"/>
          <w:szCs w:val="17"/>
          <w:color w:val="auto"/>
        </w:rPr>
        <w:t xml:space="preserve">Our summary consolidated statement of operations data for the periods ended September 1, 2022, September 2, 2021 and September 3, 2020, and the consolidated balance sheet data as of September 1, 2022 and September 2, 2021, has been derived from our audited consolidated financial statements incorporated by reference herein. The summary consolidated statement of operations data below for the three month periods ended December 1, 2022 and December 2, 2021, and the summary consolidated balance sheet data as of December 1, 2022, have been derived from our unaudited consolidated financial statements that are incorporated by reference herein. Our summary consolidated balance sheet data as of September 3, 2020 has been derived from audited financial statements not incorporated by reference. Our historical results, including our operating results for the three months ended December 1, 2022, are not necessarily indicative of results that may be expected for future periods. Our summary consolidated financial information set forth below should be read in conjunction with our consolidated financial statements, including the notes thereto, and “Management’s Discussion and Analysis of Financial Condition and Results of Operations,” both of which can be found in our </w:t>
      </w:r>
      <w:hyperlink r:id="rId33">
        <w:r>
          <w:rPr>
            <w:rFonts w:ascii="Arial" w:cs="Arial" w:eastAsia="Arial" w:hAnsi="Arial"/>
            <w:sz w:val="17"/>
            <w:szCs w:val="17"/>
            <w:u w:val="single" w:color="auto"/>
            <w:color w:val="0000EE"/>
          </w:rPr>
          <w:t>Annual Report on Form 10-K for the fiscal year ended September 1, 2022</w:t>
        </w:r>
        <w:r>
          <w:rPr>
            <w:rFonts w:ascii="Arial" w:cs="Arial" w:eastAsia="Arial" w:hAnsi="Arial"/>
            <w:sz w:val="17"/>
            <w:szCs w:val="17"/>
            <w:color w:val="0000EE"/>
          </w:rPr>
          <w:t xml:space="preserve"> </w:t>
        </w:r>
        <w:r>
          <w:rPr>
            <w:rFonts w:ascii="Arial" w:cs="Arial" w:eastAsia="Arial" w:hAnsi="Arial"/>
            <w:sz w:val="17"/>
            <w:szCs w:val="17"/>
            <w:color w:val="000000"/>
          </w:rPr>
          <w:t>and our</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Quarterly Report on</w:t>
        </w:r>
      </w:hyperlink>
      <w:r>
        <w:rPr>
          <w:rFonts w:ascii="Arial" w:cs="Arial" w:eastAsia="Arial" w:hAnsi="Arial"/>
          <w:sz w:val="17"/>
          <w:szCs w:val="17"/>
          <w:color w:val="0000EE"/>
        </w:rPr>
        <w:t xml:space="preserve"> </w:t>
      </w:r>
      <w:hyperlink r:id="rId33">
        <w:r>
          <w:rPr>
            <w:rFonts w:ascii="Arial" w:cs="Arial" w:eastAsia="Arial" w:hAnsi="Arial"/>
            <w:sz w:val="17"/>
            <w:szCs w:val="17"/>
            <w:u w:val="single" w:color="auto"/>
            <w:color w:val="0000EE"/>
          </w:rPr>
          <w:t>Form 10-Q for the fiscal quarter ended December 1, 2022</w:t>
        </w:r>
        <w:r>
          <w:rPr>
            <w:rFonts w:ascii="Arial" w:cs="Arial" w:eastAsia="Arial" w:hAnsi="Arial"/>
            <w:sz w:val="17"/>
            <w:szCs w:val="17"/>
            <w:color w:val="000000"/>
          </w:rPr>
          <w:t>, which are incorporated by reference herein.</w:t>
        </w:r>
      </w:hyperlink>
    </w:p>
    <w:p>
      <w:pPr>
        <w:spacing w:after="0" w:line="128"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10"/>
          </w:tcPr>
          <w:p>
            <w:pPr>
              <w:jc w:val="center"/>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1700" w:type="dxa"/>
            <w:vAlign w:val="bottom"/>
            <w:gridSpan w:val="9"/>
          </w:tcPr>
          <w:p>
            <w:pPr>
              <w:jc w:val="center"/>
              <w:ind w:right="7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83"/>
        </w:trPr>
        <w:tc>
          <w:tcPr>
            <w:tcW w:w="3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00" w:type="dxa"/>
            <w:vAlign w:val="bottom"/>
            <w:tcBorders>
              <w:top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September 1, September 2,</w:t>
            </w: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1,</w:t>
            </w: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2,</w:t>
            </w:r>
          </w:p>
        </w:tc>
        <w:tc>
          <w:tcPr>
            <w:tcW w:w="60" w:type="dxa"/>
            <w:vAlign w:val="bottom"/>
          </w:tcPr>
          <w:p>
            <w:pPr>
              <w:spacing w:after="0"/>
              <w:rPr>
                <w:sz w:val="15"/>
                <w:szCs w:val="15"/>
                <w:color w:val="auto"/>
              </w:rPr>
            </w:pPr>
          </w:p>
        </w:tc>
      </w:tr>
      <w:tr>
        <w:trPr>
          <w:trHeight w:val="202"/>
        </w:trPr>
        <w:tc>
          <w:tcPr>
            <w:tcW w:w="33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ind w:left="14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ind w:left="14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14"/>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shd w:val="clear" w:color="auto" w:fill="CCEEFF"/>
          </w:tcPr>
          <w:p>
            <w:pPr>
              <w:jc w:val="center"/>
              <w:ind w:right="2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32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20"/>
              <w:spacing w:after="0"/>
              <w:rPr>
                <w:sz w:val="20"/>
                <w:szCs w:val="20"/>
                <w:color w:val="auto"/>
              </w:rPr>
            </w:pPr>
            <w:r>
              <w:rPr>
                <w:rFonts w:ascii="Arial" w:cs="Arial" w:eastAsia="Arial" w:hAnsi="Arial"/>
                <w:sz w:val="18"/>
                <w:szCs w:val="18"/>
                <w:color w:val="auto"/>
              </w:rPr>
              <w:t>​$30,758</w:t>
            </w: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​$27,705</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​$21,435</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700" w:type="dxa"/>
            <w:vAlign w:val="bottom"/>
            <w:gridSpan w:val="9"/>
          </w:tcPr>
          <w:p>
            <w:pPr>
              <w:jc w:val="right"/>
              <w:ind w:right="70"/>
              <w:spacing w:after="0"/>
              <w:rPr>
                <w:sz w:val="20"/>
                <w:szCs w:val="20"/>
                <w:color w:val="auto"/>
              </w:rPr>
            </w:pPr>
            <w:r>
              <w:rPr>
                <w:rFonts w:ascii="Arial" w:cs="Arial" w:eastAsia="Arial" w:hAnsi="Arial"/>
                <w:sz w:val="18"/>
                <w:szCs w:val="18"/>
                <w:color w:val="auto"/>
              </w:rPr>
              <w:t>$4,085  ​​​  $7,687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​16,860</w:t>
            </w:r>
          </w:p>
        </w:tc>
        <w:tc>
          <w:tcPr>
            <w:tcW w:w="100" w:type="dxa"/>
            <w:vAlign w:val="bottom"/>
            <w:shd w:val="clear" w:color="auto" w:fill="CCEEFF"/>
          </w:tcPr>
          <w:p>
            <w:pPr>
              <w:spacing w:after="0"/>
              <w:rPr>
                <w:sz w:val="23"/>
                <w:szCs w:val="23"/>
                <w:color w:val="auto"/>
              </w:rPr>
            </w:pP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​17,282</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​14,883</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​3,192</w:t>
            </w:r>
          </w:p>
        </w:tc>
        <w:tc>
          <w:tcPr>
            <w:tcW w:w="240" w:type="dxa"/>
            <w:vAlign w:val="bottom"/>
            <w:gridSpan w:val="3"/>
            <w:shd w:val="clear" w:color="auto" w:fill="CCEEFF"/>
          </w:tcPr>
          <w:p>
            <w:pPr>
              <w:jc w:val="center"/>
              <w:ind w:right="28"/>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​4,122</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 ​13,898</w:t>
            </w:r>
          </w:p>
        </w:tc>
        <w:tc>
          <w:tcPr>
            <w:tcW w:w="100" w:type="dxa"/>
            <w:vAlign w:val="bottom"/>
          </w:tcPr>
          <w:p>
            <w:pPr>
              <w:spacing w:after="0"/>
              <w:rPr>
                <w:sz w:val="21"/>
                <w:szCs w:val="21"/>
                <w:color w:val="auto"/>
              </w:rPr>
            </w:pP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​10,423</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6,552</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893</w:t>
            </w:r>
          </w:p>
        </w:tc>
        <w:tc>
          <w:tcPr>
            <w:tcW w:w="240" w:type="dxa"/>
            <w:vAlign w:val="bottom"/>
            <w:gridSpan w:val="3"/>
          </w:tcPr>
          <w:p>
            <w:pPr>
              <w:jc w:val="center"/>
              <w:ind w:right="28"/>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​3,565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center"/>
              <w:ind w:right="2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3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20"/>
              <w:spacing w:after="0"/>
              <w:rPr>
                <w:sz w:val="20"/>
                <w:szCs w:val="20"/>
                <w:color w:val="auto"/>
              </w:rPr>
            </w:pPr>
            <w:r>
              <w:rPr>
                <w:rFonts w:ascii="Arial" w:cs="Arial" w:eastAsia="Arial" w:hAnsi="Arial"/>
                <w:sz w:val="18"/>
                <w:szCs w:val="18"/>
                <w:color w:val="auto"/>
              </w:rPr>
              <w:t>​ ​ 3,116</w:t>
            </w: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2,663</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2,600</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849</w:t>
            </w:r>
          </w:p>
        </w:tc>
        <w:tc>
          <w:tcPr>
            <w:tcW w:w="240" w:type="dxa"/>
            <w:vAlign w:val="bottom"/>
            <w:gridSpan w:val="3"/>
          </w:tcPr>
          <w:p>
            <w:pPr>
              <w:jc w:val="center"/>
              <w:ind w:right="28"/>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712</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 1,066</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251</w:t>
            </w:r>
          </w:p>
        </w:tc>
        <w:tc>
          <w:tcPr>
            <w:tcW w:w="240" w:type="dxa"/>
            <w:vAlign w:val="bottom"/>
            <w:gridSpan w:val="3"/>
            <w:shd w:val="clear" w:color="auto" w:fill="CCEEFF"/>
          </w:tcPr>
          <w:p>
            <w:pPr>
              <w:jc w:val="center"/>
              <w:ind w:right="2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320" w:type="dxa"/>
            <w:vAlign w:val="bottom"/>
          </w:tcPr>
          <w:p>
            <w:pPr>
              <w:ind w:left="18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2"/>
          </w:tcPr>
          <w:p>
            <w:pPr>
              <w:jc w:val="right"/>
              <w:ind w:right="16"/>
              <w:spacing w:after="0"/>
              <w:rPr>
                <w:sz w:val="20"/>
                <w:szCs w:val="20"/>
                <w:color w:val="auto"/>
              </w:rPr>
            </w:pPr>
            <w:r>
              <w:rPr>
                <w:rFonts w:ascii="Arial" w:cs="Arial" w:eastAsia="Arial" w:hAnsi="Arial"/>
                <w:sz w:val="18"/>
                <w:szCs w:val="18"/>
                <w:color w:val="auto"/>
              </w:rPr>
              <w:t>48</w:t>
            </w: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488</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60</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240" w:type="dxa"/>
            <w:vAlign w:val="bottom"/>
            <w:gridSpan w:val="3"/>
          </w:tcPr>
          <w:p>
            <w:pPr>
              <w:jc w:val="center"/>
              <w:ind w:right="28"/>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gridSpan w:val="3"/>
            <w:shd w:val="clear" w:color="auto" w:fill="CCEEFF"/>
          </w:tcPr>
          <w:p>
            <w:pPr>
              <w:jc w:val="center"/>
              <w:ind w:right="2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 ​ 9,702</w:t>
            </w:r>
          </w:p>
        </w:tc>
        <w:tc>
          <w:tcPr>
            <w:tcW w:w="100" w:type="dxa"/>
            <w:vAlign w:val="bottom"/>
          </w:tcPr>
          <w:p>
            <w:pPr>
              <w:spacing w:after="0"/>
              <w:rPr>
                <w:sz w:val="21"/>
                <w:szCs w:val="21"/>
                <w:color w:val="auto"/>
              </w:rPr>
            </w:pP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6,283</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3,003</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20"/>
              <w:spacing w:after="0"/>
              <w:rPr>
                <w:sz w:val="20"/>
                <w:szCs w:val="20"/>
                <w:color w:val="auto"/>
              </w:rPr>
            </w:pPr>
            <w:r>
              <w:rPr>
                <w:rFonts w:ascii="Arial" w:cs="Arial" w:eastAsia="Arial" w:hAnsi="Arial"/>
                <w:sz w:val="18"/>
                <w:szCs w:val="18"/>
                <w:color w:val="auto"/>
              </w:rPr>
              <w:t>​ (209)</w:t>
            </w:r>
          </w:p>
        </w:tc>
        <w:tc>
          <w:tcPr>
            <w:tcW w:w="240" w:type="dxa"/>
            <w:vAlign w:val="bottom"/>
            <w:gridSpan w:val="3"/>
          </w:tcPr>
          <w:p>
            <w:pPr>
              <w:jc w:val="center"/>
              <w:ind w:right="28"/>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​2,631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96</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240" w:type="dxa"/>
            <w:vAlign w:val="bottom"/>
            <w:gridSpan w:val="3"/>
            <w:shd w:val="clear" w:color="auto" w:fill="CCEEFF"/>
          </w:tcPr>
          <w:p>
            <w:pPr>
              <w:jc w:val="center"/>
              <w:ind w:right="2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40" w:type="dxa"/>
            <w:vAlign w:val="bottom"/>
            <w:gridSpan w:val="3"/>
          </w:tcPr>
          <w:p>
            <w:pPr>
              <w:jc w:val="center"/>
              <w:ind w:right="28"/>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2"/>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gridSpan w:val="3"/>
            <w:shd w:val="clear" w:color="auto" w:fill="CCEEFF"/>
          </w:tcPr>
          <w:p>
            <w:pPr>
              <w:jc w:val="center"/>
              <w:ind w:right="2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 ​ 9,571</w:t>
            </w:r>
          </w:p>
        </w:tc>
        <w:tc>
          <w:tcPr>
            <w:tcW w:w="100" w:type="dxa"/>
            <w:vAlign w:val="bottom"/>
          </w:tcPr>
          <w:p>
            <w:pPr>
              <w:spacing w:after="0"/>
              <w:rPr>
                <w:sz w:val="21"/>
                <w:szCs w:val="21"/>
                <w:color w:val="auto"/>
              </w:rPr>
            </w:pP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6,218</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2,983</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20"/>
              <w:spacing w:after="0"/>
              <w:rPr>
                <w:sz w:val="20"/>
                <w:szCs w:val="20"/>
                <w:color w:val="auto"/>
              </w:rPr>
            </w:pPr>
            <w:r>
              <w:rPr>
                <w:rFonts w:ascii="Arial" w:cs="Arial" w:eastAsia="Arial" w:hAnsi="Arial"/>
                <w:sz w:val="18"/>
                <w:szCs w:val="18"/>
                <w:color w:val="auto"/>
              </w:rPr>
              <w:t>​ (176)</w:t>
            </w:r>
          </w:p>
        </w:tc>
        <w:tc>
          <w:tcPr>
            <w:tcW w:w="240" w:type="dxa"/>
            <w:vAlign w:val="bottom"/>
            <w:gridSpan w:val="3"/>
          </w:tcPr>
          <w:p>
            <w:pPr>
              <w:jc w:val="center"/>
              <w:ind w:right="28"/>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​2,521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gridSpan w:val="3"/>
            <w:shd w:val="clear" w:color="auto" w:fill="CCEEFF"/>
          </w:tcPr>
          <w:p>
            <w:pPr>
              <w:jc w:val="center"/>
              <w:ind w:right="28"/>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(219)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2"/>
        </w:trPr>
        <w:tc>
          <w:tcPr>
            <w:tcW w:w="3320" w:type="dxa"/>
            <w:vAlign w:val="bottom"/>
          </w:tcPr>
          <w:p>
            <w:pPr>
              <w:spacing w:after="0"/>
              <w:rPr>
                <w:sz w:val="20"/>
                <w:szCs w:val="20"/>
                <w:color w:val="auto"/>
              </w:rPr>
            </w:pPr>
            <w:r>
              <w:rPr>
                <w:rFonts w:ascii="Arial" w:cs="Arial" w:eastAsia="Arial" w:hAnsi="Arial"/>
                <w:sz w:val="18"/>
                <w:szCs w:val="18"/>
                <w:color w:val="auto"/>
              </w:rPr>
              <w:t>Equity in net income (loss) of equity</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3320" w:type="dxa"/>
            <w:vAlign w:val="bottom"/>
          </w:tcPr>
          <w:p>
            <w:pPr>
              <w:ind w:left="180"/>
              <w:spacing w:after="0"/>
              <w:rPr>
                <w:sz w:val="20"/>
                <w:szCs w:val="20"/>
                <w:color w:val="auto"/>
              </w:rPr>
            </w:pPr>
            <w:r>
              <w:rPr>
                <w:rFonts w:ascii="Arial" w:cs="Arial" w:eastAsia="Arial" w:hAnsi="Arial"/>
                <w:sz w:val="18"/>
                <w:szCs w:val="18"/>
                <w:color w:val="auto"/>
              </w:rPr>
              <w:t>method investees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 ​</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37</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40" w:type="dxa"/>
            <w:vAlign w:val="bottom"/>
            <w:gridSpan w:val="3"/>
          </w:tcPr>
          <w:p>
            <w:pPr>
              <w:jc w:val="center"/>
              <w:ind w:right="28"/>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 8,687</w:t>
            </w:r>
          </w:p>
        </w:tc>
        <w:tc>
          <w:tcPr>
            <w:tcW w:w="100" w:type="dxa"/>
            <w:vAlign w:val="bottom"/>
            <w:shd w:val="clear" w:color="auto" w:fill="CCEEFF"/>
          </w:tcPr>
          <w:p>
            <w:pPr>
              <w:spacing w:after="0"/>
              <w:rPr>
                <w:sz w:val="22"/>
                <w:szCs w:val="22"/>
                <w:color w:val="auto"/>
              </w:rPr>
            </w:pP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 5,861</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 2,710</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(195)</w:t>
            </w:r>
          </w:p>
        </w:tc>
        <w:tc>
          <w:tcPr>
            <w:tcW w:w="240" w:type="dxa"/>
            <w:vAlign w:val="bottom"/>
            <w:gridSpan w:val="3"/>
            <w:shd w:val="clear" w:color="auto" w:fill="CCEEFF"/>
          </w:tcPr>
          <w:p>
            <w:pPr>
              <w:jc w:val="center"/>
              <w:ind w:right="28"/>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​2,306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3320" w:type="dxa"/>
            <w:vAlign w:val="bottom"/>
          </w:tcPr>
          <w:p>
            <w:pPr>
              <w:spacing w:after="0"/>
              <w:rPr>
                <w:sz w:val="20"/>
                <w:szCs w:val="20"/>
                <w:color w:val="auto"/>
              </w:rPr>
            </w:pPr>
            <w:r>
              <w:rPr>
                <w:rFonts w:ascii="Arial" w:cs="Arial" w:eastAsia="Arial" w:hAnsi="Arial"/>
                <w:sz w:val="18"/>
                <w:szCs w:val="18"/>
                <w:color w:val="auto"/>
              </w:rPr>
              <w:t>Net income attributable to noncontrolling</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4"/>
        </w:trPr>
        <w:tc>
          <w:tcPr>
            <w:tcW w:w="332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 ​</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center"/>
              <w:ind w:right="28"/>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Micron</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100" w:type="dxa"/>
            <w:vAlign w:val="bottom"/>
            <w:shd w:val="clear" w:color="auto" w:fill="CCEEFF"/>
          </w:tcPr>
          <w:p>
            <w:pPr>
              <w:spacing w:after="0"/>
              <w:rPr>
                <w:sz w:val="24"/>
                <w:szCs w:val="24"/>
                <w:color w:val="auto"/>
              </w:rPr>
            </w:pP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5,861</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2,687</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40" w:type="dxa"/>
            <w:vAlign w:val="bottom"/>
            <w:gridSpan w:val="3"/>
            <w:shd w:val="clear" w:color="auto" w:fill="CCEEFF"/>
          </w:tcPr>
          <w:p>
            <w:pPr>
              <w:jc w:val="center"/>
              <w:ind w:right="28"/>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$2,306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center"/>
              <w:ind w:right="217"/>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1,</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2,</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w:t>
            </w:r>
          </w:p>
        </w:tc>
        <w:tc>
          <w:tcPr>
            <w:tcW w:w="160" w:type="dxa"/>
            <w:vAlign w:val="bottom"/>
          </w:tcPr>
          <w:p>
            <w:pPr>
              <w:spacing w:after="0"/>
              <w:rPr>
                <w:sz w:val="15"/>
                <w:szCs w:val="15"/>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December 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64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660" w:type="dxa"/>
            <w:vAlign w:val="bottom"/>
          </w:tcPr>
          <w:p>
            <w:pPr>
              <w:jc w:val="center"/>
              <w:ind w:right="197"/>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640" w:type="dxa"/>
            <w:vAlign w:val="bottom"/>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vMerge w:val="continue"/>
            <w:shd w:val="clear" w:color="auto" w:fill="CCEEFF"/>
          </w:tcPr>
          <w:p>
            <w:pPr>
              <w:spacing w:after="0"/>
              <w:rPr>
                <w:sz w:val="21"/>
                <w:szCs w:val="21"/>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64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66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 ​</w:t>
            </w:r>
          </w:p>
        </w:tc>
        <w:tc>
          <w:tcPr>
            <w:tcW w:w="64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0"/>
                <w:szCs w:val="20"/>
                <w:color w:val="auto"/>
              </w:rPr>
            </w:pPr>
            <w:r>
              <w:rPr>
                <w:rFonts w:ascii="Arial" w:cs="Arial" w:eastAsia="Arial" w:hAnsi="Arial"/>
                <w:sz w:val="18"/>
                <w:szCs w:val="18"/>
                <w:color w:val="auto"/>
              </w:rPr>
              <w:t>Cash and equivalents and short-term investments</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5"/>
              <w:spacing w:after="0"/>
              <w:rPr>
                <w:sz w:val="20"/>
                <w:szCs w:val="20"/>
                <w:color w:val="auto"/>
              </w:rPr>
            </w:pPr>
            <w:r>
              <w:rPr>
                <w:rFonts w:ascii="Arial" w:cs="Arial" w:eastAsia="Arial" w:hAnsi="Arial"/>
                <w:sz w:val="18"/>
                <w:szCs w:val="18"/>
                <w:color w:val="auto"/>
              </w:rPr>
              <w:t>9,331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8,633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8,142</w:t>
            </w:r>
          </w:p>
        </w:tc>
        <w:tc>
          <w:tcPr>
            <w:tcW w:w="1060" w:type="dxa"/>
            <w:vAlign w:val="bottom"/>
            <w:gridSpan w:val="4"/>
          </w:tcPr>
          <w:p>
            <w:pPr>
              <w:spacing w:after="0"/>
              <w:rPr>
                <w:sz w:val="20"/>
                <w:szCs w:val="20"/>
                <w:color w:val="auto"/>
              </w:rPr>
            </w:pPr>
            <w:r>
              <w:rPr>
                <w:rFonts w:ascii="Arial" w:cs="Arial" w:eastAsia="Arial" w:hAnsi="Arial"/>
                <w:sz w:val="18"/>
                <w:szCs w:val="18"/>
                <w:color w:val="auto"/>
              </w:rPr>
              <w:t xml:space="preserve">​​​ ​$10,581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​12,450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​11,274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 9,823</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​12,340</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0"/>
                <w:szCs w:val="20"/>
                <w:color w:val="auto"/>
              </w:rPr>
            </w:pPr>
            <w:r>
              <w:rPr>
                <w:rFonts w:ascii="Arial" w:cs="Arial" w:eastAsia="Arial" w:hAnsi="Arial"/>
                <w:sz w:val="18"/>
                <w:szCs w:val="18"/>
                <w:color w:val="auto"/>
              </w:rPr>
              <w:t>Long-term marketable investments</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 ​ 1,647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 ​ 1,765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 ​ 1,048</w:t>
            </w:r>
          </w:p>
        </w:tc>
        <w:tc>
          <w:tcPr>
            <w:tcW w:w="880" w:type="dxa"/>
            <w:vAlign w:val="bottom"/>
            <w:gridSpan w:val="2"/>
          </w:tcPr>
          <w:p>
            <w:pPr>
              <w:spacing w:after="0"/>
              <w:rPr>
                <w:sz w:val="20"/>
                <w:szCs w:val="20"/>
                <w:color w:val="auto"/>
              </w:rPr>
            </w:pPr>
            <w:r>
              <w:rPr>
                <w:rFonts w:ascii="Arial" w:cs="Arial" w:eastAsia="Arial" w:hAnsi="Arial"/>
                <w:sz w:val="18"/>
                <w:szCs w:val="18"/>
                <w:color w:val="auto"/>
              </w:rPr>
              <w:t>​​​ ​ ​ 1,426</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​66,283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​58,849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​53,678</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​67,874</w:t>
            </w:r>
          </w:p>
        </w:tc>
        <w:tc>
          <w:tcPr>
            <w:tcW w:w="12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Current debt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 ​</w:t>
            </w:r>
          </w:p>
        </w:tc>
        <w:tc>
          <w:tcPr>
            <w:tcW w:w="640" w:type="dxa"/>
            <w:vAlign w:val="bottom"/>
          </w:tcPr>
          <w:p>
            <w:pPr>
              <w:jc w:val="right"/>
              <w:ind w:right="75"/>
              <w:spacing w:after="0"/>
              <w:rPr>
                <w:sz w:val="20"/>
                <w:szCs w:val="20"/>
                <w:color w:val="auto"/>
              </w:rPr>
            </w:pPr>
            <w:r>
              <w:rPr>
                <w:rFonts w:ascii="Arial" w:cs="Arial" w:eastAsia="Arial" w:hAnsi="Arial"/>
                <w:sz w:val="18"/>
                <w:szCs w:val="18"/>
                <w:color w:val="auto"/>
              </w:rPr>
              <w:t>103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155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ind w:left="40"/>
              <w:spacing w:after="0"/>
              <w:rPr>
                <w:sz w:val="20"/>
                <w:szCs w:val="20"/>
                <w:color w:val="auto"/>
              </w:rPr>
            </w:pPr>
            <w:r>
              <w:rPr>
                <w:rFonts w:ascii="Arial" w:cs="Arial" w:eastAsia="Arial" w:hAnsi="Arial"/>
                <w:sz w:val="18"/>
                <w:szCs w:val="18"/>
                <w:color w:val="auto"/>
              </w:rPr>
              <w:t>​ ​  171</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 6,803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 6,621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 6,373</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​10,094</w:t>
            </w:r>
          </w:p>
        </w:tc>
        <w:tc>
          <w:tcPr>
            <w:tcW w:w="12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404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 ​49,907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 ​43,933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 ​38,996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ind w:left="40"/>
              <w:spacing w:after="0"/>
              <w:rPr>
                <w:sz w:val="20"/>
                <w:szCs w:val="20"/>
                <w:color w:val="auto"/>
              </w:rPr>
            </w:pPr>
            <w:r>
              <w:rPr>
                <w:rFonts w:ascii="Arial" w:cs="Arial" w:eastAsia="Arial" w:hAnsi="Arial"/>
                <w:sz w:val="18"/>
                <w:szCs w:val="18"/>
                <w:color w:val="auto"/>
              </w:rPr>
              <w:t>​ ​49,306</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RISK FACTORS</w:t>
      </w:r>
    </w:p>
    <w:p>
      <w:pPr>
        <w:spacing w:after="0" w:line="159" w:lineRule="exact"/>
        <w:rPr>
          <w:sz w:val="20"/>
          <w:szCs w:val="20"/>
          <w:color w:val="auto"/>
        </w:rPr>
      </w:pPr>
    </w:p>
    <w:p>
      <w:pPr>
        <w:ind w:left="1260" w:right="519"/>
        <w:spacing w:after="0" w:line="256"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In considering whether to purchase the notes, you should carefully consider all the information contained or incorporated by reference in this prospectus supplement and the accompanying </w:t>
      </w:r>
      <w:hyperlink r:id="rId33">
        <w:r>
          <w:rPr>
            <w:rFonts w:ascii="Arial" w:cs="Arial" w:eastAsia="Arial" w:hAnsi="Arial"/>
            <w:sz w:val="18"/>
            <w:szCs w:val="18"/>
            <w:i w:val="1"/>
            <w:iCs w:val="1"/>
            <w:color w:val="auto"/>
          </w:rPr>
          <w:t xml:space="preserve">prospectus. In particular, you should carefully consider the risk factors in our </w:t>
        </w:r>
        <w:r>
          <w:rPr>
            <w:rFonts w:ascii="Arial" w:cs="Arial" w:eastAsia="Arial" w:hAnsi="Arial"/>
            <w:sz w:val="18"/>
            <w:szCs w:val="18"/>
            <w:i w:val="1"/>
            <w:iCs w:val="1"/>
            <w:u w:val="single" w:color="auto"/>
            <w:color w:val="0000EE"/>
          </w:rPr>
          <w:t>Quarterly Report on</w:t>
        </w:r>
      </w:hyperlink>
      <w:r>
        <w:rPr>
          <w:rFonts w:ascii="Arial" w:cs="Arial" w:eastAsia="Arial" w:hAnsi="Arial"/>
          <w:sz w:val="18"/>
          <w:szCs w:val="18"/>
          <w:i w:val="1"/>
          <w:iCs w:val="1"/>
          <w:color w:val="auto"/>
        </w:rPr>
        <w:t xml:space="preserve"> </w:t>
      </w:r>
      <w:hyperlink r:id="rId33">
        <w:r>
          <w:rPr>
            <w:rFonts w:ascii="Arial" w:cs="Arial" w:eastAsia="Arial" w:hAnsi="Arial"/>
            <w:sz w:val="18"/>
            <w:szCs w:val="18"/>
            <w:i w:val="1"/>
            <w:iCs w:val="1"/>
            <w:u w:val="single" w:color="auto"/>
            <w:color w:val="0000EE"/>
          </w:rPr>
          <w:t>Form 10-Q for the quarter ended December 1, 2022</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 xml:space="preserve">as well as the risk factors described below, </w:t>
        </w:r>
      </w:hyperlink>
      <w:r>
        <w:rPr>
          <w:rFonts w:ascii="Arial" w:cs="Arial" w:eastAsia="Arial" w:hAnsi="Arial"/>
          <w:sz w:val="18"/>
          <w:szCs w:val="18"/>
          <w:i w:val="1"/>
          <w:iCs w:val="1"/>
          <w:color w:val="0000EE"/>
        </w:rPr>
        <w:t xml:space="preserve">which </w:t>
      </w:r>
      <w:r>
        <w:rPr>
          <w:rFonts w:ascii="Arial" w:cs="Arial" w:eastAsia="Arial" w:hAnsi="Arial"/>
          <w:sz w:val="18"/>
          <w:szCs w:val="18"/>
          <w:i w:val="1"/>
          <w:iCs w:val="1"/>
          <w:color w:val="000000"/>
        </w:rPr>
        <w:t>are not exhaustive. In this section, references to “Micron,” “us,” “we,” or “our” refer only to Micron Technology, Inc. and not to any of its subsidiaries.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Risks Related to Our Business</w:t>
      </w:r>
    </w:p>
    <w:p>
      <w:pPr>
        <w:spacing w:after="0" w:line="170"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color w:val="auto"/>
        </w:rPr>
        <w:t>We hereby incorporate by reference the risk factors in Item 1A of our Quarterly Report on Form 10-Q for the fiscal quarter ended December 1, 2022.</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Risks Related to the Notes</w:t>
      </w:r>
    </w:p>
    <w:p>
      <w:pPr>
        <w:spacing w:after="0" w:line="229" w:lineRule="exact"/>
        <w:rPr>
          <w:sz w:val="20"/>
          <w:szCs w:val="20"/>
          <w:color w:val="auto"/>
        </w:rPr>
      </w:pPr>
    </w:p>
    <w:p>
      <w:pPr>
        <w:ind w:left="1260" w:right="699"/>
        <w:spacing w:after="0" w:line="28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our obligations under the notes.</w:t>
      </w:r>
    </w:p>
    <w:p>
      <w:pPr>
        <w:spacing w:after="0" w:line="107"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124"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44" w:lineRule="exact"/>
        <w:rPr>
          <w:sz w:val="20"/>
          <w:szCs w:val="20"/>
          <w:color w:val="auto"/>
        </w:rPr>
      </w:pPr>
    </w:p>
    <w:p>
      <w:pPr>
        <w:ind w:left="1260" w:right="899"/>
        <w:spacing w:after="0" w:line="252" w:lineRule="auto"/>
        <w:rPr>
          <w:sz w:val="20"/>
          <w:szCs w:val="20"/>
          <w:color w:val="auto"/>
        </w:rPr>
      </w:pPr>
      <w:r>
        <w:rPr>
          <w:rFonts w:ascii="Arial" w:cs="Arial" w:eastAsia="Arial" w:hAnsi="Arial"/>
          <w:sz w:val="18"/>
          <w:szCs w:val="18"/>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86" w:lineRule="exact"/>
        <w:rPr>
          <w:sz w:val="20"/>
          <w:szCs w:val="20"/>
          <w:color w:val="auto"/>
        </w:rPr>
      </w:pPr>
    </w:p>
    <w:p>
      <w:pPr>
        <w:ind w:left="1260" w:right="699"/>
        <w:spacing w:after="0" w:line="287" w:lineRule="auto"/>
        <w:rPr>
          <w:sz w:val="20"/>
          <w:szCs w:val="20"/>
          <w:color w:val="auto"/>
        </w:rPr>
      </w:pPr>
      <w:r>
        <w:rPr>
          <w:rFonts w:ascii="Arial" w:cs="Arial" w:eastAsia="Arial" w:hAnsi="Arial"/>
          <w:sz w:val="18"/>
          <w:szCs w:val="18"/>
          <w:b w:val="1"/>
          <w:bCs w:val="1"/>
          <w:i w:val="1"/>
          <w:iCs w:val="1"/>
          <w:color w:val="auto"/>
        </w:rPr>
        <w:t>Despite current indebtedness levels, we are able to incur substantially more debt. This could further exacerbate the risks described herein.</w:t>
      </w:r>
    </w:p>
    <w:p>
      <w:pPr>
        <w:spacing w:after="0" w:line="107"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 xml:space="preserve">We and our subsidiaries are able to incur substantial additional indebtedness in the future, including secured indebtedness, and the terms of the indenture governing each series of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the holders of that debt will be entitled to share ratably with you in any proceeds distributed in connection with any insolvency, liquidation, reorganization,</w:t>
      </w:r>
    </w:p>
    <w:p>
      <w:pPr>
        <w:sectPr>
          <w:pgSz w:w="11900" w:h="16838" w:orient="portrait"/>
          <w:cols w:equalWidth="0" w:num="1">
            <w:col w:w="9879"/>
          </w:cols>
          <w:pgMar w:left="580" w:top="132" w:right="1440" w:bottom="1440" w:gutter="0" w:footer="0" w:header="0"/>
        </w:sectPr>
      </w:pPr>
    </w:p>
    <w:p>
      <w:pPr>
        <w:spacing w:after="0" w:line="38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color w:val="auto"/>
        </w:rPr>
        <w:t>dissolution or other winding-up of us. If new debt is added to our current debt levels, the related risks that we and our subsidiaries now face could intensify. See “Description of the Notes.”</w:t>
      </w:r>
    </w:p>
    <w:p>
      <w:pPr>
        <w:spacing w:after="0" w:line="135" w:lineRule="exact"/>
        <w:rPr>
          <w:sz w:val="20"/>
          <w:szCs w:val="20"/>
          <w:color w:val="auto"/>
        </w:rPr>
      </w:pPr>
    </w:p>
    <w:p>
      <w:pPr>
        <w:ind w:left="1260" w:right="579"/>
        <w:spacing w:after="0" w:line="271" w:lineRule="auto"/>
        <w:rPr>
          <w:sz w:val="20"/>
          <w:szCs w:val="20"/>
          <w:color w:val="auto"/>
        </w:rPr>
      </w:pPr>
      <w:r>
        <w:rPr>
          <w:rFonts w:ascii="Arial" w:cs="Arial" w:eastAsia="Arial" w:hAnsi="Arial"/>
          <w:sz w:val="18"/>
          <w:szCs w:val="18"/>
          <w:b w:val="1"/>
          <w:bCs w:val="1"/>
          <w:i w:val="1"/>
          <w:iCs w:val="1"/>
          <w:color w:val="auto"/>
        </w:rPr>
        <w:t>The indenture governing each series of notes will contain negative covenants that may have a limited effect but these covenants may still restrict the operation of our business.</w:t>
      </w:r>
    </w:p>
    <w:p>
      <w:pPr>
        <w:spacing w:after="0" w:line="95" w:lineRule="exact"/>
        <w:rPr>
          <w:sz w:val="20"/>
          <w:szCs w:val="20"/>
          <w:color w:val="auto"/>
        </w:rPr>
      </w:pPr>
    </w:p>
    <w:p>
      <w:pPr>
        <w:ind w:left="1260" w:right="439"/>
        <w:spacing w:after="0" w:line="256" w:lineRule="auto"/>
        <w:rPr>
          <w:sz w:val="20"/>
          <w:szCs w:val="20"/>
          <w:color w:val="auto"/>
        </w:rPr>
      </w:pPr>
      <w:r>
        <w:rPr>
          <w:rFonts w:ascii="Arial" w:cs="Arial" w:eastAsia="Arial" w:hAnsi="Arial"/>
          <w:sz w:val="17"/>
          <w:szCs w:val="17"/>
          <w:color w:val="auto"/>
        </w:rPr>
        <w:t>The indenture governing each series of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 — Certain Covenants.” In light of these exceptions, holders of the notes may be structurally or contractually subordinated to new lenders or other creditors.</w:t>
      </w:r>
    </w:p>
    <w:p>
      <w:pPr>
        <w:spacing w:after="0" w:line="111" w:lineRule="exact"/>
        <w:rPr>
          <w:sz w:val="20"/>
          <w:szCs w:val="20"/>
          <w:color w:val="auto"/>
        </w:rPr>
      </w:pPr>
    </w:p>
    <w:p>
      <w:pPr>
        <w:ind w:left="1260" w:right="439"/>
        <w:spacing w:after="0" w:line="257" w:lineRule="auto"/>
        <w:rPr>
          <w:sz w:val="20"/>
          <w:szCs w:val="20"/>
          <w:color w:val="auto"/>
        </w:rPr>
      </w:pPr>
      <w:r>
        <w:rPr>
          <w:rFonts w:ascii="Arial" w:cs="Arial" w:eastAsia="Arial" w:hAnsi="Arial"/>
          <w:sz w:val="17"/>
          <w:szCs w:val="17"/>
          <w:color w:val="auto"/>
        </w:rPr>
        <w:t>Despite the limited effect of the covenants in the indenture governing each series of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each series of notes does not have cross-acceleration or cross-default provisions.</w:t>
      </w:r>
    </w:p>
    <w:p>
      <w:pPr>
        <w:spacing w:after="0" w:line="121"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54" w:lineRule="exact"/>
        <w:rPr>
          <w:sz w:val="20"/>
          <w:szCs w:val="20"/>
          <w:color w:val="auto"/>
        </w:rPr>
      </w:pPr>
    </w:p>
    <w:p>
      <w:pPr>
        <w:ind w:left="1260" w:right="1479"/>
        <w:spacing w:after="0" w:line="287" w:lineRule="auto"/>
        <w:rPr>
          <w:sz w:val="20"/>
          <w:szCs w:val="20"/>
          <w:color w:val="auto"/>
        </w:rPr>
      </w:pPr>
      <w:r>
        <w:rPr>
          <w:rFonts w:ascii="Arial" w:cs="Arial" w:eastAsia="Arial" w:hAnsi="Arial"/>
          <w:sz w:val="18"/>
          <w:szCs w:val="18"/>
          <w:b w:val="1"/>
          <w:bCs w:val="1"/>
          <w:i w:val="1"/>
          <w:iCs w:val="1"/>
          <w:color w:val="auto"/>
        </w:rPr>
        <w:t>Claims of noteholders will be structurally subordinated to claims of creditors of our subsidiaries.</w:t>
      </w:r>
    </w:p>
    <w:p>
      <w:pPr>
        <w:spacing w:after="0" w:line="94"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The notes are not required to be guaranteed by any of our subsidiaries. Accordingly, claims of holders of the notes generally will be structurally subordinated to the claims of creditors of our subsidiaries, including trade creditors. The indenture governing each series of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December 1, 2022,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$7.0 billion, all of which will be structurally senior to the notes with respect to claims on the assets and cash flows of our subsidiaries.</w:t>
      </w:r>
    </w:p>
    <w:p>
      <w:pPr>
        <w:spacing w:after="0" w:line="149"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103"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The notes will be general unsecured obligations ranking effectively junior in right of payment to all of our existing and future secured indebtedness to the extent of the collateral securing such indebtedness</w:t>
      </w:r>
    </w:p>
    <w:p>
      <w:pPr>
        <w:sectPr>
          <w:pgSz w:w="11900" w:h="16838" w:orient="portrait"/>
          <w:cols w:equalWidth="0" w:num="1">
            <w:col w:w="9879"/>
          </w:cols>
          <w:pgMar w:left="580" w:top="132" w:right="1440" w:bottom="1440" w:gutter="0" w:footer="0" w:header="0"/>
        </w:sectPr>
      </w:pPr>
    </w:p>
    <w:p>
      <w:pPr>
        <w:spacing w:after="0" w:line="38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(unless the notes are equally and ratably secured with such indebtedness). Additionally, the indenture governing each series of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our credit rating may adversely affect your investment in the notes.</w:t>
      </w:r>
    </w:p>
    <w:p>
      <w:pPr>
        <w:spacing w:after="0" w:line="180"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138"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83" w:lineRule="exact"/>
        <w:rPr>
          <w:sz w:val="20"/>
          <w:szCs w:val="20"/>
          <w:color w:val="auto"/>
        </w:rPr>
      </w:pPr>
    </w:p>
    <w:p>
      <w:pPr>
        <w:ind w:left="1260" w:right="439"/>
        <w:spacing w:after="0" w:line="287" w:lineRule="auto"/>
        <w:rPr>
          <w:sz w:val="20"/>
          <w:szCs w:val="20"/>
          <w:color w:val="auto"/>
        </w:rPr>
      </w:pPr>
      <w:r>
        <w:rPr>
          <w:rFonts w:ascii="Arial" w:cs="Arial" w:eastAsia="Arial" w:hAnsi="Arial"/>
          <w:sz w:val="18"/>
          <w:szCs w:val="18"/>
          <w:b w:val="1"/>
          <w:bCs w:val="1"/>
          <w:i w:val="1"/>
          <w:iCs w:val="1"/>
          <w:color w:val="auto"/>
        </w:rPr>
        <w:t>Your ability to transfer the notes may be limited by the absence of an active trading market, and an active trading market may not develop for the notes.</w:t>
      </w:r>
    </w:p>
    <w:p>
      <w:pPr>
        <w:spacing w:after="0" w:line="94"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The 2033 notes are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103" w:lineRule="exact"/>
        <w:rPr>
          <w:sz w:val="20"/>
          <w:szCs w:val="20"/>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holders of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notes;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58"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679"/>
        <w:spacing w:after="0" w:line="268" w:lineRule="auto"/>
        <w:rPr>
          <w:sz w:val="20"/>
          <w:szCs w:val="20"/>
          <w:color w:val="auto"/>
        </w:rPr>
      </w:pPr>
      <w:r>
        <w:rPr>
          <w:rFonts w:ascii="Arial" w:cs="Arial" w:eastAsia="Arial" w:hAnsi="Arial"/>
          <w:sz w:val="18"/>
          <w:szCs w:val="18"/>
          <w:b w:val="1"/>
          <w:bCs w:val="1"/>
          <w:i w:val="1"/>
          <w:iCs w:val="1"/>
          <w:color w:val="auto"/>
        </w:rPr>
        <w:t>Upon a Change of Control Triggering Event, we may not have the funds necessary to finance the change of control offer required by the indenture governing each series of notes, which would violate the terms of such indenture.</w:t>
      </w:r>
    </w:p>
    <w:p>
      <w:pPr>
        <w:spacing w:after="0" w:line="125"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Upon the occurrence of a Change of Control Triggering Event (as defined in the indenture governing each series of notes) with respect to a series of notes, holders of such series of notes will have the right to require us to purchase such notes at a price equal to 101% of the principal amount, plus accrued and unpaid interest, if any, to but excluding the date of purchase as described in “Description of the Notes   — Repurchase of Notes upon a Change of Control Triggering Event.” The indenture governing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of a series in the event of a change of control. Our failure to purchase the notes as required under the indenture would result in a default under such indenture, which could have material adverse consequences for us and the holders of the notes. See “Description of the Notes — Repurchase of Notes upon a Change of Control Triggering Event.”</w:t>
      </w:r>
    </w:p>
    <w:p>
      <w:pPr>
        <w:spacing w:after="0" w:line="175" w:lineRule="exact"/>
        <w:rPr>
          <w:sz w:val="20"/>
          <w:szCs w:val="20"/>
          <w:color w:val="auto"/>
        </w:rPr>
      </w:pPr>
    </w:p>
    <w:p>
      <w:pPr>
        <w:ind w:left="1260" w:right="1059"/>
        <w:spacing w:after="0" w:line="287" w:lineRule="auto"/>
        <w:rPr>
          <w:sz w:val="20"/>
          <w:szCs w:val="20"/>
          <w:color w:val="auto"/>
        </w:rPr>
      </w:pPr>
      <w:r>
        <w:rPr>
          <w:rFonts w:ascii="Arial" w:cs="Arial" w:eastAsia="Arial" w:hAnsi="Arial"/>
          <w:sz w:val="18"/>
          <w:szCs w:val="18"/>
          <w:b w:val="1"/>
          <w:bCs w:val="1"/>
          <w:i w:val="1"/>
          <w:iCs w:val="1"/>
          <w:color w:val="auto"/>
        </w:rPr>
        <w:t>The provisions of the notes will not necessarily protect you in the event of certain highly leveraged transactions.</w:t>
      </w:r>
    </w:p>
    <w:p>
      <w:pPr>
        <w:spacing w:after="0" w:line="107"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Upon the occurrence of a Change of Control Triggering Event with respect to a series of notes, you will have the right to require us to purchase the notes of such series as provided in the indenture governing each series of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USE OF PROCEEDS</w:t>
      </w:r>
    </w:p>
    <w:p>
      <w:pPr>
        <w:spacing w:after="0" w:line="177"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color w:val="auto"/>
        </w:rPr>
        <w:t>We estimate net proceeds from the sale of the notes, after deducting underwriter discounts and other estimated offering expenses, will be approximately $1.264 billion.</w:t>
      </w:r>
    </w:p>
    <w:p>
      <w:pPr>
        <w:spacing w:after="0" w:line="130"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color w:val="auto"/>
        </w:rPr>
        <w:t>We intend to use the net proceeds from the sale of the notes for general corporate purposes, which may include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CASH AND CAPITALIZATION</w:t>
      </w:r>
    </w:p>
    <w:p>
      <w:pPr>
        <w:spacing w:after="0" w:line="177" w:lineRule="exact"/>
        <w:rPr>
          <w:sz w:val="20"/>
          <w:szCs w:val="20"/>
          <w:color w:val="auto"/>
        </w:rPr>
      </w:pPr>
    </w:p>
    <w:p>
      <w:pPr>
        <w:jc w:val="both"/>
        <w:ind w:left="1260" w:right="1079"/>
        <w:spacing w:after="0" w:line="274" w:lineRule="auto"/>
        <w:rPr>
          <w:sz w:val="20"/>
          <w:szCs w:val="20"/>
          <w:color w:val="auto"/>
        </w:rPr>
      </w:pPr>
      <w:r>
        <w:rPr>
          <w:rFonts w:ascii="Arial" w:cs="Arial" w:eastAsia="Arial" w:hAnsi="Arial"/>
          <w:sz w:val="17"/>
          <w:szCs w:val="17"/>
          <w:color w:val="auto"/>
        </w:rPr>
        <w:t>The following table sets forth a summary of our consolidated cash, cash equivalents, short-term investments and long-term marketable investments and capitalization as of December 1, 2022:</w:t>
      </w:r>
    </w:p>
    <w:p>
      <w:pPr>
        <w:spacing w:after="0" w:line="67"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1800" w:right="799" w:hanging="180"/>
        <w:spacing w:after="0" w:line="261"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an as adjusted basis to give effect to the issuance of the notes offered by this prospectus supplement as if the offering had occurred on December 1, 2022.</w:t>
      </w:r>
    </w:p>
    <w:p>
      <w:pPr>
        <w:spacing w:after="0" w:line="130" w:lineRule="exact"/>
        <w:rPr>
          <w:sz w:val="20"/>
          <w:szCs w:val="20"/>
          <w:color w:val="auto"/>
        </w:rPr>
      </w:pPr>
    </w:p>
    <w:p>
      <w:pPr>
        <w:ind w:left="1260" w:right="819"/>
        <w:spacing w:after="0" w:line="243" w:lineRule="auto"/>
        <w:rPr>
          <w:sz w:val="20"/>
          <w:szCs w:val="20"/>
          <w:color w:val="auto"/>
        </w:rPr>
      </w:pPr>
      <w:r>
        <w:rPr>
          <w:rFonts w:ascii="Arial" w:cs="Arial" w:eastAsia="Arial" w:hAnsi="Arial"/>
          <w:sz w:val="18"/>
          <w:szCs w:val="18"/>
          <w:color w:val="auto"/>
        </w:rPr>
        <w:t>This table should be read in conjunction with our consolidated financial statements incorporated by reference in this prospectus supplement.</w:t>
      </w:r>
    </w:p>
    <w:tbl>
      <w:tblPr>
        <w:tblLayout w:type="fixed"/>
        <w:tblInd w:w="1260" w:type="dxa"/>
        <w:tblCellMar>
          <w:top w:w="0" w:type="dxa"/>
          <w:left w:w="0" w:type="dxa"/>
          <w:bottom w:w="0" w:type="dxa"/>
          <w:right w:w="0" w:type="dxa"/>
        </w:tblCellMar>
      </w:tblPr>
      <w:tr>
        <w:trPr>
          <w:trHeight w:val="365"/>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3300" w:type="dxa"/>
            <w:vAlign w:val="bottom"/>
          </w:tcPr>
          <w:p>
            <w:pPr>
              <w:ind w:left="3080"/>
              <w:spacing w:after="0"/>
              <w:rPr>
                <w:sz w:val="20"/>
                <w:szCs w:val="20"/>
                <w:color w:val="auto"/>
              </w:rPr>
            </w:pPr>
            <w:r>
              <w:rPr>
                <w:rFonts w:ascii="Arial" w:cs="Arial" w:eastAsia="Arial" w:hAnsi="Arial"/>
                <w:sz w:val="14"/>
                <w:szCs w:val="14"/>
                <w:b w:val="1"/>
                <w:bCs w:val="1"/>
                <w:color w:val="auto"/>
              </w:rPr>
              <w:t>​ ​</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As of December 1, 2022 </w:t>
            </w:r>
            <w:r>
              <w:rPr>
                <w:rFonts w:ascii="Arial" w:cs="Arial" w:eastAsia="Arial" w:hAnsi="Arial"/>
                <w:sz w:val="28"/>
                <w:szCs w:val="28"/>
                <w:b w:val="1"/>
                <w:bCs w:val="1"/>
                <w:color w:val="auto"/>
                <w:vertAlign w:val="subscript"/>
              </w:rPr>
              <w:t>​</w:t>
            </w:r>
          </w:p>
        </w:tc>
      </w:tr>
      <w:tr>
        <w:trPr>
          <w:trHeight w:val="20"/>
        </w:trPr>
        <w:tc>
          <w:tcPr>
            <w:tcW w:w="3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3300" w:type="dxa"/>
            <w:vAlign w:val="bottom"/>
          </w:tcPr>
          <w:p>
            <w:pPr>
              <w:ind w:left="3140"/>
              <w:spacing w:after="0"/>
              <w:rPr>
                <w:sz w:val="20"/>
                <w:szCs w:val="20"/>
                <w:color w:val="auto"/>
              </w:rPr>
            </w:pPr>
            <w:r>
              <w:rPr>
                <w:rFonts w:ascii="Arial" w:cs="Arial" w:eastAsia="Arial" w:hAnsi="Arial"/>
                <w:sz w:val="14"/>
                <w:szCs w:val="14"/>
                <w:b w:val="1"/>
                <w:bCs w:val="1"/>
                <w:color w:val="auto"/>
              </w:rPr>
              <w:t>​ ​</w:t>
            </w:r>
          </w:p>
        </w:tc>
        <w:tc>
          <w:tcPr>
            <w:tcW w:w="1800" w:type="dxa"/>
            <w:vAlign w:val="bottom"/>
            <w:gridSpan w:val="2"/>
          </w:tcPr>
          <w:p>
            <w:pPr>
              <w:jc w:val="right"/>
              <w:spacing w:after="0" w:line="236" w:lineRule="exact"/>
              <w:rPr>
                <w:sz w:val="20"/>
                <w:szCs w:val="20"/>
                <w:color w:val="auto"/>
              </w:rPr>
            </w:pPr>
            <w:r>
              <w:rPr>
                <w:rFonts w:ascii="Arial" w:cs="Arial" w:eastAsia="Arial" w:hAnsi="Arial"/>
                <w:sz w:val="14"/>
                <w:szCs w:val="14"/>
                <w:b w:val="1"/>
                <w:bCs w:val="1"/>
                <w:color w:val="auto"/>
              </w:rPr>
              <w:t xml:space="preserve">Actual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As Adjusted </w:t>
            </w:r>
            <w:r>
              <w:rPr>
                <w:rFonts w:ascii="Arial" w:cs="Arial" w:eastAsia="Arial" w:hAnsi="Arial"/>
                <w:sz w:val="27"/>
                <w:szCs w:val="27"/>
                <w:b w:val="1"/>
                <w:bCs w:val="1"/>
                <w:color w:val="auto"/>
                <w:vertAlign w:val="subscript"/>
              </w:rPr>
              <w:t>​</w:t>
            </w:r>
          </w:p>
        </w:tc>
      </w:tr>
      <w:tr>
        <w:trPr>
          <w:trHeight w:val="20"/>
        </w:trPr>
        <w:tc>
          <w:tcPr>
            <w:tcW w:w="3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3300" w:type="dxa"/>
            <w:vAlign w:val="bottom"/>
          </w:tcPr>
          <w:p>
            <w:pPr>
              <w:ind w:left="3080"/>
              <w:spacing w:after="0"/>
              <w:rPr>
                <w:sz w:val="20"/>
                <w:szCs w:val="20"/>
                <w:color w:val="auto"/>
              </w:rPr>
            </w:pPr>
            <w:r>
              <w:rPr>
                <w:rFonts w:ascii="Arial" w:cs="Arial" w:eastAsia="Arial" w:hAnsi="Arial"/>
                <w:sz w:val="14"/>
                <w:szCs w:val="14"/>
                <w:b w:val="1"/>
                <w:bCs w:val="1"/>
                <w:color w:val="auto"/>
              </w:rPr>
              <w:t>​ ​</w:t>
            </w:r>
          </w:p>
        </w:tc>
        <w:tc>
          <w:tcPr>
            <w:tcW w:w="1800" w:type="dxa"/>
            <w:vAlign w:val="bottom"/>
            <w:gridSpan w:val="2"/>
          </w:tcPr>
          <w:p>
            <w:pPr>
              <w:jc w:val="right"/>
              <w:spacing w:after="0" w:line="276" w:lineRule="exact"/>
              <w:rPr>
                <w:sz w:val="20"/>
                <w:szCs w:val="20"/>
                <w:color w:val="auto"/>
              </w:rPr>
            </w:pPr>
            <w:r>
              <w:rPr>
                <w:rFonts w:ascii="Arial" w:cs="Arial" w:eastAsia="Arial" w:hAnsi="Arial"/>
                <w:sz w:val="14"/>
                <w:szCs w:val="14"/>
                <w:b w:val="1"/>
                <w:bCs w:val="1"/>
                <w:color w:val="auto"/>
              </w:rPr>
              <w:t xml:space="preserve">(dollars in millions)   </w:t>
            </w:r>
            <w:r>
              <w:rPr>
                <w:rFonts w:ascii="Arial" w:cs="Arial" w:eastAsia="Arial" w:hAnsi="Arial"/>
                <w:sz w:val="28"/>
                <w:szCs w:val="28"/>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-24765</wp:posOffset>
            </wp:positionV>
            <wp:extent cx="521208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-187325</wp:posOffset>
            </wp:positionV>
            <wp:extent cx="137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ind w:left="1260"/>
        <w:spacing w:after="0"/>
        <w:rPr>
          <w:sz w:val="20"/>
          <w:szCs w:val="20"/>
          <w:color w:val="auto"/>
        </w:rPr>
      </w:pPr>
      <w:r>
        <w:rPr>
          <w:rFonts w:ascii="Arial" w:cs="Arial" w:eastAsia="Arial" w:hAnsi="Arial"/>
          <w:sz w:val="18"/>
          <w:szCs w:val="18"/>
          <w:color w:val="auto"/>
        </w:rPr>
        <w:t>Cash and equivalents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Long-term marketable investments</w:t>
      </w:r>
    </w:p>
    <w:p>
      <w:pPr>
        <w:spacing w:after="0" w:line="63" w:lineRule="exact"/>
        <w:rPr>
          <w:sz w:val="20"/>
          <w:szCs w:val="20"/>
          <w:color w:val="auto"/>
        </w:rPr>
      </w:pPr>
    </w:p>
    <w:p>
      <w:pPr>
        <w:ind w:left="1620" w:hanging="179"/>
        <w:spacing w:after="0" w:line="261" w:lineRule="auto"/>
        <w:rPr>
          <w:sz w:val="20"/>
          <w:szCs w:val="20"/>
          <w:color w:val="auto"/>
        </w:rPr>
      </w:pPr>
      <w:r>
        <w:rPr>
          <w:rFonts w:ascii="Arial" w:cs="Arial" w:eastAsia="Arial" w:hAnsi="Arial"/>
          <w:sz w:val="18"/>
          <w:szCs w:val="18"/>
          <w:color w:val="auto"/>
        </w:rPr>
        <w:t>Cash and equivalents, short-term investments and long-term marketable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97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Current debt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Long-term debt and finance lease obligations, excluding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6.750% senior notes due 2029, including 2029 notes offered hereby</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5.875% senior notes due 2033 offered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2024 Term Loan</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2025 Term Loan</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2026 Term Loan</w:t>
      </w:r>
      <w:r>
        <w:rPr>
          <w:rFonts w:ascii="Arial" w:cs="Arial" w:eastAsia="Arial" w:hAnsi="Arial"/>
          <w:sz w:val="23"/>
          <w:szCs w:val="23"/>
          <w:color w:val="auto"/>
          <w:vertAlign w:val="superscript"/>
        </w:rPr>
        <w:t>(1)</w:t>
      </w:r>
    </w:p>
    <w:p>
      <w:pPr>
        <w:spacing w:after="0" w:line="1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2027 Term Loan</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4.975% senior notes due 2026</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4.185% senior notes due 2027</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5.327% senior notes due 2029</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4.663%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2.703% senior notes due 2032</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3.366% senior notes due 2041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3.477% senior notes due 2051</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346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212080" cy="334645"/>
                    </a:xfrm>
                    <a:prstGeom prst="rect">
                      <a:avLst/>
                    </a:prstGeom>
                    <a:noFill/>
                  </pic:spPr>
                </pic:pic>
              </a:graphicData>
            </a:graphic>
          </wp:anchor>
        </w:drawing>
      </w:r>
    </w:p>
    <w:p>
      <w:pPr>
        <w:spacing w:after="0" w:line="43" w:lineRule="exact"/>
        <w:rPr>
          <w:sz w:val="20"/>
          <w:szCs w:val="20"/>
          <w:color w:val="auto"/>
        </w:rPr>
      </w:pPr>
    </w:p>
    <w:p>
      <w:pPr>
        <w:ind w:left="1800" w:right="160" w:hanging="179"/>
        <w:spacing w:after="0" w:line="257" w:lineRule="auto"/>
        <w:rPr>
          <w:sz w:val="20"/>
          <w:szCs w:val="20"/>
          <w:color w:val="auto"/>
        </w:rPr>
      </w:pPr>
      <w:r>
        <w:rPr>
          <w:rFonts w:ascii="Arial" w:cs="Arial" w:eastAsia="Arial" w:hAnsi="Arial"/>
          <w:sz w:val="18"/>
          <w:szCs w:val="18"/>
          <w:color w:val="auto"/>
        </w:rPr>
        <w:t>Total long-term debt and finance lease obligations, excluding current portion</w:t>
      </w:r>
      <w:r>
        <w:rPr>
          <w:rFonts w:ascii="Arial" w:cs="Arial" w:eastAsia="Arial" w:hAnsi="Arial"/>
          <w:sz w:val="23"/>
          <w:szCs w:val="23"/>
          <w:color w:val="auto"/>
          <w:vertAlign w:val="superscript"/>
        </w:rPr>
        <w:t>(1)</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100330</wp:posOffset>
            </wp:positionV>
            <wp:extent cx="12344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9,574​​ ​</w:t>
            </w:r>
          </w:p>
        </w:tc>
        <w:tc>
          <w:tcPr>
            <w:tcW w:w="660" w:type="dxa"/>
            <w:vAlign w:val="bottom"/>
            <w:gridSpan w:val="2"/>
          </w:tcPr>
          <w:p>
            <w:pPr>
              <w:spacing w:after="0"/>
              <w:rPr>
                <w:sz w:val="20"/>
                <w:szCs w:val="20"/>
                <w:color w:val="auto"/>
              </w:rPr>
            </w:pPr>
            <w:r>
              <w:rPr>
                <w:rFonts w:ascii="Arial" w:cs="Arial" w:eastAsia="Arial" w:hAnsi="Arial"/>
                <w:sz w:val="18"/>
                <w:szCs w:val="18"/>
                <w:color w:val="auto"/>
                <w:w w:val="98"/>
              </w:rPr>
              <w:t>​$10,838</w:t>
            </w: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1220" w:type="dxa"/>
            <w:vAlign w:val="bottom"/>
            <w:gridSpan w:val="4"/>
          </w:tcPr>
          <w:p>
            <w:pPr>
              <w:jc w:val="right"/>
              <w:ind w:right="30"/>
              <w:spacing w:after="0"/>
              <w:rPr>
                <w:sz w:val="20"/>
                <w:szCs w:val="20"/>
                <w:color w:val="auto"/>
              </w:rPr>
            </w:pPr>
            <w:r>
              <w:rPr>
                <w:rFonts w:ascii="Arial" w:cs="Arial" w:eastAsia="Arial" w:hAnsi="Arial"/>
                <w:sz w:val="18"/>
                <w:szCs w:val="18"/>
                <w:color w:val="auto"/>
              </w:rPr>
              <w:t>​ ​​ ​ 1,007​​ ​</w:t>
            </w:r>
          </w:p>
        </w:tc>
        <w:tc>
          <w:tcPr>
            <w:tcW w:w="660" w:type="dxa"/>
            <w:vAlign w:val="bottom"/>
            <w:gridSpan w:val="2"/>
          </w:tcPr>
          <w:p>
            <w:pPr>
              <w:spacing w:after="0"/>
              <w:rPr>
                <w:sz w:val="20"/>
                <w:szCs w:val="20"/>
                <w:color w:val="auto"/>
              </w:rPr>
            </w:pPr>
            <w:r>
              <w:rPr>
                <w:rFonts w:ascii="Arial" w:cs="Arial" w:eastAsia="Arial" w:hAnsi="Arial"/>
                <w:sz w:val="18"/>
                <w:szCs w:val="18"/>
                <w:color w:val="auto"/>
              </w:rPr>
              <w:t>​ ​ 1,007</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1220" w:type="dxa"/>
            <w:vAlign w:val="bottom"/>
            <w:gridSpan w:val="4"/>
          </w:tcPr>
          <w:p>
            <w:pPr>
              <w:jc w:val="right"/>
              <w:ind w:right="30"/>
              <w:spacing w:after="0" w:line="24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 1,426</w:t>
            </w:r>
            <w:r>
              <w:rPr>
                <w:rFonts w:ascii="Arial" w:cs="Arial" w:eastAsia="Arial" w:hAnsi="Arial"/>
                <w:sz w:val="28"/>
                <w:szCs w:val="28"/>
                <w:color w:val="auto"/>
                <w:vertAlign w:val="subscript"/>
              </w:rPr>
              <w:t>​​ ​</w:t>
            </w:r>
          </w:p>
        </w:tc>
        <w:tc>
          <w:tcPr>
            <w:tcW w:w="660" w:type="dxa"/>
            <w:vAlign w:val="bottom"/>
            <w:gridSpan w:val="2"/>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1,426</w:t>
            </w: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220" w:type="dxa"/>
            <w:vAlign w:val="bottom"/>
            <w:gridSpan w:val="4"/>
          </w:tcPr>
          <w:p>
            <w:pPr>
              <w:jc w:val="right"/>
              <w:ind w:right="30"/>
              <w:spacing w:after="0"/>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u w:val="single" w:color="auto"/>
                <w:color w:val="auto"/>
              </w:rPr>
              <w:t>$</w:t>
            </w:r>
            <w:r>
              <w:rPr>
                <w:rFonts w:ascii="Arial" w:cs="Arial" w:eastAsia="Arial" w:hAnsi="Arial"/>
                <w:sz w:val="18"/>
                <w:szCs w:val="18"/>
                <w:color w:val="auto"/>
              </w:rPr>
              <w:t>12,007</w:t>
            </w:r>
            <w:r>
              <w:rPr>
                <w:rFonts w:ascii="Arial" w:cs="Arial" w:eastAsia="Arial" w:hAnsi="Arial"/>
                <w:sz w:val="35"/>
                <w:szCs w:val="35"/>
                <w:color w:val="auto"/>
                <w:vertAlign w:val="subscript"/>
              </w:rPr>
              <w:t>​​ ​</w:t>
            </w:r>
          </w:p>
        </w:tc>
        <w:tc>
          <w:tcPr>
            <w:tcW w:w="660" w:type="dxa"/>
            <w:vAlign w:val="bottom"/>
            <w:gridSpan w:val="2"/>
          </w:tcPr>
          <w:p>
            <w:pPr>
              <w:spacing w:after="0"/>
              <w:rPr>
                <w:sz w:val="20"/>
                <w:szCs w:val="20"/>
                <w:color w:val="auto"/>
              </w:rPr>
            </w:pPr>
            <w:r>
              <w:rPr>
                <w:rFonts w:ascii="Arial" w:cs="Arial" w:eastAsia="Arial" w:hAnsi="Arial"/>
                <w:sz w:val="35"/>
                <w:szCs w:val="35"/>
                <w:color w:val="auto"/>
                <w:w w:val="98"/>
                <w:vertAlign w:val="subscript"/>
              </w:rPr>
              <w:t>​</w:t>
            </w:r>
            <w:r>
              <w:rPr>
                <w:rFonts w:ascii="Arial" w:cs="Arial" w:eastAsia="Arial" w:hAnsi="Arial"/>
                <w:sz w:val="18"/>
                <w:szCs w:val="18"/>
                <w:u w:val="single" w:color="auto"/>
                <w:color w:val="auto"/>
                <w:w w:val="98"/>
              </w:rPr>
              <w:t>$</w:t>
            </w:r>
            <w:r>
              <w:rPr>
                <w:rFonts w:ascii="Arial" w:cs="Arial" w:eastAsia="Arial" w:hAnsi="Arial"/>
                <w:sz w:val="18"/>
                <w:szCs w:val="18"/>
                <w:color w:val="auto"/>
                <w:w w:val="98"/>
              </w:rPr>
              <w:t>13,271</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20" w:type="dxa"/>
            <w:vAlign w:val="bottom"/>
            <w:gridSpan w:val="2"/>
          </w:tcPr>
          <w:p>
            <w:pPr>
              <w:ind w:left="60"/>
              <w:spacing w:after="0" w:line="236" w:lineRule="exact"/>
              <w:rPr>
                <w:sz w:val="20"/>
                <w:szCs w:val="20"/>
                <w:color w:val="auto"/>
              </w:rPr>
            </w:pPr>
            <w:r>
              <w:rPr>
                <w:rFonts w:ascii="Arial" w:cs="Arial" w:eastAsia="Arial" w:hAnsi="Arial"/>
                <w:sz w:val="15"/>
                <w:szCs w:val="15"/>
                <w:color w:val="auto"/>
              </w:rPr>
              <w:t>​ ​​</w:t>
            </w:r>
            <w:r>
              <w:rPr>
                <w:rFonts w:ascii="Arial" w:cs="Arial" w:eastAsia="Arial" w:hAnsi="Arial"/>
                <w:sz w:val="27"/>
                <w:szCs w:val="27"/>
                <w:color w:val="auto"/>
                <w:vertAlign w:val="superscript"/>
              </w:rPr>
              <w:t>$</w:t>
            </w:r>
          </w:p>
        </w:tc>
        <w:tc>
          <w:tcPr>
            <w:tcW w:w="800" w:type="dxa"/>
            <w:vAlign w:val="bottom"/>
            <w:gridSpan w:val="2"/>
          </w:tcPr>
          <w:p>
            <w:pPr>
              <w:jc w:val="right"/>
              <w:ind w:right="30"/>
              <w:spacing w:after="0" w:line="236" w:lineRule="exact"/>
              <w:rPr>
                <w:sz w:val="20"/>
                <w:szCs w:val="20"/>
                <w:color w:val="auto"/>
              </w:rPr>
            </w:pPr>
            <w:r>
              <w:rPr>
                <w:rFonts w:ascii="Arial" w:cs="Arial" w:eastAsia="Arial" w:hAnsi="Arial"/>
                <w:sz w:val="15"/>
                <w:szCs w:val="15"/>
                <w:color w:val="auto"/>
              </w:rPr>
              <w:t>171</w:t>
            </w:r>
            <w:r>
              <w:rPr>
                <w:rFonts w:ascii="Arial" w:cs="Arial" w:eastAsia="Arial" w:hAnsi="Arial"/>
                <w:sz w:val="27"/>
                <w:szCs w:val="27"/>
                <w:color w:val="auto"/>
                <w:vertAlign w:val="subscript"/>
              </w:rPr>
              <w:t>​​ ​</w:t>
            </w:r>
          </w:p>
        </w:tc>
        <w:tc>
          <w:tcPr>
            <w:tcW w:w="180" w:type="dxa"/>
            <w:vAlign w:val="bottom"/>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
        </w:trPr>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48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r>
      <w:tr>
        <w:trPr>
          <w:trHeight w:val="25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744​​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1220" w:type="dxa"/>
            <w:vAlign w:val="bottom"/>
            <w:gridSpan w:val="4"/>
          </w:tcPr>
          <w:p>
            <w:pPr>
              <w:jc w:val="right"/>
              <w:ind w:right="30"/>
              <w:spacing w:after="0"/>
              <w:rPr>
                <w:sz w:val="20"/>
                <w:szCs w:val="20"/>
                <w:color w:val="auto"/>
              </w:rPr>
            </w:pPr>
            <w:r>
              <w:rPr>
                <w:rFonts w:ascii="Arial" w:cs="Arial" w:eastAsia="Arial" w:hAnsi="Arial"/>
                <w:sz w:val="18"/>
                <w:szCs w:val="18"/>
                <w:color w:val="auto"/>
              </w:rPr>
              <w:t>​ ​​ ​ 1,187​​ ​</w:t>
            </w:r>
          </w:p>
        </w:tc>
        <w:tc>
          <w:tcPr>
            <w:tcW w:w="660" w:type="dxa"/>
            <w:vAlign w:val="bottom"/>
            <w:gridSpan w:val="2"/>
          </w:tcPr>
          <w:p>
            <w:pPr>
              <w:spacing w:after="0"/>
              <w:rPr>
                <w:sz w:val="20"/>
                <w:szCs w:val="20"/>
                <w:color w:val="auto"/>
              </w:rPr>
            </w:pPr>
            <w:r>
              <w:rPr>
                <w:rFonts w:ascii="Arial" w:cs="Arial" w:eastAsia="Arial" w:hAnsi="Arial"/>
                <w:sz w:val="18"/>
                <w:szCs w:val="18"/>
                <w:color w:val="auto"/>
              </w:rPr>
              <w:t>​ ​ 1,187</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925​​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717​​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890​​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499​​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796​​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697​​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846​​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995​​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497​​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496​​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420" w:type="dxa"/>
            <w:vAlign w:val="bottom"/>
            <w:gridSpan w:val="2"/>
          </w:tcPr>
          <w:p>
            <w:pPr>
              <w:ind w:left="60"/>
              <w:spacing w:after="0" w:line="243"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800" w:type="dxa"/>
            <w:vAlign w:val="bottom"/>
            <w:gridSpan w:val="2"/>
          </w:tcPr>
          <w:p>
            <w:pPr>
              <w:jc w:val="right"/>
              <w:ind w:right="30"/>
              <w:spacing w:after="0" w:line="243" w:lineRule="exact"/>
              <w:rPr>
                <w:sz w:val="20"/>
                <w:szCs w:val="20"/>
                <w:color w:val="auto"/>
              </w:rPr>
            </w:pPr>
            <w:r>
              <w:rPr>
                <w:rFonts w:ascii="Arial" w:cs="Arial" w:eastAsia="Arial" w:hAnsi="Arial"/>
                <w:sz w:val="15"/>
                <w:szCs w:val="15"/>
                <w:color w:val="auto"/>
              </w:rPr>
              <w:t>805</w:t>
            </w:r>
            <w:r>
              <w:rPr>
                <w:rFonts w:ascii="Arial" w:cs="Arial" w:eastAsia="Arial" w:hAnsi="Arial"/>
                <w:sz w:val="28"/>
                <w:szCs w:val="28"/>
                <w:color w:val="auto"/>
                <w:vertAlign w:val="subscript"/>
              </w:rPr>
              <w:t>​​ ​</w:t>
            </w:r>
          </w:p>
        </w:tc>
        <w:tc>
          <w:tcPr>
            <w:tcW w:w="180" w:type="dxa"/>
            <w:vAlign w:val="bottom"/>
          </w:tcPr>
          <w:p>
            <w:pPr>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auto"/>
        </w:rPr>
        <w:t>​ ​10,094</w:t>
      </w:r>
      <w:r>
        <w:rPr>
          <w:rFonts w:ascii="Arial" w:cs="Arial" w:eastAsia="Arial" w:hAnsi="Arial"/>
          <w:sz w:val="18"/>
          <w:szCs w:val="18"/>
          <w:color w:val="auto"/>
        </w:rPr>
        <w:t xml:space="preserve">​​ ​ </w:t>
      </w:r>
      <w:r>
        <w:rPr>
          <w:rFonts w:ascii="Arial" w:cs="Arial" w:eastAsia="Arial" w:hAnsi="Arial"/>
          <w:sz w:val="18"/>
          <w:szCs w:val="18"/>
          <w:u w:val="single" w:color="auto"/>
          <w:color w:val="auto"/>
        </w:rPr>
        <w:t>​ ​11,358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ind w:left="60"/>
        <w:spacing w:after="0" w:line="207" w:lineRule="auto"/>
        <w:rPr>
          <w:sz w:val="20"/>
          <w:szCs w:val="20"/>
          <w:color w:val="auto"/>
        </w:rPr>
      </w:pPr>
      <w:r>
        <w:rPr>
          <w:rFonts w:ascii="Arial" w:cs="Arial" w:eastAsia="Arial" w:hAnsi="Arial"/>
          <w:sz w:val="35"/>
          <w:szCs w:val="35"/>
          <w:color w:val="auto"/>
          <w:vertAlign w:val="subscript"/>
        </w:rPr>
        <w:t>​ ​</w:t>
      </w:r>
      <w:r>
        <w:rPr>
          <w:rFonts w:ascii="Arial" w:cs="Arial" w:eastAsia="Arial" w:hAnsi="Arial"/>
          <w:sz w:val="35"/>
          <w:szCs w:val="35"/>
          <w:u w:val="single" w:color="auto"/>
          <w:color w:val="auto"/>
          <w:vertAlign w:val="subscript"/>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​49,306</w:t>
      </w:r>
      <w:r>
        <w:rPr>
          <w:rFonts w:ascii="Arial" w:cs="Arial" w:eastAsia="Arial" w:hAnsi="Arial"/>
          <w:sz w:val="35"/>
          <w:szCs w:val="35"/>
          <w:color w:val="auto"/>
          <w:vertAlign w:val="subscript"/>
        </w:rPr>
        <w:t>​​ ​</w:t>
      </w:r>
      <w:r>
        <w:rPr>
          <w:rFonts w:ascii="Arial" w:cs="Arial" w:eastAsia="Arial" w:hAnsi="Arial"/>
          <w:sz w:val="18"/>
          <w:szCs w:val="18"/>
          <w:color w:val="auto"/>
        </w:rPr>
        <w:t xml:space="preserve"> </w:t>
      </w:r>
      <w:r>
        <w:rPr>
          <w:rFonts w:ascii="Arial" w:cs="Arial" w:eastAsia="Arial" w:hAnsi="Arial"/>
          <w:sz w:val="35"/>
          <w:szCs w:val="35"/>
          <w:u w:val="single" w:color="auto"/>
          <w:color w:val="auto"/>
          <w:vertAlign w:val="subscript"/>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​49,306</w:t>
      </w:r>
      <w:r>
        <w:rPr>
          <w:rFonts w:ascii="Arial" w:cs="Arial" w:eastAsia="Arial" w:hAnsi="Arial"/>
          <w:sz w:val="18"/>
          <w:szCs w:val="18"/>
          <w:color w:val="auto"/>
        </w:rPr>
        <w:t xml:space="preserve"> </w:t>
      </w:r>
      <w:r>
        <w:rPr>
          <w:rFonts w:ascii="Arial" w:cs="Arial" w:eastAsia="Arial" w:hAnsi="Arial"/>
          <w:sz w:val="35"/>
          <w:szCs w:val="35"/>
          <w:b w:val="1"/>
          <w:bCs w:val="1"/>
          <w:color w:val="auto"/>
          <w:vertAlign w:val="subscript"/>
        </w:rPr>
        <w:t>​</w:t>
      </w:r>
    </w:p>
    <w:p>
      <w:pPr>
        <w:ind w:left="60"/>
        <w:spacing w:after="0" w:line="185" w:lineRule="auto"/>
        <w:rPr>
          <w:sz w:val="20"/>
          <w:szCs w:val="20"/>
          <w:color w:val="auto"/>
        </w:rPr>
      </w:pPr>
      <w:r>
        <w:rPr>
          <w:rFonts w:ascii="Arial" w:cs="Arial" w:eastAsia="Arial" w:hAnsi="Arial"/>
          <w:sz w:val="35"/>
          <w:szCs w:val="35"/>
          <w:color w:val="auto"/>
          <w:vertAlign w:val="subscript"/>
        </w:rPr>
        <w:t>​ ​</w:t>
      </w:r>
      <w:r>
        <w:rPr>
          <w:rFonts w:ascii="Arial" w:cs="Arial" w:eastAsia="Arial" w:hAnsi="Arial"/>
          <w:sz w:val="35"/>
          <w:szCs w:val="35"/>
          <w:u w:val="single" w:color="auto"/>
          <w:color w:val="auto"/>
          <w:vertAlign w:val="subscript"/>
        </w:rPr>
        <w:t>​</w:t>
      </w:r>
      <w:r>
        <w:rPr>
          <w:rFonts w:ascii="Arial" w:cs="Arial" w:eastAsia="Arial" w:hAnsi="Arial"/>
          <w:sz w:val="18"/>
          <w:szCs w:val="18"/>
          <w:u w:val="single" w:color="auto"/>
          <w:color w:val="auto"/>
        </w:rPr>
        <w:t>$59,400</w:t>
      </w:r>
      <w:r>
        <w:rPr>
          <w:rFonts w:ascii="Arial" w:cs="Arial" w:eastAsia="Arial" w:hAnsi="Arial"/>
          <w:sz w:val="35"/>
          <w:szCs w:val="35"/>
          <w:color w:val="auto"/>
          <w:vertAlign w:val="subscript"/>
        </w:rPr>
        <w:t>​​ ​</w:t>
      </w:r>
      <w:r>
        <w:rPr>
          <w:rFonts w:ascii="Arial" w:cs="Arial" w:eastAsia="Arial" w:hAnsi="Arial"/>
          <w:sz w:val="18"/>
          <w:szCs w:val="18"/>
          <w:color w:val="auto"/>
        </w:rPr>
        <w:t xml:space="preserve"> </w:t>
      </w:r>
      <w:r>
        <w:rPr>
          <w:rFonts w:ascii="Arial" w:cs="Arial" w:eastAsia="Arial" w:hAnsi="Arial"/>
          <w:sz w:val="35"/>
          <w:szCs w:val="35"/>
          <w:u w:val="single" w:color="auto"/>
          <w:color w:val="auto"/>
          <w:vertAlign w:val="subscript"/>
        </w:rPr>
        <w:t>​</w:t>
      </w:r>
      <w:r>
        <w:rPr>
          <w:rFonts w:ascii="Arial" w:cs="Arial" w:eastAsia="Arial" w:hAnsi="Arial"/>
          <w:sz w:val="18"/>
          <w:szCs w:val="18"/>
          <w:u w:val="single" w:color="auto"/>
          <w:color w:val="auto"/>
        </w:rPr>
        <w:t>$60,664</w:t>
      </w:r>
      <w:r>
        <w:rPr>
          <w:rFonts w:ascii="Arial" w:cs="Arial" w:eastAsia="Arial" w:hAnsi="Arial"/>
          <w:sz w:val="18"/>
          <w:szCs w:val="18"/>
          <w:color w:val="auto"/>
        </w:rPr>
        <w:t xml:space="preserve"> </w:t>
      </w:r>
      <w:r>
        <w:rPr>
          <w:rFonts w:ascii="Arial" w:cs="Arial" w:eastAsia="Arial" w:hAnsi="Arial"/>
          <w:sz w:val="35"/>
          <w:szCs w:val="35"/>
          <w:b w:val="1"/>
          <w:bCs w:val="1"/>
          <w:color w:val="auto"/>
          <w:vertAlign w:val="subscript"/>
        </w:rPr>
        <w:t>​</w:t>
      </w:r>
    </w:p>
    <w:p>
      <w:pPr>
        <w:spacing w:after="0" w:line="200" w:lineRule="exact"/>
        <w:rPr>
          <w:sz w:val="20"/>
          <w:szCs w:val="20"/>
          <w:color w:val="auto"/>
        </w:rPr>
      </w:pPr>
    </w:p>
    <w:p>
      <w:pPr>
        <w:sectPr>
          <w:pgSz w:w="11900" w:h="16838" w:orient="portrait"/>
          <w:cols w:equalWidth="0" w:num="2">
            <w:col w:w="7180" w:space="300"/>
            <w:col w:w="2399"/>
          </w:cols>
          <w:pgMar w:left="580" w:top="132" w:right="1440" w:bottom="1440" w:gutter="0" w:footer="0" w:header="0"/>
          <w:type w:val="continuous"/>
        </w:sectPr>
      </w:pPr>
    </w:p>
    <w:p>
      <w:pPr>
        <w:spacing w:after="0" w:line="29" w:lineRule="exact"/>
        <w:rPr>
          <w:sz w:val="20"/>
          <w:szCs w:val="20"/>
          <w:color w:val="auto"/>
        </w:rPr>
      </w:pPr>
    </w:p>
    <w:p>
      <w:pPr>
        <w:ind w:left="1620" w:right="719" w:hanging="360"/>
        <w:spacing w:after="0" w:line="261"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amounts above do not reflect the $600 million in aggregate principal amount of incremental term loans that we borrowed on January 5, 2023.</w:t>
      </w:r>
    </w:p>
    <w:p>
      <w:pPr>
        <w:spacing w:after="0" w:line="35" w:lineRule="exact"/>
        <w:rPr>
          <w:rFonts w:ascii="Arial" w:cs="Arial" w:eastAsia="Arial" w:hAnsi="Arial"/>
          <w:sz w:val="18"/>
          <w:szCs w:val="18"/>
          <w:color w:val="auto"/>
        </w:rPr>
      </w:pPr>
    </w:p>
    <w:p>
      <w:pPr>
        <w:ind w:left="1620" w:right="479" w:hanging="360"/>
        <w:spacing w:after="0" w:line="252"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2021, we entered into fixed-to-floating interest rate swaps on the 4.185% senior notes due 2027 with an aggregate $900 million notional amount equal to the principal amount of the 4.185% senior notes due 2027. The resulting variable interest paid is at a rate equal to the Secured Overnight Financing Rate plus approximately 3.33%. The fixed-to-floating interest rate swaps are accounted for as fair value hedges, and as a result, the carrying values of our 4.185% senior notes due 2027 reflect adjustments in fair value.</w:t>
      </w:r>
    </w:p>
    <w:p>
      <w:pPr>
        <w:sectPr>
          <w:pgSz w:w="11900" w:h="16838" w:orient="portrait"/>
          <w:cols w:equalWidth="0" w:num="1">
            <w:col w:w="9879"/>
          </w:cols>
          <w:pgMar w:left="580" w:top="132" w:right="1440" w:bottom="1440" w:gutter="0" w:footer="0" w:header="0"/>
          <w:type w:val="continuous"/>
        </w:sectPr>
      </w:pPr>
    </w:p>
    <w:p>
      <w:pPr>
        <w:spacing w:after="0" w:line="38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DESCRIPTION OF THE NOTES</w:t>
      </w:r>
    </w:p>
    <w:p>
      <w:pPr>
        <w:spacing w:after="0" w:line="159"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i w:val="1"/>
          <w:iCs w:val="1"/>
          <w:color w:val="auto"/>
        </w:rPr>
        <w:t>The notes will be issued under a base indenture (the “Base Indenture”), dated as of February 6, 2019, between Micron Technology, Inc. and U.S. Bank Trust Company, National Association (as successor in interest to U.S. Bank National Association), as trustee (the “Trustee”), as supplemented by the fifth supplemental indenture, dated as of October 31, 2022, with respect to the 2029 notes (the “Fifth Supplemental Indenture”) and as supplemented by a supplemental indenture, to be dated as of February 9, 2023, with respect to the 2033 notes (the “Sixth Supplemental Indenture”). As used in this description, “Indenture,” with respect to the 2029 notes, means the Base Indenture, as supplemented by the Fifth Supplemental Indenture, and, with respect to the 2033 notes, means the Base Indenture, as supplemented by the Sixth Supplemental Indenture.</w:t>
      </w:r>
    </w:p>
    <w:p>
      <w:pPr>
        <w:spacing w:after="0" w:line="121"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99" w:lineRule="exact"/>
        <w:rPr>
          <w:sz w:val="20"/>
          <w:szCs w:val="20"/>
          <w:color w:val="auto"/>
        </w:rPr>
      </w:pPr>
    </w:p>
    <w:p>
      <w:pPr>
        <w:ind w:left="1260" w:right="1139"/>
        <w:spacing w:after="0" w:line="282" w:lineRule="auto"/>
        <w:rPr>
          <w:sz w:val="20"/>
          <w:szCs w:val="20"/>
          <w:color w:val="auto"/>
        </w:rPr>
      </w:pPr>
      <w:r>
        <w:rPr>
          <w:rFonts w:ascii="Arial" w:cs="Arial" w:eastAsia="Arial" w:hAnsi="Arial"/>
          <w:sz w:val="18"/>
          <w:szCs w:val="18"/>
          <w:i w:val="1"/>
          <w:iCs w:val="1"/>
          <w:color w:val="auto"/>
        </w:rPr>
        <w:t>The registered holder of a note will be treated as the owner of such note for all purposes. Only registered holders will have rights under the Indenture.</w:t>
      </w:r>
    </w:p>
    <w:p>
      <w:pPr>
        <w:spacing w:after="0" w:line="94" w:lineRule="exact"/>
        <w:rPr>
          <w:sz w:val="20"/>
          <w:szCs w:val="20"/>
          <w:color w:val="auto"/>
        </w:rPr>
      </w:pPr>
    </w:p>
    <w:p>
      <w:pPr>
        <w:ind w:left="1260" w:right="519"/>
        <w:spacing w:after="0" w:line="266" w:lineRule="auto"/>
        <w:rPr>
          <w:sz w:val="20"/>
          <w:szCs w:val="20"/>
          <w:color w:val="auto"/>
        </w:rPr>
      </w:pPr>
      <w:r>
        <w:rPr>
          <w:rFonts w:ascii="Arial" w:cs="Arial" w:eastAsia="Arial" w:hAnsi="Arial"/>
          <w:sz w:val="18"/>
          <w:szCs w:val="18"/>
          <w:i w:val="1"/>
          <w:iCs w:val="1"/>
          <w:color w:val="auto"/>
        </w:rPr>
        <w:t>The definition of certain terms used in this description are summarized under the subheading “— Certain Definitions.” In this description, references to “Micron,” “us,” “we,” “our” or the “Company” refer only to Micron Technology, Inc. and not to any of its subsidiaries.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General</w:t>
      </w:r>
    </w:p>
    <w:p>
      <w:pPr>
        <w:spacing w:after="0" w:line="170"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The 2029 notes will form a single series with the $750,000,000 aggregate principal amount of 6.750% Senior Notes due 2029 that we issued on October 31, 2022. Accordingly, the 2029 notes offered by this prospectus supplement will have terms that are identical to the terms of the Original 2029 Notes (other than the initial offering price) and have the same CUSIP number and will be fungible with the Original 2029 Notes. Upon the issuance of the 2029 notes offered hereby, the outstanding principal amount of our 6.750% Senior Notes due 2029 will be $1,250,000,000.</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will issue $750,000,000 aggregate principal amount of 2033 notes.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2029 notes will mature on November 1, 2029 and the 2033 notes will mature on February 9, 2033.</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2029 notes and the 2033 notes are collectively referred to as the “notes.”</w:t>
      </w:r>
    </w:p>
    <w:p>
      <w:pPr>
        <w:spacing w:after="0" w:line="158"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The notes will be senior unsecured obligations and will rank on the same basis with all of our other senior unsecured indebtedness from time to time outstanding. Each series of the notes will be a separate series of senior debt securities under the Indenture. The Indenture does not limit the aggregate principal amount of securities that may be issued under the Indenture. Without the consent of the holders, we may increase the aggregate principal amount of the notes of any series in the future on the same terms and conditions (except for issuance date, price and, in some cases, the initial interest payment date) as the notes of the series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43"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Each series of notes will be issued in the form of one or more fully registered global securities in minimum denominations of $2,000 and integral multiples of $1,000 in excess thereof.</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Interest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2029 notes will accrue interest at a rate of 6.750% per annum and the 2033 notes will</w:t>
      </w:r>
    </w:p>
    <w:p>
      <w:pPr>
        <w:ind w:left="1260" w:right="419"/>
        <w:spacing w:after="0"/>
        <w:rPr>
          <w:sz w:val="20"/>
          <w:szCs w:val="20"/>
          <w:color w:val="auto"/>
        </w:rPr>
      </w:pPr>
      <w:r>
        <w:rPr>
          <w:rFonts w:ascii="Arial" w:cs="Arial" w:eastAsia="Arial" w:hAnsi="Arial"/>
          <w:sz w:val="18"/>
          <w:szCs w:val="18"/>
          <w:color w:val="auto"/>
        </w:rPr>
        <w:t>accrue interest at a rate of 5.875% per annum. Interest on the 2029 notes will accrue from October 31, 2022 and interest on the 2033 notes will accrue from February 9, 2023. The Company will make interest payments on the 2029 notes semi-annually in arrears on May 1 and November 1 of each year, beginning on May 1, 2023, to the Person in whose name such notes are registered at the close of business on the immediately preceding April 15 or October 15, as applicable. The Company will make interest payments on the 2033 notes semi-annually in arrears on February 9 and August 9 of each year, beginning on August 9, 2023, to the Person in whose name such notes are registered at the close of business on the immediately preceding January 26 or July 26, as applicable.</w:t>
      </w:r>
    </w:p>
    <w:p>
      <w:pPr>
        <w:spacing w:after="0" w:line="140" w:lineRule="exact"/>
        <w:rPr>
          <w:sz w:val="20"/>
          <w:szCs w:val="20"/>
          <w:color w:val="auto"/>
        </w:rPr>
      </w:pPr>
    </w:p>
    <w:p>
      <w:pPr>
        <w:ind w:left="1260" w:right="539"/>
        <w:spacing w:after="0" w:line="248" w:lineRule="auto"/>
        <w:rPr>
          <w:sz w:val="20"/>
          <w:szCs w:val="20"/>
          <w:color w:val="auto"/>
        </w:rPr>
      </w:pPr>
      <w:r>
        <w:rPr>
          <w:rFonts w:ascii="Arial" w:cs="Arial" w:eastAsia="Arial" w:hAnsi="Arial"/>
          <w:sz w:val="18"/>
          <w:szCs w:val="18"/>
          <w:color w:val="auto"/>
        </w:rPr>
        <w:t>In addition to the public offering price of the 2029 notes offered hereby that is set forth on the cover page of this prospectus supplement, purchasers of the 2029 notes in this offering will pay interest from October 31, 2022 to, but excluding, the date of issuance.</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 on the notes will be computed on the basis of a 360-day year of twelve 30-day months.</w:t>
      </w:r>
    </w:p>
    <w:p>
      <w:pPr>
        <w:spacing w:after="0" w:line="158" w:lineRule="exact"/>
        <w:rPr>
          <w:sz w:val="20"/>
          <w:szCs w:val="20"/>
          <w:color w:val="auto"/>
        </w:rPr>
      </w:pPr>
    </w:p>
    <w:p>
      <w:pPr>
        <w:ind w:left="1260" w:right="639"/>
        <w:spacing w:after="0" w:line="243" w:lineRule="auto"/>
        <w:rPr>
          <w:sz w:val="20"/>
          <w:szCs w:val="20"/>
          <w:color w:val="auto"/>
        </w:rPr>
      </w:pPr>
      <w:r>
        <w:rPr>
          <w:rFonts w:ascii="Arial" w:cs="Arial" w:eastAsia="Arial" w:hAnsi="Arial"/>
          <w:sz w:val="18"/>
          <w:szCs w:val="18"/>
          <w:color w:val="auto"/>
        </w:rPr>
        <w:t>If an interest payment date for an applicable series of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Optional Redemption</w:t>
      </w:r>
    </w:p>
    <w:p>
      <w:pPr>
        <w:spacing w:after="0" w:line="170"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Prior to the applicable Par Call Date, the Company may redeem the notes of each series at its option, in whole or in part, at any time and from time to time, at a redemption price (expressed as a percentage of principal amount and rounded to three decimal places) equal to the greater of:</w:t>
      </w:r>
    </w:p>
    <w:p>
      <w:pPr>
        <w:spacing w:after="0" w:line="87" w:lineRule="exact"/>
        <w:rPr>
          <w:sz w:val="20"/>
          <w:szCs w:val="20"/>
          <w:color w:val="auto"/>
        </w:rPr>
      </w:pPr>
    </w:p>
    <w:p>
      <w:pPr>
        <w:ind w:left="1800" w:right="459" w:hanging="180"/>
        <w:spacing w:after="0" w:line="25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40 basis points for the 2029 notes and 35 basis points for the 2033 notes, less (ii) interest accrued to the date of redemption, and</w:t>
      </w:r>
    </w:p>
    <w:p>
      <w:pPr>
        <w:spacing w:after="0" w:line="9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of that series to be redeemed,</w:t>
      </w:r>
    </w:p>
    <w:p>
      <w:pPr>
        <w:spacing w:after="0" w:line="144" w:lineRule="exact"/>
        <w:rPr>
          <w:sz w:val="20"/>
          <w:szCs w:val="20"/>
          <w:color w:val="auto"/>
        </w:rPr>
      </w:pPr>
    </w:p>
    <w:p>
      <w:pPr>
        <w:ind w:left="1260" w:right="1239"/>
        <w:spacing w:after="0" w:line="261" w:lineRule="auto"/>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 We will calculate the redemption price.</w:t>
      </w:r>
    </w:p>
    <w:p>
      <w:pPr>
        <w:spacing w:after="0" w:line="117" w:lineRule="exact"/>
        <w:rPr>
          <w:sz w:val="20"/>
          <w:szCs w:val="20"/>
          <w:color w:val="auto"/>
        </w:rPr>
      </w:pPr>
    </w:p>
    <w:p>
      <w:pPr>
        <w:ind w:left="1260" w:right="619"/>
        <w:spacing w:after="0" w:line="243" w:lineRule="auto"/>
        <w:rPr>
          <w:sz w:val="20"/>
          <w:szCs w:val="20"/>
          <w:color w:val="auto"/>
        </w:rPr>
      </w:pPr>
      <w:r>
        <w:rPr>
          <w:rFonts w:ascii="Arial" w:cs="Arial" w:eastAsia="Arial" w:hAnsi="Arial"/>
          <w:sz w:val="18"/>
          <w:szCs w:val="18"/>
          <w:color w:val="auto"/>
        </w:rPr>
        <w:t>On or after the applicable Par Call Date for a series of notes, the Company may, at its option, redeem the notes of such series, in whole or in part, at any time and from time to time, at a redemption price equal to 100% of the principal amount of the notes redeemed, plus accrued and unpaid interest thereon, if any, to, but excluding, the date of redemption.</w:t>
      </w:r>
    </w:p>
    <w:p>
      <w:pPr>
        <w:spacing w:after="0" w:line="134"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“Par Call Date” means September 1, 2029, with respect to any 2029 notes (two months prior to the maturity date of the 2029 notes), and November 9, 2032, with respect to any 2033 notes (three months prior to the maturity date of the 2033 notes).</w:t>
      </w:r>
    </w:p>
    <w:p>
      <w:pPr>
        <w:spacing w:after="0" w:line="135"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of the series to be redeemed (with a copy to the Trustee). Unless the Company defaults in payment of the redemption price, on and after the redemption date, interest will cease to accrue on the notes or portions thereof called for redemption. On or before a redemption date, the Company will deposit with a paying agent (or the Trustee) money sufficient to pay the redemption price of and accrued interest on the notes to be redeemed on that date. In the case of a partial redemption of the notes of a series, selection of the notes of such series for redemption will be made pro rata, by lot or by such other method as the Trustee deems fair and appropriate. No notes of a principal amount of $2,000 or less will be redeemed in part. If any note of a series is to be redeemed in part only, the notice of redemption that relates to the note of such series will state the portion of the principal</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60" w:lineRule="auto"/>
        <w:rPr>
          <w:sz w:val="20"/>
          <w:szCs w:val="20"/>
          <w:color w:val="auto"/>
        </w:rPr>
      </w:pPr>
      <w:r>
        <w:rPr>
          <w:rFonts w:ascii="Arial" w:cs="Arial" w:eastAsia="Arial" w:hAnsi="Arial"/>
          <w:sz w:val="17"/>
          <w:szCs w:val="17"/>
          <w:color w:val="auto"/>
        </w:rPr>
        <w:t>amount of the note to be redeemed. A new note in a principal amount equal to the unredeemed portion of the note will be issued in the name of the holder of the note upon surrender for cancellation of the original note. For so long as the notes of each series are held by The Depository Trust Company (“DTC”), Euroclear or Clearstream (or another depositary), the redemption of the notes of each series shall be done in accordance with the policies and procedures of the depositary. Any redemption or notice of redemption may, at the Company’s discretion, be subject to one or more conditions precedent.</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Mandatory Redemption; Offers To Purchase; Open Market Purchases</w:t>
      </w:r>
    </w:p>
    <w:p>
      <w:pPr>
        <w:spacing w:after="0" w:line="184"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The Company is not required to make any mandatory redemption or sinking fund payments with respect to the notes. However, under certain circumstances, the Company may be required to offer to purchase each series of notes as described under the caption “— Repurchase of Notes upon a Change of Control Triggering Event.” The Company may at any time and from time to time purchase notes in the open market or otherwise.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Ranking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notes are general unsecured obligations of the Company. As a result, the notes rank:</w:t>
      </w:r>
    </w:p>
    <w:p>
      <w:pPr>
        <w:spacing w:after="0" w:line="86" w:lineRule="exact"/>
        <w:rPr>
          <w:sz w:val="20"/>
          <w:szCs w:val="20"/>
          <w:color w:val="auto"/>
        </w:rPr>
      </w:pPr>
    </w:p>
    <w:p>
      <w:pPr>
        <w:ind w:left="1800" w:right="1459" w:hanging="180"/>
        <w:spacing w:after="0" w:line="282"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existing and future unsecured unsubordinated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of the Company;</w:t>
      </w:r>
    </w:p>
    <w:p>
      <w:pPr>
        <w:spacing w:after="0" w:line="71" w:lineRule="exact"/>
        <w:rPr>
          <w:rFonts w:ascii="Arial" w:cs="Arial" w:eastAsia="Arial" w:hAnsi="Arial"/>
          <w:sz w:val="18"/>
          <w:szCs w:val="18"/>
          <w:color w:val="auto"/>
        </w:rPr>
      </w:pPr>
    </w:p>
    <w:p>
      <w:pPr>
        <w:ind w:left="1800" w:right="639" w:hanging="180"/>
        <w:spacing w:after="0" w:line="256"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subordinated to secured indebtedness of the Company, to the extent of the value of the assets securing such indebtedness or other obligations (unless the notes are equally and ratably secured with such indebtedness); and</w:t>
      </w:r>
    </w:p>
    <w:p>
      <w:pPr>
        <w:spacing w:after="0" w:line="93"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structurally subordinated to any indebtedness and other liabilities of the Company’s Subsidiaries.</w:t>
      </w:r>
    </w:p>
    <w:p>
      <w:pPr>
        <w:spacing w:after="0" w:line="156"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Repurchase of Notes upon a Change of Control Triggering Event</w:t>
      </w:r>
    </w:p>
    <w:p>
      <w:pPr>
        <w:spacing w:after="0" w:line="170" w:lineRule="exact"/>
        <w:rPr>
          <w:sz w:val="20"/>
          <w:szCs w:val="20"/>
          <w:color w:val="auto"/>
        </w:rPr>
      </w:pPr>
    </w:p>
    <w:p>
      <w:pPr>
        <w:ind w:left="1260" w:right="579"/>
        <w:spacing w:after="0" w:line="245" w:lineRule="auto"/>
        <w:rPr>
          <w:sz w:val="20"/>
          <w:szCs w:val="20"/>
          <w:color w:val="auto"/>
        </w:rPr>
      </w:pPr>
      <w:r>
        <w:rPr>
          <w:rFonts w:ascii="Arial" w:cs="Arial" w:eastAsia="Arial" w:hAnsi="Arial"/>
          <w:sz w:val="18"/>
          <w:szCs w:val="18"/>
          <w:color w:val="auto"/>
        </w:rPr>
        <w:t>Not later than 60 days following a Change of Control Triggering Event, unless the Company has exercised its right to redeem all of the notes of a series as described under “— Optional Redemption,” the Company will make an Offer to Purchase all of the outstanding notes of such series at a purchase price equal to 101% of the principal amount thereof plus accrued and unpaid interest, if any, to, but excluding, the date of purchase.</w:t>
      </w:r>
    </w:p>
    <w:p>
      <w:pPr>
        <w:spacing w:after="0" w:line="132" w:lineRule="exact"/>
        <w:rPr>
          <w:sz w:val="20"/>
          <w:szCs w:val="20"/>
          <w:color w:val="auto"/>
        </w:rPr>
      </w:pPr>
    </w:p>
    <w:p>
      <w:pPr>
        <w:ind w:left="1260" w:right="519"/>
        <w:spacing w:after="0"/>
        <w:rPr>
          <w:sz w:val="20"/>
          <w:szCs w:val="20"/>
          <w:color w:val="auto"/>
        </w:rPr>
      </w:pPr>
      <w:r>
        <w:rPr>
          <w:rFonts w:ascii="Arial" w:cs="Arial" w:eastAsia="Arial" w:hAnsi="Arial"/>
          <w:sz w:val="18"/>
          <w:szCs w:val="18"/>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40" w:lineRule="exact"/>
        <w:rPr>
          <w:sz w:val="20"/>
          <w:szCs w:val="20"/>
          <w:color w:val="auto"/>
        </w:rPr>
      </w:pPr>
    </w:p>
    <w:p>
      <w:pPr>
        <w:ind w:left="1260" w:right="459"/>
        <w:spacing w:after="0" w:line="259" w:lineRule="auto"/>
        <w:rPr>
          <w:sz w:val="20"/>
          <w:szCs w:val="20"/>
          <w:color w:val="auto"/>
        </w:rPr>
      </w:pPr>
      <w:r>
        <w:rPr>
          <w:rFonts w:ascii="Arial" w:cs="Arial" w:eastAsia="Arial" w:hAnsi="Arial"/>
          <w:sz w:val="17"/>
          <w:szCs w:val="17"/>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w:t>
      </w: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color w:val="auto"/>
        </w:rPr>
        <w:t>Company defaults in the payment of the purchase price, interest on notes purchased will cease to accrue on and after the purchase date.</w:t>
      </w:r>
    </w:p>
    <w:p>
      <w:pPr>
        <w:spacing w:after="0" w:line="117" w:lineRule="exact"/>
        <w:rPr>
          <w:sz w:val="20"/>
          <w:szCs w:val="20"/>
          <w:color w:val="auto"/>
        </w:rPr>
      </w:pPr>
    </w:p>
    <w:p>
      <w:pPr>
        <w:jc w:val="both"/>
        <w:ind w:left="1260" w:right="799"/>
        <w:spacing w:after="0"/>
        <w:rPr>
          <w:sz w:val="20"/>
          <w:szCs w:val="20"/>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w:t>
      </w:r>
    </w:p>
    <w:p>
      <w:pPr>
        <w:spacing w:after="0" w:line="135" w:lineRule="exact"/>
        <w:rPr>
          <w:sz w:val="20"/>
          <w:szCs w:val="20"/>
          <w:color w:val="auto"/>
        </w:rPr>
      </w:pPr>
    </w:p>
    <w:p>
      <w:pPr>
        <w:ind w:left="1260" w:right="459"/>
        <w:spacing w:after="0" w:line="242" w:lineRule="auto"/>
        <w:rPr>
          <w:sz w:val="20"/>
          <w:szCs w:val="20"/>
          <w:color w:val="auto"/>
        </w:rPr>
      </w:pPr>
      <w:r>
        <w:rPr>
          <w:rFonts w:ascii="Arial" w:cs="Arial" w:eastAsia="Arial" w:hAnsi="Arial"/>
          <w:sz w:val="18"/>
          <w:szCs w:val="18"/>
          <w:color w:val="auto"/>
        </w:rPr>
        <w:t>The Company will not be required to make an Offer to Purchase following a Change of Control Triggering Event with respect to the notes of a series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33"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If holders of not less than 90% in aggregate principal amount of the outstanding notes of a series validly tender and do not withdraw such notes in a change of control offer and the Company, or any third party approved in writing by the Company making a change of control offer in lieu of the Company as described above, purchases all of the notes of such series validly tendered and not withdrawn by such holders, the Company or such third party will have the right, upon not less than 10 nor more than</w:t>
      </w:r>
    </w:p>
    <w:p>
      <w:pPr>
        <w:ind w:left="1260" w:right="499"/>
        <w:spacing w:after="0" w:line="241" w:lineRule="auto"/>
        <w:rPr>
          <w:sz w:val="20"/>
          <w:szCs w:val="20"/>
          <w:color w:val="auto"/>
        </w:rPr>
      </w:pPr>
      <w:r>
        <w:rPr>
          <w:rFonts w:ascii="Arial" w:cs="Arial" w:eastAsia="Arial" w:hAnsi="Arial"/>
          <w:sz w:val="18"/>
          <w:szCs w:val="18"/>
          <w:color w:val="auto"/>
        </w:rPr>
        <w:t>60 days’ prior notice, given not more than 30 days following such purchase pursuant to the Offer to Purchase, to redeem (with respect to the Company) or purchase (with respect to a third party) all notes of such series that remain outstanding following such purchase on a date (the “second change of control payment date”) at a purchase price equal to 101% of the principal amount thereof plus accrued and unpaid interest, if any, to, but excluding, the second change of control payment date.</w:t>
      </w:r>
    </w:p>
    <w:p>
      <w:pPr>
        <w:spacing w:after="0" w:line="135"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 — Risks Related to the Notes — Upon a Change of Control Triggering Event, we may not have the funds necessary to finance the change of control offer required by the indenture governing each series of notes, which would violate the terms of the indenture.”</w:t>
      </w:r>
    </w:p>
    <w:p>
      <w:pPr>
        <w:spacing w:after="0" w:line="136"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The phrase “all or substantially all,” as used with respect to the assets of the Company in the definition of “Change of Control” and in the covenant summarized below under “— Certain Covenants — 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140"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 Certain Covenants — Limitation on Liens” and “— Certain Covenants — Limitation on Sale and Lease-Back Transactions.” Such restrictions in the Indenture can</w:t>
      </w:r>
    </w:p>
    <w:p>
      <w:pPr>
        <w:sectPr>
          <w:pgSz w:w="11900" w:h="16838" w:orient="portrait"/>
          <w:cols w:equalWidth="0" w:num="1">
            <w:col w:w="9879"/>
          </w:cols>
          <w:pgMar w:left="580" w:top="131" w:right="1440" w:bottom="1440" w:gutter="0" w:footer="0" w:header="0"/>
        </w:sectPr>
      </w:pPr>
    </w:p>
    <w:p>
      <w:pPr>
        <w:spacing w:after="0" w:line="39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be waived with respect to a series of notes only with the consent of the holders of a majority in principal amount of such series of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34"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color w:val="auto"/>
        </w:rPr>
        <w:t>The provisions under the Indenture relating to the Company’s obligation to make an offer to repurchase the notes of a series as a result of a Change of Control Triggering Event may be waived or modified with the written consent of the holders of a majority in principal amount of the notes of such series.</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Exchange and Transfer</w:t>
      </w:r>
    </w:p>
    <w:p>
      <w:pPr>
        <w:spacing w:after="0" w:line="184"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color w:val="auto"/>
        </w:rPr>
        <w:t>Holders of notes of a series generally will be able to exchange notes of such series for other notes of such series with the same total principal amount and the same terms.</w:t>
      </w:r>
    </w:p>
    <w:p>
      <w:pPr>
        <w:spacing w:after="0" w:line="129" w:lineRule="exact"/>
        <w:rPr>
          <w:sz w:val="20"/>
          <w:szCs w:val="20"/>
          <w:color w:val="auto"/>
        </w:rPr>
      </w:pPr>
    </w:p>
    <w:p>
      <w:pPr>
        <w:ind w:left="1260" w:right="539"/>
        <w:spacing w:after="0" w:line="252" w:lineRule="auto"/>
        <w:rPr>
          <w:sz w:val="20"/>
          <w:szCs w:val="20"/>
          <w:color w:val="auto"/>
        </w:rPr>
      </w:pPr>
      <w:r>
        <w:rPr>
          <w:rFonts w:ascii="Arial" w:cs="Arial" w:eastAsia="Arial" w:hAnsi="Arial"/>
          <w:sz w:val="18"/>
          <w:szCs w:val="18"/>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97"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designate additional transfer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rescind the designation of any transfer agent;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 a change in the office of any transfer agent.</w:t>
      </w:r>
    </w:p>
    <w:p>
      <w:pPr>
        <w:spacing w:after="0" w:line="158"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color w:val="auto"/>
        </w:rPr>
        <w:t>However, the Company is required to maintain a transfer agent in each place of payment for the notes at all times.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the Company elects to redeem the notes of a series or makes an Offer to Purchase, neither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 nor the Trustee will be required to:</w:t>
      </w:r>
    </w:p>
    <w:p>
      <w:pPr>
        <w:spacing w:after="0" w:line="117" w:lineRule="exact"/>
        <w:rPr>
          <w:sz w:val="20"/>
          <w:szCs w:val="20"/>
          <w:color w:val="auto"/>
        </w:rPr>
      </w:pPr>
    </w:p>
    <w:p>
      <w:pPr>
        <w:ind w:left="1800" w:right="459" w:hanging="180"/>
        <w:spacing w:after="0" w:line="254"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of such series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95" w:lineRule="exact"/>
        <w:rPr>
          <w:rFonts w:ascii="Arial" w:cs="Arial" w:eastAsia="Arial" w:hAnsi="Arial"/>
          <w:sz w:val="18"/>
          <w:szCs w:val="18"/>
          <w:color w:val="auto"/>
        </w:rPr>
      </w:pPr>
    </w:p>
    <w:p>
      <w:pPr>
        <w:ind w:left="1800" w:right="419" w:hanging="180"/>
        <w:spacing w:after="0" w:line="256"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register the transfer or exchange of any note of such series so selected for redemption or subject to purchase in such Offer to Purchase, except for any portion not to be redeemed or subject to purchase; or</w:t>
      </w:r>
    </w:p>
    <w:p>
      <w:pPr>
        <w:spacing w:after="0" w:line="93"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or exchange of any note of such series on or after the regular record date and before the date of redemption or purchase.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Payment and Paying Agents</w:t>
      </w:r>
    </w:p>
    <w:p>
      <w:pPr>
        <w:spacing w:after="0" w:line="184"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123" w:lineRule="exact"/>
        <w:rPr>
          <w:sz w:val="20"/>
          <w:szCs w:val="20"/>
          <w:color w:val="auto"/>
        </w:rPr>
      </w:pPr>
    </w:p>
    <w:p>
      <w:pPr>
        <w:ind w:left="1260" w:right="919"/>
        <w:spacing w:after="0" w:line="256" w:lineRule="auto"/>
        <w:rPr>
          <w:sz w:val="20"/>
          <w:szCs w:val="20"/>
          <w:color w:val="auto"/>
        </w:rPr>
      </w:pPr>
      <w:r>
        <w:rPr>
          <w:rFonts w:ascii="Arial" w:cs="Arial" w:eastAsia="Arial" w:hAnsi="Arial"/>
          <w:sz w:val="18"/>
          <w:szCs w:val="18"/>
          <w:color w:val="auto"/>
        </w:rPr>
        <w:t>The Company will pay principal, premium, if any, and interest on the notes at the offices of the designated paying agents. However, except in the case of a global security, the Company will pay interest by:</w:t>
      </w:r>
    </w:p>
    <w:p>
      <w:pPr>
        <w:spacing w:after="0" w:line="94" w:lineRule="exact"/>
        <w:rPr>
          <w:sz w:val="20"/>
          <w:szCs w:val="20"/>
          <w:color w:val="auto"/>
        </w:rPr>
      </w:pPr>
    </w:p>
    <w:p>
      <w:pPr>
        <w:ind w:left="1800" w:right="659" w:hanging="180"/>
        <w:spacing w:after="0" w:line="261"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539" w:hanging="180"/>
        <w:spacing w:after="0" w:line="254"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36"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The Company will initially designate the Trustee as the sole paying agent for each series of notes. At any time, the Company may designate additional paying agents or rescind the designation of any paying agents. However, the Company is required to maintain a paying agent in each place of payment for the notes at all times.</w:t>
      </w:r>
    </w:p>
    <w:p>
      <w:pPr>
        <w:spacing w:after="0" w:line="134"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Certain Covenants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66"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38"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Notwithstanding the foregoing,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w:t>
      </w:r>
    </w:p>
    <w:p>
      <w:pPr>
        <w:spacing w:after="0" w:line="2" w:lineRule="exact"/>
        <w:rPr>
          <w:sz w:val="20"/>
          <w:szCs w:val="20"/>
          <w:color w:val="auto"/>
        </w:rPr>
      </w:pPr>
    </w:p>
    <w:p>
      <w:pPr>
        <w:ind w:left="1260" w:right="439"/>
        <w:spacing w:after="0" w:line="251" w:lineRule="auto"/>
        <w:tabs>
          <w:tab w:leader="none" w:pos="15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 of Consolidated Net Tangible Assets of the Company immediately preceding the date of the creation or incurrence of the Lien. The Company or any Restricted Subsidiary of the Company also may, without equally and ratably securing the notes of each series,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43"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w:t>
      </w:r>
    </w:p>
    <w:p>
      <w:pPr>
        <w:sectPr>
          <w:pgSz w:w="11900" w:h="16838" w:orient="portrait"/>
          <w:cols w:equalWidth="0" w:num="1">
            <w:col w:w="9879"/>
          </w:cols>
          <w:pgMar w:left="580" w:top="131" w:right="1440" w:bottom="1440" w:gutter="0" w:footer="0" w:header="0"/>
        </w:sectPr>
      </w:pPr>
    </w:p>
    <w:p>
      <w:pPr>
        <w:spacing w:after="0" w:line="38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539"/>
        <w:spacing w:after="0" w:line="263" w:lineRule="auto"/>
        <w:rPr>
          <w:sz w:val="20"/>
          <w:szCs w:val="20"/>
          <w:color w:val="auto"/>
        </w:rPr>
      </w:pPr>
      <w:r>
        <w:rPr>
          <w:rFonts w:ascii="Arial" w:cs="Arial" w:eastAsia="Arial" w:hAnsi="Arial"/>
          <w:sz w:val="17"/>
          <w:szCs w:val="17"/>
          <w:color w:val="auto"/>
        </w:rPr>
        <w:t>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17"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color w:val="auto"/>
        </w:rPr>
        <w:t>Any Lien created for the benefit of the holders of the notes of a series pursuant to the first paragraph under this covenant may provide by its terms that such Lien shall be automatically and unconditionally released and discharged upon the release and discharge of the Lien that gave rise to the obligation to secure the notes of such series.</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80" w:lineRule="exact"/>
        <w:rPr>
          <w:sz w:val="20"/>
          <w:szCs w:val="20"/>
          <w:color w:val="auto"/>
        </w:rPr>
      </w:pPr>
    </w:p>
    <w:p>
      <w:pPr>
        <w:ind w:left="1260" w:right="579"/>
        <w:spacing w:after="0"/>
        <w:rPr>
          <w:sz w:val="20"/>
          <w:szCs w:val="20"/>
          <w:color w:val="auto"/>
        </w:rPr>
      </w:pPr>
      <w:r>
        <w:rPr>
          <w:rFonts w:ascii="Arial" w:cs="Arial" w:eastAsia="Arial" w:hAnsi="Arial"/>
          <w:sz w:val="18"/>
          <w:szCs w:val="18"/>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95" w:lineRule="exact"/>
        <w:rPr>
          <w:sz w:val="20"/>
          <w:szCs w:val="20"/>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117" w:lineRule="exact"/>
        <w:rPr>
          <w:rFonts w:ascii="Arial" w:cs="Arial" w:eastAsia="Arial" w:hAnsi="Arial"/>
          <w:sz w:val="18"/>
          <w:szCs w:val="18"/>
          <w:color w:val="auto"/>
        </w:rPr>
      </w:pPr>
    </w:p>
    <w:p>
      <w:pPr>
        <w:ind w:left="1800" w:right="439" w:hanging="180"/>
        <w:spacing w:after="0" w:line="261"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w:t>
      </w:r>
    </w:p>
    <w:p>
      <w:pPr>
        <w:spacing w:after="0" w:line="9" w:lineRule="exact"/>
        <w:rPr>
          <w:rFonts w:ascii="Arial" w:cs="Arial" w:eastAsia="Arial" w:hAnsi="Arial"/>
          <w:sz w:val="18"/>
          <w:szCs w:val="18"/>
          <w:color w:val="auto"/>
        </w:rPr>
      </w:pPr>
    </w:p>
    <w:p>
      <w:pPr>
        <w:ind w:left="1800" w:right="539"/>
        <w:spacing w:after="0" w:line="273" w:lineRule="auto"/>
        <w:rPr>
          <w:rFonts w:ascii="Arial" w:cs="Arial" w:eastAsia="Arial" w:hAnsi="Arial"/>
          <w:sz w:val="18"/>
          <w:szCs w:val="18"/>
          <w:color w:val="auto"/>
        </w:rPr>
      </w:pPr>
      <w:r>
        <w:rPr>
          <w:rFonts w:ascii="Arial" w:cs="Arial" w:eastAsia="Arial" w:hAnsi="Arial"/>
          <w:sz w:val="17"/>
          <w:szCs w:val="17"/>
          <w:color w:val="auto"/>
        </w:rPr>
        <w:t>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82" w:lineRule="exact"/>
        <w:rPr>
          <w:rFonts w:ascii="Arial" w:cs="Arial" w:eastAsia="Arial" w:hAnsi="Arial"/>
          <w:sz w:val="18"/>
          <w:szCs w:val="18"/>
          <w:color w:val="auto"/>
        </w:rPr>
      </w:pPr>
    </w:p>
    <w:p>
      <w:pPr>
        <w:ind w:left="1800" w:right="559" w:hanging="180"/>
        <w:spacing w:after="0" w:line="250"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w:t>
      </w:r>
    </w:p>
    <w:p>
      <w:pPr>
        <w:ind w:left="1800"/>
        <w:spacing w:after="0"/>
        <w:rPr>
          <w:rFonts w:ascii="Arial" w:cs="Arial" w:eastAsia="Arial" w:hAnsi="Arial"/>
          <w:sz w:val="18"/>
          <w:szCs w:val="18"/>
          <w:color w:val="auto"/>
        </w:rPr>
      </w:pPr>
      <w:r>
        <w:rPr>
          <w:rFonts w:ascii="Arial" w:cs="Arial" w:eastAsia="Arial" w:hAnsi="Arial"/>
          <w:sz w:val="18"/>
          <w:szCs w:val="18"/>
          <w:color w:val="auto"/>
        </w:rPr>
        <w:t>three years);</w:t>
      </w:r>
    </w:p>
    <w:p>
      <w:pPr>
        <w:spacing w:after="0" w:line="117"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 Limitation on Liens” above; or</w:t>
      </w:r>
    </w:p>
    <w:p>
      <w:pPr>
        <w:spacing w:after="0" w:line="95" w:lineRule="exact"/>
        <w:rPr>
          <w:rFonts w:ascii="Arial" w:cs="Arial" w:eastAsia="Arial" w:hAnsi="Arial"/>
          <w:sz w:val="18"/>
          <w:szCs w:val="18"/>
          <w:color w:val="auto"/>
        </w:rPr>
      </w:pPr>
    </w:p>
    <w:p>
      <w:pPr>
        <w:ind w:left="1800" w:right="499" w:hanging="180"/>
        <w:spacing w:after="0" w:line="252"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24" w:lineRule="exact"/>
        <w:rPr>
          <w:sz w:val="20"/>
          <w:szCs w:val="20"/>
          <w:color w:val="auto"/>
        </w:rPr>
      </w:pPr>
    </w:p>
    <w:p>
      <w:pPr>
        <w:ind w:left="1260" w:right="699"/>
        <w:spacing w:after="0" w:line="241"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94" w:lineRule="exact"/>
        <w:rPr>
          <w:sz w:val="20"/>
          <w:szCs w:val="20"/>
          <w:color w:val="auto"/>
        </w:rPr>
      </w:pPr>
    </w:p>
    <w:p>
      <w:pPr>
        <w:ind w:left="1620" w:right="959"/>
        <w:spacing w:after="0" w:line="271" w:lineRule="auto"/>
        <w:rPr>
          <w:sz w:val="20"/>
          <w:szCs w:val="20"/>
          <w:color w:val="auto"/>
        </w:rPr>
      </w:pPr>
      <w:r>
        <w:rPr>
          <w:rFonts w:ascii="Arial" w:cs="Arial" w:eastAsia="Arial" w:hAnsi="Arial"/>
          <w:sz w:val="18"/>
          <w:szCs w:val="18"/>
          <w:b w:val="1"/>
          <w:bCs w:val="1"/>
          <w:i w:val="1"/>
          <w:iCs w:val="1"/>
          <w:color w:val="auto"/>
        </w:rPr>
        <w:t>Consolidation, Merger and Conveyance, Transfer and Lease of All or Substantially All Assets</w:t>
      </w:r>
    </w:p>
    <w:p>
      <w:pPr>
        <w:spacing w:after="0" w:line="108" w:lineRule="exact"/>
        <w:rPr>
          <w:sz w:val="20"/>
          <w:szCs w:val="20"/>
          <w:color w:val="auto"/>
        </w:rPr>
      </w:pPr>
    </w:p>
    <w:p>
      <w:pPr>
        <w:ind w:left="1260" w:right="1119"/>
        <w:spacing w:after="0" w:line="246" w:lineRule="auto"/>
        <w:rPr>
          <w:sz w:val="20"/>
          <w:szCs w:val="20"/>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(a “successor person”) unless:</w:t>
      </w:r>
    </w:p>
    <w:p>
      <w:pPr>
        <w:spacing w:after="0" w:line="129" w:lineRule="exact"/>
        <w:rPr>
          <w:sz w:val="20"/>
          <w:szCs w:val="20"/>
          <w:color w:val="auto"/>
        </w:rPr>
      </w:pPr>
    </w:p>
    <w:p>
      <w:pPr>
        <w:ind w:left="1980" w:right="459" w:hanging="360"/>
        <w:spacing w:after="0" w:line="254"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ectPr>
          <w:pgSz w:w="11900" w:h="16838" w:orient="portrait"/>
          <w:cols w:equalWidth="0" w:num="1">
            <w:col w:w="9879"/>
          </w:cols>
          <w:pgMar w:left="580" w:top="131" w:right="1440" w:bottom="1440" w:gutter="0" w:footer="0" w:header="0"/>
        </w:sectPr>
      </w:pPr>
    </w:p>
    <w:p>
      <w:pPr>
        <w:spacing w:after="0" w:line="37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980" w:right="439" w:hanging="360"/>
        <w:spacing w:after="0" w:line="256"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34" w:lineRule="exact"/>
        <w:rPr>
          <w:rFonts w:ascii="Arial" w:cs="Arial" w:eastAsia="Arial" w:hAnsi="Arial"/>
          <w:sz w:val="18"/>
          <w:szCs w:val="18"/>
          <w:color w:val="auto"/>
        </w:rPr>
      </w:pPr>
    </w:p>
    <w:p>
      <w:pPr>
        <w:ind w:left="1980" w:hanging="360"/>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158"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Provision of Financial Information</w:t>
      </w:r>
    </w:p>
    <w:p>
      <w:pPr>
        <w:spacing w:after="0" w:line="184" w:lineRule="exact"/>
        <w:rPr>
          <w:sz w:val="20"/>
          <w:szCs w:val="20"/>
          <w:color w:val="auto"/>
        </w:rPr>
      </w:pPr>
    </w:p>
    <w:p>
      <w:pPr>
        <w:ind w:left="1260" w:right="419"/>
        <w:spacing w:after="0" w:line="256" w:lineRule="auto"/>
        <w:rPr>
          <w:sz w:val="20"/>
          <w:szCs w:val="20"/>
          <w:color w:val="auto"/>
        </w:rPr>
      </w:pPr>
      <w:r>
        <w:rPr>
          <w:rFonts w:ascii="Arial" w:cs="Arial" w:eastAsia="Arial" w:hAnsi="Arial"/>
          <w:sz w:val="17"/>
          <w:szCs w:val="17"/>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Certain Definitions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44" w:lineRule="exact"/>
        <w:rPr>
          <w:sz w:val="20"/>
          <w:szCs w:val="20"/>
          <w:color w:val="auto"/>
        </w:rPr>
      </w:pPr>
    </w:p>
    <w:p>
      <w:pPr>
        <w:ind w:left="1260" w:right="419"/>
        <w:spacing w:after="0" w:line="250" w:lineRule="auto"/>
        <w:rPr>
          <w:sz w:val="20"/>
          <w:szCs w:val="20"/>
          <w:color w:val="auto"/>
        </w:rPr>
      </w:pPr>
      <w:r>
        <w:rPr>
          <w:rFonts w:ascii="Arial" w:cs="Arial" w:eastAsia="Arial" w:hAnsi="Arial"/>
          <w:sz w:val="18"/>
          <w:szCs w:val="18"/>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 Certain Covenants — 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 Certain Covenants — Limitation on Sale and Lease-Back Transactions” above;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 Certain Covenants —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color w:val="auto"/>
        </w:rPr>
        <w:t>drawn outstanding amount of such revolving credit Indebtedness will be deemed to be incurred and secured by any relevant Liens at such time.</w:t>
      </w:r>
    </w:p>
    <w:p>
      <w:pPr>
        <w:spacing w:after="0" w:line="117" w:lineRule="exact"/>
        <w:rPr>
          <w:sz w:val="20"/>
          <w:szCs w:val="20"/>
          <w:color w:val="auto"/>
        </w:rPr>
      </w:pPr>
    </w:p>
    <w:p>
      <w:pPr>
        <w:ind w:left="1260" w:right="559"/>
        <w:spacing w:after="0"/>
        <w:rPr>
          <w:sz w:val="20"/>
          <w:szCs w:val="20"/>
          <w:color w:val="auto"/>
        </w:rPr>
      </w:pPr>
      <w:r>
        <w:rPr>
          <w:rFonts w:ascii="Arial" w:cs="Arial" w:eastAsia="Arial" w:hAnsi="Arial"/>
          <w:sz w:val="18"/>
          <w:szCs w:val="18"/>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35" w:lineRule="exact"/>
        <w:rPr>
          <w:sz w:val="20"/>
          <w:szCs w:val="20"/>
          <w:color w:val="auto"/>
        </w:rPr>
      </w:pPr>
    </w:p>
    <w:p>
      <w:pPr>
        <w:ind w:left="1260" w:right="459"/>
        <w:spacing w:after="0" w:line="256" w:lineRule="auto"/>
        <w:rPr>
          <w:sz w:val="20"/>
          <w:szCs w:val="20"/>
          <w:color w:val="auto"/>
        </w:rPr>
      </w:pPr>
      <w:r>
        <w:rPr>
          <w:rFonts w:ascii="Arial" w:cs="Arial" w:eastAsia="Arial" w:hAnsi="Arial"/>
          <w:sz w:val="17"/>
          <w:szCs w:val="17"/>
          <w:color w:val="auto"/>
        </w:rPr>
        <w:t>“Below Investment Grade Rating Event” means, with respect to each series of the notes, the rating on such series of notes is lowered by two or more of the Rating Agencies within 60 days from the earlier of</w:t>
      </w:r>
    </w:p>
    <w:p>
      <w:pPr>
        <w:ind w:left="1520" w:hanging="260"/>
        <w:spacing w:after="0" w:line="236"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of the first public notice of an arrangement that could result in a Change of Control or</w:t>
      </w:r>
    </w:p>
    <w:p>
      <w:pPr>
        <w:ind w:left="1520" w:hanging="26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occurrence of a Change of Control (which period shall be extended so long as the rating of such</w:t>
      </w:r>
    </w:p>
    <w:p>
      <w:pPr>
        <w:spacing w:after="0" w:line="9" w:lineRule="exact"/>
        <w:rPr>
          <w:sz w:val="20"/>
          <w:szCs w:val="20"/>
          <w:color w:val="auto"/>
        </w:rPr>
      </w:pPr>
    </w:p>
    <w:p>
      <w:pPr>
        <w:ind w:left="1260" w:right="539"/>
        <w:spacing w:after="0"/>
        <w:rPr>
          <w:sz w:val="20"/>
          <w:szCs w:val="20"/>
          <w:color w:val="auto"/>
        </w:rPr>
      </w:pPr>
      <w:r>
        <w:rPr>
          <w:rFonts w:ascii="Arial" w:cs="Arial" w:eastAsia="Arial" w:hAnsi="Arial"/>
          <w:sz w:val="18"/>
          <w:szCs w:val="18"/>
          <w:color w:val="auto"/>
        </w:rPr>
        <w:t>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is rated Investment Grade by two or more of the Rating Agencies.</w:t>
      </w:r>
    </w:p>
    <w:p>
      <w:pPr>
        <w:spacing w:after="0" w:line="140"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color w:val="auto"/>
        </w:rPr>
        <w:t>“Board of Directors” means the board of directors of the Company or any committee thereof duly authorized to act on behalf of such board.</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“Business Day” means each day that is not a Legal Holiday.</w:t>
      </w:r>
    </w:p>
    <w:p>
      <w:pPr>
        <w:spacing w:after="0" w:line="158"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“Change of Control” means:</w:t>
      </w:r>
    </w:p>
    <w:p>
      <w:pPr>
        <w:spacing w:after="0" w:line="144" w:lineRule="exact"/>
        <w:rPr>
          <w:sz w:val="20"/>
          <w:szCs w:val="20"/>
          <w:color w:val="auto"/>
        </w:rPr>
      </w:pPr>
    </w:p>
    <w:p>
      <w:pPr>
        <w:ind w:left="1980" w:right="419" w:hanging="360"/>
        <w:spacing w:after="0" w:line="251"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39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419" w:hanging="360"/>
        <w:spacing w:after="0" w:line="252"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39" w:lineRule="exact"/>
        <w:rPr>
          <w:rFonts w:ascii="Arial" w:cs="Arial" w:eastAsia="Arial" w:hAnsi="Arial"/>
          <w:sz w:val="18"/>
          <w:szCs w:val="18"/>
          <w:color w:val="auto"/>
        </w:rPr>
      </w:pPr>
    </w:p>
    <w:p>
      <w:pPr>
        <w:ind w:left="1980" w:hanging="360"/>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158"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117"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31" w:lineRule="exact"/>
        <w:rPr>
          <w:sz w:val="20"/>
          <w:szCs w:val="20"/>
          <w:color w:val="auto"/>
        </w:rPr>
      </w:pPr>
    </w:p>
    <w:p>
      <w:pPr>
        <w:jc w:val="both"/>
        <w:ind w:left="1260" w:right="739"/>
        <w:spacing w:after="0" w:line="256" w:lineRule="auto"/>
        <w:rPr>
          <w:sz w:val="20"/>
          <w:szCs w:val="20"/>
          <w:color w:val="auto"/>
        </w:rPr>
      </w:pPr>
      <w:r>
        <w:rPr>
          <w:rFonts w:ascii="Arial" w:cs="Arial" w:eastAsia="Arial" w:hAnsi="Arial"/>
          <w:sz w:val="18"/>
          <w:szCs w:val="18"/>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134" w:lineRule="exact"/>
        <w:rPr>
          <w:sz w:val="20"/>
          <w:szCs w:val="20"/>
          <w:color w:val="auto"/>
        </w:rPr>
      </w:pPr>
    </w:p>
    <w:p>
      <w:pPr>
        <w:ind w:left="1260" w:right="599"/>
        <w:spacing w:after="0" w:line="261" w:lineRule="auto"/>
        <w:rPr>
          <w:sz w:val="20"/>
          <w:szCs w:val="20"/>
          <w:color w:val="auto"/>
        </w:rPr>
      </w:pPr>
      <w:r>
        <w:rPr>
          <w:rFonts w:ascii="Arial" w:cs="Arial" w:eastAsia="Arial" w:hAnsi="Arial"/>
          <w:sz w:val="18"/>
          <w:szCs w:val="18"/>
          <w:color w:val="auto"/>
        </w:rPr>
        <w:t>“Equity Interests” means all Capital Stock and all warrants or options with respect to, or other rights to purchase, Capital Stock, but excluding Indebtedness convertible into or exchangeable for equity.</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“Fitch” means Fitch Ratings Inc. and any successor to its rating agency business.</w:t>
      </w:r>
    </w:p>
    <w:p>
      <w:pPr>
        <w:spacing w:after="0" w:line="158"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“Foreign Subsidiary” means, with respect to any Person, any Subsidiary of such Person other than one that is organized or existing under the laws of the United States, any state thereof or the District of Columbia.</w:t>
      </w:r>
    </w:p>
    <w:p>
      <w:pPr>
        <w:spacing w:after="0" w:line="134"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23"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58" w:lineRule="exact"/>
        <w:rPr>
          <w:sz w:val="20"/>
          <w:szCs w:val="20"/>
          <w:color w:val="auto"/>
        </w:rPr>
      </w:pPr>
    </w:p>
    <w:p>
      <w:pPr>
        <w:ind w:left="1980" w:right="499" w:hanging="360"/>
        <w:spacing w:after="0" w:line="261"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that does not require the current payment of interest;</w:t>
      </w:r>
    </w:p>
    <w:p>
      <w:pPr>
        <w:spacing w:after="0" w:line="116" w:lineRule="exact"/>
        <w:rPr>
          <w:rFonts w:ascii="Arial" w:cs="Arial" w:eastAsia="Arial" w:hAnsi="Arial"/>
          <w:sz w:val="18"/>
          <w:szCs w:val="18"/>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499" w:hanging="360"/>
        <w:spacing w:after="0" w:line="254"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36" w:lineRule="exact"/>
        <w:rPr>
          <w:sz w:val="20"/>
          <w:szCs w:val="20"/>
          <w:color w:val="auto"/>
        </w:rPr>
      </w:pPr>
    </w:p>
    <w:p>
      <w:pPr>
        <w:ind w:left="1260" w:right="1079"/>
        <w:spacing w:after="0" w:line="246"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the Indenture.</w:t>
      </w:r>
    </w:p>
    <w:p>
      <w:pPr>
        <w:spacing w:after="0" w:line="129" w:lineRule="exact"/>
        <w:rPr>
          <w:sz w:val="20"/>
          <w:szCs w:val="20"/>
          <w:color w:val="auto"/>
        </w:rPr>
      </w:pPr>
    </w:p>
    <w:p>
      <w:pPr>
        <w:ind w:left="1260" w:right="719"/>
        <w:spacing w:after="0" w:line="245"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us.</w:t>
      </w:r>
    </w:p>
    <w:p>
      <w:pPr>
        <w:spacing w:after="0" w:line="132" w:lineRule="exact"/>
        <w:rPr>
          <w:sz w:val="20"/>
          <w:szCs w:val="20"/>
          <w:color w:val="auto"/>
        </w:rPr>
      </w:pPr>
    </w:p>
    <w:p>
      <w:pPr>
        <w:ind w:left="1260" w:right="499"/>
        <w:spacing w:after="0" w:line="246" w:lineRule="auto"/>
        <w:rPr>
          <w:sz w:val="20"/>
          <w:szCs w:val="20"/>
          <w:color w:val="auto"/>
        </w:rPr>
      </w:pPr>
      <w:r>
        <w:rPr>
          <w:rFonts w:ascii="Arial" w:cs="Arial" w:eastAsia="Arial" w:hAnsi="Arial"/>
          <w:sz w:val="18"/>
          <w:szCs w:val="18"/>
          <w:color w:val="auto"/>
        </w:rPr>
        <w:t>“Issue Date” means, with respect to a series of notes, the date of original issuance of the notes of such series under the Indenture.</w:t>
      </w:r>
    </w:p>
    <w:p>
      <w:pPr>
        <w:spacing w:after="0" w:line="129" w:lineRule="exact"/>
        <w:rPr>
          <w:sz w:val="20"/>
          <w:szCs w:val="20"/>
          <w:color w:val="auto"/>
        </w:rPr>
      </w:pPr>
    </w:p>
    <w:p>
      <w:pPr>
        <w:ind w:left="1260" w:right="499"/>
        <w:spacing w:after="0" w:line="248" w:lineRule="auto"/>
        <w:rPr>
          <w:sz w:val="20"/>
          <w:szCs w:val="20"/>
          <w:color w:val="auto"/>
        </w:rPr>
      </w:pPr>
      <w:r>
        <w:rPr>
          <w:rFonts w:ascii="Arial" w:cs="Arial" w:eastAsia="Arial" w:hAnsi="Arial"/>
          <w:sz w:val="18"/>
          <w:szCs w:val="18"/>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128" w:lineRule="exact"/>
        <w:rPr>
          <w:sz w:val="20"/>
          <w:szCs w:val="20"/>
          <w:color w:val="auto"/>
        </w:rPr>
      </w:pPr>
    </w:p>
    <w:p>
      <w:pPr>
        <w:ind w:left="1260" w:right="579"/>
        <w:spacing w:after="0" w:line="274" w:lineRule="auto"/>
        <w:rPr>
          <w:sz w:val="20"/>
          <w:szCs w:val="20"/>
          <w:color w:val="auto"/>
        </w:rPr>
      </w:pPr>
      <w:r>
        <w:rPr>
          <w:rFonts w:ascii="Arial" w:cs="Arial" w:eastAsia="Arial" w:hAnsi="Arial"/>
          <w:sz w:val="17"/>
          <w:szCs w:val="17"/>
          <w:color w:val="auto"/>
        </w:rPr>
        <w:t>“Legal Holiday” means a Saturday, a Sunday or a day on which commercial banking institutions or the corporate trust office are not required to be open in the State of New York or the place of payment.</w:t>
      </w:r>
    </w:p>
    <w:p>
      <w:pPr>
        <w:spacing w:after="0" w:line="107" w:lineRule="exact"/>
        <w:rPr>
          <w:sz w:val="20"/>
          <w:szCs w:val="20"/>
          <w:color w:val="auto"/>
        </w:rPr>
      </w:pPr>
    </w:p>
    <w:p>
      <w:pPr>
        <w:ind w:left="1260" w:right="539"/>
        <w:spacing w:after="0" w:line="270" w:lineRule="auto"/>
        <w:rPr>
          <w:sz w:val="20"/>
          <w:szCs w:val="20"/>
          <w:color w:val="auto"/>
        </w:rPr>
      </w:pPr>
      <w:r>
        <w:rPr>
          <w:rFonts w:ascii="Arial" w:cs="Arial" w:eastAsia="Arial" w:hAnsi="Arial"/>
          <w:sz w:val="17"/>
          <w:szCs w:val="17"/>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9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“Moody’s” means Moody’s Investors Service, Inc. and any successor to its rating agency business.</w:t>
      </w:r>
    </w:p>
    <w:p>
      <w:pPr>
        <w:spacing w:after="0" w:line="158"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“Permitted Liens” means:</w:t>
      </w:r>
    </w:p>
    <w:p>
      <w:pPr>
        <w:spacing w:after="0" w:line="117" w:lineRule="exact"/>
        <w:rPr>
          <w:sz w:val="20"/>
          <w:szCs w:val="20"/>
          <w:color w:val="auto"/>
        </w:rPr>
      </w:pPr>
    </w:p>
    <w:p>
      <w:pPr>
        <w:ind w:left="1800" w:right="559" w:hanging="180"/>
        <w:spacing w:after="0" w:line="261"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pacing w:after="0" w:line="89" w:lineRule="exact"/>
        <w:rPr>
          <w:rFonts w:ascii="Arial" w:cs="Arial" w:eastAsia="Arial" w:hAnsi="Arial"/>
          <w:sz w:val="18"/>
          <w:szCs w:val="18"/>
          <w:color w:val="auto"/>
        </w:rPr>
      </w:pPr>
    </w:p>
    <w:p>
      <w:pPr>
        <w:ind w:left="1800" w:right="959" w:hanging="180"/>
        <w:spacing w:after="0" w:line="261"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respect to a series of notes, Liens granted after the Issue Date created in favor of the holders of such series of notes;</w:t>
      </w:r>
    </w:p>
    <w:p>
      <w:pPr>
        <w:spacing w:after="0" w:line="89" w:lineRule="exact"/>
        <w:rPr>
          <w:rFonts w:ascii="Arial" w:cs="Arial" w:eastAsia="Arial" w:hAnsi="Arial"/>
          <w:sz w:val="18"/>
          <w:szCs w:val="18"/>
          <w:color w:val="auto"/>
        </w:rPr>
      </w:pPr>
    </w:p>
    <w:p>
      <w:pPr>
        <w:ind w:left="1800" w:right="479" w:hanging="180"/>
        <w:spacing w:after="0" w:line="251"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90" w:lineRule="exact"/>
        <w:rPr>
          <w:rFonts w:ascii="Arial" w:cs="Arial" w:eastAsia="Arial" w:hAnsi="Arial"/>
          <w:sz w:val="18"/>
          <w:szCs w:val="18"/>
          <w:color w:val="auto"/>
        </w:rPr>
      </w:pPr>
    </w:p>
    <w:p>
      <w:pPr>
        <w:ind w:left="1800" w:right="499" w:hanging="180"/>
        <w:spacing w:after="0" w:line="271" w:lineRule="auto"/>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459"/>
        <w:spacing w:after="0" w:line="245" w:lineRule="auto"/>
        <w:rPr>
          <w:sz w:val="20"/>
          <w:szCs w:val="20"/>
          <w:color w:val="auto"/>
        </w:rPr>
      </w:pPr>
      <w:r>
        <w:rPr>
          <w:rFonts w:ascii="Arial" w:cs="Arial" w:eastAsia="Arial" w:hAnsi="Arial"/>
          <w:sz w:val="18"/>
          <w:szCs w:val="18"/>
          <w:color w:val="auto"/>
        </w:rPr>
        <w:t>(or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91" w:lineRule="exact"/>
        <w:rPr>
          <w:sz w:val="20"/>
          <w:szCs w:val="20"/>
          <w:color w:val="auto"/>
        </w:rPr>
      </w:pPr>
    </w:p>
    <w:p>
      <w:pPr>
        <w:ind w:left="1800" w:right="419" w:hanging="180"/>
        <w:spacing w:after="0" w:line="265" w:lineRule="auto"/>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w:t>
      </w:r>
    </w:p>
    <w:p>
      <w:pPr>
        <w:spacing w:after="0" w:line="1" w:lineRule="exact"/>
        <w:rPr>
          <w:rFonts w:ascii="Arial" w:cs="Arial" w:eastAsia="Arial" w:hAnsi="Arial"/>
          <w:sz w:val="17"/>
          <w:szCs w:val="17"/>
          <w:color w:val="auto"/>
        </w:rPr>
      </w:pPr>
    </w:p>
    <w:p>
      <w:pPr>
        <w:ind w:left="1800" w:right="559"/>
        <w:spacing w:after="0" w:line="256" w:lineRule="auto"/>
        <w:rPr>
          <w:rFonts w:ascii="Arial" w:cs="Arial" w:eastAsia="Arial" w:hAnsi="Arial"/>
          <w:sz w:val="17"/>
          <w:szCs w:val="17"/>
          <w:color w:val="auto"/>
        </w:rPr>
      </w:pPr>
      <w:r>
        <w:rPr>
          <w:rFonts w:ascii="Arial" w:cs="Arial" w:eastAsia="Arial" w:hAnsi="Arial"/>
          <w:sz w:val="18"/>
          <w:szCs w:val="18"/>
          <w:color w:val="auto"/>
        </w:rPr>
        <w:t>(a) and (b), such Liens do not extend to other Principal Property owned by the Company or any Restricted Subsidiary or shares of Capital Stock of a Restricted Subsidiary that, in each case, were not previously encumbered by such Liens;</w:t>
      </w:r>
    </w:p>
    <w:p>
      <w:pPr>
        <w:spacing w:after="0" w:line="80" w:lineRule="exact"/>
        <w:rPr>
          <w:rFonts w:ascii="Arial" w:cs="Arial" w:eastAsia="Arial" w:hAnsi="Arial"/>
          <w:sz w:val="17"/>
          <w:szCs w:val="17"/>
          <w:color w:val="auto"/>
        </w:rPr>
      </w:pPr>
    </w:p>
    <w:p>
      <w:pPr>
        <w:ind w:left="1800" w:right="459" w:hanging="180"/>
        <w:spacing w:after="0" w:line="254"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95"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117" w:lineRule="exact"/>
        <w:rPr>
          <w:rFonts w:ascii="Arial" w:cs="Arial" w:eastAsia="Arial" w:hAnsi="Arial"/>
          <w:sz w:val="18"/>
          <w:szCs w:val="18"/>
          <w:color w:val="auto"/>
        </w:rPr>
      </w:pPr>
    </w:p>
    <w:p>
      <w:pPr>
        <w:ind w:left="1800" w:right="639" w:hanging="180"/>
        <w:spacing w:after="0" w:line="254"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95" w:lineRule="exact"/>
        <w:rPr>
          <w:rFonts w:ascii="Arial" w:cs="Arial" w:eastAsia="Arial" w:hAnsi="Arial"/>
          <w:sz w:val="18"/>
          <w:szCs w:val="18"/>
          <w:color w:val="auto"/>
        </w:rPr>
      </w:pPr>
    </w:p>
    <w:p>
      <w:pPr>
        <w:ind w:left="1800" w:right="479" w:hanging="180"/>
        <w:spacing w:after="0" w:line="256"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93" w:lineRule="exact"/>
        <w:rPr>
          <w:rFonts w:ascii="Arial" w:cs="Arial" w:eastAsia="Arial" w:hAnsi="Arial"/>
          <w:sz w:val="18"/>
          <w:szCs w:val="18"/>
          <w:color w:val="auto"/>
        </w:rPr>
      </w:pPr>
    </w:p>
    <w:p>
      <w:pPr>
        <w:ind w:left="1800" w:right="499" w:hanging="180"/>
        <w:spacing w:after="0" w:line="252"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97" w:lineRule="exact"/>
        <w:rPr>
          <w:rFonts w:ascii="Arial" w:cs="Arial" w:eastAsia="Arial" w:hAnsi="Arial"/>
          <w:sz w:val="18"/>
          <w:szCs w:val="18"/>
          <w:color w:val="auto"/>
        </w:rPr>
      </w:pPr>
    </w:p>
    <w:p>
      <w:pPr>
        <w:ind w:left="1800" w:right="479" w:hanging="180"/>
        <w:spacing w:after="0" w:line="252"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86" w:lineRule="exact"/>
        <w:rPr>
          <w:rFonts w:ascii="Arial" w:cs="Arial" w:eastAsia="Arial" w:hAnsi="Arial"/>
          <w:sz w:val="18"/>
          <w:szCs w:val="18"/>
          <w:color w:val="auto"/>
        </w:rPr>
      </w:pPr>
    </w:p>
    <w:p>
      <w:pPr>
        <w:ind w:left="1800" w:right="419" w:hanging="180"/>
        <w:spacing w:after="0" w:line="278" w:lineRule="auto"/>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76" w:lineRule="exact"/>
        <w:rPr>
          <w:rFonts w:ascii="Arial" w:cs="Arial" w:eastAsia="Arial" w:hAnsi="Arial"/>
          <w:sz w:val="17"/>
          <w:szCs w:val="17"/>
          <w:color w:val="auto"/>
        </w:rPr>
      </w:pPr>
    </w:p>
    <w:p>
      <w:pPr>
        <w:ind w:left="1800" w:right="499" w:hanging="180"/>
        <w:spacing w:after="0" w:line="261"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created in connection with the acquisition of assets or a project financed with, and created to secure a Nonrecourse Obligation; and</w:t>
      </w:r>
    </w:p>
    <w:p>
      <w:pPr>
        <w:spacing w:after="0" w:line="89" w:lineRule="exact"/>
        <w:rPr>
          <w:rFonts w:ascii="Arial" w:cs="Arial" w:eastAsia="Arial" w:hAnsi="Arial"/>
          <w:sz w:val="18"/>
          <w:szCs w:val="18"/>
          <w:color w:val="auto"/>
        </w:rPr>
      </w:pPr>
    </w:p>
    <w:p>
      <w:pPr>
        <w:ind w:left="1800" w:right="439" w:hanging="180"/>
        <w:spacing w:after="0" w:line="273" w:lineRule="auto"/>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479"/>
        <w:spacing w:after="0" w:line="243" w:lineRule="auto"/>
        <w:rPr>
          <w:sz w:val="20"/>
          <w:szCs w:val="20"/>
          <w:color w:val="auto"/>
        </w:rPr>
      </w:pPr>
      <w:r>
        <w:rPr>
          <w:rFonts w:ascii="Arial" w:cs="Arial" w:eastAsia="Arial" w:hAnsi="Arial"/>
          <w:sz w:val="18"/>
          <w:szCs w:val="18"/>
          <w:color w:val="auto"/>
        </w:rPr>
        <w:t>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33" w:lineRule="exact"/>
        <w:rPr>
          <w:sz w:val="20"/>
          <w:szCs w:val="20"/>
          <w:color w:val="auto"/>
        </w:rPr>
      </w:pPr>
    </w:p>
    <w:p>
      <w:pPr>
        <w:ind w:left="1260" w:right="619"/>
        <w:spacing w:after="0" w:line="246"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29" w:lineRule="exact"/>
        <w:rPr>
          <w:sz w:val="20"/>
          <w:szCs w:val="20"/>
          <w:color w:val="auto"/>
        </w:rPr>
      </w:pPr>
    </w:p>
    <w:p>
      <w:pPr>
        <w:jc w:val="both"/>
        <w:ind w:left="1260" w:right="879"/>
        <w:spacing w:after="0" w:line="248" w:lineRule="auto"/>
        <w:rPr>
          <w:sz w:val="20"/>
          <w:szCs w:val="20"/>
          <w:color w:val="auto"/>
        </w:rPr>
      </w:pPr>
      <w:r>
        <w:rPr>
          <w:rFonts w:ascii="Arial" w:cs="Arial" w:eastAsia="Arial" w:hAnsi="Arial"/>
          <w:sz w:val="18"/>
          <w:szCs w:val="18"/>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128" w:lineRule="exact"/>
        <w:rPr>
          <w:sz w:val="20"/>
          <w:szCs w:val="20"/>
          <w:color w:val="auto"/>
        </w:rPr>
      </w:pPr>
    </w:p>
    <w:p>
      <w:pPr>
        <w:ind w:left="1260" w:right="539"/>
        <w:spacing w:after="0" w:line="252" w:lineRule="auto"/>
        <w:rPr>
          <w:sz w:val="20"/>
          <w:szCs w:val="20"/>
          <w:color w:val="auto"/>
        </w:rPr>
      </w:pPr>
      <w:r>
        <w:rPr>
          <w:rFonts w:ascii="Arial" w:cs="Arial" w:eastAsia="Arial" w:hAnsi="Arial"/>
          <w:sz w:val="17"/>
          <w:szCs w:val="17"/>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w:t>
      </w:r>
    </w:p>
    <w:p>
      <w:pPr>
        <w:spacing w:after="0" w:line="3" w:lineRule="exact"/>
        <w:rPr>
          <w:sz w:val="20"/>
          <w:szCs w:val="20"/>
          <w:color w:val="auto"/>
        </w:rPr>
      </w:pPr>
    </w:p>
    <w:p>
      <w:pPr>
        <w:ind w:left="1260" w:right="519"/>
        <w:spacing w:after="0" w:line="243" w:lineRule="auto"/>
        <w:tabs>
          <w:tab w:leader="none" w:pos="15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33" w:lineRule="exact"/>
        <w:rPr>
          <w:sz w:val="20"/>
          <w:szCs w:val="20"/>
          <w:color w:val="auto"/>
        </w:rPr>
      </w:pPr>
    </w:p>
    <w:p>
      <w:pPr>
        <w:ind w:left="1260" w:right="639"/>
        <w:spacing w:after="0" w:line="241" w:lineRule="auto"/>
        <w:rPr>
          <w:sz w:val="20"/>
          <w:szCs w:val="20"/>
          <w:color w:val="auto"/>
        </w:rPr>
      </w:pPr>
      <w:r>
        <w:rPr>
          <w:rFonts w:ascii="Arial" w:cs="Arial" w:eastAsia="Arial" w:hAnsi="Arial"/>
          <w:sz w:val="18"/>
          <w:szCs w:val="18"/>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135" w:lineRule="exact"/>
        <w:rPr>
          <w:sz w:val="20"/>
          <w:szCs w:val="20"/>
          <w:color w:val="auto"/>
        </w:rPr>
      </w:pPr>
    </w:p>
    <w:p>
      <w:pPr>
        <w:ind w:left="1260" w:right="659"/>
        <w:spacing w:after="0" w:line="254" w:lineRule="auto"/>
        <w:rPr>
          <w:sz w:val="20"/>
          <w:szCs w:val="20"/>
          <w:color w:val="auto"/>
        </w:rPr>
      </w:pPr>
      <w:r>
        <w:rPr>
          <w:rFonts w:ascii="Arial" w:cs="Arial" w:eastAsia="Arial" w:hAnsi="Arial"/>
          <w:sz w:val="17"/>
          <w:szCs w:val="17"/>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w:t>
      </w:r>
    </w:p>
    <w:p>
      <w:pPr>
        <w:jc w:val="both"/>
        <w:ind w:left="1260" w:right="619"/>
        <w:spacing w:after="0" w:line="241" w:lineRule="auto"/>
        <w:tabs>
          <w:tab w:leader="none" w:pos="15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“S&amp;P” means S&amp;P Global Ratings, and any successor to its rating agency business.</w:t>
      </w:r>
    </w:p>
    <w:p>
      <w:pPr>
        <w:spacing w:after="0" w:line="158"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140"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“Senior Officer” of any specified Person means the chief executive officer, any president, any vice president, the chief financial officer, the treasurer, any assistant treasurer, the secretary or any assistant secretary.</w:t>
      </w:r>
    </w:p>
    <w:p>
      <w:pPr>
        <w:spacing w:after="0" w:line="128" w:lineRule="exact"/>
        <w:rPr>
          <w:sz w:val="20"/>
          <w:szCs w:val="20"/>
          <w:color w:val="auto"/>
        </w:rPr>
      </w:pPr>
    </w:p>
    <w:p>
      <w:pPr>
        <w:ind w:left="1260" w:right="639"/>
        <w:spacing w:after="0" w:line="243" w:lineRule="auto"/>
        <w:rPr>
          <w:sz w:val="20"/>
          <w:szCs w:val="20"/>
          <w:color w:val="auto"/>
        </w:rPr>
      </w:pPr>
      <w:r>
        <w:rPr>
          <w:rFonts w:ascii="Arial" w:cs="Arial" w:eastAsia="Arial" w:hAnsi="Arial"/>
          <w:sz w:val="18"/>
          <w:szCs w:val="18"/>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39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99"/>
        <w:spacing w:after="0" w:line="261" w:lineRule="auto"/>
        <w:rPr>
          <w:sz w:val="20"/>
          <w:szCs w:val="20"/>
          <w:color w:val="auto"/>
        </w:rPr>
      </w:pPr>
      <w:r>
        <w:rPr>
          <w:rFonts w:ascii="Arial" w:cs="Arial" w:eastAsia="Arial" w:hAnsi="Arial"/>
          <w:sz w:val="18"/>
          <w:szCs w:val="18"/>
          <w:color w:val="auto"/>
        </w:rPr>
        <w:t>“Treasury Rate” means, with respect to any redemption date, the yield determined by the Company in the manner set forth below:</w:t>
      </w:r>
    </w:p>
    <w:p>
      <w:pPr>
        <w:spacing w:after="0" w:line="117"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40"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35" w:lineRule="exact"/>
        <w:rPr>
          <w:sz w:val="20"/>
          <w:szCs w:val="20"/>
          <w:color w:val="auto"/>
        </w:rPr>
      </w:pPr>
    </w:p>
    <w:p>
      <w:pPr>
        <w:jc w:val="both"/>
        <w:ind w:left="1260" w:right="699"/>
        <w:spacing w:after="0" w:line="248" w:lineRule="auto"/>
        <w:rPr>
          <w:sz w:val="20"/>
          <w:szCs w:val="20"/>
          <w:color w:val="auto"/>
        </w:rPr>
      </w:pPr>
      <w:r>
        <w:rPr>
          <w:rFonts w:ascii="Arial" w:cs="Arial" w:eastAsia="Arial" w:hAnsi="Arial"/>
          <w:sz w:val="18"/>
          <w:szCs w:val="18"/>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Events of Default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Each of the following will be an event of default under the Indenture for each series of notes:</w:t>
      </w:r>
    </w:p>
    <w:p>
      <w:pPr>
        <w:spacing w:after="0" w:line="104" w:lineRule="exact"/>
        <w:rPr>
          <w:sz w:val="20"/>
          <w:szCs w:val="20"/>
          <w:color w:val="auto"/>
        </w:rPr>
      </w:pPr>
    </w:p>
    <w:p>
      <w:pPr>
        <w:ind w:left="1800" w:right="799" w:hanging="180"/>
        <w:spacing w:after="0" w:line="261"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of that series when it becomes due and payable, and continuance of that default for a period of 30 days;</w:t>
      </w:r>
    </w:p>
    <w:p>
      <w:pPr>
        <w:spacing w:after="0" w:line="89" w:lineRule="exact"/>
        <w:rPr>
          <w:rFonts w:ascii="Arial" w:cs="Arial" w:eastAsia="Arial" w:hAnsi="Arial"/>
          <w:sz w:val="18"/>
          <w:szCs w:val="18"/>
          <w:color w:val="auto"/>
        </w:rPr>
      </w:pPr>
    </w:p>
    <w:p>
      <w:pPr>
        <w:ind w:left="1800" w:right="1019" w:hanging="180"/>
        <w:spacing w:after="0" w:line="261"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note of that series when due and payable;</w:t>
      </w:r>
    </w:p>
    <w:p>
      <w:pPr>
        <w:spacing w:after="0" w:line="76" w:lineRule="exact"/>
        <w:rPr>
          <w:rFonts w:ascii="Arial" w:cs="Arial" w:eastAsia="Arial" w:hAnsi="Arial"/>
          <w:sz w:val="18"/>
          <w:szCs w:val="18"/>
          <w:color w:val="auto"/>
        </w:rPr>
      </w:pPr>
    </w:p>
    <w:p>
      <w:pPr>
        <w:ind w:left="1800" w:right="739" w:hanging="180"/>
        <w:spacing w:after="0" w:line="256"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by the Company to comply with the requirement to make an Offer to Purchase with respect to notes of that series in connection with a Change of Control Triggering Event for 30 calendar days;</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599" w:hanging="180"/>
        <w:spacing w:after="0" w:line="253"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of that series as provided in the Indenture; and</w:t>
      </w:r>
    </w:p>
    <w:p>
      <w:pPr>
        <w:spacing w:after="0" w:line="97" w:lineRule="exact"/>
        <w:rPr>
          <w:rFonts w:ascii="Arial" w:cs="Arial" w:eastAsia="Arial" w:hAnsi="Arial"/>
          <w:sz w:val="18"/>
          <w:szCs w:val="18"/>
          <w:color w:val="auto"/>
        </w:rPr>
      </w:pPr>
    </w:p>
    <w:p>
      <w:pPr>
        <w:ind w:left="1800" w:right="999" w:hanging="180"/>
        <w:spacing w:after="0" w:line="261"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voluntary and involuntary events of bankruptcy, insolvency or reorganization of the Company.</w:t>
      </w:r>
    </w:p>
    <w:p>
      <w:pPr>
        <w:spacing w:after="0" w:line="130" w:lineRule="exact"/>
        <w:rPr>
          <w:sz w:val="20"/>
          <w:szCs w:val="20"/>
          <w:color w:val="auto"/>
        </w:rPr>
      </w:pPr>
    </w:p>
    <w:p>
      <w:pPr>
        <w:ind w:left="1260" w:right="739"/>
        <w:spacing w:after="0" w:line="241" w:lineRule="auto"/>
        <w:rPr>
          <w:sz w:val="20"/>
          <w:szCs w:val="20"/>
          <w:color w:val="auto"/>
        </w:rPr>
      </w:pPr>
      <w:r>
        <w:rPr>
          <w:rFonts w:ascii="Arial" w:cs="Arial" w:eastAsia="Arial" w:hAnsi="Arial"/>
          <w:sz w:val="18"/>
          <w:szCs w:val="18"/>
          <w:color w:val="auto"/>
        </w:rPr>
        <w:t>No event of default with respect to a series of notes (except as to certain events of bankruptcy, insolvency or reorganization involving the Company) necessarily constitutes an event of default with respect to any other series of notes. The occurrence of certain events of default or an acceleration under the Indenture may constitute an event of default under certain of our other indebtedness outstanding from time to time.</w:t>
      </w:r>
    </w:p>
    <w:p>
      <w:pPr>
        <w:spacing w:after="0" w:line="135"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If an event of default with respect to notes of a series at the time outstanding occurs and is continuing, then the Trustee or the holders of not less than 25% in principal amount of the outstanding notes of that series may, by a notice in writing to the Company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notes of a series will become and be immediately due and payable without any declaration or other act on the part of the Trustee or any holder of the outstanding notes of such series. At any time after a declaration of acceleration with respect to notes of any series has been made, but before a judgment or decree for payment of the money due has been obtained by the Trustee, the holders of a majority in principal amount of the outstanding notes of that series may rescind and annul the acceleration if all events of default, other than the nonpayment of the principal and interest with respect to the notes of that series which have become due solely by such declaration of acceleration, have been cured or waived as provided in the Indenture and the Trustee’s fees and expenses have been paid in full.</w:t>
      </w:r>
    </w:p>
    <w:p>
      <w:pPr>
        <w:spacing w:after="0" w:line="140"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of any series will have the right to direct the time, method and place of conducting any proceeding for any remedy available to the Trustee or exercising any trust or power conferred on the Trustee with respect to the notes of that series.</w:t>
      </w:r>
    </w:p>
    <w:p>
      <w:pPr>
        <w:spacing w:after="0" w:line="133"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color w:val="auto"/>
        </w:rPr>
        <w:t>No holder of any note of any series will have any right to institute any proceeding, judicial or otherwise, with respect to the Indenture or for the appointment of a receiver or trustee, or for any remedy under the Indenture, unless:</w:t>
      </w:r>
    </w:p>
    <w:p>
      <w:pPr>
        <w:spacing w:after="0" w:line="128" w:lineRule="exact"/>
        <w:rPr>
          <w:sz w:val="20"/>
          <w:szCs w:val="20"/>
          <w:color w:val="auto"/>
        </w:rPr>
      </w:pPr>
    </w:p>
    <w:p>
      <w:pPr>
        <w:ind w:left="1980" w:right="639" w:hanging="360"/>
        <w:spacing w:after="0" w:line="261"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the notes of that series; and</w:t>
      </w:r>
    </w:p>
    <w:p>
      <w:pPr>
        <w:spacing w:after="0" w:line="116" w:lineRule="exact"/>
        <w:rPr>
          <w:rFonts w:ascii="Arial" w:cs="Arial" w:eastAsia="Arial" w:hAnsi="Arial"/>
          <w:sz w:val="18"/>
          <w:szCs w:val="18"/>
          <w:color w:val="auto"/>
        </w:rPr>
      </w:pPr>
    </w:p>
    <w:p>
      <w:pPr>
        <w:ind w:left="1980" w:right="439" w:hanging="360"/>
        <w:spacing w:after="0" w:line="253"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of that series have made written request, and offered reasonable indemnity, to the Trustee to institute the proceeding as Trustee, and after receipt of such request the Trustee has not received from the holders of a majority in principal amount of the outstanding notes of that series a direction inconsistent with that request and has failed to institute the proceeding within 60 days.</w:t>
      </w:r>
    </w:p>
    <w:p>
      <w:pPr>
        <w:spacing w:after="0" w:line="138" w:lineRule="exact"/>
        <w:rPr>
          <w:sz w:val="20"/>
          <w:szCs w:val="20"/>
          <w:color w:val="auto"/>
        </w:rPr>
      </w:pPr>
    </w:p>
    <w:p>
      <w:pPr>
        <w:ind w:left="1260" w:right="539"/>
        <w:spacing w:after="0" w:line="241" w:lineRule="auto"/>
        <w:rPr>
          <w:sz w:val="20"/>
          <w:szCs w:val="20"/>
          <w:color w:val="auto"/>
        </w:rPr>
      </w:pPr>
      <w:r>
        <w:rPr>
          <w:rFonts w:ascii="Arial" w:cs="Arial" w:eastAsia="Arial" w:hAnsi="Arial"/>
          <w:sz w:val="18"/>
          <w:szCs w:val="18"/>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Indenture requires us, within 120 days after the end of our fiscal year, to furnish to the Trustee a</w:t>
      </w:r>
    </w:p>
    <w:p>
      <w:pPr>
        <w:ind w:left="1260"/>
        <w:spacing w:after="0"/>
        <w:rPr>
          <w:sz w:val="20"/>
          <w:szCs w:val="20"/>
          <w:color w:val="auto"/>
        </w:rPr>
      </w:pPr>
      <w:r>
        <w:rPr>
          <w:rFonts w:ascii="Arial" w:cs="Arial" w:eastAsia="Arial" w:hAnsi="Arial"/>
          <w:sz w:val="18"/>
          <w:szCs w:val="18"/>
          <w:color w:val="auto"/>
        </w:rPr>
        <w:t>statement as to compliance with the Indenture. The Indenture provides that the Trustee may withhold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notice to the holders of the notes of any series of any default or event of default (except in payment on</w:t>
      </w: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any notes of that series) with respect to the notes of that series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Modification and Waiver</w:t>
      </w:r>
    </w:p>
    <w:p>
      <w:pPr>
        <w:spacing w:after="0" w:line="170" w:lineRule="exact"/>
        <w:rPr>
          <w:sz w:val="20"/>
          <w:szCs w:val="20"/>
          <w:color w:val="auto"/>
        </w:rPr>
      </w:pPr>
    </w:p>
    <w:p>
      <w:pPr>
        <w:ind w:left="1260" w:right="739"/>
        <w:spacing w:after="0" w:line="274" w:lineRule="auto"/>
        <w:rPr>
          <w:sz w:val="20"/>
          <w:szCs w:val="20"/>
          <w:color w:val="auto"/>
        </w:rPr>
      </w:pPr>
      <w:r>
        <w:rPr>
          <w:rFonts w:ascii="Arial" w:cs="Arial" w:eastAsia="Arial" w:hAnsi="Arial"/>
          <w:sz w:val="17"/>
          <w:szCs w:val="17"/>
          <w:color w:val="auto"/>
        </w:rPr>
        <w:t>The Company or the Trustee may amend or supplement the Indenture or the notes of one or more series without the consent of the holders of the outstanding notes of any series under the Indenture:</w:t>
      </w:r>
    </w:p>
    <w:p>
      <w:pPr>
        <w:spacing w:after="0" w:line="67"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cure any ambiguity, defect or inconsistency under the Indenture or notes of such series;</w:t>
      </w:r>
    </w:p>
    <w:p>
      <w:pPr>
        <w:spacing w:after="0" w:line="117" w:lineRule="exact"/>
        <w:rPr>
          <w:rFonts w:ascii="Arial" w:cs="Arial" w:eastAsia="Arial" w:hAnsi="Arial"/>
          <w:sz w:val="18"/>
          <w:szCs w:val="18"/>
          <w:color w:val="auto"/>
        </w:rPr>
      </w:pPr>
    </w:p>
    <w:p>
      <w:pPr>
        <w:ind w:left="1800" w:right="659" w:hanging="180"/>
        <w:spacing w:after="0" w:line="256"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or successive successions and the assumption of the covenants, agreements and obligations of the Company by a successor;</w:t>
      </w:r>
    </w:p>
    <w:p>
      <w:pPr>
        <w:spacing w:after="0" w:line="9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guarantees with respect to notes of any series or secure the notes of any series;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the Indenture;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notes of such series;</w:t>
      </w:r>
    </w:p>
    <w:p>
      <w:pPr>
        <w:spacing w:after="0" w:line="117" w:lineRule="exact"/>
        <w:rPr>
          <w:rFonts w:ascii="Arial" w:cs="Arial" w:eastAsia="Arial" w:hAnsi="Arial"/>
          <w:sz w:val="18"/>
          <w:szCs w:val="18"/>
          <w:color w:val="auto"/>
        </w:rPr>
      </w:pPr>
    </w:p>
    <w:p>
      <w:pPr>
        <w:ind w:left="1800" w:right="899" w:hanging="180"/>
        <w:spacing w:after="0" w:line="261"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notes of such series;</w:t>
      </w:r>
    </w:p>
    <w:p>
      <w:pPr>
        <w:spacing w:after="0" w:line="76" w:lineRule="exact"/>
        <w:rPr>
          <w:rFonts w:ascii="Arial" w:cs="Arial" w:eastAsia="Arial" w:hAnsi="Arial"/>
          <w:sz w:val="18"/>
          <w:szCs w:val="18"/>
          <w:color w:val="auto"/>
        </w:rPr>
      </w:pPr>
    </w:p>
    <w:p>
      <w:pPr>
        <w:ind w:left="1800" w:right="699" w:hanging="180"/>
        <w:spacing w:after="0" w:line="261"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notes of any series as permitted by the Indenture;</w:t>
      </w:r>
    </w:p>
    <w:p>
      <w:pPr>
        <w:spacing w:after="0" w:line="89"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evidence and provide for the acceptance of an appointment hereunder by a successor trustee with respect to the notes of one or more series and to add to or change any of the provisions of the Indenture as shall be necessary to provide for or facilitate the administration of the trusts under the Indenture by more than one trustee;</w:t>
      </w:r>
    </w:p>
    <w:p>
      <w:pPr>
        <w:spacing w:after="0" w:line="95"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95" w:lineRule="exact"/>
        <w:rPr>
          <w:rFonts w:ascii="Arial" w:cs="Arial" w:eastAsia="Arial" w:hAnsi="Arial"/>
          <w:sz w:val="18"/>
          <w:szCs w:val="18"/>
          <w:color w:val="auto"/>
        </w:rPr>
      </w:pPr>
    </w:p>
    <w:p>
      <w:pPr>
        <w:ind w:left="1800" w:right="1119" w:hanging="180"/>
        <w:spacing w:after="0" w:line="261"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conform any provision of the Indenture, insofar as it relates to a series of notes, to the description of such series of notes in this “Description of the Notes.”</w:t>
      </w:r>
    </w:p>
    <w:p>
      <w:pPr>
        <w:spacing w:after="0" w:line="117" w:lineRule="exact"/>
        <w:rPr>
          <w:sz w:val="20"/>
          <w:szCs w:val="20"/>
          <w:color w:val="auto"/>
        </w:rPr>
      </w:pPr>
    </w:p>
    <w:p>
      <w:pPr>
        <w:ind w:left="1260" w:right="499"/>
        <w:spacing w:after="0" w:line="245" w:lineRule="auto"/>
        <w:rPr>
          <w:sz w:val="20"/>
          <w:szCs w:val="20"/>
          <w:color w:val="auto"/>
        </w:rPr>
      </w:pPr>
      <w:r>
        <w:rPr>
          <w:rFonts w:ascii="Arial" w:cs="Arial" w:eastAsia="Arial" w:hAnsi="Arial"/>
          <w:sz w:val="18"/>
          <w:szCs w:val="18"/>
          <w:color w:val="auto"/>
        </w:rPr>
        <w:t>In addition, the Company may modify and amend the Indenture as to all other matters with the consent of the holders of at least a majority in principal amount of the outstanding notes of each series affected by the modifications or amendments, provided however that the Company may not make any modification or amendment without the consent of the holders of each affected note then outstanding if that amendment:</w:t>
      </w:r>
    </w:p>
    <w:p>
      <w:pPr>
        <w:spacing w:after="0" w:line="91" w:lineRule="exact"/>
        <w:rPr>
          <w:sz w:val="20"/>
          <w:szCs w:val="20"/>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reduces the rates of or extends the time for payment of interest on any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reduces the principal amount of, or changes the stated maturity of, any notes;</w:t>
      </w:r>
    </w:p>
    <w:p>
      <w:pPr>
        <w:spacing w:after="0" w:line="117" w:lineRule="exact"/>
        <w:rPr>
          <w:rFonts w:ascii="Arial" w:cs="Arial" w:eastAsia="Arial" w:hAnsi="Arial"/>
          <w:sz w:val="18"/>
          <w:szCs w:val="18"/>
          <w:color w:val="auto"/>
        </w:rPr>
      </w:pPr>
    </w:p>
    <w:p>
      <w:pPr>
        <w:jc w:val="both"/>
        <w:ind w:left="1800" w:right="419" w:hanging="180"/>
        <w:spacing w:after="0" w:line="256"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reduces the redemption price, including upon a Change of Control Triggering Event, of any notes or amends or modifies in any manner adverse to the holders thereof the Company’s obligation to make such payments;</w:t>
      </w:r>
    </w:p>
    <w:p>
      <w:pPr>
        <w:spacing w:after="0" w:line="80"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the currency of payment of principal, premium, if any, or interest;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reduces the quorum requirements under the Indenture;</w:t>
      </w:r>
    </w:p>
    <w:p>
      <w:pPr>
        <w:spacing w:after="0" w:line="117" w:lineRule="exact"/>
        <w:rPr>
          <w:rFonts w:ascii="Arial" w:cs="Arial" w:eastAsia="Arial" w:hAnsi="Arial"/>
          <w:sz w:val="18"/>
          <w:szCs w:val="18"/>
          <w:color w:val="auto"/>
        </w:rPr>
      </w:pPr>
    </w:p>
    <w:p>
      <w:pPr>
        <w:ind w:left="1800" w:right="1279" w:hanging="180"/>
        <w:spacing w:after="0" w:line="261"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reduces the principal amount of notes whose holders must consent to an amendment, supplement or waiver;</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adversely affects the ranking of the notes;</w:t>
      </w:r>
    </w:p>
    <w:p>
      <w:pPr>
        <w:spacing w:after="0" w:line="117"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waives any default or event of default in the payment of principal, premium, if any, or interest (except a rescission of acceleration of notes of any series by the holders of at least a majority in principal amount of the outstanding notes of such series and a waiver of the payment default that resulted from such acceleration); or</w:t>
      </w:r>
    </w:p>
    <w:p>
      <w:pPr>
        <w:spacing w:after="0" w:line="95"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impairs the right to institute suit for the enforcement of any payment on the notes.</w:t>
      </w:r>
    </w:p>
    <w:p>
      <w:pPr>
        <w:spacing w:after="0" w:line="144" w:lineRule="exact"/>
        <w:rPr>
          <w:sz w:val="20"/>
          <w:szCs w:val="20"/>
          <w:color w:val="auto"/>
        </w:rPr>
      </w:pPr>
    </w:p>
    <w:p>
      <w:pPr>
        <w:ind w:left="1260" w:right="419"/>
        <w:spacing w:after="0" w:line="242"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notes of any series may on behalf of the holders of all notes of that series waive the Company’s compliance with provisions of the Indenture. The holders of a majority in principal amount of the outstanding notes of any series may on behalf of the holders of all the notes of such series waive any past default under the Indenture with respect to that series and its consequences, except a default in the payment of the principal of, any premium or any interest on any note of that series; provided, however, that the holders of a majority in principal amount of the outstanding notes of any series may rescind an acceleration and its consequences, including any related payment default that resulted from the acceleration.</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Defeasance of Notes and Certain Covenants in Certain Circumstances</w:t>
      </w:r>
    </w:p>
    <w:p>
      <w:pPr>
        <w:spacing w:after="0" w:line="152"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i w:val="1"/>
          <w:iCs w:val="1"/>
          <w:color w:val="auto"/>
        </w:rPr>
        <w:t xml:space="preserve">Legal Defeasance. </w:t>
      </w:r>
      <w:r>
        <w:rPr>
          <w:rFonts w:ascii="Arial" w:cs="Arial" w:eastAsia="Arial" w:hAnsi="Arial"/>
          <w:sz w:val="18"/>
          <w:szCs w:val="18"/>
          <w:color w:val="auto"/>
        </w:rPr>
        <w:t>The Indenture provides that the Company may be discharged from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 respect of the notes of any series (except for certain obligations, including to register the transfer or exchange of notes of such series, to replace stolen, lost or mutilated notes of such series,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of that series on the stated maturity of those payments in accordance with the terms of the Indenture and those notes.</w:t>
      </w:r>
    </w:p>
    <w:p>
      <w:pPr>
        <w:spacing w:after="0" w:line="136" w:lineRule="exact"/>
        <w:rPr>
          <w:sz w:val="20"/>
          <w:szCs w:val="20"/>
          <w:color w:val="auto"/>
        </w:rPr>
      </w:pPr>
    </w:p>
    <w:p>
      <w:pPr>
        <w:ind w:left="1260" w:right="559"/>
        <w:spacing w:after="0" w:line="242" w:lineRule="auto"/>
        <w:rPr>
          <w:sz w:val="20"/>
          <w:szCs w:val="20"/>
          <w:color w:val="auto"/>
        </w:rPr>
      </w:pPr>
      <w:r>
        <w:rPr>
          <w:rFonts w:ascii="Arial" w:cs="Arial" w:eastAsia="Arial" w:hAnsi="Arial"/>
          <w:sz w:val="18"/>
          <w:szCs w:val="18"/>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15" w:lineRule="exact"/>
        <w:rPr>
          <w:sz w:val="20"/>
          <w:szCs w:val="20"/>
          <w:color w:val="auto"/>
        </w:rPr>
      </w:pPr>
    </w:p>
    <w:p>
      <w:pPr>
        <w:ind w:left="1260" w:right="1119"/>
        <w:spacing w:after="0" w:line="267"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upon compliance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111" w:lineRule="exact"/>
        <w:rPr>
          <w:sz w:val="20"/>
          <w:szCs w:val="20"/>
          <w:color w:val="auto"/>
        </w:rPr>
      </w:pPr>
    </w:p>
    <w:p>
      <w:pPr>
        <w:jc w:val="both"/>
        <w:ind w:left="2340" w:right="679" w:hanging="360"/>
        <w:spacing w:after="0" w:line="256" w:lineRule="auto"/>
        <w:tabs>
          <w:tab w:leader="none" w:pos="2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may omit to comply with the covenants described under the heading “— Certain Covenants” and “— Repurchase of Notes upon a Change of Control Triggering Event” and certain other covenants set forth in the Indenture; and</w:t>
      </w:r>
    </w:p>
    <w:p>
      <w:pPr>
        <w:spacing w:after="0" w:line="120" w:lineRule="exact"/>
        <w:rPr>
          <w:rFonts w:ascii="Arial" w:cs="Arial" w:eastAsia="Arial" w:hAnsi="Arial"/>
          <w:sz w:val="18"/>
          <w:szCs w:val="18"/>
          <w:color w:val="auto"/>
        </w:rPr>
      </w:pPr>
    </w:p>
    <w:p>
      <w:pPr>
        <w:ind w:left="2340" w:right="659" w:hanging="360"/>
        <w:spacing w:after="0" w:line="261" w:lineRule="auto"/>
        <w:tabs>
          <w:tab w:leader="none" w:pos="2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of that series (“covenant defeasance”).</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conditions include:</w:t>
      </w:r>
    </w:p>
    <w:p>
      <w:pPr>
        <w:spacing w:after="0" w:line="144" w:lineRule="exact"/>
        <w:rPr>
          <w:sz w:val="20"/>
          <w:szCs w:val="20"/>
          <w:color w:val="auto"/>
        </w:rPr>
      </w:pPr>
    </w:p>
    <w:p>
      <w:pPr>
        <w:ind w:left="1980" w:right="439" w:hanging="360"/>
        <w:spacing w:after="0" w:line="252"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of that series on the stated maturity of those payments in accordance with the terms of the Indenture and those notes; and</w:t>
      </w:r>
    </w:p>
    <w:p>
      <w:pPr>
        <w:sectPr>
          <w:pgSz w:w="11900" w:h="16838" w:orient="portrait"/>
          <w:cols w:equalWidth="0" w:num="1">
            <w:col w:w="9879"/>
          </w:cols>
          <w:pgMar w:left="580" w:top="131" w:right="1440" w:bottom="1440" w:gutter="0" w:footer="0" w:header="0"/>
        </w:sectPr>
      </w:pPr>
    </w:p>
    <w:p>
      <w:pPr>
        <w:spacing w:after="0" w:line="39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439" w:hanging="360"/>
        <w:spacing w:after="0" w:line="271" w:lineRule="auto"/>
        <w:tabs>
          <w:tab w:leader="none" w:pos="1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delivering to the Trustee an opinion of counsel stating that the holders of the notes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07" w:lineRule="exact"/>
        <w:rPr>
          <w:sz w:val="20"/>
          <w:szCs w:val="20"/>
          <w:color w:val="auto"/>
        </w:rPr>
      </w:pPr>
    </w:p>
    <w:p>
      <w:pPr>
        <w:jc w:val="both"/>
        <w:ind w:left="1260" w:right="559"/>
        <w:spacing w:after="0" w:line="261" w:lineRule="auto"/>
        <w:rPr>
          <w:sz w:val="20"/>
          <w:szCs w:val="20"/>
          <w:color w:val="auto"/>
        </w:rPr>
      </w:pPr>
      <w:r>
        <w:rPr>
          <w:rFonts w:ascii="Arial" w:cs="Arial" w:eastAsia="Arial" w:hAnsi="Arial"/>
          <w:sz w:val="17"/>
          <w:szCs w:val="17"/>
          <w:i w:val="1"/>
          <w:iCs w:val="1"/>
          <w:color w:val="auto"/>
        </w:rPr>
        <w:t xml:space="preserve">Covenant Defeasance and Events of Default. </w:t>
      </w:r>
      <w:r>
        <w:rPr>
          <w:rFonts w:ascii="Arial" w:cs="Arial" w:eastAsia="Arial" w:hAnsi="Arial"/>
          <w:sz w:val="17"/>
          <w:szCs w:val="17"/>
          <w:color w:val="auto"/>
        </w:rPr>
        <w:t>In the event the Company exercises its option to effect</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 defeasance with respect to any series of notes and the notes of that series are declared due and payable because of the occurrence of any event of default, the amount of money and/or U.S.</w:t>
      </w:r>
    </w:p>
    <w:p>
      <w:pPr>
        <w:spacing w:after="0" w:line="1"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Government Obligations on deposit with the Trustee should be sufficient to pay amounts due on the notes of that series at the time of their stated maturity but may not be sufficient to pay amounts due on the notes of that series at the time of the acceleration resulting from the event of default. However, the Company shall remain liable for those payments.</w:t>
      </w:r>
    </w:p>
    <w:p>
      <w:pPr>
        <w:spacing w:after="0" w:line="116" w:lineRule="exact"/>
        <w:rPr>
          <w:sz w:val="20"/>
          <w:szCs w:val="20"/>
          <w:color w:val="auto"/>
        </w:rPr>
      </w:pPr>
    </w:p>
    <w:p>
      <w:pPr>
        <w:ind w:left="1260" w:right="53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Satisfaction and Discharge</w:t>
      </w:r>
    </w:p>
    <w:p>
      <w:pPr>
        <w:spacing w:after="0" w:line="170" w:lineRule="exact"/>
        <w:rPr>
          <w:sz w:val="20"/>
          <w:szCs w:val="20"/>
          <w:color w:val="auto"/>
        </w:rPr>
      </w:pPr>
    </w:p>
    <w:p>
      <w:pPr>
        <w:ind w:left="1260" w:right="459"/>
        <w:spacing w:after="0" w:line="258" w:lineRule="auto"/>
        <w:rPr>
          <w:sz w:val="20"/>
          <w:szCs w:val="20"/>
          <w:color w:val="auto"/>
        </w:rPr>
      </w:pPr>
      <w:r>
        <w:rPr>
          <w:rFonts w:ascii="Arial" w:cs="Arial" w:eastAsia="Arial" w:hAnsi="Arial"/>
          <w:sz w:val="17"/>
          <w:szCs w:val="17"/>
          <w:color w:val="auto"/>
        </w:rPr>
        <w:t>The Company has the right at any time to satisfy and discharge its obligations, other than certain specified obligations, under all notes of a series under the Indenture by depositing in trust with the Trustee money and/or U.S. Government Obligations. The Company’s exercise of this right is subject to certain conditions including that either (1) all notes of a series under the Indenture (subject to certain exceptions) have been delivered to the Trustee for cancellation or (2) all notes of a series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20"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7"/>
          <w:szCs w:val="17"/>
          <w:color w:val="auto"/>
        </w:rPr>
        <w:t>If such deposit is sufficient (as determined by the Company), for the purpose of paying and discharging each installment of principal of and interest on all the notes of a series on the dates such installments of principal or interest are due, all the obligations of the Company under the Indenture with respect to such notes of a series will be discharged and terminated except as otherwise provided in the Indenture.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Book-Entry, Form, Denomination and Delivery of Notes</w:t>
      </w:r>
    </w:p>
    <w:p>
      <w:pPr>
        <w:spacing w:after="0" w:line="170" w:lineRule="exact"/>
        <w:rPr>
          <w:sz w:val="20"/>
          <w:szCs w:val="20"/>
          <w:color w:val="auto"/>
        </w:rPr>
      </w:pPr>
    </w:p>
    <w:p>
      <w:pPr>
        <w:jc w:val="both"/>
        <w:ind w:left="1260" w:right="479"/>
        <w:spacing w:after="0" w:line="270" w:lineRule="auto"/>
        <w:rPr>
          <w:sz w:val="20"/>
          <w:szCs w:val="20"/>
          <w:color w:val="auto"/>
        </w:rPr>
      </w:pPr>
      <w:r>
        <w:rPr>
          <w:rFonts w:ascii="Arial" w:cs="Arial" w:eastAsia="Arial" w:hAnsi="Arial"/>
          <w:sz w:val="17"/>
          <w:szCs w:val="17"/>
          <w:color w:val="auto"/>
        </w:rPr>
        <w:t>The notes of each series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110"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Neither the Trustee nor the Company is required (i) to issue, register the transfer of or exchange any note of any series for a period of 15 days before the sending of a notice of redemption of notes of such series to be redeemed or the making of an Offer to Purchase applicable to such series, (ii) to register the transfer of or exchange any note so selected for redemption or subject to purchase in an Offer to Purchase in whole or in part, except, in the case of a partial redemption or purchase, that portion of any of the notes of such series not being redeemed or purchased, or (iii) if a redemption or a purchase pursuant to an Offer to Purchase with respect to a series of notes is to occur after a regular record date but on or before the corresponding interest payment date applicable to a series of notes, to register the transfer or exchange of any note of such series on or after the regular record date and before the date of such redemption or purchase.</w:t>
      </w:r>
    </w:p>
    <w:p>
      <w:pPr>
        <w:spacing w:after="0" w:line="39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spacing w:after="0" w:line="256" w:lineRule="auto"/>
        <w:rPr>
          <w:sz w:val="20"/>
          <w:szCs w:val="20"/>
          <w:color w:val="auto"/>
        </w:rPr>
      </w:pPr>
      <w:r>
        <w:rPr>
          <w:rFonts w:ascii="Arial" w:cs="Arial" w:eastAsia="Arial" w:hAnsi="Arial"/>
          <w:sz w:val="18"/>
          <w:szCs w:val="18"/>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Depository Procedures</w:t>
      </w:r>
    </w:p>
    <w:p>
      <w:pPr>
        <w:spacing w:after="0" w:line="180"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138"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DTC has also advised the Company that, pursuant to procedures established by it:</w:t>
      </w:r>
    </w:p>
    <w:p>
      <w:pPr>
        <w:spacing w:after="0" w:line="117" w:lineRule="exact"/>
        <w:rPr>
          <w:sz w:val="20"/>
          <w:szCs w:val="20"/>
          <w:color w:val="auto"/>
        </w:rPr>
      </w:pPr>
    </w:p>
    <w:p>
      <w:pPr>
        <w:ind w:left="1800" w:right="579" w:hanging="180"/>
        <w:spacing w:after="0" w:line="261"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underwriters with portions of the principal amount of the global notes; and</w:t>
      </w:r>
    </w:p>
    <w:p>
      <w:pPr>
        <w:spacing w:after="0" w:line="89" w:lineRule="exact"/>
        <w:rPr>
          <w:rFonts w:ascii="Arial" w:cs="Arial" w:eastAsia="Arial" w:hAnsi="Arial"/>
          <w:sz w:val="18"/>
          <w:szCs w:val="18"/>
          <w:color w:val="auto"/>
        </w:rPr>
      </w:pPr>
    </w:p>
    <w:p>
      <w:pPr>
        <w:ind w:left="1800" w:right="539" w:hanging="180"/>
        <w:spacing w:after="0" w:line="254"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36" w:lineRule="exact"/>
        <w:rPr>
          <w:sz w:val="20"/>
          <w:szCs w:val="20"/>
          <w:color w:val="auto"/>
        </w:rPr>
      </w:pPr>
    </w:p>
    <w:p>
      <w:pPr>
        <w:ind w:left="1260" w:right="439"/>
        <w:spacing w:after="0" w:line="266" w:lineRule="auto"/>
        <w:rPr>
          <w:sz w:val="20"/>
          <w:szCs w:val="20"/>
          <w:color w:val="auto"/>
        </w:rPr>
      </w:pPr>
      <w:r>
        <w:rPr>
          <w:rFonts w:ascii="Arial" w:cs="Arial" w:eastAsia="Arial" w:hAnsi="Arial"/>
          <w:sz w:val="17"/>
          <w:szCs w:val="17"/>
          <w:color w:val="auto"/>
        </w:rPr>
        <w:t>Investors in global notes who are Participants may hold their interests therein directly through DTC. Investors in global notes who are not Participants may hold their interests therein indirectly through 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200" w:lineRule="exact"/>
        <w:rPr>
          <w:sz w:val="20"/>
          <w:szCs w:val="20"/>
          <w:color w:val="auto"/>
        </w:rPr>
      </w:pPr>
    </w:p>
    <w:p>
      <w:pPr>
        <w:spacing w:after="0" w:line="23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25" w:lineRule="exact"/>
        <w:rPr>
          <w:sz w:val="20"/>
          <w:szCs w:val="20"/>
          <w:color w:val="auto"/>
        </w:rPr>
      </w:pPr>
    </w:p>
    <w:p>
      <w:pPr>
        <w:ind w:left="1260" w:right="539"/>
        <w:spacing w:after="0" w:line="248"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128" w:lineRule="exact"/>
        <w:rPr>
          <w:sz w:val="20"/>
          <w:szCs w:val="20"/>
          <w:color w:val="auto"/>
        </w:rPr>
      </w:pPr>
    </w:p>
    <w:p>
      <w:pPr>
        <w:ind w:left="1260" w:right="539"/>
        <w:spacing w:after="0" w:line="241" w:lineRule="auto"/>
        <w:rPr>
          <w:sz w:val="20"/>
          <w:szCs w:val="20"/>
          <w:color w:val="auto"/>
        </w:rPr>
      </w:pPr>
      <w:r>
        <w:rPr>
          <w:rFonts w:ascii="Arial" w:cs="Arial" w:eastAsia="Arial" w:hAnsi="Arial"/>
          <w:sz w:val="18"/>
          <w:szCs w:val="18"/>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95" w:lineRule="exact"/>
        <w:rPr>
          <w:sz w:val="20"/>
          <w:szCs w:val="20"/>
          <w:color w:val="auto"/>
        </w:rPr>
      </w:pPr>
    </w:p>
    <w:p>
      <w:pPr>
        <w:ind w:left="1800" w:right="659" w:hanging="180"/>
        <w:spacing w:after="0" w:line="256"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93" w:lineRule="exact"/>
        <w:rPr>
          <w:rFonts w:ascii="Arial" w:cs="Arial" w:eastAsia="Arial" w:hAnsi="Arial"/>
          <w:sz w:val="18"/>
          <w:szCs w:val="18"/>
          <w:color w:val="auto"/>
        </w:rPr>
      </w:pPr>
    </w:p>
    <w:p>
      <w:pPr>
        <w:ind w:left="1800" w:right="499" w:hanging="180"/>
        <w:spacing w:after="0" w:line="261"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30"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38" w:lineRule="exact"/>
        <w:rPr>
          <w:sz w:val="20"/>
          <w:szCs w:val="20"/>
          <w:color w:val="auto"/>
        </w:rPr>
      </w:pPr>
    </w:p>
    <w:p>
      <w:pPr>
        <w:ind w:left="1260" w:right="719"/>
        <w:spacing w:after="0"/>
        <w:rPr>
          <w:sz w:val="20"/>
          <w:szCs w:val="20"/>
          <w:color w:val="auto"/>
        </w:rPr>
      </w:pPr>
      <w:r>
        <w:rPr>
          <w:rFonts w:ascii="Arial" w:cs="Arial" w:eastAsia="Arial" w:hAnsi="Arial"/>
          <w:sz w:val="18"/>
          <w:szCs w:val="18"/>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35"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43"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27" w:lineRule="exact"/>
        <w:rPr>
          <w:sz w:val="20"/>
          <w:szCs w:val="20"/>
          <w:color w:val="auto"/>
        </w:rPr>
      </w:pPr>
    </w:p>
    <w:p>
      <w:pPr>
        <w:ind w:left="1260" w:right="699"/>
        <w:spacing w:after="0" w:line="291" w:lineRule="auto"/>
        <w:rPr>
          <w:sz w:val="20"/>
          <w:szCs w:val="20"/>
          <w:color w:val="auto"/>
        </w:rPr>
      </w:pPr>
      <w:r>
        <w:rPr>
          <w:rFonts w:ascii="Arial" w:cs="Arial" w:eastAsia="Arial" w:hAnsi="Arial"/>
          <w:sz w:val="17"/>
          <w:szCs w:val="17"/>
          <w:color w:val="auto"/>
        </w:rPr>
        <w:t>Although DTC, Euroclear and Clearstream have agreed to the foregoing procedures to facilitate transfers of interests in global notes among participants in DTC, Euroclear and Clearstream they are</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Global Notes</w:t>
      </w:r>
    </w:p>
    <w:p>
      <w:pPr>
        <w:spacing w:after="0" w:line="180"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color w:val="auto"/>
        </w:rPr>
        <w:t>Global notes will be deposited with a custodian for DTC, and registered in the name of a nominee of DTC.</w:t>
      </w:r>
    </w:p>
    <w:p>
      <w:pPr>
        <w:spacing w:after="0" w:line="130"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127" w:lineRule="exact"/>
        <w:rPr>
          <w:sz w:val="20"/>
          <w:szCs w:val="20"/>
          <w:color w:val="auto"/>
        </w:rPr>
      </w:pPr>
    </w:p>
    <w:p>
      <w:pPr>
        <w:ind w:left="1260" w:right="519"/>
        <w:spacing w:after="0" w:line="256" w:lineRule="auto"/>
        <w:rPr>
          <w:sz w:val="20"/>
          <w:szCs w:val="20"/>
          <w:color w:val="auto"/>
        </w:rPr>
      </w:pPr>
      <w:r>
        <w:rPr>
          <w:rFonts w:ascii="Arial" w:cs="Arial" w:eastAsia="Arial" w:hAnsi="Arial"/>
          <w:sz w:val="18"/>
          <w:szCs w:val="18"/>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134"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80"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Same Day Settlement and Payment</w:t>
      </w:r>
    </w:p>
    <w:p>
      <w:pPr>
        <w:spacing w:after="0" w:line="166" w:lineRule="exact"/>
        <w:rPr>
          <w:sz w:val="20"/>
          <w:szCs w:val="20"/>
          <w:color w:val="auto"/>
        </w:rPr>
      </w:pPr>
    </w:p>
    <w:p>
      <w:pPr>
        <w:ind w:left="1260" w:right="539"/>
        <w:spacing w:after="0" w:line="256" w:lineRule="auto"/>
        <w:rPr>
          <w:sz w:val="20"/>
          <w:szCs w:val="20"/>
          <w:color w:val="auto"/>
        </w:rPr>
      </w:pPr>
      <w:r>
        <w:rPr>
          <w:rFonts w:ascii="Arial" w:cs="Arial" w:eastAsia="Arial" w:hAnsi="Arial"/>
          <w:sz w:val="18"/>
          <w:szCs w:val="18"/>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107" w:lineRule="exact"/>
        <w:rPr>
          <w:sz w:val="20"/>
          <w:szCs w:val="20"/>
          <w:color w:val="auto"/>
        </w:rPr>
      </w:pPr>
    </w:p>
    <w:p>
      <w:pPr>
        <w:ind w:left="1800" w:right="659" w:hanging="180"/>
        <w:spacing w:after="0" w:line="261"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89" w:lineRule="exact"/>
        <w:rPr>
          <w:rFonts w:ascii="Arial" w:cs="Arial" w:eastAsia="Arial" w:hAnsi="Arial"/>
          <w:sz w:val="18"/>
          <w:szCs w:val="18"/>
          <w:color w:val="auto"/>
        </w:rPr>
      </w:pPr>
    </w:p>
    <w:p>
      <w:pPr>
        <w:ind w:left="1800" w:right="539" w:hanging="180"/>
        <w:spacing w:after="0" w:line="254"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23" w:lineRule="exact"/>
        <w:rPr>
          <w:sz w:val="20"/>
          <w:szCs w:val="20"/>
          <w:color w:val="auto"/>
        </w:rPr>
      </w:pPr>
    </w:p>
    <w:p>
      <w:pPr>
        <w:ind w:left="1260" w:right="439"/>
        <w:spacing w:after="0" w:line="291" w:lineRule="auto"/>
        <w:rPr>
          <w:sz w:val="20"/>
          <w:szCs w:val="20"/>
          <w:color w:val="auto"/>
        </w:rPr>
      </w:pPr>
      <w:r>
        <w:rPr>
          <w:rFonts w:ascii="Arial" w:cs="Arial" w:eastAsia="Arial" w:hAnsi="Arial"/>
          <w:sz w:val="17"/>
          <w:szCs w:val="17"/>
          <w:color w:val="auto"/>
        </w:rPr>
        <w:t>The notes represented by the global notes are expected to trade in DTC’s Same-Day Funds Settlement System, and any permitted secondary market trading activity in such notes will, therefore, be required</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color w:val="auto"/>
        </w:rPr>
        <w:t>by DTC to be settled in immediately available funds. The Company expects that secondary trading in any certificated notes will also be settled in immediately available funds.</w:t>
      </w:r>
    </w:p>
    <w:p>
      <w:pPr>
        <w:spacing w:after="0" w:line="130"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Notices</w:t>
      </w:r>
    </w:p>
    <w:p>
      <w:pPr>
        <w:spacing w:after="0" w:line="170"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color w:val="auto"/>
        </w:rPr>
        <w:t>Holders will receive notices at their addresses as they appear in the security register or in accordance with DTC’s applicable procedures.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Title</w:t>
      </w:r>
    </w:p>
    <w:p>
      <w:pPr>
        <w:spacing w:after="0" w:line="184" w:lineRule="exact"/>
        <w:rPr>
          <w:sz w:val="20"/>
          <w:szCs w:val="20"/>
          <w:color w:val="auto"/>
        </w:rPr>
      </w:pPr>
    </w:p>
    <w:p>
      <w:pPr>
        <w:ind w:left="1260" w:right="599"/>
        <w:spacing w:after="0" w:line="261" w:lineRule="auto"/>
        <w:rPr>
          <w:sz w:val="20"/>
          <w:szCs w:val="20"/>
          <w:color w:val="auto"/>
        </w:rPr>
      </w:pPr>
      <w:r>
        <w:rPr>
          <w:rFonts w:ascii="Arial" w:cs="Arial" w:eastAsia="Arial" w:hAnsi="Arial"/>
          <w:sz w:val="18"/>
          <w:szCs w:val="18"/>
          <w:color w:val="auto"/>
        </w:rPr>
        <w:t>The Company may treat the Person in whose name a note is registered on the applicable record date as the owner of the note for all purposes, whether or not it is overdue.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 Personal Liability of Directors, Officers, Employees or Stockholders</w:t>
      </w:r>
    </w:p>
    <w:p>
      <w:pPr>
        <w:spacing w:after="0" w:line="170"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 However, this waiver and release may not be effective to waive liabilities under U.S. federal securities laws, and it is the view of the SEC that such a waiver is against public policy.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Governing Law</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law will govern the Indenture and each series of notes.</w:t>
      </w:r>
    </w:p>
    <w:p>
      <w:pPr>
        <w:spacing w:after="0" w:line="158" w:lineRule="exact"/>
        <w:rPr>
          <w:sz w:val="20"/>
          <w:szCs w:val="20"/>
          <w:color w:val="auto"/>
        </w:rPr>
      </w:pPr>
    </w:p>
    <w:p>
      <w:pPr>
        <w:ind w:left="1260" w:right="599"/>
        <w:spacing w:after="0" w:line="254" w:lineRule="auto"/>
        <w:rPr>
          <w:sz w:val="20"/>
          <w:szCs w:val="20"/>
          <w:color w:val="auto"/>
        </w:rPr>
      </w:pPr>
      <w:r>
        <w:rPr>
          <w:rFonts w:ascii="Arial" w:cs="Arial" w:eastAsia="Arial" w:hAnsi="Arial"/>
          <w:sz w:val="18"/>
          <w:szCs w:val="18"/>
          <w:color w:val="auto"/>
        </w:rPr>
        <w:t>The Indenture provides that the Company, the Trustee and the holders of the notes of each series (by their acceptance of the notes of such series) irrevocably waive, to the fullest extent permitted by applicable law, any and all right to trial by jury in any legal proceeding arising out of or relating to the Indenture, the notes of such series or the transactions contemplated thereby.</w:t>
      </w:r>
    </w:p>
    <w:p>
      <w:pPr>
        <w:spacing w:after="0" w:line="136"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of each series (by their acceptance of the notes of such series)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of each series (by their acceptance of the notes of such series)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3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Regarding the Trustee</w:t>
      </w:r>
    </w:p>
    <w:p>
      <w:pPr>
        <w:spacing w:after="0" w:line="184"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U.S. Bank Trust Company,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123"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If an event of default occurs under the Indenture with respect to a series of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of a series only after those holders have offered (and, if requested, provided) the Trustee indemnity or security satisfactory to it.</w:t>
      </w:r>
    </w:p>
    <w:p>
      <w:pPr>
        <w:spacing w:after="0" w:line="138" w:lineRule="exact"/>
        <w:rPr>
          <w:sz w:val="20"/>
          <w:szCs w:val="20"/>
          <w:color w:val="auto"/>
        </w:rPr>
      </w:pPr>
    </w:p>
    <w:p>
      <w:pPr>
        <w:ind w:left="1260" w:right="459"/>
        <w:spacing w:after="0" w:line="271" w:lineRule="auto"/>
        <w:rPr>
          <w:sz w:val="20"/>
          <w:szCs w:val="20"/>
          <w:color w:val="auto"/>
        </w:rPr>
      </w:pPr>
      <w:r>
        <w:rPr>
          <w:rFonts w:ascii="Arial" w:cs="Arial" w:eastAsia="Arial" w:hAnsi="Arial"/>
          <w:sz w:val="17"/>
          <w:szCs w:val="17"/>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60" w:right="1459"/>
        <w:spacing w:after="0" w:line="245" w:lineRule="auto"/>
        <w:rPr>
          <w:sz w:val="20"/>
          <w:szCs w:val="20"/>
          <w:color w:val="auto"/>
        </w:rPr>
      </w:pPr>
      <w:r>
        <w:rPr>
          <w:rFonts w:ascii="Arial" w:cs="Arial" w:eastAsia="Arial" w:hAnsi="Arial"/>
          <w:sz w:val="40"/>
          <w:szCs w:val="40"/>
          <w:b w:val="1"/>
          <w:bCs w:val="1"/>
          <w:color w:val="auto"/>
        </w:rPr>
        <w:t>MATERIAL U.S. FEDERAL INCOME TAX CONSEQUENCES</w:t>
      </w:r>
      <w:r>
        <w:rPr>
          <w:rFonts w:ascii="Arial" w:cs="Arial" w:eastAsia="Arial" w:hAnsi="Arial"/>
          <w:sz w:val="40"/>
          <w:szCs w:val="40"/>
          <w:color w:val="auto"/>
        </w:rPr>
        <w:t>​</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In General</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Nature and Scope of Discussion</w:t>
      </w:r>
    </w:p>
    <w:p>
      <w:pPr>
        <w:spacing w:after="0" w:line="166" w:lineRule="exact"/>
        <w:rPr>
          <w:sz w:val="20"/>
          <w:szCs w:val="20"/>
          <w:color w:val="auto"/>
        </w:rPr>
      </w:pPr>
    </w:p>
    <w:p>
      <w:pPr>
        <w:ind w:left="1260" w:right="419"/>
        <w:spacing w:after="0" w:line="242" w:lineRule="auto"/>
        <w:rPr>
          <w:sz w:val="20"/>
          <w:szCs w:val="20"/>
          <w:color w:val="auto"/>
        </w:rPr>
      </w:pPr>
      <w:r>
        <w:rPr>
          <w:rFonts w:ascii="Arial" w:cs="Arial" w:eastAsia="Arial" w:hAnsi="Arial"/>
          <w:sz w:val="18"/>
          <w:szCs w:val="18"/>
          <w:color w:val="auto"/>
        </w:rPr>
        <w:t>This section provides a summary of certain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133" w:lineRule="exact"/>
        <w:rPr>
          <w:sz w:val="20"/>
          <w:szCs w:val="20"/>
          <w:color w:val="auto"/>
        </w:rPr>
      </w:pPr>
    </w:p>
    <w:p>
      <w:pPr>
        <w:ind w:left="1260" w:right="439"/>
        <w:spacing w:after="0" w:line="266" w:lineRule="auto"/>
        <w:rPr>
          <w:sz w:val="20"/>
          <w:szCs w:val="20"/>
          <w:color w:val="auto"/>
        </w:rPr>
      </w:pPr>
      <w:r>
        <w:rPr>
          <w:rFonts w:ascii="Arial" w:cs="Arial" w:eastAsia="Arial" w:hAnsi="Arial"/>
          <w:sz w:val="17"/>
          <w:szCs w:val="17"/>
          <w:color w:val="auto"/>
        </w:rPr>
        <w:t>The following summary generally applies only to beneficial owners of the notes that purchase their notes in this offering for an amount equal to their issue price, which is the first price at which a substantial amount of the notes of the applicable series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following summary does not describe the effects of any other U.S. federal tax laws, such as the Medicare contribution tax on net investment income or estate and gift tax laws, or the effects of any applicable non-U.S., state or local laws.</w:t>
      </w:r>
    </w:p>
    <w:p>
      <w:pPr>
        <w:spacing w:after="0" w:line="352" w:lineRule="exact"/>
        <w:rPr>
          <w:sz w:val="20"/>
          <w:szCs w:val="20"/>
          <w:color w:val="auto"/>
        </w:rPr>
      </w:pPr>
    </w:p>
    <w:p>
      <w:pPr>
        <w:ind w:left="1260" w:right="559"/>
        <w:spacing w:after="0" w:line="254" w:lineRule="auto"/>
        <w:rPr>
          <w:sz w:val="20"/>
          <w:szCs w:val="20"/>
          <w:color w:val="auto"/>
        </w:rPr>
      </w:pPr>
      <w:r>
        <w:rPr>
          <w:rFonts w:ascii="Arial" w:cs="Arial" w:eastAsia="Arial" w:hAnsi="Arial"/>
          <w:sz w:val="18"/>
          <w:szCs w:val="18"/>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123" w:lineRule="exact"/>
        <w:rPr>
          <w:sz w:val="20"/>
          <w:szCs w:val="20"/>
          <w:color w:val="auto"/>
        </w:rPr>
      </w:pPr>
    </w:p>
    <w:p>
      <w:pPr>
        <w:ind w:left="1260" w:right="499"/>
        <w:spacing w:after="0" w:line="265" w:lineRule="auto"/>
        <w:rPr>
          <w:sz w:val="20"/>
          <w:szCs w:val="20"/>
          <w:color w:val="auto"/>
        </w:rPr>
      </w:pPr>
      <w:r>
        <w:rPr>
          <w:rFonts w:ascii="Arial" w:cs="Arial" w:eastAsia="Arial" w:hAnsi="Arial"/>
          <w:sz w:val="17"/>
          <w:szCs w:val="17"/>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w:t>
      </w:r>
    </w:p>
    <w:p>
      <w:pPr>
        <w:spacing w:after="0" w:line="1" w:lineRule="exact"/>
        <w:rPr>
          <w:sz w:val="20"/>
          <w:szCs w:val="20"/>
          <w:color w:val="auto"/>
        </w:rPr>
      </w:pPr>
    </w:p>
    <w:p>
      <w:pPr>
        <w:ind w:left="1520" w:hanging="260"/>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subject to the primary supervision of a U.S. court and the control of one of more U.S. persons or</w:t>
      </w:r>
    </w:p>
    <w:p>
      <w:pPr>
        <w:spacing w:after="0" w:line="9" w:lineRule="exact"/>
        <w:rPr>
          <w:rFonts w:ascii="Arial" w:cs="Arial" w:eastAsia="Arial" w:hAnsi="Arial"/>
          <w:sz w:val="18"/>
          <w:szCs w:val="18"/>
          <w:color w:val="auto"/>
        </w:rPr>
      </w:pPr>
    </w:p>
    <w:p>
      <w:pPr>
        <w:ind w:left="1260" w:right="899"/>
        <w:spacing w:after="0" w:line="261" w:lineRule="auto"/>
        <w:tabs>
          <w:tab w:leader="none" w:pos="1518"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has a valid election in effect under applicable U.S. Treasury regulations to be treated as a U.S. person.</w:t>
      </w:r>
    </w:p>
    <w:p>
      <w:pPr>
        <w:spacing w:after="0" w:line="130" w:lineRule="exact"/>
        <w:rPr>
          <w:sz w:val="20"/>
          <w:szCs w:val="20"/>
          <w:color w:val="auto"/>
        </w:rPr>
      </w:pPr>
    </w:p>
    <w:p>
      <w:pPr>
        <w:jc w:val="both"/>
        <w:ind w:left="1260" w:right="439"/>
        <w:spacing w:after="0" w:line="271" w:lineRule="auto"/>
        <w:rPr>
          <w:sz w:val="20"/>
          <w:szCs w:val="20"/>
          <w:color w:val="auto"/>
        </w:rPr>
      </w:pPr>
      <w:r>
        <w:rPr>
          <w:rFonts w:ascii="Arial" w:cs="Arial" w:eastAsia="Arial" w:hAnsi="Arial"/>
          <w:sz w:val="17"/>
          <w:szCs w:val="17"/>
          <w:color w:val="auto"/>
        </w:rPr>
        <w:t>A “non-U.S. holder” is a beneficial owner of a note (other than a partnership or an entity or arrangement (domestic or foreign) that is treated as a partnership for U.S. federal income tax purposes) that is not a U.S. holder. 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499"/>
        <w:spacing w:after="0" w:line="248" w:lineRule="auto"/>
        <w:rPr>
          <w:sz w:val="20"/>
          <w:szCs w:val="20"/>
          <w:color w:val="auto"/>
        </w:rPr>
      </w:pPr>
      <w:r>
        <w:rPr>
          <w:rFonts w:ascii="Arial" w:cs="Arial" w:eastAsia="Arial" w:hAnsi="Arial"/>
          <w:sz w:val="18"/>
          <w:szCs w:val="18"/>
          <w:color w:val="auto"/>
        </w:rPr>
        <w:t>partnership. A beneficial owner of a note that is a partnership, and partners in such partnership, should consult their own tax advisors about the U.S. federal income tax consequences of purchasing, owning and disposing of the notes.</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180"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We may be required in certain circumstances to make payments on the notes that are in excess of payments of principal and stated interest. We believe there is only a remote possibility that we would be required to make any of these additional payments, that any of such additional payments, if made, would be an incidental amount, or that the possibility of such payments is otherwise disregarded for purposes of rules governing certain contingent payment debt instruments. Therefore, we do not intend to treat the notes as subject to the special rules governing certain contingent payment debt instruments. Our determination in this regard, while not binding on the IRS, is binding on holders unless they disclose their contrary position. If the IRS successfully asserted that the notes are subject to the rules governing certain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Qualified Reopening</w:t>
      </w:r>
    </w:p>
    <w:p>
      <w:pPr>
        <w:spacing w:after="0" w:line="180"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Debt instruments issued as part of a “qualified reopening” of a previous issue of debt instruments are treated as part of the original issue and, consequently, are deemed to have the same issue date and the same issue price as the original debt instruments. It is expected that the offering of 2029 notes pursuant to this prospectus supplement will meet the requirements under applicable U.S. Treasury regulations for a “qualified reopening” of the Original 2029 Notes issued on October 31, 2022. Accordingly, we expect, and this discussion assumes, that for U.S. federal income tax purposes the 2029 notes issued pursuant to this prospectus supplement will have the same issue date and issue price as the Original 2029 Notes originally issued on October 31, 2022 and will not be considered to be issued with any amount of “original issue discount” for U.S. federal income tax purposes.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U.S. Holders</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Pre-Acquisition Accrued Interest</w:t>
      </w:r>
    </w:p>
    <w:p>
      <w:pPr>
        <w:spacing w:after="0" w:line="180"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As discussed under “Description of the Notes — Interest,” a portion of the price paid for the 2029 notes issued pursuant to this prospectus supplement will be allocable to interest that accrued prior to the date such 2029 notes are purchased (“pre-acquisition accrued interest”). To the extent that a portion of a U.S. holder’s purchase price for the 2029 notes is allocable to pre-acquisition accrued interest, a portion of the first stated interest payment equal to the amount of such pre-acquisition accrued interest may be treated as a nontaxable return of such pre-acquisition accrued interest to the U.S. holder and not as a payment of interest on the note. The remainder of this discussion assumes that the pre-acquisition accrued interest will be so treated.</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80"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A U.S. holder will be required to recognize as ordinary income any stated interest (but excluding, in the case of the 2029 notes, any pre-acquisition accrued interest, as discussed above) paid or accrued on the notes, in accordance with such holder’s regular method of tax accounting.</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166" w:lineRule="exact"/>
        <w:rPr>
          <w:sz w:val="20"/>
          <w:szCs w:val="20"/>
          <w:color w:val="auto"/>
        </w:rPr>
      </w:pPr>
    </w:p>
    <w:p>
      <w:pPr>
        <w:ind w:left="1260" w:right="539"/>
        <w:spacing w:after="0" w:line="271" w:lineRule="auto"/>
        <w:rPr>
          <w:sz w:val="20"/>
          <w:szCs w:val="20"/>
          <w:color w:val="auto"/>
        </w:rPr>
      </w:pPr>
      <w:r>
        <w:rPr>
          <w:rFonts w:ascii="Arial" w:cs="Arial" w:eastAsia="Arial" w:hAnsi="Arial"/>
          <w:sz w:val="17"/>
          <w:szCs w:val="17"/>
          <w:color w:val="auto"/>
        </w:rPr>
        <w:t>We expect, and this discussion assumes, that the 2029 notes issued pursuant to this prospectus supplement will be issued for an amount (exclusive of any amount allocable to pre-acquisition accrued interest, as discussed above) that is in excess of their principal amount. If a U.S. holder’s initial purchase price for a 2029 note (disregarding any amount allocable to pre-acquisition accrued interest) is in excess of its principal amount, the holder may generally elect to treat the excess as amortizable</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bond premium. By making this election, the U.S. holder can reduce the amount required to be included in the holder’s income each year with respect to interest on the 2029 note by the amount of amortizable bond premium allocable to that year, based on the yield to maturity of the 2029 note. However, because the 2029 notes are redeemable at our option prior to maturity at a premium, special rules apply that may reduce and/or defer the amount of bond premium that a U.S. holder may amortize with respect to a 2029 note to reduce interest income. If a U.S. holder makes an election to amortize bond premium, this election will apply to all debt instruments, other than debt instruments the interest on which is excludible from gross income, that the holder holds at the beginning of the first taxable year to which the election applies or that the holder thereafter acquires, and the holder may not revoke this election without the consent of the IRS. Holders should consult their own tax advisors regarding the general availability of, and potential U.S. federal income tax consequences associated with, making an election to amortize bond premium in respect of the 2029 notes.</w:t>
      </w:r>
    </w:p>
    <w:p>
      <w:pPr>
        <w:spacing w:after="0" w:line="184"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80" w:lineRule="exact"/>
        <w:rPr>
          <w:sz w:val="20"/>
          <w:szCs w:val="20"/>
          <w:color w:val="auto"/>
        </w:rPr>
      </w:pPr>
    </w:p>
    <w:p>
      <w:pPr>
        <w:ind w:left="1260" w:right="419"/>
        <w:spacing w:after="0" w:line="266" w:lineRule="auto"/>
        <w:rPr>
          <w:sz w:val="20"/>
          <w:szCs w:val="20"/>
          <w:color w:val="auto"/>
        </w:rPr>
      </w:pPr>
      <w:r>
        <w:rPr>
          <w:rFonts w:ascii="Arial" w:cs="Arial" w:eastAsia="Arial" w:hAnsi="Arial"/>
          <w:sz w:val="17"/>
          <w:szCs w:val="17"/>
          <w:color w:val="auto"/>
        </w:rPr>
        <w:t>A U.S. holder generally will recognize taxable gain or loss if the holder disposes of a note in a sale, exchange, redemption, retirement or other taxable disposition, including discharges of the notes within one year of maturity or redemption, as described under “Description of the Notes — 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a note generally will equal the amount the holder paid for the note (but excluding, in the case of the 2029 notes, any amount allocable to pre-acquisition accrued interest, as discussed above), and in the case of a 2029 note, the U.S. holder’s tax basis will be reduced by any bond premium previously amortized pursuant to an election, as discussed above. The portion of any proceeds that is attributable to accrued interest will not be taken into account in computing the U.S. holder’s taxable gain or loss. Instead, that portion (but excluding, in the case of the 2029 notes, any portion attributable to pre-acquisition accrued interest, as discussed above)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Non-U.S. Holders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66"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Subject to the discussion below under “— Income or Gains Effectively Connected With a U.S. Trade or Business,” payments of interest to non-U.S. holders are generally subject to U.S. federal income tax at a flat rate of 30% (or a reduced or zero rate under the terms of an applicable income tax treaty between the United States and the non-U.S. holder’s country of residence), collected by means of withholding by the payer. Payments of interest on the notes to non-U.S. holders, however, are generally expected to qualify as “portfolio interest,” and thus be exempt from U.S. federal income tax, including withholding of such tax, if non-U.S. holders satisfy certain requirements and also certify their nonresident status as described below, subject to the discussions below under “— Legislation and Guidance Relating to Foreign Accounts” and “Backup Withholding and Information Reporting”. The portfolio interest exemption will not apply to payments of interest to a non-U.S. holder that:</w:t>
      </w:r>
    </w:p>
    <w:p>
      <w:pPr>
        <w:spacing w:after="0" w:line="103" w:lineRule="exact"/>
        <w:rPr>
          <w:sz w:val="20"/>
          <w:szCs w:val="20"/>
          <w:color w:val="auto"/>
        </w:rPr>
      </w:pPr>
    </w:p>
    <w:p>
      <w:pPr>
        <w:ind w:left="1800" w:right="599" w:hanging="180"/>
        <w:spacing w:after="0" w:line="256"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owns, actually or constructively (applying certain attribution rules), shares of our stock representing at least 10% of the total combined voting power of all classes of our stock entitled to vote; or</w:t>
      </w:r>
    </w:p>
    <w:p>
      <w:pPr>
        <w:spacing w:after="0" w:line="93" w:lineRule="exact"/>
        <w:rPr>
          <w:rFonts w:ascii="Arial" w:cs="Arial" w:eastAsia="Arial" w:hAnsi="Arial"/>
          <w:sz w:val="18"/>
          <w:szCs w:val="18"/>
          <w:color w:val="auto"/>
        </w:rPr>
      </w:pPr>
    </w:p>
    <w:p>
      <w:pPr>
        <w:ind w:left="1800" w:right="859" w:hanging="180"/>
        <w:spacing w:after="0" w:line="261"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a “controlled foreign corporation” within the meaning of Section 957(a) of the Code that is related, directly or indirectly, to us through sufficient stock ownership.</w:t>
      </w: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line="248" w:lineRule="auto"/>
        <w:rPr>
          <w:sz w:val="20"/>
          <w:szCs w:val="20"/>
          <w:color w:val="auto"/>
        </w:rPr>
      </w:pPr>
      <w:r>
        <w:rPr>
          <w:rFonts w:ascii="Arial" w:cs="Arial" w:eastAsia="Arial" w:hAnsi="Arial"/>
          <w:sz w:val="18"/>
          <w:szCs w:val="18"/>
          <w:color w:val="auto"/>
        </w:rPr>
        <w:t>In general, a foreign corporation is a controlled foreign corporation if more than 50% of its stock (by vote or value) is owned, actually or constructively, by one or more U.S. persons that each owns, actually or constructively, at least 10% of the foreign corporation’s stock (by vote or value).</w:t>
      </w:r>
    </w:p>
    <w:p>
      <w:pPr>
        <w:spacing w:after="0" w:line="128"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form to the applicable withholding agent prior to the payment. If a non-U.S. holder holds a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w:t>
      </w:r>
    </w:p>
    <w:p>
      <w:pPr>
        <w:spacing w:after="0" w:line="19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66"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Subject to the discussion below under “Backup Withholding and Information Reporting,” non-U.S. holders generally will not be subject to U.S. federal income or withholding tax on any gain realized on the sale, exchange, redemption, retirement or other taxable disposition of notes (other than with respect to payments attributable to accrued but unpaid interest, which will generally be taxed as described under “— Taxation of Interest” above). This general rule, however, is subject to several exceptions. For example, the gain would be subject to U.S. federal income tax if:</w:t>
      </w:r>
    </w:p>
    <w:p>
      <w:pPr>
        <w:spacing w:after="0" w:line="93" w:lineRule="exact"/>
        <w:rPr>
          <w:sz w:val="20"/>
          <w:szCs w:val="20"/>
          <w:color w:val="auto"/>
        </w:rPr>
      </w:pPr>
    </w:p>
    <w:p>
      <w:pPr>
        <w:ind w:left="1800" w:right="519" w:hanging="180"/>
        <w:spacing w:after="0" w:line="253"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 Income or Gains Effectively Connected With a U.S. Trade or Business;” or</w:t>
      </w:r>
    </w:p>
    <w:p>
      <w:pPr>
        <w:spacing w:after="0" w:line="97" w:lineRule="exact"/>
        <w:rPr>
          <w:rFonts w:ascii="Arial" w:cs="Arial" w:eastAsia="Arial" w:hAnsi="Arial"/>
          <w:sz w:val="18"/>
          <w:szCs w:val="18"/>
          <w:color w:val="auto"/>
        </w:rPr>
      </w:pPr>
    </w:p>
    <w:p>
      <w:pPr>
        <w:ind w:left="1800" w:right="459" w:hanging="180"/>
        <w:spacing w:after="0" w:line="253"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would be subject to a flat 30% tax, even though the individual is not considered a resident of the United States.</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180"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taxable disposition of the notes is effectively connected with a U.S. trade or business conducted by the non-U.S. holder, then the income or gain will be subject to U.S. federal income tax on a net income basis at the regular U.S. rates and generally in the same manner applicable to U.S. holders. If the non-U.S. holder is eligible for the benefits of an income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gross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Legislation and Guidance Relating to Foreign Accounts</w:t>
      </w:r>
    </w:p>
    <w:p>
      <w:pPr>
        <w:spacing w:after="0" w:line="166"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color w:val="auto"/>
        </w:rPr>
        <w:t>Legislation and administrative guidance incorporating provisions referred to as the Foreign Account Tax Compliance Act, or FATCA, imposes a U.S. federal withholding tax on certain types of payments</w:t>
      </w:r>
    </w:p>
    <w:p>
      <w:pPr>
        <w:sectPr>
          <w:pgSz w:w="11900" w:h="16838" w:orient="portrait"/>
          <w:cols w:equalWidth="0" w:num="1">
            <w:col w:w="9879"/>
          </w:cols>
          <w:pgMar w:left="580" w:top="132" w:right="1440" w:bottom="1440" w:gutter="0" w:footer="0" w:header="0"/>
        </w:sectPr>
      </w:pP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66" w:lineRule="auto"/>
        <w:rPr>
          <w:sz w:val="20"/>
          <w:szCs w:val="20"/>
          <w:color w:val="auto"/>
        </w:rPr>
      </w:pPr>
      <w:r>
        <w:rPr>
          <w:rFonts w:ascii="Arial" w:cs="Arial" w:eastAsia="Arial" w:hAnsi="Arial"/>
          <w:sz w:val="17"/>
          <w:szCs w:val="17"/>
          <w:color w:val="auto"/>
        </w:rPr>
        <w:t>made to “foreign financial institutions” and certain other “non-financial foreign entities,” each as defined in the Code and applicable regulations. “Foreign financial institution” is defined to include, in addition to banks and traditional financial institutions, entities such as investment funds and certain holding companies. FATCA generally imposes a flat U.S. federal withholding tax of 30% on U.S. source interest income and (subject to the proposed Treasury regulations discussed below) the gross proceeds of a sale or other disposition of a debt instrument that produces U.S. source interest income, in each case if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(iii) an exemption otherwise applies, or (iv) an exemption is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non-compliant foreign financial institutions and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or otherwise modify the general FATCA rules.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38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Backup Withholding and Information Reporting</w:t>
      </w:r>
    </w:p>
    <w:p>
      <w:pPr>
        <w:spacing w:after="0" w:line="184"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color w:val="auto"/>
        </w:rPr>
        <w:t>The Code and the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require the payer to withhold from payments subject to information reporting if the recipient does not establish an exemption from backup withholding (as described below). The backup withholding rate is currently 24%.</w:t>
      </w:r>
    </w:p>
    <w:p>
      <w:pPr>
        <w:spacing w:after="0" w:line="127"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Payments of interest to U.S. holders and payments made to U.S. holders by a broker upon a sale or other disposition (including a retirement or redemption) of the notes will generally be subject to information reporting and backup withholding unless (1) the holder is an exempt payee, such as a corporation, or (2) in the case of backup withholding, the holder provides the payer with a correct taxpayer identification number and complies with applicable certification requirements.</w:t>
      </w:r>
    </w:p>
    <w:p>
      <w:pPr>
        <w:spacing w:after="0" w:line="138"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Payors must report annually to the IRS the interest paid to each non-U.S. holder and the tax withheld, if any, with respect to such interest, including any tax withheld pursuant to the rules described under “Non-U.S. Holders — 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128" w:lineRule="exact"/>
        <w:rPr>
          <w:sz w:val="20"/>
          <w:szCs w:val="20"/>
          <w:color w:val="auto"/>
        </w:rPr>
      </w:pPr>
    </w:p>
    <w:p>
      <w:pPr>
        <w:ind w:left="1260" w:right="659"/>
        <w:spacing w:after="0" w:line="254" w:lineRule="auto"/>
        <w:rPr>
          <w:sz w:val="20"/>
          <w:szCs w:val="20"/>
          <w:color w:val="auto"/>
        </w:rPr>
      </w:pPr>
      <w:r>
        <w:rPr>
          <w:rFonts w:ascii="Arial" w:cs="Arial" w:eastAsia="Arial" w:hAnsi="Arial"/>
          <w:sz w:val="18"/>
          <w:szCs w:val="18"/>
          <w:color w:val="auto"/>
        </w:rPr>
        <w:t>Any amounts withheld from a payment to a U.S. holder or non-U.S. holder of notes under the backup withholding rules generally can be credited against any U.S. federal income tax liability of the holder, which may entitle the holder to a refund, provided the required information is timely furnished to the IRS.</w:t>
      </w:r>
    </w:p>
    <w:p>
      <w:pPr>
        <w:spacing w:after="0" w:line="39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UNDERWRITING</w:t>
      </w:r>
    </w:p>
    <w:p>
      <w:pPr>
        <w:spacing w:after="0" w:line="177" w:lineRule="exact"/>
        <w:rPr>
          <w:sz w:val="20"/>
          <w:szCs w:val="20"/>
          <w:color w:val="auto"/>
        </w:rPr>
      </w:pPr>
    </w:p>
    <w:p>
      <w:pPr>
        <w:ind w:left="1260" w:right="539"/>
        <w:spacing w:after="0" w:line="241"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each underwriter named below, for whom Morgan Stanley &amp; Co. LLC, BofA Securities, Inc. and Wells Fargo Securities, LLC are acting as representatives, has severally agreed to purchase, and we have agreed to sell to that underwriter, the aggregate principal amount of notes of each series set forth opposite the underwriter’s name in the following table:</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Principal</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Principal</w:t>
            </w:r>
          </w:p>
        </w:tc>
      </w:tr>
      <w:tr>
        <w:trPr>
          <w:trHeight w:val="162"/>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Amount of</w:t>
            </w:r>
          </w:p>
        </w:tc>
        <w:tc>
          <w:tcPr>
            <w:tcW w:w="10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Amount of</w:t>
            </w:r>
          </w:p>
        </w:tc>
      </w:tr>
      <w:tr>
        <w:trPr>
          <w:trHeight w:val="162"/>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75"/>
              <w:spacing w:after="0"/>
              <w:rPr>
                <w:sz w:val="20"/>
                <w:szCs w:val="20"/>
                <w:color w:val="auto"/>
              </w:rPr>
            </w:pPr>
            <w:r>
              <w:rPr>
                <w:rFonts w:ascii="Arial" w:cs="Arial" w:eastAsia="Arial" w:hAnsi="Arial"/>
                <w:sz w:val="14"/>
                <w:szCs w:val="14"/>
                <w:b w:val="1"/>
                <w:bCs w:val="1"/>
                <w:color w:val="auto"/>
              </w:rPr>
              <w:t>2029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rPr>
              <w:t>2033</w:t>
            </w:r>
          </w:p>
        </w:tc>
        <w:tc>
          <w:tcPr>
            <w:tcW w:w="6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Notes to be</w:t>
            </w:r>
          </w:p>
        </w:tc>
        <w:tc>
          <w:tcPr>
            <w:tcW w:w="104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Notes to be</w:t>
            </w:r>
          </w:p>
        </w:tc>
      </w:tr>
      <w:tr>
        <w:trPr>
          <w:trHeight w:val="202"/>
        </w:trPr>
        <w:tc>
          <w:tcPr>
            <w:tcW w:w="550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140" w:type="dxa"/>
            <w:vAlign w:val="bottom"/>
            <w:gridSpan w:val="2"/>
          </w:tcPr>
          <w:p>
            <w:pPr>
              <w:spacing w:after="0"/>
              <w:rPr>
                <w:sz w:val="17"/>
                <w:szCs w:val="17"/>
                <w:color w:val="auto"/>
              </w:rPr>
            </w:pPr>
          </w:p>
        </w:tc>
        <w:tc>
          <w:tcPr>
            <w:tcW w:w="1360" w:type="dxa"/>
            <w:vAlign w:val="bottom"/>
            <w:gridSpan w:val="3"/>
          </w:tcPr>
          <w:p>
            <w:pPr>
              <w:ind w:left="60"/>
              <w:spacing w:after="0" w:line="202" w:lineRule="exact"/>
              <w:rPr>
                <w:sz w:val="20"/>
                <w:szCs w:val="20"/>
                <w:color w:val="auto"/>
              </w:rPr>
            </w:pPr>
            <w:r>
              <w:rPr>
                <w:rFonts w:ascii="Arial" w:cs="Arial" w:eastAsia="Arial" w:hAnsi="Arial"/>
                <w:sz w:val="13"/>
                <w:szCs w:val="13"/>
                <w:b w:val="1"/>
                <w:bCs w:val="1"/>
                <w:color w:val="auto"/>
              </w:rPr>
              <w:t xml:space="preserve">Purchased    </w:t>
            </w:r>
            <w:r>
              <w:rPr>
                <w:rFonts w:ascii="Arial" w:cs="Arial" w:eastAsia="Arial" w:hAnsi="Arial"/>
                <w:sz w:val="23"/>
                <w:szCs w:val="23"/>
                <w:b w:val="1"/>
                <w:bCs w:val="1"/>
                <w:color w:val="auto"/>
                <w:vertAlign w:val="subscript"/>
              </w:rPr>
              <w:t>​ ​</w:t>
            </w:r>
          </w:p>
        </w:tc>
        <w:tc>
          <w:tcPr>
            <w:tcW w:w="1040" w:type="dxa"/>
            <w:vAlign w:val="bottom"/>
            <w:gridSpan w:val="2"/>
          </w:tcPr>
          <w:p>
            <w:pPr>
              <w:jc w:val="right"/>
              <w:spacing w:after="0" w:line="202" w:lineRule="exact"/>
              <w:rPr>
                <w:sz w:val="20"/>
                <w:szCs w:val="20"/>
                <w:color w:val="auto"/>
              </w:rPr>
            </w:pPr>
            <w:r>
              <w:rPr>
                <w:rFonts w:ascii="Arial" w:cs="Arial" w:eastAsia="Arial" w:hAnsi="Arial"/>
                <w:sz w:val="13"/>
                <w:szCs w:val="13"/>
                <w:b w:val="1"/>
                <w:bCs w:val="1"/>
                <w:color w:val="auto"/>
              </w:rPr>
              <w:t xml:space="preserve">Purchased   </w:t>
            </w:r>
            <w:r>
              <w:rPr>
                <w:rFonts w:ascii="Arial" w:cs="Arial" w:eastAsia="Arial" w:hAnsi="Arial"/>
                <w:sz w:val="23"/>
                <w:szCs w:val="23"/>
                <w:b w:val="1"/>
                <w:bCs w:val="1"/>
                <w:color w:val="auto"/>
                <w:vertAlign w:val="subscript"/>
              </w:rPr>
              <w:t>​</w:t>
            </w:r>
          </w:p>
        </w:tc>
      </w:tr>
      <w:tr>
        <w:trPr>
          <w:trHeight w:val="20"/>
        </w:trPr>
        <w:tc>
          <w:tcPr>
            <w:tcW w:w="5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65,000,000​​ ​​$</w:t>
            </w:r>
          </w:p>
        </w:tc>
        <w:tc>
          <w:tcPr>
            <w:tcW w:w="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97,500,000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BofA Securities, Inc.</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65,000,000​​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97,500,000​</w:t>
            </w:r>
          </w:p>
        </w:tc>
      </w:tr>
      <w:tr>
        <w:trPr>
          <w:trHeight w:val="25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65,000,000​​ ​​$</w:t>
            </w:r>
          </w:p>
        </w:tc>
        <w:tc>
          <w:tcPr>
            <w:tcW w:w="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97,500,000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ANZ Securities, Inc.</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27,500,000​​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41,250,000​</w:t>
            </w: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27,500,000​​ ​​$</w:t>
            </w:r>
          </w:p>
        </w:tc>
        <w:tc>
          <w:tcPr>
            <w:tcW w:w="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41,250,000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Credit Agricole Securities (USA) Inc.</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27,500,000​​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41,250,000​</w:t>
            </w:r>
          </w:p>
        </w:tc>
      </w:tr>
      <w:tr>
        <w:trPr>
          <w:trHeight w:val="27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27,500,000​​ ​​$</w:t>
            </w:r>
          </w:p>
        </w:tc>
        <w:tc>
          <w:tcPr>
            <w:tcW w:w="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41,250,000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27,500,000​​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41,250,000​</w:t>
            </w:r>
          </w:p>
        </w:tc>
      </w:tr>
      <w:tr>
        <w:trPr>
          <w:trHeight w:val="27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27,500,000​​ ​​$</w:t>
            </w:r>
          </w:p>
        </w:tc>
        <w:tc>
          <w:tcPr>
            <w:tcW w:w="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41,250,000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MUFG Securities Americas Inc.</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27,500,000​​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41,250,000​</w:t>
            </w:r>
          </w:p>
        </w:tc>
      </w:tr>
      <w:tr>
        <w:trPr>
          <w:trHeight w:val="27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27,500,000​​ ​​$</w:t>
            </w:r>
          </w:p>
        </w:tc>
        <w:tc>
          <w:tcPr>
            <w:tcW w:w="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41,250,000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TD Securities (USA) LLC</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27,500,000​​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41,250,000​</w:t>
            </w:r>
          </w:p>
        </w:tc>
      </w:tr>
      <w:tr>
        <w:trPr>
          <w:trHeight w:val="27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27,500,000​​ ​​$</w:t>
            </w:r>
          </w:p>
        </w:tc>
        <w:tc>
          <w:tcPr>
            <w:tcW w:w="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41,250,000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Academy Securities, Inc.</w:t>
            </w:r>
          </w:p>
        </w:tc>
        <w:tc>
          <w:tcPr>
            <w:tcW w:w="3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15,000,000​​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22,500,000​</w:t>
            </w:r>
          </w:p>
        </w:tc>
      </w:tr>
      <w:tr>
        <w:trPr>
          <w:trHeight w:val="30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360" w:type="dxa"/>
            <w:vAlign w:val="bottom"/>
            <w:gridSpan w:val="3"/>
            <w:shd w:val="clear" w:color="auto" w:fill="CCEEFF"/>
          </w:tcPr>
          <w:p>
            <w:pPr>
              <w:ind w:left="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360" w:type="dxa"/>
            <w:vAlign w:val="bottom"/>
            <w:gridSpan w:val="3"/>
            <w:shd w:val="clear" w:color="auto" w:fill="CCEEFF"/>
          </w:tcPr>
          <w:p>
            <w:pPr>
              <w:ind w:left="100"/>
              <w:spacing w:after="0" w:line="264" w:lineRule="exact"/>
              <w:rPr>
                <w:sz w:val="20"/>
                <w:szCs w:val="20"/>
                <w:color w:val="auto"/>
              </w:rPr>
            </w:pPr>
            <w:r>
              <w:rPr>
                <w:rFonts w:ascii="Arial" w:cs="Arial" w:eastAsia="Arial" w:hAnsi="Arial"/>
                <w:sz w:val="16"/>
                <w:szCs w:val="16"/>
                <w:color w:val="auto"/>
              </w:rPr>
              <w:t>15,000,000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22,500,000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8"/>
        </w:trPr>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8"/>
          </w:tcPr>
          <w:p>
            <w:pPr>
              <w:ind w:left="60"/>
              <w:spacing w:after="0" w:line="378"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$500,000,000</w:t>
            </w:r>
            <w:r>
              <w:rPr>
                <w:rFonts w:ascii="Arial" w:cs="Arial" w:eastAsia="Arial" w:hAnsi="Arial"/>
                <w:sz w:val="35"/>
                <w:szCs w:val="35"/>
                <w:color w:val="auto"/>
                <w:vertAlign w:val="subscript"/>
              </w:rPr>
              <w:t>​​ ​​</w:t>
            </w:r>
            <w:r>
              <w:rPr>
                <w:rFonts w:ascii="Arial" w:cs="Arial" w:eastAsia="Arial" w:hAnsi="Arial"/>
                <w:sz w:val="18"/>
                <w:szCs w:val="18"/>
                <w:color w:val="auto"/>
              </w:rPr>
              <w:t>$750,000,000</w:t>
            </w:r>
            <w:r>
              <w:rPr>
                <w:rFonts w:ascii="Arial" w:cs="Arial" w:eastAsia="Arial" w:hAnsi="Arial"/>
                <w:sz w:val="35"/>
                <w:szCs w:val="35"/>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-2827655</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-2827655</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260" w:right="479"/>
        <w:spacing w:after="0" w:line="241"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38" w:lineRule="exact"/>
        <w:rPr>
          <w:sz w:val="20"/>
          <w:szCs w:val="20"/>
          <w:color w:val="auto"/>
        </w:rPr>
      </w:pPr>
    </w:p>
    <w:p>
      <w:pPr>
        <w:jc w:val="both"/>
        <w:ind w:left="1260" w:right="599"/>
        <w:spacing w:after="0" w:line="24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Commissions and Discounts</w:t>
      </w:r>
    </w:p>
    <w:p>
      <w:pPr>
        <w:spacing w:after="0" w:line="170"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The underwriters propose to offer the notes directly to the public at the public offering prices set forth on the cover page of this prospectus supplement and some of the notes to dealers at the public offering price less a concession not to exceed 0.20% of the principal amount of the 2029 notes and 0.25% of the principal amount of the 2033 notes. The underwriters may allow, and any such dealer may reallow, a concession not to exceed 0.10% of the principal amount of the 2029 notes and 0.125% of the principal amount of the 2033 notes. After the initial offering of the notes to the public, the representatives may change the public offering price and other selling terms.</w:t>
      </w:r>
    </w:p>
    <w:p>
      <w:pPr>
        <w:spacing w:after="0" w:line="138" w:lineRule="exact"/>
        <w:rPr>
          <w:sz w:val="20"/>
          <w:szCs w:val="20"/>
          <w:color w:val="auto"/>
        </w:rPr>
      </w:pPr>
    </w:p>
    <w:p>
      <w:pPr>
        <w:ind w:left="1260" w:right="759"/>
        <w:spacing w:after="0" w:line="24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 and in total).</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Paid by Micron</w:t>
            </w:r>
          </w:p>
        </w:tc>
        <w:tc>
          <w:tcPr>
            <w:tcW w:w="60" w:type="dxa"/>
            <w:vAlign w:val="bottom"/>
          </w:tcPr>
          <w:p>
            <w:pPr>
              <w:spacing w:after="0"/>
              <w:rPr>
                <w:sz w:val="14"/>
                <w:szCs w:val="14"/>
                <w:color w:val="auto"/>
              </w:rPr>
            </w:pPr>
          </w:p>
        </w:tc>
      </w:tr>
      <w:tr>
        <w:trPr>
          <w:trHeight w:val="202"/>
        </w:trPr>
        <w:tc>
          <w:tcPr>
            <w:tcW w:w="4060" w:type="dxa"/>
            <w:vAlign w:val="bottom"/>
          </w:tcPr>
          <w:p>
            <w:pPr>
              <w:spacing w:after="0"/>
              <w:rPr>
                <w:sz w:val="20"/>
                <w:szCs w:val="20"/>
                <w:color w:val="auto"/>
              </w:rPr>
            </w:pPr>
            <w:r>
              <w:rPr>
                <w:rFonts w:ascii="Arial" w:cs="Arial" w:eastAsia="Arial" w:hAnsi="Arial"/>
                <w:sz w:val="14"/>
                <w:szCs w:val="14"/>
                <w:b w:val="1"/>
                <w:bCs w:val="1"/>
                <w:color w:val="auto"/>
              </w:rPr>
              <w:t>​</w:t>
            </w:r>
          </w:p>
        </w:tc>
        <w:tc>
          <w:tcPr>
            <w:tcW w:w="3020" w:type="dxa"/>
            <w:vAlign w:val="bottom"/>
          </w:tcPr>
          <w:p>
            <w:pPr>
              <w:ind w:left="2800"/>
              <w:spacing w:after="0"/>
              <w:rPr>
                <w:sz w:val="20"/>
                <w:szCs w:val="20"/>
                <w:color w:val="auto"/>
              </w:rPr>
            </w:pPr>
            <w:r>
              <w:rPr>
                <w:rFonts w:ascii="Arial" w:cs="Arial" w:eastAsia="Arial" w:hAnsi="Arial"/>
                <w:sz w:val="14"/>
                <w:szCs w:val="14"/>
                <w:b w:val="1"/>
                <w:bCs w:val="1"/>
                <w:color w:val="auto"/>
              </w:rPr>
              <w:t>​ ​</w:t>
            </w:r>
          </w:p>
        </w:tc>
        <w:tc>
          <w:tcPr>
            <w:tcW w:w="1180" w:type="dxa"/>
            <w:vAlign w:val="bottom"/>
            <w:gridSpan w:val="4"/>
          </w:tcPr>
          <w:p>
            <w:pPr>
              <w:spacing w:after="0" w:line="202" w:lineRule="exact"/>
              <w:rPr>
                <w:sz w:val="20"/>
                <w:szCs w:val="20"/>
                <w:color w:val="auto"/>
              </w:rPr>
            </w:pPr>
            <w:r>
              <w:rPr>
                <w:rFonts w:ascii="Arial" w:cs="Arial" w:eastAsia="Arial" w:hAnsi="Arial"/>
                <w:sz w:val="13"/>
                <w:szCs w:val="13"/>
                <w:b w:val="1"/>
                <w:bCs w:val="1"/>
                <w:color w:val="auto"/>
              </w:rPr>
              <w:t>Technology, Inc.</w:t>
            </w:r>
            <w:r>
              <w:rPr>
                <w:rFonts w:ascii="Arial" w:cs="Arial" w:eastAsia="Arial" w:hAnsi="Arial"/>
                <w:sz w:val="23"/>
                <w:szCs w:val="23"/>
                <w:b w:val="1"/>
                <w:bCs w:val="1"/>
                <w:color w:val="auto"/>
                <w:vertAlign w:val="subscript"/>
              </w:rPr>
              <w:t>​</w:t>
            </w:r>
          </w:p>
        </w:tc>
      </w:tr>
      <w:tr>
        <w:trPr>
          <w:trHeight w:val="23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2029 Note</w:t>
            </w:r>
          </w:p>
        </w:tc>
        <w:tc>
          <w:tcPr>
            <w:tcW w:w="3020" w:type="dxa"/>
            <w:vAlign w:val="bottom"/>
            <w:tcBorders>
              <w:top w:val="single" w:sz="8" w:color="CCEEFF"/>
              <w:bottom w:val="single" w:sz="8" w:color="CCEEFF"/>
            </w:tcBorders>
            <w:shd w:val="clear" w:color="auto" w:fill="CCEEFF"/>
          </w:tcPr>
          <w:p>
            <w:pPr>
              <w:ind w:left="286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4060" w:type="dxa"/>
            <w:vAlign w:val="bottom"/>
          </w:tcPr>
          <w:p>
            <w:pPr>
              <w:spacing w:after="0"/>
              <w:rPr>
                <w:sz w:val="20"/>
                <w:szCs w:val="20"/>
                <w:color w:val="auto"/>
              </w:rPr>
            </w:pPr>
            <w:r>
              <w:rPr>
                <w:rFonts w:ascii="Arial" w:cs="Arial" w:eastAsia="Arial" w:hAnsi="Arial"/>
                <w:sz w:val="18"/>
                <w:szCs w:val="18"/>
                <w:color w:val="auto"/>
              </w:rPr>
              <w:t>2029 Note Total</w:t>
            </w:r>
          </w:p>
        </w:tc>
        <w:tc>
          <w:tcPr>
            <w:tcW w:w="3020" w:type="dxa"/>
            <w:vAlign w:val="bottom"/>
          </w:tcPr>
          <w:p>
            <w:pPr>
              <w:ind w:left="286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jc w:val="right"/>
              <w:ind w:right="10"/>
              <w:spacing w:after="0"/>
              <w:rPr>
                <w:sz w:val="20"/>
                <w:szCs w:val="20"/>
                <w:color w:val="auto"/>
              </w:rPr>
            </w:pPr>
            <w:r>
              <w:rPr>
                <w:rFonts w:ascii="Arial" w:cs="Arial" w:eastAsia="Arial" w:hAnsi="Arial"/>
                <w:sz w:val="18"/>
                <w:szCs w:val="18"/>
                <w:color w:val="auto"/>
              </w:rPr>
              <w:t>​$1,750,000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2033 Note</w:t>
            </w:r>
          </w:p>
        </w:tc>
        <w:tc>
          <w:tcPr>
            <w:tcW w:w="3020" w:type="dxa"/>
            <w:vAlign w:val="bottom"/>
            <w:tcBorders>
              <w:bottom w:val="single" w:sz="8" w:color="CCEEFF"/>
            </w:tcBorders>
            <w:shd w:val="clear" w:color="auto" w:fill="CCEEFF"/>
          </w:tcPr>
          <w:p>
            <w:pPr>
              <w:ind w:left="28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4060" w:type="dxa"/>
            <w:vAlign w:val="bottom"/>
          </w:tcPr>
          <w:p>
            <w:pPr>
              <w:spacing w:after="0"/>
              <w:rPr>
                <w:sz w:val="20"/>
                <w:szCs w:val="20"/>
                <w:color w:val="auto"/>
              </w:rPr>
            </w:pPr>
            <w:r>
              <w:rPr>
                <w:rFonts w:ascii="Arial" w:cs="Arial" w:eastAsia="Arial" w:hAnsi="Arial"/>
                <w:sz w:val="18"/>
                <w:szCs w:val="18"/>
                <w:color w:val="auto"/>
              </w:rPr>
              <w:t>2033 Note Total</w:t>
            </w:r>
          </w:p>
        </w:tc>
        <w:tc>
          <w:tcPr>
            <w:tcW w:w="3020" w:type="dxa"/>
            <w:vAlign w:val="bottom"/>
          </w:tcPr>
          <w:p>
            <w:pPr>
              <w:ind w:left="286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jc w:val="right"/>
              <w:ind w:right="10"/>
              <w:spacing w:after="0"/>
              <w:rPr>
                <w:sz w:val="20"/>
                <w:szCs w:val="20"/>
                <w:color w:val="auto"/>
              </w:rPr>
            </w:pPr>
            <w:r>
              <w:rPr>
                <w:rFonts w:ascii="Arial" w:cs="Arial" w:eastAsia="Arial" w:hAnsi="Arial"/>
                <w:sz w:val="18"/>
                <w:szCs w:val="18"/>
                <w:color w:val="auto"/>
              </w:rPr>
              <w:t>​$3,000,000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 ​</w:t>
            </w:r>
          </w:p>
        </w:tc>
        <w:tc>
          <w:tcPr>
            <w:tcW w:w="112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​$4,750,000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-830580</wp:posOffset>
            </wp:positionV>
            <wp:extent cx="44919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128" w:lineRule="exact"/>
        <w:rPr>
          <w:sz w:val="20"/>
          <w:szCs w:val="20"/>
          <w:color w:val="auto"/>
        </w:rPr>
      </w:pPr>
    </w:p>
    <w:p>
      <w:pPr>
        <w:ind w:left="1260" w:right="579"/>
        <w:spacing w:after="0"/>
        <w:rPr>
          <w:sz w:val="20"/>
          <w:szCs w:val="20"/>
          <w:color w:val="auto"/>
        </w:rPr>
      </w:pPr>
      <w:r>
        <w:rPr>
          <w:rFonts w:ascii="Arial" w:cs="Arial" w:eastAsia="Arial" w:hAnsi="Arial"/>
          <w:sz w:val="18"/>
          <w:szCs w:val="18"/>
          <w:color w:val="auto"/>
        </w:rPr>
        <w:t>We estimate that our total expenses for this offering, other than underwriting discounts, will be approximately $3 million. The underwriters have agreed to reimburse us for certain expenses incurred in connection with this offering.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New Issue of Notes</w:t>
      </w:r>
    </w:p>
    <w:p>
      <w:pPr>
        <w:spacing w:after="0" w:line="170"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The 2029 notes will be part of our 6.750% Senior Notes due 2029, of which we issued $750,000,000 in aggregate principal amount on October 31, 2022. The 2029 notes offered by this prospectus supplement will have terms that are identical to the terms of the Original 2029 Notes (other than the initial offering price) and have the same CUSIP number and will be fungible with the Original 2029 Notes. Upon the issuance of the 2029 notes offered hereby, the outstanding principal amount of our 6.750% Senior Notes due 2029 will be $1,250,000,000.</w:t>
      </w:r>
    </w:p>
    <w:p>
      <w:pPr>
        <w:spacing w:after="0" w:line="133" w:lineRule="exact"/>
        <w:rPr>
          <w:sz w:val="20"/>
          <w:szCs w:val="20"/>
          <w:color w:val="auto"/>
        </w:rPr>
      </w:pPr>
    </w:p>
    <w:p>
      <w:pPr>
        <w:ind w:left="1260" w:right="459"/>
        <w:spacing w:after="0" w:line="239" w:lineRule="auto"/>
        <w:rPr>
          <w:sz w:val="20"/>
          <w:szCs w:val="20"/>
          <w:color w:val="auto"/>
        </w:rPr>
      </w:pPr>
      <w:r>
        <w:rPr>
          <w:rFonts w:ascii="Arial" w:cs="Arial" w:eastAsia="Arial" w:hAnsi="Arial"/>
          <w:sz w:val="18"/>
          <w:szCs w:val="18"/>
          <w:color w:val="auto"/>
        </w:rPr>
        <w:t>There is currently no public trading market for the 2033 notes. The notes are not listed and we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Price Stabilization and Short Positions</w:t>
      </w:r>
    </w:p>
    <w:p>
      <w:pPr>
        <w:spacing w:after="0" w:line="170"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38" w:lineRule="exact"/>
        <w:rPr>
          <w:sz w:val="20"/>
          <w:szCs w:val="20"/>
          <w:color w:val="auto"/>
        </w:rPr>
      </w:pPr>
    </w:p>
    <w:p>
      <w:pPr>
        <w:jc w:val="both"/>
        <w:ind w:left="1260" w:right="519"/>
        <w:spacing w:after="0" w:line="243"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34" w:lineRule="exact"/>
        <w:rPr>
          <w:sz w:val="20"/>
          <w:szCs w:val="20"/>
          <w:color w:val="auto"/>
        </w:rPr>
      </w:pPr>
    </w:p>
    <w:p>
      <w:pPr>
        <w:ind w:left="1260" w:right="659"/>
        <w:spacing w:after="0" w:line="241"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 Sales of Similar Securities</w:t>
      </w:r>
    </w:p>
    <w:p>
      <w:pPr>
        <w:spacing w:after="0" w:line="170"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We have agreed that we will not, until the closing date, without first obtaining the prior written consent of the representatives, offer, sell, contract to sell or otherwise dispose of any debt securities of the</w:t>
      </w:r>
    </w:p>
    <w:p>
      <w:pPr>
        <w:spacing w:after="0" w:line="38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spacing w:after="0" w:line="277" w:lineRule="auto"/>
        <w:rPr>
          <w:sz w:val="20"/>
          <w:szCs w:val="20"/>
          <w:color w:val="auto"/>
        </w:rPr>
      </w:pPr>
      <w:r>
        <w:rPr>
          <w:rFonts w:ascii="Arial" w:cs="Arial" w:eastAsia="Arial" w:hAnsi="Arial"/>
          <w:sz w:val="18"/>
          <w:szCs w:val="18"/>
          <w:color w:val="auto"/>
        </w:rPr>
        <w:t>Company or warrants to purchase debt securities of the Company, except for the notes sold to the underwriters pursuant to the underwriting agreement.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Other Relationships</w:t>
      </w:r>
    </w:p>
    <w:p>
      <w:pPr>
        <w:spacing w:after="0" w:line="170" w:lineRule="exact"/>
        <w:rPr>
          <w:sz w:val="20"/>
          <w:szCs w:val="20"/>
          <w:color w:val="auto"/>
        </w:rPr>
      </w:pPr>
    </w:p>
    <w:p>
      <w:pPr>
        <w:ind w:left="1260" w:right="499"/>
        <w:spacing w:after="0" w:line="264" w:lineRule="auto"/>
        <w:rPr>
          <w:sz w:val="20"/>
          <w:szCs w:val="20"/>
          <w:color w:val="auto"/>
        </w:rPr>
      </w:pPr>
      <w:r>
        <w:rPr>
          <w:rFonts w:ascii="Arial" w:cs="Arial" w:eastAsia="Arial" w:hAnsi="Arial"/>
          <w:sz w:val="18"/>
          <w:szCs w:val="18"/>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129" w:lineRule="exact"/>
        <w:rPr>
          <w:sz w:val="20"/>
          <w:szCs w:val="20"/>
          <w:color w:val="auto"/>
        </w:rPr>
      </w:pPr>
    </w:p>
    <w:p>
      <w:pPr>
        <w:ind w:left="1260" w:right="479"/>
        <w:spacing w:after="0" w:line="278"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4"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We expect that delivery of the notes will be made to investors on or about, February 9, 2023, which will be the third business day following the date of this prospectus supplement (such settlement being referred to as T+3).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 prior to February 9, 2023 will be required, by virtue of the fact that the notes initially settle in T+3, to specify an alternate settlement arrangement to prevent a failed settlement. Purchasers of the notes who wish to trade the notes more than two business days prior to February 9, 2023 should consult their advisors.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Canada</w:t>
      </w:r>
    </w:p>
    <w:p>
      <w:pPr>
        <w:spacing w:after="0" w:line="170"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27" w:lineRule="exact"/>
        <w:rPr>
          <w:sz w:val="20"/>
          <w:szCs w:val="20"/>
          <w:color w:val="auto"/>
        </w:rPr>
      </w:pPr>
    </w:p>
    <w:p>
      <w:pPr>
        <w:ind w:left="1260" w:right="539"/>
        <w:spacing w:after="0" w:line="262"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3" w:lineRule="exact"/>
        <w:rPr>
          <w:sz w:val="20"/>
          <w:szCs w:val="20"/>
          <w:color w:val="auto"/>
        </w:rPr>
      </w:pPr>
    </w:p>
    <w:p>
      <w:pPr>
        <w:ind w:left="1260" w:right="1059"/>
        <w:spacing w:after="0" w:line="264"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Prohibition of Sales to EEA Retail Investors</w:t>
      </w:r>
    </w:p>
    <w:p>
      <w:pPr>
        <w:spacing w:after="0" w:line="184"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(the “EEA”) or in the United Kingdom (“UK”).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144" w:lineRule="exact"/>
        <w:rPr>
          <w:sz w:val="20"/>
          <w:szCs w:val="20"/>
          <w:color w:val="auto"/>
        </w:rPr>
      </w:pPr>
    </w:p>
    <w:p>
      <w:pPr>
        <w:ind w:left="1260" w:right="719"/>
        <w:spacing w:after="0" w:line="246" w:lineRule="auto"/>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Prohibition of Sales to UK Retail Investors</w:t>
      </w:r>
    </w:p>
    <w:p>
      <w:pPr>
        <w:spacing w:after="0" w:line="184" w:lineRule="exact"/>
        <w:rPr>
          <w:sz w:val="20"/>
          <w:szCs w:val="20"/>
          <w:color w:val="auto"/>
        </w:rPr>
      </w:pPr>
    </w:p>
    <w:p>
      <w:pPr>
        <w:ind w:left="1260" w:right="419"/>
        <w:spacing w:after="0" w:line="253"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 1129 as it forms part of domestic law by virtue of the EUWA (the “UK Prospectus Regulation”). Consequently no key information document required by Regulation (EU)</w:t>
      </w:r>
    </w:p>
    <w:p>
      <w:pPr>
        <w:spacing w:after="0" w:line="1" w:lineRule="exact"/>
        <w:rPr>
          <w:sz w:val="20"/>
          <w:szCs w:val="20"/>
          <w:color w:val="auto"/>
        </w:rPr>
      </w:pPr>
    </w:p>
    <w:p>
      <w:pPr>
        <w:ind w:left="1260" w:right="579"/>
        <w:spacing w:after="0" w:line="258" w:lineRule="auto"/>
        <w:rPr>
          <w:sz w:val="20"/>
          <w:szCs w:val="20"/>
          <w:color w:val="auto"/>
        </w:rPr>
      </w:pPr>
      <w:r>
        <w:rPr>
          <w:rFonts w:ascii="Arial" w:cs="Arial" w:eastAsia="Arial" w:hAnsi="Arial"/>
          <w:sz w:val="17"/>
          <w:szCs w:val="17"/>
          <w:color w:val="auto"/>
        </w:rPr>
        <w:t>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Hong Kong</w:t>
      </w:r>
    </w:p>
    <w:p>
      <w:pPr>
        <w:spacing w:after="0" w:line="184" w:lineRule="exact"/>
        <w:rPr>
          <w:sz w:val="20"/>
          <w:szCs w:val="20"/>
          <w:color w:val="auto"/>
        </w:rPr>
      </w:pPr>
    </w:p>
    <w:p>
      <w:pPr>
        <w:ind w:left="1260" w:right="659"/>
        <w:spacing w:after="0"/>
        <w:rPr>
          <w:sz w:val="20"/>
          <w:szCs w:val="20"/>
          <w:color w:val="auto"/>
        </w:rPr>
      </w:pPr>
      <w:r>
        <w:rPr>
          <w:rFonts w:ascii="Arial" w:cs="Arial" w:eastAsia="Arial" w:hAnsi="Arial"/>
          <w:sz w:val="18"/>
          <w:szCs w:val="18"/>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39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Japan</w:t>
      </w:r>
    </w:p>
    <w:p>
      <w:pPr>
        <w:spacing w:after="0" w:line="184"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pacing w:after="0" w:line="136" w:lineRule="exact"/>
        <w:rPr>
          <w:sz w:val="20"/>
          <w:szCs w:val="20"/>
          <w:color w:val="auto"/>
        </w:rPr>
      </w:pPr>
    </w:p>
    <w:p>
      <w:pPr>
        <w:ind w:left="1260" w:right="539"/>
        <w:spacing w:after="0" w:line="246" w:lineRule="auto"/>
        <w:rPr>
          <w:sz w:val="20"/>
          <w:szCs w:val="20"/>
          <w:color w:val="auto"/>
        </w:rPr>
      </w:pPr>
      <w:r>
        <w:rPr>
          <w:rFonts w:ascii="Arial" w:cs="Arial" w:eastAsia="Arial" w:hAnsi="Arial"/>
          <w:sz w:val="18"/>
          <w:szCs w:val="18"/>
          <w:color w:val="auto"/>
        </w:rPr>
        <w:t>Any investor desiring to acquire the notes must be aware that the notes may not be Transferred to any other person unless such person is a QII.</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this section:</w:t>
      </w:r>
    </w:p>
    <w:p>
      <w:pPr>
        <w:spacing w:after="0" w:line="158"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135" w:lineRule="exact"/>
        <w:rPr>
          <w:sz w:val="20"/>
          <w:szCs w:val="20"/>
          <w:color w:val="auto"/>
        </w:rPr>
      </w:pPr>
    </w:p>
    <w:p>
      <w:pPr>
        <w:jc w:val="both"/>
        <w:ind w:left="1260" w:right="439"/>
        <w:spacing w:after="0" w:line="248" w:lineRule="auto"/>
        <w:rPr>
          <w:sz w:val="20"/>
          <w:szCs w:val="20"/>
          <w:color w:val="auto"/>
        </w:rPr>
      </w:pPr>
      <w:r>
        <w:rPr>
          <w:rFonts w:ascii="Arial" w:cs="Arial" w:eastAsia="Arial" w:hAnsi="Arial"/>
          <w:sz w:val="18"/>
          <w:szCs w:val="18"/>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128"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color w:val="auto"/>
        </w:rPr>
        <w:t>“Resident of Japan” means any person resident in Japan, including any corporation or other entity organized under the laws of Japan.</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Singapore</w:t>
      </w:r>
    </w:p>
    <w:p>
      <w:pPr>
        <w:spacing w:after="0" w:line="184" w:lineRule="exact"/>
        <w:rPr>
          <w:sz w:val="20"/>
          <w:szCs w:val="20"/>
          <w:color w:val="auto"/>
        </w:rPr>
      </w:pPr>
    </w:p>
    <w:p>
      <w:pPr>
        <w:ind w:left="1260" w:right="719"/>
        <w:spacing w:after="0" w:line="241"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135" w:lineRule="exact"/>
        <w:rPr>
          <w:sz w:val="20"/>
          <w:szCs w:val="20"/>
          <w:color w:val="auto"/>
        </w:rPr>
      </w:pPr>
    </w:p>
    <w:p>
      <w:pPr>
        <w:ind w:left="1980" w:right="599" w:hanging="360"/>
        <w:spacing w:after="0" w:line="256"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34" w:lineRule="exact"/>
        <w:rPr>
          <w:rFonts w:ascii="Arial" w:cs="Arial" w:eastAsia="Arial" w:hAnsi="Arial"/>
          <w:sz w:val="18"/>
          <w:szCs w:val="18"/>
          <w:color w:val="auto"/>
        </w:rPr>
      </w:pPr>
    </w:p>
    <w:p>
      <w:pPr>
        <w:jc w:val="both"/>
        <w:ind w:left="1980" w:right="679" w:hanging="360"/>
        <w:spacing w:after="0" w:line="256"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20" w:lineRule="exact"/>
        <w:rPr>
          <w:rFonts w:ascii="Arial" w:cs="Arial" w:eastAsia="Arial" w:hAnsi="Arial"/>
          <w:sz w:val="18"/>
          <w:szCs w:val="18"/>
          <w:color w:val="auto"/>
        </w:rPr>
      </w:pPr>
    </w:p>
    <w:p>
      <w:pPr>
        <w:ind w:left="1980" w:right="439" w:hanging="360"/>
        <w:spacing w:after="0" w:line="261"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30"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0" w:lineRule="exact"/>
        <w:rPr>
          <w:sz w:val="20"/>
          <w:szCs w:val="20"/>
          <w:color w:val="auto"/>
        </w:rPr>
      </w:pPr>
    </w:p>
    <w:p>
      <w:pPr>
        <w:ind w:left="1980" w:right="439" w:hanging="360"/>
        <w:spacing w:after="0" w:line="256"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20" w:lineRule="exact"/>
        <w:rPr>
          <w:rFonts w:ascii="Arial" w:cs="Arial" w:eastAsia="Arial" w:hAnsi="Arial"/>
          <w:sz w:val="18"/>
          <w:szCs w:val="18"/>
          <w:color w:val="auto"/>
        </w:rPr>
      </w:pPr>
    </w:p>
    <w:p>
      <w:pPr>
        <w:ind w:left="1980" w:right="719" w:hanging="360"/>
        <w:spacing w:after="0" w:line="291"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06" w:lineRule="exact"/>
        <w:rPr>
          <w:rFonts w:ascii="Arial" w:cs="Arial" w:eastAsia="Arial" w:hAnsi="Arial"/>
          <w:sz w:val="17"/>
          <w:szCs w:val="17"/>
          <w:color w:val="auto"/>
        </w:rPr>
      </w:pPr>
    </w:p>
    <w:p>
      <w:pPr>
        <w:ind w:left="1980" w:right="419" w:hanging="360"/>
        <w:spacing w:after="0" w:line="261"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919"/>
        <w:spacing w:after="0" w:line="261" w:lineRule="auto"/>
        <w:rPr>
          <w:sz w:val="20"/>
          <w:szCs w:val="20"/>
          <w:color w:val="auto"/>
        </w:rPr>
      </w:pPr>
      <w:r>
        <w:rPr>
          <w:rFonts w:ascii="Arial" w:cs="Arial" w:eastAsia="Arial" w:hAnsi="Arial"/>
          <w:sz w:val="18"/>
          <w:szCs w:val="18"/>
          <w:color w:val="auto"/>
        </w:rPr>
        <w:t>that trust shall not be transferred within six months after that corporation or that trust has acquired the notes pursuant to an offer made under Section 275 of the SFA except:</w:t>
      </w:r>
    </w:p>
    <w:p>
      <w:pPr>
        <w:spacing w:after="0" w:line="130" w:lineRule="exact"/>
        <w:rPr>
          <w:sz w:val="20"/>
          <w:szCs w:val="20"/>
          <w:color w:val="auto"/>
        </w:rPr>
      </w:pPr>
    </w:p>
    <w:p>
      <w:pPr>
        <w:ind w:left="2340" w:right="659" w:hanging="360"/>
        <w:spacing w:after="0" w:line="261" w:lineRule="auto"/>
        <w:tabs>
          <w:tab w:leader="none" w:pos="2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30" w:lineRule="exact"/>
        <w:rPr>
          <w:rFonts w:ascii="Arial" w:cs="Arial" w:eastAsia="Arial" w:hAnsi="Arial"/>
          <w:sz w:val="18"/>
          <w:szCs w:val="18"/>
          <w:color w:val="auto"/>
        </w:rPr>
      </w:pPr>
    </w:p>
    <w:p>
      <w:pPr>
        <w:ind w:left="2340" w:hanging="360"/>
        <w:spacing w:after="0"/>
        <w:tabs>
          <w:tab w:leader="none" w:pos="2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2340" w:hanging="360"/>
        <w:spacing w:after="0"/>
        <w:tabs>
          <w:tab w:leader="none" w:pos="2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7" w:lineRule="exact"/>
        <w:rPr>
          <w:rFonts w:ascii="Arial" w:cs="Arial" w:eastAsia="Arial" w:hAnsi="Arial"/>
          <w:sz w:val="18"/>
          <w:szCs w:val="18"/>
          <w:color w:val="auto"/>
        </w:rPr>
      </w:pPr>
    </w:p>
    <w:p>
      <w:pPr>
        <w:ind w:left="2340" w:hanging="360"/>
        <w:spacing w:after="0"/>
        <w:tabs>
          <w:tab w:leader="none" w:pos="2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2340" w:right="919" w:hanging="360"/>
        <w:spacing w:after="0" w:line="291" w:lineRule="auto"/>
        <w:tabs>
          <w:tab w:leader="none" w:pos="2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 specified in Regulation 37A of the Securities and Futures (Offers of Investments) (Securities and Securities-based Derivatives Contracts) Regulations 2018.</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Singapore Securities and Futures Act Product Classification</w:t>
      </w:r>
    </w:p>
    <w:p>
      <w:pPr>
        <w:spacing w:after="0" w:line="170"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Switzerland</w:t>
      </w:r>
    </w:p>
    <w:p>
      <w:pPr>
        <w:spacing w:after="0" w:line="170"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Taiwan</w:t>
      </w:r>
    </w:p>
    <w:p>
      <w:pPr>
        <w:spacing w:after="0" w:line="184"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VALIDITY OF SECURITIES</w:t>
      </w:r>
    </w:p>
    <w:p>
      <w:pPr>
        <w:spacing w:after="0" w:line="177" w:lineRule="exact"/>
        <w:rPr>
          <w:sz w:val="20"/>
          <w:szCs w:val="20"/>
          <w:color w:val="auto"/>
        </w:rPr>
      </w:pPr>
    </w:p>
    <w:p>
      <w:pPr>
        <w:ind w:left="1260" w:right="639"/>
        <w:spacing w:after="0" w:line="256" w:lineRule="auto"/>
        <w:rPr>
          <w:sz w:val="20"/>
          <w:szCs w:val="20"/>
          <w:color w:val="auto"/>
        </w:rPr>
      </w:pPr>
      <w:r>
        <w:rPr>
          <w:rFonts w:ascii="Arial" w:cs="Arial" w:eastAsia="Arial" w:hAnsi="Arial"/>
          <w:sz w:val="18"/>
          <w:szCs w:val="18"/>
          <w:color w:val="auto"/>
        </w:rPr>
        <w:t>The legality of the notes offered hereby will be passed upon for Micron by Wilson Sonsini Goodrich &amp; Rosati, Professional Corporation, Palo Alto, California. The underwriters have been represented by Simpson Thacher &amp; Bartlett LLP, Palo Alto, California.</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EXPERTS</w:t>
      </w:r>
    </w:p>
    <w:p>
      <w:pPr>
        <w:spacing w:after="0" w:line="177"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September 1, 2022 have been so incorporated in reliance on the report of PricewaterhouseCoopers LLP, an independent registered public accounting firm, given on the authority of said firm as experts in auditing and accounting.</w:t>
      </w:r>
    </w:p>
    <w:p>
      <w:pPr>
        <w:spacing w:after="0" w:line="152" w:lineRule="exact"/>
        <w:rPr>
          <w:sz w:val="20"/>
          <w:szCs w:val="20"/>
          <w:color w:val="auto"/>
        </w:rPr>
      </w:pPr>
    </w:p>
    <w:p>
      <w:pPr>
        <w:ind w:left="1260" w:right="3079"/>
        <w:spacing w:after="0" w:line="260" w:lineRule="auto"/>
        <w:rPr>
          <w:sz w:val="20"/>
          <w:szCs w:val="20"/>
          <w:color w:val="auto"/>
        </w:rPr>
      </w:pPr>
      <w:r>
        <w:rPr>
          <w:rFonts w:ascii="Arial" w:cs="Arial" w:eastAsia="Arial" w:hAnsi="Arial"/>
          <w:sz w:val="40"/>
          <w:szCs w:val="40"/>
          <w:b w:val="1"/>
          <w:bCs w:val="1"/>
          <w:color w:val="auto"/>
        </w:rPr>
        <w:t>WHERE YOU CAN FIND MORE INFORMATION</w:t>
      </w:r>
    </w:p>
    <w:p>
      <w:pPr>
        <w:spacing w:after="0" w:line="59"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at </w:t>
      </w:r>
      <w:r>
        <w:rPr>
          <w:rFonts w:ascii="Arial" w:cs="Arial" w:eastAsia="Arial" w:hAnsi="Arial"/>
          <w:sz w:val="18"/>
          <w:szCs w:val="18"/>
          <w:i w:val="1"/>
          <w:iCs w:val="1"/>
          <w:color w:val="auto"/>
        </w:rPr>
        <w:t>http: //www.sec.gov,</w:t>
      </w:r>
      <w:r>
        <w:rPr>
          <w:rFonts w:ascii="Arial" w:cs="Arial" w:eastAsia="Arial" w:hAnsi="Arial"/>
          <w:sz w:val="18"/>
          <w:szCs w:val="18"/>
          <w:color w:val="auto"/>
        </w:rPr>
        <w:t xml:space="preserve"> from which interested persons can electronically access any document we file electronically with the SEC, including the registration statement of which this prospectus supplement and the accompanying prospectus form a part, including the exhibits and schedules to the registration statement.</w:t>
      </w:r>
    </w:p>
    <w:p>
      <w:pPr>
        <w:spacing w:after="0" w:line="138"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contained herein shall be deemed to incorporate information furnished to, but not filed with, the SEC, including under Item 2.02 or Item 7.01 of any Current Report on Form 8-K:</w:t>
      </w:r>
    </w:p>
    <w:p>
      <w:pPr>
        <w:spacing w:after="0" w:line="103" w:lineRule="exact"/>
        <w:rPr>
          <w:sz w:val="20"/>
          <w:szCs w:val="20"/>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Our </w:t>
      </w:r>
      <w:hyperlink r:id="rId32">
        <w:r>
          <w:rPr>
            <w:rFonts w:ascii="Arial" w:cs="Arial" w:eastAsia="Arial" w:hAnsi="Arial"/>
            <w:sz w:val="18"/>
            <w:szCs w:val="18"/>
            <w:u w:val="single" w:color="auto"/>
            <w:color w:val="0000EE"/>
          </w:rPr>
          <w:t>Annual Report on Form 10-K for the fiscal year ended September 1, 2022</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Our </w:t>
      </w:r>
      <w:hyperlink r:id="rId102">
        <w:r>
          <w:rPr>
            <w:rFonts w:ascii="Arial" w:cs="Arial" w:eastAsia="Arial" w:hAnsi="Arial"/>
            <w:sz w:val="18"/>
            <w:szCs w:val="18"/>
            <w:u w:val="single" w:color="auto"/>
            <w:color w:val="0000EE"/>
          </w:rPr>
          <w:t>Quarterly Report on Form 10-Q for the fiscal quarter ended December 1, 2022</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00" w:right="439" w:hanging="180"/>
        <w:spacing w:after="0" w:line="256" w:lineRule="auto"/>
        <w:tabs>
          <w:tab w:leader="none" w:pos="1800" w:val="left"/>
        </w:tabs>
        <w:numPr>
          <w:ilvl w:val="0"/>
          <w:numId w:val="45"/>
        </w:numPr>
        <w:rPr>
          <w:rFonts w:ascii="Arial" w:cs="Arial" w:eastAsia="Arial" w:hAnsi="Arial"/>
          <w:sz w:val="18"/>
          <w:szCs w:val="18"/>
          <w:color w:val="0000EE"/>
        </w:rPr>
      </w:pPr>
      <w:hyperlink r:id="rId103">
        <w:r>
          <w:rPr>
            <w:rFonts w:ascii="Arial" w:cs="Arial" w:eastAsia="Arial" w:hAnsi="Arial"/>
            <w:sz w:val="18"/>
            <w:szCs w:val="18"/>
            <w:color w:val="auto"/>
          </w:rPr>
          <w:t xml:space="preserve">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EE"/>
          </w:rPr>
          <w:t>fiscal year ended September 1, 2022</w:t>
        </w:r>
        <w:r>
          <w:rPr>
            <w:rFonts w:ascii="Arial" w:cs="Arial" w:eastAsia="Arial" w:hAnsi="Arial"/>
            <w:sz w:val="18"/>
            <w:szCs w:val="18"/>
            <w:color w:val="0000EE"/>
          </w:rPr>
          <w:t xml:space="preserve"> </w:t>
        </w:r>
        <w:r>
          <w:rPr>
            <w:rFonts w:ascii="Arial" w:cs="Arial" w:eastAsia="Arial" w:hAnsi="Arial"/>
            <w:sz w:val="18"/>
            <w:szCs w:val="18"/>
            <w:color w:val="000000"/>
          </w:rPr>
          <w:t>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Schedule 14A, filed</w:t>
        </w:r>
      </w:hyperlink>
      <w:r>
        <w:rPr>
          <w:rFonts w:ascii="Arial" w:cs="Arial" w:eastAsia="Arial" w:hAnsi="Arial"/>
          <w:sz w:val="18"/>
          <w:szCs w:val="18"/>
          <w:color w:val="0000EE"/>
        </w:rPr>
        <w:t xml:space="preserve"> </w:t>
      </w:r>
      <w:hyperlink r:id="rId104">
        <w:r>
          <w:rPr>
            <w:rFonts w:ascii="Arial" w:cs="Arial" w:eastAsia="Arial" w:hAnsi="Arial"/>
            <w:sz w:val="18"/>
            <w:szCs w:val="18"/>
            <w:u w:val="single" w:color="auto"/>
            <w:color w:val="0000EE"/>
          </w:rPr>
          <w:t>with the SEC on December 2, 2022</w:t>
        </w:r>
        <w:r>
          <w:rPr>
            <w:rFonts w:ascii="Arial" w:cs="Arial" w:eastAsia="Arial" w:hAnsi="Arial"/>
            <w:sz w:val="18"/>
            <w:szCs w:val="18"/>
            <w:color w:val="000000"/>
          </w:rPr>
          <w:t>; and</w:t>
        </w:r>
      </w:hyperlink>
    </w:p>
    <w:p>
      <w:pPr>
        <w:spacing w:after="0" w:line="93" w:lineRule="exact"/>
        <w:rPr>
          <w:rFonts w:ascii="Arial" w:cs="Arial" w:eastAsia="Arial" w:hAnsi="Arial"/>
          <w:sz w:val="18"/>
          <w:szCs w:val="18"/>
          <w:color w:val="0000EE"/>
        </w:rPr>
      </w:pPr>
    </w:p>
    <w:p>
      <w:pPr>
        <w:ind w:left="1800" w:right="999" w:hanging="180"/>
        <w:spacing w:after="0" w:line="261" w:lineRule="auto"/>
        <w:tabs>
          <w:tab w:leader="none" w:pos="1800" w:val="left"/>
        </w:tabs>
        <w:numPr>
          <w:ilvl w:val="0"/>
          <w:numId w:val="45"/>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with the SEC on </w:t>
      </w:r>
      <w:hyperlink r:id="rId105">
        <w:r>
          <w:rPr>
            <w:rFonts w:ascii="Arial" w:cs="Arial" w:eastAsia="Arial" w:hAnsi="Arial"/>
            <w:sz w:val="18"/>
            <w:szCs w:val="18"/>
            <w:u w:val="single" w:color="auto"/>
            <w:color w:val="0000EE"/>
          </w:rPr>
          <w:t xml:space="preserve">October 31, 2022, </w:t>
        </w:r>
      </w:hyperlink>
      <w:hyperlink r:id="rId106">
        <w:r>
          <w:rPr>
            <w:rFonts w:ascii="Arial" w:cs="Arial" w:eastAsia="Arial" w:hAnsi="Arial"/>
            <w:sz w:val="18"/>
            <w:szCs w:val="18"/>
            <w:u w:val="single" w:color="auto"/>
            <w:color w:val="auto"/>
          </w:rPr>
          <w:t xml:space="preserve">November </w:t>
        </w:r>
        <w:r>
          <w:rPr>
            <w:rFonts w:ascii="Arial" w:cs="Arial" w:eastAsia="Arial" w:hAnsi="Arial"/>
            <w:sz w:val="18"/>
            <w:szCs w:val="18"/>
            <w:u w:val="single" w:color="auto"/>
            <w:color w:val="0000EE"/>
          </w:rPr>
          <w:t>3, 2022</w:t>
        </w:r>
      </w:hyperlink>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EE"/>
          </w:rPr>
          <w:t>December 21, 2022</w:t>
        </w:r>
        <w:r>
          <w:rPr>
            <w:rFonts w:ascii="Arial" w:cs="Arial" w:eastAsia="Arial" w:hAnsi="Arial"/>
            <w:sz w:val="18"/>
            <w:szCs w:val="18"/>
            <w:color w:val="0000EE"/>
          </w:rPr>
          <w:t xml:space="preserve"> </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2.05 only),</w:t>
      </w:r>
      <w:r>
        <w:rPr>
          <w:rFonts w:ascii="Arial" w:cs="Arial" w:eastAsia="Arial" w:hAnsi="Arial"/>
          <w:sz w:val="18"/>
          <w:szCs w:val="18"/>
          <w:color w:val="0000EE"/>
        </w:rPr>
        <w:t xml:space="preserve"> </w:t>
      </w:r>
      <w:hyperlink r:id="rId108">
        <w:r>
          <w:rPr>
            <w:rFonts w:ascii="Arial" w:cs="Arial" w:eastAsia="Arial" w:hAnsi="Arial"/>
            <w:sz w:val="18"/>
            <w:szCs w:val="18"/>
            <w:u w:val="single" w:color="auto"/>
            <w:color w:val="0000EE"/>
          </w:rPr>
          <w:t xml:space="preserve">January 5, 2023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109">
        <w:r>
          <w:rPr>
            <w:rFonts w:ascii="Arial" w:cs="Arial" w:eastAsia="Arial" w:hAnsi="Arial"/>
            <w:sz w:val="18"/>
            <w:szCs w:val="18"/>
            <w:u w:val="single" w:color="auto"/>
            <w:color w:val="0000EE"/>
          </w:rPr>
          <w:t>January 13, 2023</w:t>
        </w:r>
      </w:hyperlink>
      <w:r>
        <w:rPr>
          <w:rFonts w:ascii="Arial" w:cs="Arial" w:eastAsia="Arial" w:hAnsi="Arial"/>
          <w:sz w:val="18"/>
          <w:szCs w:val="18"/>
          <w:color w:val="000000"/>
        </w:rPr>
        <w:t>.</w:t>
      </w:r>
    </w:p>
    <w:p>
      <w:pPr>
        <w:spacing w:after="0" w:line="130" w:lineRule="exact"/>
        <w:rPr>
          <w:rFonts w:ascii="Arial" w:cs="Arial" w:eastAsia="Arial" w:hAnsi="Arial"/>
          <w:sz w:val="18"/>
          <w:szCs w:val="18"/>
          <w:color w:val="0000EE"/>
        </w:rPr>
      </w:pPr>
    </w:p>
    <w:p>
      <w:pPr>
        <w:ind w:left="1260" w:right="519"/>
        <w:spacing w:after="0" w:line="273" w:lineRule="auto"/>
        <w:rPr>
          <w:sz w:val="20"/>
          <w:szCs w:val="20"/>
          <w:color w:val="auto"/>
        </w:rPr>
      </w:pPr>
      <w:r>
        <w:rPr>
          <w:rFonts w:ascii="Arial" w:cs="Arial" w:eastAsia="Arial" w:hAnsi="Arial"/>
          <w:sz w:val="17"/>
          <w:szCs w:val="17"/>
          <w:color w:val="auto"/>
        </w:rPr>
        <w:t xml:space="preserve">You may request a copy of these filings at no cost by contacting our Investor Relations department by visiting our Web site at </w:t>
      </w:r>
      <w:r>
        <w:rPr>
          <w:rFonts w:ascii="Arial" w:cs="Arial" w:eastAsia="Arial" w:hAnsi="Arial"/>
          <w:sz w:val="17"/>
          <w:szCs w:val="17"/>
          <w:i w:val="1"/>
          <w:iCs w:val="1"/>
          <w:color w:val="auto"/>
        </w:rPr>
        <w:t>www.micron.com</w:t>
      </w:r>
      <w:r>
        <w:rPr>
          <w:rFonts w:ascii="Arial" w:cs="Arial" w:eastAsia="Arial" w:hAnsi="Arial"/>
          <w:sz w:val="17"/>
          <w:szCs w:val="17"/>
          <w:color w:val="auto"/>
        </w:rPr>
        <w:t>, by calling (208) 368-4000, by writing to Investor Relations, Micron Technology, Inc., 8000 South Federal Way, Boise, ID 83716. The information contained or incorporated in our website is not part of this prospectus supplement or the accompanying prospectus.</w:t>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320" w:lineRule="exact"/>
        <w:rPr>
          <w:rFonts w:ascii="Arial" w:cs="Arial" w:eastAsia="Arial" w:hAnsi="Arial"/>
          <w:sz w:val="18"/>
          <w:szCs w:val="18"/>
          <w:color w:val="0000EE"/>
        </w:rPr>
      </w:pPr>
    </w:p>
    <w:p>
      <w:pPr>
        <w:ind w:left="5160"/>
        <w:spacing w:after="0"/>
        <w:rPr>
          <w:sz w:val="20"/>
          <w:szCs w:val="20"/>
          <w:color w:val="auto"/>
        </w:rPr>
      </w:pPr>
      <w:r>
        <w:rPr>
          <w:rFonts w:ascii="Arial" w:cs="Arial" w:eastAsia="Arial" w:hAnsi="Arial"/>
          <w:sz w:val="18"/>
          <w:szCs w:val="18"/>
          <w:color w:val="auto"/>
        </w:rPr>
        <w:t>S-47</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128905</wp:posOffset>
            </wp:positionV>
            <wp:extent cx="2468880" cy="685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24688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auto"/>
        </w:rPr>
        <w:t>MICRON TECHNOLOGY, INC.</w:t>
      </w:r>
    </w:p>
    <w:p>
      <w:pPr>
        <w:spacing w:after="0" w:line="222"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Common Stock</w:t>
      </w:r>
    </w:p>
    <w:p>
      <w:pPr>
        <w:spacing w:after="0" w:line="34"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Debt Securities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Warrants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Purchase Contracts</w:t>
      </w:r>
    </w:p>
    <w:p>
      <w:pPr>
        <w:spacing w:after="0" w:line="6" w:lineRule="exact"/>
        <w:rPr>
          <w:sz w:val="20"/>
          <w:szCs w:val="20"/>
          <w:color w:val="auto"/>
        </w:rPr>
      </w:pPr>
    </w:p>
    <w:p>
      <w:pPr>
        <w:jc w:val="center"/>
        <w:ind w:right="-860"/>
        <w:spacing w:after="0"/>
        <w:rPr>
          <w:sz w:val="20"/>
          <w:szCs w:val="20"/>
          <w:color w:val="auto"/>
        </w:rPr>
      </w:pPr>
      <w:r>
        <w:rPr>
          <w:rFonts w:ascii="Arial" w:cs="Arial" w:eastAsia="Arial" w:hAnsi="Arial"/>
          <w:sz w:val="23"/>
          <w:szCs w:val="23"/>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223520</wp:posOffset>
            </wp:positionV>
            <wp:extent cx="12344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17" w:lineRule="exact"/>
        <w:rPr>
          <w:sz w:val="20"/>
          <w:szCs w:val="20"/>
          <w:color w:val="auto"/>
        </w:rPr>
      </w:pPr>
    </w:p>
    <w:p>
      <w:pPr>
        <w:ind w:left="1260" w:right="619"/>
        <w:spacing w:after="0" w:line="271" w:lineRule="auto"/>
        <w:rPr>
          <w:sz w:val="20"/>
          <w:szCs w:val="20"/>
          <w:color w:val="auto"/>
        </w:rPr>
      </w:pPr>
      <w:r>
        <w:rPr>
          <w:rFonts w:ascii="Arial" w:cs="Arial" w:eastAsia="Arial" w:hAnsi="Arial"/>
          <w:sz w:val="17"/>
          <w:szCs w:val="17"/>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25"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212090</wp:posOffset>
            </wp:positionV>
            <wp:extent cx="12344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60" w:right="559"/>
        <w:spacing w:after="0" w:line="262" w:lineRule="auto"/>
        <w:rPr>
          <w:sz w:val="20"/>
          <w:szCs w:val="20"/>
          <w:color w:val="auto"/>
        </w:rPr>
      </w:pPr>
      <w:r>
        <w:rPr>
          <w:rFonts w:ascii="Arial" w:cs="Arial" w:eastAsia="Arial" w:hAnsi="Arial"/>
          <w:sz w:val="18"/>
          <w:szCs w:val="18"/>
          <w:b w:val="1"/>
          <w:bCs w:val="1"/>
          <w:color w:val="auto"/>
        </w:rPr>
        <w:t xml:space="preserve">INVESTING IN OUR SECURITIES INVOLVES RISKS. SEE “RISK FACTORS” ON PAGE </w:t>
      </w:r>
      <w:r>
        <w:rPr>
          <w:rFonts w:ascii="Arial" w:cs="Arial" w:eastAsia="Arial" w:hAnsi="Arial"/>
          <w:sz w:val="18"/>
          <w:szCs w:val="18"/>
          <w:b w:val="1"/>
          <w:bCs w:val="1"/>
          <w:u w:val="single" w:color="auto"/>
          <w:color w:val="0000EE"/>
        </w:rPr>
        <w:t>5</w:t>
      </w:r>
      <w:r>
        <w:rPr>
          <w:rFonts w:ascii="Arial" w:cs="Arial" w:eastAsia="Arial" w:hAnsi="Arial"/>
          <w:sz w:val="18"/>
          <w:szCs w:val="18"/>
          <w:b w:val="1"/>
          <w:bCs w:val="1"/>
          <w:color w:val="auto"/>
        </w:rPr>
        <w:t xml:space="preserve"> 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203835</wp:posOffset>
            </wp:positionV>
            <wp:extent cx="12344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left="1260" w:right="659"/>
        <w:spacing w:after="0" w:line="256" w:lineRule="auto"/>
        <w:rPr>
          <w:sz w:val="20"/>
          <w:szCs w:val="20"/>
          <w:color w:val="auto"/>
        </w:rPr>
      </w:pPr>
      <w:r>
        <w:rPr>
          <w:rFonts w:ascii="Arial" w:cs="Arial" w:eastAsia="Arial" w:hAnsi="Arial"/>
          <w:sz w:val="18"/>
          <w:szCs w:val="18"/>
          <w:color w:val="auto"/>
        </w:rPr>
        <w:t>Our common stock is listed on The Nasdaq Global Select Market (“Nasdaq”) under the symbol “MU.” On November 3, 2020, the last reported sale price of our common stock on Nasdaq was $51.08 per share.</w:t>
      </w:r>
    </w:p>
    <w:p>
      <w:pPr>
        <w:spacing w:after="0" w:line="99" w:lineRule="exact"/>
        <w:rPr>
          <w:sz w:val="20"/>
          <w:szCs w:val="20"/>
          <w:color w:val="auto"/>
        </w:rPr>
      </w:pPr>
    </w:p>
    <w:p>
      <w:pPr>
        <w:ind w:left="1260" w:right="619"/>
        <w:spacing w:after="0" w:line="268"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date of this prospectus is 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762000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TABLE OF CONTENTS</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About</w:t>
      </w:r>
      <w:r>
        <w:rPr>
          <w:rFonts w:ascii="Arial" w:cs="Arial" w:eastAsia="Arial" w:hAnsi="Arial"/>
          <w:sz w:val="18"/>
          <w:szCs w:val="18"/>
          <w:color w:val="000000"/>
        </w:rPr>
        <w:t>​</w:t>
      </w:r>
      <w:r>
        <w:rPr>
          <w:rFonts w:ascii="Arial" w:cs="Arial" w:eastAsia="Arial" w:hAnsi="Arial"/>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5212080"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Where</w:t>
      </w:r>
      <w:r>
        <w:rPr>
          <w:rFonts w:ascii="Arial" w:cs="Arial" w:eastAsia="Arial" w:hAnsi="Arial"/>
          <w:sz w:val="17"/>
          <w:szCs w:val="17"/>
          <w:color w:val="000000"/>
        </w:rPr>
        <w:t>​</w:t>
      </w:r>
      <w:r>
        <w:rPr>
          <w:rFonts w:ascii="Arial" w:cs="Arial" w:eastAsia="Arial" w:hAnsi="Arial"/>
          <w:sz w:val="17"/>
          <w:szCs w:val="17"/>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974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The</w:t>
      </w:r>
      <w:r>
        <w:rPr>
          <w:rFonts w:ascii="Arial" w:cs="Arial" w:eastAsia="Arial" w:hAnsi="Arial"/>
          <w:sz w:val="18"/>
          <w:szCs w:val="18"/>
          <w:color w:val="000000"/>
        </w:rPr>
        <w:t>​</w:t>
      </w:r>
      <w:r>
        <w:rPr>
          <w:rFonts w:ascii="Arial" w:cs="Arial" w:eastAsia="Arial" w:hAnsi="Arial"/>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Risk</w:t>
      </w:r>
      <w:r>
        <w:rPr>
          <w:rFonts w:ascii="Arial" w:cs="Arial" w:eastAsia="Arial" w:hAnsi="Arial"/>
          <w:sz w:val="18"/>
          <w:szCs w:val="18"/>
          <w:color w:val="000000"/>
        </w:rPr>
        <w:t>​</w:t>
      </w:r>
      <w:r>
        <w:rPr>
          <w:rFonts w:ascii="Arial" w:cs="Arial" w:eastAsia="Arial" w:hAnsi="Arial"/>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5212080" cy="1974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Use</w:t>
      </w:r>
      <w:r>
        <w:rPr>
          <w:rFonts w:ascii="Arial" w:cs="Arial" w:eastAsia="Arial" w:hAnsi="Arial"/>
          <w:sz w:val="18"/>
          <w:szCs w:val="18"/>
          <w:color w:val="000000"/>
        </w:rPr>
        <w:t>​</w:t>
      </w:r>
      <w:r>
        <w:rPr>
          <w:rFonts w:ascii="Arial" w:cs="Arial" w:eastAsia="Arial" w:hAnsi="Arial"/>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5212080" cy="197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Plan</w:t>
      </w:r>
      <w:r>
        <w:rPr>
          <w:rFonts w:ascii="Arial" w:cs="Arial" w:eastAsia="Arial" w:hAnsi="Arial"/>
          <w:sz w:val="18"/>
          <w:szCs w:val="18"/>
          <w:color w:val="000000"/>
        </w:rPr>
        <w:t>​</w:t>
      </w:r>
      <w:r>
        <w:rPr>
          <w:rFonts w:ascii="Arial" w:cs="Arial" w:eastAsia="Arial" w:hAnsi="Arial"/>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Legal</w:t>
      </w:r>
      <w:r>
        <w:rPr>
          <w:rFonts w:ascii="Arial" w:cs="Arial" w:eastAsia="Arial" w:hAnsi="Arial"/>
          <w:sz w:val="18"/>
          <w:szCs w:val="18"/>
          <w:color w:val="000000"/>
        </w:rPr>
        <w:t>​</w:t>
      </w:r>
      <w:r>
        <w:rPr>
          <w:rFonts w:ascii="Arial" w:cs="Arial" w:eastAsia="Arial" w:hAnsi="Arial"/>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5212080" cy="1974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5</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8</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w:t>
      </w:r>
    </w:p>
    <w:p>
      <w:pPr>
        <w:sectPr>
          <w:pgSz w:w="11900" w:h="16838" w:orient="portrait"/>
          <w:cols w:equalWidth="0" w:num="2">
            <w:col w:w="8400" w:space="720"/>
            <w:col w:w="759"/>
          </w:cols>
          <w:pgMar w:left="580" w:top="132" w:right="1440"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ABOUT THIS PROSPECTUS</w:t>
      </w:r>
    </w:p>
    <w:p>
      <w:pPr>
        <w:spacing w:after="0" w:line="177"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42"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44" w:lineRule="exact"/>
        <w:rPr>
          <w:sz w:val="20"/>
          <w:szCs w:val="20"/>
          <w:color w:val="auto"/>
        </w:rPr>
      </w:pPr>
    </w:p>
    <w:p>
      <w:pPr>
        <w:ind w:left="1260" w:right="479"/>
        <w:spacing w:after="0" w:line="278" w:lineRule="auto"/>
        <w:rPr>
          <w:sz w:val="20"/>
          <w:szCs w:val="20"/>
          <w:color w:val="auto"/>
        </w:rPr>
      </w:pPr>
      <w:r>
        <w:rPr>
          <w:rFonts w:ascii="Arial" w:cs="Arial" w:eastAsia="Arial" w:hAnsi="Arial"/>
          <w:sz w:val="17"/>
          <w:szCs w:val="17"/>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WHERE YOU CAN FIND MORE</w:t>
      </w:r>
    </w:p>
    <w:p>
      <w:pPr>
        <w:ind w:left="1260"/>
        <w:spacing w:after="0" w:line="236" w:lineRule="auto"/>
        <w:rPr>
          <w:sz w:val="20"/>
          <w:szCs w:val="20"/>
          <w:color w:val="auto"/>
        </w:rPr>
      </w:pPr>
      <w:r>
        <w:rPr>
          <w:rFonts w:ascii="Arial" w:cs="Arial" w:eastAsia="Arial" w:hAnsi="Arial"/>
          <w:sz w:val="40"/>
          <w:szCs w:val="40"/>
          <w:b w:val="1"/>
          <w:bCs w:val="1"/>
          <w:color w:val="auto"/>
        </w:rPr>
        <w:t>INFORMATION;</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INCORPORATION BY REFERENCE</w:t>
      </w:r>
      <w:r>
        <w:rPr>
          <w:rFonts w:ascii="Arial" w:cs="Arial" w:eastAsia="Arial" w:hAnsi="Arial"/>
          <w:sz w:val="40"/>
          <w:szCs w:val="40"/>
          <w:color w:val="auto"/>
        </w:rPr>
        <w:t>​</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Available Information</w:t>
      </w:r>
    </w:p>
    <w:p>
      <w:pPr>
        <w:spacing w:after="0" w:line="184"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from which interested persons can electronically access any document we file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with the SEC.</w:t>
      </w:r>
    </w:p>
    <w:p>
      <w:pPr>
        <w:spacing w:after="0" w:line="103" w:lineRule="exact"/>
        <w:rPr>
          <w:sz w:val="20"/>
          <w:szCs w:val="20"/>
          <w:color w:val="auto"/>
        </w:rPr>
      </w:pPr>
    </w:p>
    <w:p>
      <w:pPr>
        <w:ind w:left="1260" w:right="559"/>
        <w:spacing w:after="0" w:line="282"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on our website, however, is not, and should not be deemed to be, a part of this prospectus.</w:t>
      </w:r>
    </w:p>
    <w:p>
      <w:pPr>
        <w:spacing w:after="0" w:line="112"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Incorporation by Reference</w:t>
      </w:r>
    </w:p>
    <w:p>
      <w:pPr>
        <w:spacing w:after="0" w:line="170"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39"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39" w:lineRule="exact"/>
        <w:rPr>
          <w:sz w:val="20"/>
          <w:szCs w:val="20"/>
          <w:color w:val="auto"/>
        </w:rPr>
      </w:pPr>
    </w:p>
    <w:p>
      <w:pPr>
        <w:ind w:left="1260" w:right="1279"/>
        <w:spacing w:after="0" w:line="261"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90" w:lineRule="exact"/>
        <w:rPr>
          <w:sz w:val="20"/>
          <w:szCs w:val="20"/>
          <w:color w:val="auto"/>
        </w:rPr>
      </w:pPr>
    </w:p>
    <w:p>
      <w:pPr>
        <w:ind w:left="1800" w:right="819" w:hanging="180"/>
        <w:spacing w:after="0" w:line="261" w:lineRule="auto"/>
        <w:tabs>
          <w:tab w:leader="none" w:pos="1800" w:val="left"/>
        </w:tabs>
        <w:numPr>
          <w:ilvl w:val="0"/>
          <w:numId w:val="46"/>
        </w:numPr>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Our Annual Report on Form 10-K for the fiscal year ended September 3, 2020, filed with the</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SEC on October 19, 2020.</w:t>
        </w:r>
      </w:hyperlink>
    </w:p>
    <w:p>
      <w:pPr>
        <w:spacing w:after="0" w:line="89"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46"/>
        </w:numPr>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Our Current Report on Form 8-K filed with the SEC on September 21, 2020.</w:t>
        </w:r>
      </w:hyperlink>
    </w:p>
    <w:p>
      <w:pPr>
        <w:spacing w:after="0" w:line="117" w:lineRule="exact"/>
        <w:rPr>
          <w:rFonts w:ascii="Arial" w:cs="Arial" w:eastAsia="Arial" w:hAnsi="Arial"/>
          <w:sz w:val="18"/>
          <w:szCs w:val="18"/>
          <w:u w:val="single" w:color="auto"/>
          <w:color w:val="0000EE"/>
        </w:rPr>
      </w:pPr>
    </w:p>
    <w:p>
      <w:pPr>
        <w:ind w:left="1800" w:right="619" w:hanging="180"/>
        <w:spacing w:after="0" w:line="256" w:lineRule="auto"/>
        <w:tabs>
          <w:tab w:leader="none" w:pos="1800" w:val="left"/>
        </w:tabs>
        <w:numPr>
          <w:ilvl w:val="0"/>
          <w:numId w:val="46"/>
        </w:numPr>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The description of our common stock, par value $0.10 per share, contained in our registration</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statement on Form 8-A, filed with the SEC on December 21, 2009, including any subsequently</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filed amendments and reports updating such description.</w:t>
        </w:r>
      </w:hyperlink>
    </w:p>
    <w:p>
      <w:pPr>
        <w:spacing w:after="0" w:line="134" w:lineRule="exact"/>
        <w:rPr>
          <w:rFonts w:ascii="Arial" w:cs="Arial" w:eastAsia="Arial" w:hAnsi="Arial"/>
          <w:sz w:val="18"/>
          <w:szCs w:val="18"/>
          <w:u w:val="single" w:color="auto"/>
          <w:color w:val="0000EE"/>
        </w:rPr>
      </w:pPr>
    </w:p>
    <w:p>
      <w:pPr>
        <w:ind w:left="1260" w:right="539"/>
        <w:spacing w:after="0" w:line="254"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ectPr>
          <w:pgSz w:w="11900" w:h="16838" w:orient="portrait"/>
          <w:cols w:equalWidth="0" w:num="1">
            <w:col w:w="9879"/>
          </w:cols>
          <w:pgMar w:left="580" w:top="132" w:right="1440" w:bottom="1440" w:gutter="0" w:footer="0" w:header="0"/>
        </w:sectPr>
      </w:pPr>
    </w:p>
    <w:p>
      <w:pPr>
        <w:spacing w:after="0" w:line="379" w:lineRule="exact"/>
        <w:rPr>
          <w:rFonts w:ascii="Arial" w:cs="Arial" w:eastAsia="Arial" w:hAnsi="Arial"/>
          <w:sz w:val="18"/>
          <w:szCs w:val="18"/>
          <w:u w:val="single" w:color="auto"/>
          <w:color w:val="0000EE"/>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3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(208) 368-4000</w:t>
      </w:r>
    </w:p>
    <w:p>
      <w:pPr>
        <w:spacing w:after="0" w:line="158" w:lineRule="exact"/>
        <w:rPr>
          <w:sz w:val="20"/>
          <w:szCs w:val="20"/>
          <w:color w:val="auto"/>
        </w:rPr>
      </w:pPr>
    </w:p>
    <w:p>
      <w:pPr>
        <w:jc w:val="both"/>
        <w:ind w:left="1260" w:right="1439"/>
        <w:spacing w:after="0" w:line="291"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or any accompanying prospectus supplement.</w:t>
      </w:r>
    </w:p>
    <w:p>
      <w:pPr>
        <w:spacing w:after="0" w:line="93" w:lineRule="exact"/>
        <w:rPr>
          <w:sz w:val="20"/>
          <w:szCs w:val="20"/>
          <w:color w:val="auto"/>
        </w:rPr>
      </w:pPr>
    </w:p>
    <w:p>
      <w:pPr>
        <w:ind w:left="1260" w:right="1139"/>
        <w:spacing w:after="0" w:line="291" w:lineRule="auto"/>
        <w:rPr>
          <w:sz w:val="20"/>
          <w:szCs w:val="20"/>
          <w:color w:val="auto"/>
        </w:rPr>
      </w:pPr>
      <w:r>
        <w:rPr>
          <w:rFonts w:ascii="Arial" w:cs="Arial" w:eastAsia="Arial" w:hAnsi="Arial"/>
          <w:sz w:val="17"/>
          <w:szCs w:val="17"/>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THE COMPANY</w:t>
      </w:r>
    </w:p>
    <w:p>
      <w:pPr>
        <w:spacing w:after="0" w:line="177"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152" w:lineRule="exact"/>
        <w:rPr>
          <w:sz w:val="20"/>
          <w:szCs w:val="20"/>
          <w:color w:val="auto"/>
        </w:rPr>
      </w:pPr>
    </w:p>
    <w:p>
      <w:pPr>
        <w:jc w:val="both"/>
        <w:ind w:left="1260" w:right="719"/>
        <w:spacing w:after="0" w:line="278" w:lineRule="auto"/>
        <w:rPr>
          <w:sz w:val="20"/>
          <w:szCs w:val="20"/>
          <w:color w:val="auto"/>
        </w:rPr>
      </w:pPr>
      <w:r>
        <w:rPr>
          <w:rFonts w:ascii="Arial" w:cs="Arial" w:eastAsia="Arial" w:hAnsi="Arial"/>
          <w:sz w:val="17"/>
          <w:szCs w:val="17"/>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RISK FACTORS</w:t>
      </w:r>
    </w:p>
    <w:p>
      <w:pPr>
        <w:spacing w:after="0" w:line="177" w:lineRule="exact"/>
        <w:rPr>
          <w:sz w:val="20"/>
          <w:szCs w:val="20"/>
          <w:color w:val="auto"/>
        </w:rPr>
      </w:pPr>
    </w:p>
    <w:p>
      <w:pPr>
        <w:ind w:left="1260" w:right="659"/>
        <w:spacing w:after="0" w:line="251" w:lineRule="auto"/>
        <w:rPr>
          <w:sz w:val="20"/>
          <w:szCs w:val="20"/>
          <w:color w:val="auto"/>
        </w:rPr>
      </w:pPr>
      <w:r>
        <w:rPr>
          <w:rFonts w:ascii="Arial" w:cs="Arial" w:eastAsia="Arial" w:hAnsi="Arial"/>
          <w:sz w:val="18"/>
          <w:szCs w:val="18"/>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USE OF PROCEEDS</w:t>
      </w:r>
    </w:p>
    <w:p>
      <w:pPr>
        <w:spacing w:after="0" w:line="177" w:lineRule="exact"/>
        <w:rPr>
          <w:sz w:val="20"/>
          <w:szCs w:val="20"/>
          <w:color w:val="auto"/>
        </w:rPr>
      </w:pPr>
    </w:p>
    <w:p>
      <w:pPr>
        <w:ind w:left="1260" w:right="1239"/>
        <w:spacing w:after="0" w:line="261"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DESCRIPTION OF SECURITIES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17" w:lineRule="exact"/>
        <w:rPr>
          <w:sz w:val="20"/>
          <w:szCs w:val="20"/>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117" w:lineRule="exact"/>
        <w:rPr>
          <w:rFonts w:ascii="Arial" w:cs="Arial" w:eastAsia="Arial" w:hAnsi="Arial"/>
          <w:sz w:val="18"/>
          <w:szCs w:val="18"/>
          <w:color w:val="auto"/>
        </w:rPr>
      </w:pPr>
    </w:p>
    <w:p>
      <w:pPr>
        <w:ind w:left="1800" w:right="799" w:hanging="180"/>
        <w:spacing w:after="0" w:line="261"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which may be convertible into our common stock or be non-convertible;</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units.</w:t>
      </w:r>
    </w:p>
    <w:p>
      <w:pPr>
        <w:spacing w:after="0" w:line="158"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121"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PLAN OF DISTRIBUTION</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sell the offered securities from time to time:</w:t>
      </w:r>
    </w:p>
    <w:p>
      <w:pPr>
        <w:spacing w:after="0" w:line="117" w:lineRule="exact"/>
        <w:rPr>
          <w:sz w:val="20"/>
          <w:szCs w:val="20"/>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LEGAL MATTERS</w:t>
      </w:r>
    </w:p>
    <w:p>
      <w:pPr>
        <w:spacing w:after="0" w:line="177" w:lineRule="exact"/>
        <w:rPr>
          <w:sz w:val="20"/>
          <w:szCs w:val="20"/>
          <w:color w:val="auto"/>
        </w:rPr>
      </w:pPr>
    </w:p>
    <w:p>
      <w:pPr>
        <w:jc w:val="both"/>
        <w:ind w:left="1260" w:right="899"/>
        <w:spacing w:after="0" w:line="273" w:lineRule="auto"/>
        <w:rPr>
          <w:sz w:val="20"/>
          <w:szCs w:val="20"/>
          <w:color w:val="auto"/>
        </w:rPr>
      </w:pPr>
      <w:r>
        <w:rPr>
          <w:rFonts w:ascii="Arial" w:cs="Arial" w:eastAsia="Arial" w:hAnsi="Arial"/>
          <w:sz w:val="17"/>
          <w:szCs w:val="17"/>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EXPERTS</w:t>
      </w:r>
    </w:p>
    <w:p>
      <w:pPr>
        <w:spacing w:after="0" w:line="177" w:lineRule="exact"/>
        <w:rPr>
          <w:sz w:val="20"/>
          <w:szCs w:val="20"/>
          <w:color w:val="auto"/>
        </w:rPr>
      </w:pPr>
    </w:p>
    <w:p>
      <w:pPr>
        <w:ind w:left="1260" w:right="519"/>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123">
        <w:r>
          <w:rPr>
            <w:rFonts w:ascii="Arial" w:cs="Arial" w:eastAsia="Arial" w:hAnsi="Arial"/>
            <w:sz w:val="18"/>
            <w:szCs w:val="18"/>
            <w:u w:val="single" w:color="auto"/>
            <w:color w:val="0000EE"/>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Micron Technology, Inc. for the year ended September 3, 2020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4"/>
          <w:szCs w:val="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45720</wp:posOffset>
            </wp:positionV>
            <wp:extent cx="61893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$1,250,000,000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302895</wp:posOffset>
            </wp:positionV>
            <wp:extent cx="1705610" cy="4718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170561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Micron Technology, Inc.</w:t>
      </w:r>
      <w:r>
        <w:rPr>
          <w:rFonts w:ascii="Arial" w:cs="Arial" w:eastAsia="Arial" w:hAnsi="Arial"/>
          <w:sz w:val="39"/>
          <w:szCs w:val="39"/>
          <w:color w:val="auto"/>
        </w:rPr>
        <w:t>​</w:t>
      </w:r>
    </w:p>
    <w:p>
      <w:pPr>
        <w:spacing w:after="0" w:line="200" w:lineRule="exact"/>
        <w:rPr>
          <w:sz w:val="20"/>
          <w:szCs w:val="20"/>
          <w:color w:val="auto"/>
        </w:rPr>
      </w:pPr>
    </w:p>
    <w:p>
      <w:pPr>
        <w:spacing w:after="0" w:line="25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$500,000,000 6.750% Senior Notes due 2029</w:t>
      </w:r>
    </w:p>
    <w:p>
      <w:pPr>
        <w:spacing w:after="0" w:line="18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$750,000,000 5.875%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757555</wp:posOffset>
            </wp:positionV>
            <wp:extent cx="12344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February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226060</wp:posOffset>
            </wp:positionV>
            <wp:extent cx="12344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60"/>
        <w:spacing w:after="0"/>
        <w:rPr>
          <w:sz w:val="20"/>
          <w:szCs w:val="20"/>
          <w:color w:val="auto"/>
        </w:rPr>
      </w:pPr>
      <w:r>
        <w:rPr>
          <w:rFonts w:ascii="Arial" w:cs="Arial" w:eastAsia="Arial" w:hAnsi="Arial"/>
          <w:sz w:val="18"/>
          <w:szCs w:val="18"/>
          <w:i w:val="1"/>
          <w:iCs w:val="1"/>
          <w:color w:val="auto"/>
        </w:rPr>
        <w:t>Joint Book-Running Managers</w:t>
      </w:r>
    </w:p>
    <w:p>
      <w:pPr>
        <w:spacing w:after="0" w:line="200" w:lineRule="exact"/>
        <w:rPr>
          <w:sz w:val="20"/>
          <w:szCs w:val="20"/>
          <w:color w:val="auto"/>
        </w:rPr>
      </w:pP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336"/>
        </w:trPr>
        <w:tc>
          <w:tcPr>
            <w:tcW w:w="2800" w:type="dxa"/>
            <w:vAlign w:val="bottom"/>
            <w:gridSpan w:val="2"/>
          </w:tcPr>
          <w:p>
            <w:pPr>
              <w:spacing w:after="0"/>
              <w:rPr>
                <w:sz w:val="20"/>
                <w:szCs w:val="20"/>
                <w:color w:val="auto"/>
              </w:rPr>
            </w:pPr>
            <w:r>
              <w:rPr>
                <w:rFonts w:ascii="Arial" w:cs="Arial" w:eastAsia="Arial" w:hAnsi="Arial"/>
                <w:sz w:val="25"/>
                <w:szCs w:val="25"/>
                <w:b w:val="1"/>
                <w:bCs w:val="1"/>
                <w:color w:val="auto"/>
              </w:rPr>
              <w:t>Morgan Stanley</w:t>
            </w:r>
          </w:p>
        </w:tc>
        <w:tc>
          <w:tcPr>
            <w:tcW w:w="4240" w:type="dxa"/>
            <w:vAlign w:val="bottom"/>
            <w:gridSpan w:val="3"/>
          </w:tcPr>
          <w:p>
            <w:pPr>
              <w:ind w:left="440"/>
              <w:spacing w:after="0"/>
              <w:rPr>
                <w:sz w:val="20"/>
                <w:szCs w:val="20"/>
                <w:color w:val="auto"/>
              </w:rPr>
            </w:pPr>
            <w:r>
              <w:rPr>
                <w:rFonts w:ascii="Arial" w:cs="Arial" w:eastAsia="Arial" w:hAnsi="Arial"/>
                <w:sz w:val="25"/>
                <w:szCs w:val="25"/>
                <w:b w:val="1"/>
                <w:bCs w:val="1"/>
                <w:color w:val="auto"/>
              </w:rPr>
              <w:t>        BofA Securities</w:t>
            </w:r>
          </w:p>
        </w:tc>
        <w:tc>
          <w:tcPr>
            <w:tcW w:w="2700" w:type="dxa"/>
            <w:vAlign w:val="bottom"/>
          </w:tcPr>
          <w:p>
            <w:pPr>
              <w:jc w:val="right"/>
              <w:spacing w:after="0"/>
              <w:rPr>
                <w:sz w:val="20"/>
                <w:szCs w:val="20"/>
                <w:color w:val="auto"/>
              </w:rPr>
            </w:pPr>
            <w:r>
              <w:rPr>
                <w:rFonts w:ascii="Arial" w:cs="Arial" w:eastAsia="Arial" w:hAnsi="Arial"/>
                <w:sz w:val="25"/>
                <w:szCs w:val="25"/>
                <w:b w:val="1"/>
                <w:bCs w:val="1"/>
                <w:color w:val="auto"/>
                <w:w w:val="99"/>
              </w:rPr>
              <w:t>Wells Fargo Securities</w:t>
            </w:r>
          </w:p>
        </w:tc>
      </w:tr>
      <w:tr>
        <w:trPr>
          <w:trHeight w:val="432"/>
        </w:trPr>
        <w:tc>
          <w:tcPr>
            <w:tcW w:w="4120" w:type="dxa"/>
            <w:vAlign w:val="bottom"/>
            <w:gridSpan w:val="3"/>
          </w:tcPr>
          <w:p>
            <w:pPr>
              <w:spacing w:after="0"/>
              <w:rPr>
                <w:sz w:val="20"/>
                <w:szCs w:val="20"/>
                <w:color w:val="auto"/>
              </w:rPr>
            </w:pPr>
            <w:r>
              <w:rPr>
                <w:rFonts w:ascii="Arial" w:cs="Arial" w:eastAsia="Arial" w:hAnsi="Arial"/>
                <w:sz w:val="25"/>
                <w:szCs w:val="25"/>
                <w:b w:val="1"/>
                <w:bCs w:val="1"/>
                <w:color w:val="auto"/>
                <w:w w:val="97"/>
              </w:rPr>
              <w:t>ANZ SecuritiesBNP PARIBAS</w:t>
            </w:r>
          </w:p>
        </w:tc>
        <w:tc>
          <w:tcPr>
            <w:tcW w:w="2920" w:type="dxa"/>
            <w:vAlign w:val="bottom"/>
            <w:gridSpan w:val="2"/>
          </w:tcPr>
          <w:p>
            <w:pPr>
              <w:ind w:left="340"/>
              <w:spacing w:after="0"/>
              <w:rPr>
                <w:sz w:val="20"/>
                <w:szCs w:val="20"/>
                <w:color w:val="auto"/>
              </w:rPr>
            </w:pPr>
            <w:r>
              <w:rPr>
                <w:rFonts w:ascii="Arial" w:cs="Arial" w:eastAsia="Arial" w:hAnsi="Arial"/>
                <w:sz w:val="25"/>
                <w:szCs w:val="25"/>
                <w:b w:val="1"/>
                <w:bCs w:val="1"/>
                <w:color w:val="auto"/>
              </w:rPr>
              <w:t>Credit Agricole CIB</w:t>
            </w:r>
          </w:p>
        </w:tc>
        <w:tc>
          <w:tcPr>
            <w:tcW w:w="2700" w:type="dxa"/>
            <w:vAlign w:val="bottom"/>
          </w:tcPr>
          <w:p>
            <w:pPr>
              <w:jc w:val="right"/>
              <w:spacing w:after="0"/>
              <w:rPr>
                <w:sz w:val="20"/>
                <w:szCs w:val="20"/>
                <w:color w:val="auto"/>
              </w:rPr>
            </w:pPr>
            <w:r>
              <w:rPr>
                <w:rFonts w:ascii="Arial" w:cs="Arial" w:eastAsia="Arial" w:hAnsi="Arial"/>
                <w:sz w:val="25"/>
                <w:szCs w:val="25"/>
                <w:b w:val="1"/>
                <w:bCs w:val="1"/>
                <w:color w:val="auto"/>
              </w:rPr>
              <w:t>HSBC   J.P. Morgan</w:t>
            </w:r>
          </w:p>
        </w:tc>
      </w:tr>
      <w:tr>
        <w:trPr>
          <w:trHeight w:val="432"/>
        </w:trPr>
        <w:tc>
          <w:tcPr>
            <w:tcW w:w="1260" w:type="dxa"/>
            <w:vAlign w:val="bottom"/>
          </w:tcPr>
          <w:p>
            <w:pPr>
              <w:spacing w:after="0"/>
              <w:rPr>
                <w:sz w:val="20"/>
                <w:szCs w:val="20"/>
                <w:color w:val="auto"/>
              </w:rPr>
            </w:pPr>
            <w:r>
              <w:rPr>
                <w:rFonts w:ascii="Arial" w:cs="Arial" w:eastAsia="Arial" w:hAnsi="Arial"/>
                <w:sz w:val="25"/>
                <w:szCs w:val="25"/>
                <w:b w:val="1"/>
                <w:bCs w:val="1"/>
                <w:color w:val="auto"/>
              </w:rPr>
              <w:t>Mizuho</w:t>
            </w:r>
          </w:p>
        </w:tc>
        <w:tc>
          <w:tcPr>
            <w:tcW w:w="1540" w:type="dxa"/>
            <w:vAlign w:val="bottom"/>
          </w:tcPr>
          <w:p>
            <w:pPr>
              <w:ind w:left="380"/>
              <w:spacing w:after="0"/>
              <w:rPr>
                <w:sz w:val="20"/>
                <w:szCs w:val="20"/>
                <w:color w:val="auto"/>
              </w:rPr>
            </w:pPr>
            <w:r>
              <w:rPr>
                <w:rFonts w:ascii="Arial" w:cs="Arial" w:eastAsia="Arial" w:hAnsi="Arial"/>
                <w:sz w:val="25"/>
                <w:szCs w:val="25"/>
                <w:b w:val="1"/>
                <w:bCs w:val="1"/>
                <w:color w:val="auto"/>
              </w:rPr>
              <w:t>MUFG</w:t>
            </w:r>
          </w:p>
        </w:tc>
        <w:tc>
          <w:tcPr>
            <w:tcW w:w="2620" w:type="dxa"/>
            <w:vAlign w:val="bottom"/>
            <w:gridSpan w:val="2"/>
          </w:tcPr>
          <w:p>
            <w:pPr>
              <w:ind w:left="440"/>
              <w:spacing w:after="0"/>
              <w:rPr>
                <w:sz w:val="20"/>
                <w:szCs w:val="20"/>
                <w:color w:val="auto"/>
              </w:rPr>
            </w:pPr>
            <w:r>
              <w:rPr>
                <w:rFonts w:ascii="Arial" w:cs="Arial" w:eastAsia="Arial" w:hAnsi="Arial"/>
                <w:sz w:val="25"/>
                <w:szCs w:val="25"/>
                <w:b w:val="1"/>
                <w:bCs w:val="1"/>
                <w:color w:val="auto"/>
              </w:rPr>
              <w:t>Scotiabank</w:t>
            </w:r>
          </w:p>
        </w:tc>
        <w:tc>
          <w:tcPr>
            <w:tcW w:w="1620" w:type="dxa"/>
            <w:vAlign w:val="bottom"/>
          </w:tcPr>
          <w:p>
            <w:pPr>
              <w:spacing w:after="0"/>
              <w:rPr>
                <w:sz w:val="20"/>
                <w:szCs w:val="20"/>
                <w:color w:val="auto"/>
              </w:rPr>
            </w:pPr>
            <w:r>
              <w:rPr>
                <w:rFonts w:ascii="Arial" w:cs="Arial" w:eastAsia="Arial" w:hAnsi="Arial"/>
                <w:sz w:val="25"/>
                <w:szCs w:val="25"/>
                <w:b w:val="1"/>
                <w:bCs w:val="1"/>
                <w:color w:val="auto"/>
              </w:rPr>
              <w:t>TD Securities</w:t>
            </w:r>
          </w:p>
        </w:tc>
        <w:tc>
          <w:tcPr>
            <w:tcW w:w="2700" w:type="dxa"/>
            <w:vAlign w:val="bottom"/>
          </w:tcPr>
          <w:p>
            <w:pPr>
              <w:jc w:val="right"/>
              <w:spacing w:after="0"/>
              <w:rPr>
                <w:sz w:val="20"/>
                <w:szCs w:val="20"/>
                <w:color w:val="auto"/>
              </w:rPr>
            </w:pPr>
            <w:r>
              <w:rPr>
                <w:rFonts w:ascii="Arial" w:cs="Arial" w:eastAsia="Arial" w:hAnsi="Arial"/>
                <w:sz w:val="25"/>
                <w:szCs w:val="25"/>
                <w:b w:val="1"/>
                <w:bCs w:val="1"/>
                <w:color w:val="auto"/>
              </w:rPr>
              <w:t>Truist Securities</w:t>
            </w:r>
          </w:p>
        </w:tc>
      </w:tr>
      <w:tr>
        <w:trPr>
          <w:trHeight w:val="424"/>
        </w:trPr>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ind w:left="200"/>
              <w:spacing w:after="0"/>
              <w:rPr>
                <w:sz w:val="20"/>
                <w:szCs w:val="20"/>
                <w:color w:val="auto"/>
              </w:rPr>
            </w:pPr>
            <w:r>
              <w:rPr>
                <w:rFonts w:ascii="Arial" w:cs="Arial" w:eastAsia="Arial" w:hAnsi="Arial"/>
                <w:sz w:val="18"/>
                <w:szCs w:val="18"/>
                <w:i w:val="1"/>
                <w:iCs w:val="1"/>
                <w:color w:val="auto"/>
                <w:w w:val="99"/>
              </w:rPr>
              <w:t>Co-Managers</w:t>
            </w:r>
          </w:p>
        </w:tc>
        <w:tc>
          <w:tcPr>
            <w:tcW w:w="16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88"/>
        </w:trPr>
        <w:tc>
          <w:tcPr>
            <w:tcW w:w="2800" w:type="dxa"/>
            <w:vAlign w:val="bottom"/>
            <w:gridSpan w:val="2"/>
          </w:tcPr>
          <w:p>
            <w:pPr>
              <w:spacing w:after="0"/>
              <w:rPr>
                <w:sz w:val="20"/>
                <w:szCs w:val="20"/>
                <w:color w:val="auto"/>
              </w:rPr>
            </w:pPr>
            <w:r>
              <w:rPr>
                <w:rFonts w:ascii="Arial" w:cs="Arial" w:eastAsia="Arial" w:hAnsi="Arial"/>
                <w:sz w:val="22"/>
                <w:szCs w:val="22"/>
                <w:b w:val="1"/>
                <w:bCs w:val="1"/>
                <w:color w:val="auto"/>
              </w:rPr>
              <w:t>Academy Securities</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22"/>
                <w:szCs w:val="22"/>
                <w:b w:val="1"/>
                <w:bCs w:val="1"/>
                <w:color w:val="auto"/>
              </w:rPr>
              <w:t>Siebert Williams Shank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996315</wp:posOffset>
            </wp:positionV>
            <wp:extent cx="61893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40"/>
          </w:cols>
          <w:pgMar w:left="580" w:top="132" w:right="10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Calculation of Filing Fee Tables</w:t>
      </w:r>
    </w:p>
    <w:p>
      <w:pPr>
        <w:spacing w:after="0" w:line="16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424(b)(5)</w:t>
      </w:r>
      <w:r>
        <w:rPr>
          <w:rFonts w:ascii="Arial" w:cs="Arial" w:eastAsia="Arial" w:hAnsi="Arial"/>
          <w:sz w:val="29"/>
          <w:szCs w:val="29"/>
          <w:b w:val="1"/>
          <w:bCs w:val="1"/>
          <w:color w:val="auto"/>
          <w:vertAlign w:val="superscript"/>
        </w:rPr>
        <w:t>(1)</w:t>
      </w:r>
    </w:p>
    <w:p>
      <w:pPr>
        <w:ind w:left="5160"/>
        <w:spacing w:after="0"/>
        <w:rPr>
          <w:sz w:val="20"/>
          <w:szCs w:val="20"/>
          <w:color w:val="auto"/>
        </w:rPr>
      </w:pPr>
      <w:r>
        <w:rPr>
          <w:rFonts w:ascii="Arial" w:cs="Arial" w:eastAsia="Arial" w:hAnsi="Arial"/>
          <w:sz w:val="18"/>
          <w:szCs w:val="18"/>
          <w:color w:val="auto"/>
        </w:rPr>
        <w:t>(Form Type)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Filing Fee</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Previously Paid</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137"/>
              <w:spacing w:after="0" w:line="135" w:lineRule="exact"/>
              <w:rPr>
                <w:sz w:val="20"/>
                <w:szCs w:val="20"/>
                <w:color w:val="auto"/>
              </w:rPr>
            </w:pPr>
            <w:r>
              <w:rPr>
                <w:rFonts w:ascii="Arial" w:cs="Arial" w:eastAsia="Arial" w:hAnsi="Arial"/>
                <w:sz w:val="13"/>
                <w:szCs w:val="13"/>
                <w:b w:val="1"/>
                <w:bCs w:val="1"/>
                <w:color w:val="auto"/>
                <w:w w:val="83"/>
              </w:rPr>
              <w:t>Proposed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9"/>
              </w:rPr>
              <w:t>Carry</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 Connection</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157"/>
              <w:spacing w:after="0" w:line="135" w:lineRule="exact"/>
              <w:rPr>
                <w:sz w:val="20"/>
                <w:szCs w:val="20"/>
                <w:color w:val="auto"/>
              </w:rPr>
            </w:pPr>
            <w:r>
              <w:rPr>
                <w:rFonts w:ascii="Arial" w:cs="Arial" w:eastAsia="Arial" w:hAnsi="Arial"/>
                <w:sz w:val="13"/>
                <w:szCs w:val="13"/>
                <w:b w:val="1"/>
                <w:bCs w:val="1"/>
                <w:color w:val="auto"/>
                <w:w w:val="93"/>
              </w:rPr>
              <w:t>Maximum</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Forward</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with Unsold</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Security</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or Carry</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137"/>
              <w:spacing w:after="0" w:line="135" w:lineRule="exact"/>
              <w:rPr>
                <w:sz w:val="20"/>
                <w:szCs w:val="20"/>
                <w:color w:val="auto"/>
              </w:rPr>
            </w:pPr>
            <w:r>
              <w:rPr>
                <w:rFonts w:ascii="Arial" w:cs="Arial" w:eastAsia="Arial" w:hAnsi="Arial"/>
                <w:sz w:val="13"/>
                <w:szCs w:val="13"/>
                <w:b w:val="1"/>
                <w:bCs w:val="1"/>
                <w:color w:val="auto"/>
                <w:w w:val="90"/>
              </w:rPr>
              <w:t>Offering</w:t>
            </w:r>
          </w:p>
        </w:tc>
        <w:tc>
          <w:tcPr>
            <w:tcW w:w="80" w:type="dxa"/>
            <w:vAlign w:val="bottom"/>
          </w:tcPr>
          <w:p>
            <w:pPr>
              <w:spacing w:after="0"/>
              <w:rPr>
                <w:sz w:val="11"/>
                <w:szCs w:val="11"/>
                <w:color w:val="auto"/>
              </w:rPr>
            </w:pP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96"/>
              </w:rPr>
              <w:t>Maximum</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2"/>
              </w:rPr>
              <w:t>Amount of</w:t>
            </w: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4"/>
              </w:rPr>
              <w:t>Carry</w:t>
            </w: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9"/>
              </w:rPr>
              <w:t>Carry</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9"/>
              </w:rPr>
              <w:t>Initial</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6"/>
              </w:rPr>
              <w:t>Security Type</w:t>
            </w:r>
          </w:p>
        </w:tc>
        <w:tc>
          <w:tcPr>
            <w:tcW w:w="80" w:type="dxa"/>
            <w:vAlign w:val="bottom"/>
            <w:vMerge w:val="restart"/>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0"/>
              </w:rPr>
              <w:t>Class</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200" w:type="dxa"/>
            <w:vAlign w:val="bottom"/>
          </w:tcPr>
          <w:p>
            <w:pPr>
              <w:spacing w:after="0"/>
              <w:rPr>
                <w:sz w:val="11"/>
                <w:szCs w:val="11"/>
                <w:color w:val="auto"/>
              </w:rPr>
            </w:pPr>
          </w:p>
        </w:tc>
        <w:tc>
          <w:tcPr>
            <w:tcW w:w="9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Amount</w:t>
            </w:r>
          </w:p>
        </w:tc>
        <w:tc>
          <w:tcPr>
            <w:tcW w:w="860" w:type="dxa"/>
            <w:vAlign w:val="bottom"/>
            <w:gridSpan w:val="2"/>
          </w:tcPr>
          <w:p>
            <w:pPr>
              <w:jc w:val="center"/>
              <w:ind w:right="157"/>
              <w:spacing w:after="0" w:line="135" w:lineRule="exact"/>
              <w:rPr>
                <w:sz w:val="20"/>
                <w:szCs w:val="20"/>
                <w:color w:val="auto"/>
              </w:rPr>
            </w:pPr>
            <w:r>
              <w:rPr>
                <w:rFonts w:ascii="Arial" w:cs="Arial" w:eastAsia="Arial" w:hAnsi="Arial"/>
                <w:sz w:val="13"/>
                <w:szCs w:val="13"/>
                <w:b w:val="1"/>
                <w:bCs w:val="1"/>
                <w:color w:val="auto"/>
                <w:w w:val="87"/>
              </w:rPr>
              <w:t>Price</w:t>
            </w:r>
          </w:p>
        </w:tc>
        <w:tc>
          <w:tcPr>
            <w:tcW w:w="80" w:type="dxa"/>
            <w:vAlign w:val="bottom"/>
          </w:tcPr>
          <w:p>
            <w:pPr>
              <w:spacing w:after="0"/>
              <w:rPr>
                <w:sz w:val="11"/>
                <w:szCs w:val="11"/>
                <w:color w:val="auto"/>
              </w:rPr>
            </w:pP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90"/>
              </w:rPr>
              <w:t>Aggregate</w:t>
            </w: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99"/>
              </w:rPr>
              <w:t>Fee Rate</w:t>
            </w:r>
          </w:p>
        </w:tc>
        <w:tc>
          <w:tcPr>
            <w:tcW w:w="200" w:type="dxa"/>
            <w:vAlign w:val="bottom"/>
            <w:vMerge w:val="restart"/>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4"/>
              </w:rPr>
              <w:t>Registration</w:t>
            </w: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Forward</w:t>
            </w: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Forward</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effective</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 be Carried</w:t>
            </w: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Title</w:t>
            </w: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Rule</w:t>
            </w:r>
          </w:p>
        </w:tc>
        <w:tc>
          <w:tcPr>
            <w:tcW w:w="20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w w:val="95"/>
              </w:rPr>
              <w:t>Registered</w:t>
            </w:r>
          </w:p>
        </w:tc>
        <w:tc>
          <w:tcPr>
            <w:tcW w:w="2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Per Unit</w:t>
            </w:r>
          </w:p>
        </w:tc>
        <w:tc>
          <w:tcPr>
            <w:tcW w:w="2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Offering Price</w:t>
            </w: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Fee</w:t>
            </w:r>
          </w:p>
        </w:tc>
        <w:tc>
          <w:tcPr>
            <w:tcW w:w="2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Form Type</w:t>
            </w:r>
          </w:p>
        </w:tc>
        <w:tc>
          <w:tcPr>
            <w:tcW w:w="2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File Number</w:t>
            </w: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date</w:t>
            </w: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Forward</w:t>
            </w:r>
          </w:p>
        </w:tc>
        <w:tc>
          <w:tcPr>
            <w:tcW w:w="0" w:type="dxa"/>
            <w:vAlign w:val="bottom"/>
          </w:tcPr>
          <w:p>
            <w:pPr>
              <w:spacing w:after="0"/>
              <w:rPr>
                <w:sz w:val="1"/>
                <w:szCs w:val="1"/>
                <w:color w:val="auto"/>
              </w:rPr>
            </w:pPr>
          </w:p>
        </w:tc>
      </w:tr>
      <w:tr>
        <w:trPr>
          <w:trHeight w:val="20"/>
        </w:trPr>
        <w:tc>
          <w:tcPr>
            <w:tcW w:w="8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520" w:type="dxa"/>
            <w:vAlign w:val="bottom"/>
            <w:gridSpan w:val="6"/>
            <w:shd w:val="clear" w:color="auto" w:fill="CCEEFF"/>
          </w:tcPr>
          <w:p>
            <w:pPr>
              <w:jc w:val="right"/>
              <w:ind w:right="337"/>
              <w:spacing w:after="0" w:line="115" w:lineRule="exact"/>
              <w:rPr>
                <w:sz w:val="20"/>
                <w:szCs w:val="20"/>
                <w:color w:val="auto"/>
              </w:rPr>
            </w:pPr>
            <w:r>
              <w:rPr>
                <w:rFonts w:ascii="Arial" w:cs="Arial" w:eastAsia="Arial" w:hAnsi="Arial"/>
                <w:sz w:val="13"/>
                <w:szCs w:val="13"/>
                <w:b w:val="1"/>
                <w:bCs w:val="1"/>
                <w:color w:val="auto"/>
              </w:rPr>
              <w:t>Newly Registered Securities</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spacing w:after="0" w:line="121" w:lineRule="exact"/>
              <w:rPr>
                <w:sz w:val="20"/>
                <w:szCs w:val="20"/>
                <w:color w:val="auto"/>
              </w:rPr>
            </w:pPr>
            <w:r>
              <w:rPr>
                <w:rFonts w:ascii="Arial" w:cs="Arial" w:eastAsia="Arial" w:hAnsi="Arial"/>
                <w:sz w:val="13"/>
                <w:szCs w:val="13"/>
                <w:color w:val="auto"/>
                <w:w w:val="90"/>
              </w:rPr>
              <w:t>6.750%</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line="135" w:lineRule="exact"/>
              <w:rPr>
                <w:sz w:val="20"/>
                <w:szCs w:val="20"/>
                <w:color w:val="auto"/>
              </w:rPr>
            </w:pPr>
            <w:r>
              <w:rPr>
                <w:rFonts w:ascii="Arial" w:cs="Arial" w:eastAsia="Arial" w:hAnsi="Arial"/>
                <w:sz w:val="13"/>
                <w:szCs w:val="13"/>
                <w:color w:val="auto"/>
              </w:rPr>
              <w:t>Fees to Be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85"/>
              </w:rPr>
              <w:t>Senior Notes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 w:type="dxa"/>
            <w:vAlign w:val="bottom"/>
          </w:tcPr>
          <w:p>
            <w:pPr>
              <w:spacing w:after="0"/>
              <w:rPr>
                <w:sz w:val="20"/>
                <w:szCs w:val="20"/>
                <w:color w:val="auto"/>
              </w:rPr>
            </w:pPr>
            <w:r>
              <w:rPr>
                <w:rFonts w:ascii="Arial" w:cs="Arial" w:eastAsia="Arial" w:hAnsi="Arial"/>
                <w:sz w:val="13"/>
                <w:szCs w:val="13"/>
                <w:color w:val="auto"/>
              </w:rPr>
              <w:t>Paid</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Debt</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due 2029</w:t>
            </w:r>
          </w:p>
        </w:tc>
        <w:tc>
          <w:tcPr>
            <w:tcW w:w="660" w:type="dxa"/>
            <w:vAlign w:val="bottom"/>
          </w:tcPr>
          <w:p>
            <w:pPr>
              <w:jc w:val="center"/>
              <w:ind w:left="57"/>
              <w:spacing w:after="0"/>
              <w:rPr>
                <w:sz w:val="20"/>
                <w:szCs w:val="20"/>
                <w:color w:val="auto"/>
              </w:rPr>
            </w:pPr>
            <w:r>
              <w:rPr>
                <w:rFonts w:ascii="Arial" w:cs="Arial" w:eastAsia="Arial" w:hAnsi="Arial"/>
                <w:sz w:val="13"/>
                <w:szCs w:val="13"/>
                <w:color w:val="auto"/>
                <w:w w:val="86"/>
              </w:rPr>
              <w:t>457(r)</w:t>
            </w:r>
          </w:p>
        </w:tc>
        <w:tc>
          <w:tcPr>
            <w:tcW w:w="1140" w:type="dxa"/>
            <w:vAlign w:val="bottom"/>
            <w:gridSpan w:val="3"/>
          </w:tcPr>
          <w:p>
            <w:pPr>
              <w:jc w:val="right"/>
              <w:ind w:right="200"/>
              <w:spacing w:after="0"/>
              <w:rPr>
                <w:sz w:val="20"/>
                <w:szCs w:val="20"/>
                <w:color w:val="auto"/>
              </w:rPr>
            </w:pPr>
            <w:r>
              <w:rPr>
                <w:rFonts w:ascii="Arial" w:cs="Arial" w:eastAsia="Arial" w:hAnsi="Arial"/>
                <w:sz w:val="13"/>
                <w:szCs w:val="13"/>
                <w:color w:val="auto"/>
              </w:rPr>
              <w:t>$ 500,000,000</w:t>
            </w:r>
          </w:p>
        </w:tc>
        <w:tc>
          <w:tcPr>
            <w:tcW w:w="860" w:type="dxa"/>
            <w:vAlign w:val="bottom"/>
            <w:gridSpan w:val="2"/>
          </w:tcPr>
          <w:p>
            <w:pPr>
              <w:jc w:val="right"/>
              <w:ind w:right="37"/>
              <w:spacing w:after="0"/>
              <w:rPr>
                <w:sz w:val="20"/>
                <w:szCs w:val="20"/>
                <w:color w:val="auto"/>
              </w:rPr>
            </w:pPr>
            <w:r>
              <w:rPr>
                <w:rFonts w:ascii="Arial" w:cs="Arial" w:eastAsia="Arial" w:hAnsi="Arial"/>
                <w:sz w:val="13"/>
                <w:szCs w:val="13"/>
                <w:color w:val="auto"/>
              </w:rPr>
              <w:t>104.487%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w w:val="99"/>
              </w:rPr>
              <w:t>522,435,000</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0.0001102</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57,572.34</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5.875%</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Fees to Be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85"/>
              </w:rPr>
              <w:t>Senior Notes</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Paid</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Debt</w:t>
            </w: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due 2033</w:t>
            </w:r>
          </w:p>
        </w:tc>
        <w:tc>
          <w:tcPr>
            <w:tcW w:w="660" w:type="dxa"/>
            <w:vAlign w:val="bottom"/>
            <w:shd w:val="clear" w:color="auto" w:fill="CCEEFF"/>
          </w:tcPr>
          <w:p>
            <w:pPr>
              <w:jc w:val="center"/>
              <w:ind w:left="57"/>
              <w:spacing w:after="0"/>
              <w:rPr>
                <w:sz w:val="20"/>
                <w:szCs w:val="20"/>
                <w:color w:val="auto"/>
              </w:rPr>
            </w:pPr>
            <w:r>
              <w:rPr>
                <w:rFonts w:ascii="Arial" w:cs="Arial" w:eastAsia="Arial" w:hAnsi="Arial"/>
                <w:sz w:val="13"/>
                <w:szCs w:val="13"/>
                <w:color w:val="auto"/>
                <w:w w:val="86"/>
              </w:rPr>
              <w:t>457(r)</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$ 750,000,000</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99.933%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9"/>
              </w:rPr>
              <w:t>749,497,500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0.0001102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82,594.62</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line="121" w:lineRule="exact"/>
              <w:rPr>
                <w:sz w:val="20"/>
                <w:szCs w:val="20"/>
                <w:color w:val="auto"/>
              </w:rPr>
            </w:pPr>
            <w:r>
              <w:rPr>
                <w:rFonts w:ascii="Arial" w:cs="Arial" w:eastAsia="Arial" w:hAnsi="Arial"/>
                <w:sz w:val="13"/>
                <w:szCs w:val="13"/>
                <w:color w:val="auto"/>
              </w:rPr>
              <w:t>Fees</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line="135" w:lineRule="exact"/>
              <w:rPr>
                <w:sz w:val="20"/>
                <w:szCs w:val="20"/>
                <w:color w:val="auto"/>
              </w:rPr>
            </w:pPr>
            <w:r>
              <w:rPr>
                <w:rFonts w:ascii="Arial" w:cs="Arial" w:eastAsia="Arial" w:hAnsi="Arial"/>
                <w:sz w:val="13"/>
                <w:szCs w:val="13"/>
                <w:color w:val="auto"/>
              </w:rPr>
              <w:t>Previously</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 w:type="dxa"/>
            <w:vAlign w:val="bottom"/>
          </w:tcPr>
          <w:p>
            <w:pPr>
              <w:spacing w:after="0"/>
              <w:rPr>
                <w:sz w:val="20"/>
                <w:szCs w:val="20"/>
                <w:color w:val="auto"/>
              </w:rPr>
            </w:pPr>
            <w:r>
              <w:rPr>
                <w:rFonts w:ascii="Arial" w:cs="Arial" w:eastAsia="Arial" w:hAnsi="Arial"/>
                <w:sz w:val="13"/>
                <w:szCs w:val="13"/>
                <w:color w:val="auto"/>
              </w:rPr>
              <w:t>Paid</w:t>
            </w:r>
          </w:p>
        </w:tc>
        <w:tc>
          <w:tcPr>
            <w:tcW w:w="7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660" w:type="dxa"/>
            <w:vAlign w:val="bottom"/>
          </w:tcPr>
          <w:p>
            <w:pPr>
              <w:jc w:val="center"/>
              <w:ind w:left="57"/>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80" w:type="dxa"/>
            <w:vAlign w:val="bottom"/>
            <w:gridSpan w:val="6"/>
            <w:shd w:val="clear" w:color="auto" w:fill="CCEEFF"/>
          </w:tcPr>
          <w:p>
            <w:pPr>
              <w:jc w:val="right"/>
              <w:ind w:right="660"/>
              <w:spacing w:after="0" w:line="135" w:lineRule="exact"/>
              <w:rPr>
                <w:sz w:val="20"/>
                <w:szCs w:val="20"/>
                <w:color w:val="auto"/>
              </w:rPr>
            </w:pPr>
            <w:r>
              <w:rPr>
                <w:rFonts w:ascii="Arial" w:cs="Arial" w:eastAsia="Arial" w:hAnsi="Arial"/>
                <w:sz w:val="13"/>
                <w:szCs w:val="13"/>
                <w:b w:val="1"/>
                <w:bCs w:val="1"/>
                <w:color w:val="auto"/>
                <w:w w:val="90"/>
              </w:rPr>
              <w:t>Carry Forward Securities</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line="121" w:lineRule="exact"/>
              <w:rPr>
                <w:sz w:val="20"/>
                <w:szCs w:val="20"/>
                <w:color w:val="auto"/>
              </w:rPr>
            </w:pPr>
            <w:r>
              <w:rPr>
                <w:rFonts w:ascii="Arial" w:cs="Arial" w:eastAsia="Arial" w:hAnsi="Arial"/>
                <w:sz w:val="13"/>
                <w:szCs w:val="13"/>
                <w:color w:val="auto"/>
              </w:rPr>
              <w:t>Carry</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line="135" w:lineRule="exact"/>
              <w:rPr>
                <w:sz w:val="20"/>
                <w:szCs w:val="20"/>
                <w:color w:val="auto"/>
              </w:rPr>
            </w:pPr>
            <w:r>
              <w:rPr>
                <w:rFonts w:ascii="Arial" w:cs="Arial" w:eastAsia="Arial" w:hAnsi="Arial"/>
                <w:sz w:val="13"/>
                <w:szCs w:val="13"/>
                <w:color w:val="auto"/>
              </w:rPr>
              <w:t>Forward</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 w:type="dxa"/>
            <w:vAlign w:val="bottom"/>
          </w:tcPr>
          <w:p>
            <w:pPr>
              <w:spacing w:after="0"/>
              <w:rPr>
                <w:sz w:val="20"/>
                <w:szCs w:val="20"/>
                <w:color w:val="auto"/>
              </w:rPr>
            </w:pPr>
            <w:r>
              <w:rPr>
                <w:rFonts w:ascii="Arial" w:cs="Arial" w:eastAsia="Arial" w:hAnsi="Arial"/>
                <w:sz w:val="13"/>
                <w:szCs w:val="13"/>
                <w:color w:val="auto"/>
              </w:rPr>
              <w:t>Securities</w:t>
            </w:r>
          </w:p>
        </w:tc>
        <w:tc>
          <w:tcPr>
            <w:tcW w:w="7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660" w:type="dxa"/>
            <w:vAlign w:val="bottom"/>
          </w:tcPr>
          <w:p>
            <w:pPr>
              <w:jc w:val="center"/>
              <w:ind w:left="57"/>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rPr>
              <w:t>Total Offering Amounts</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6"/>
              </w:rPr>
              <w:t>1,271,932,500</w:t>
            </w: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140,166.96</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b w:val="1"/>
                <w:bCs w:val="1"/>
                <w:color w:val="auto"/>
                <w:w w:val="99"/>
              </w:rPr>
              <w:t>Total Fees Previously Paid</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rPr>
              <w:t>Total Fee Offsets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w w:val="87"/>
              </w:rPr>
              <w:t>Net Fee Due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140,166.96</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3" w:lineRule="exact"/>
        <w:rPr>
          <w:sz w:val="20"/>
          <w:szCs w:val="20"/>
          <w:color w:val="auto"/>
        </w:rPr>
      </w:pPr>
    </w:p>
    <w:p>
      <w:pPr>
        <w:ind w:left="160" w:hanging="152"/>
        <w:spacing w:after="0"/>
        <w:tabs>
          <w:tab w:leader="none" w:pos="160" w:val="left"/>
        </w:tabs>
        <w:numPr>
          <w:ilvl w:val="0"/>
          <w:numId w:val="49"/>
        </w:numPr>
        <w:rPr>
          <w:rFonts w:ascii="Arial" w:cs="Arial" w:eastAsia="Arial" w:hAnsi="Arial"/>
          <w:sz w:val="18"/>
          <w:szCs w:val="18"/>
          <w:color w:val="auto"/>
          <w:vertAlign w:val="superscript"/>
        </w:rPr>
      </w:pPr>
      <w:r>
        <w:rPr>
          <w:rFonts w:ascii="Arial" w:cs="Arial" w:eastAsia="Arial" w:hAnsi="Arial"/>
          <w:sz w:val="11"/>
          <w:szCs w:val="11"/>
          <w:color w:val="auto"/>
        </w:rPr>
        <w:t>Final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Letter"/>
      <w:start w:val="2"/>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2"/>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2"/>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3"/>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2"/>
    </w:lvl>
  </w:abstractNum>
  <w:abstractNum w:abstractNumId="25">
    <w:nsid w:val="7724C67E"/>
    <w:multiLevelType w:val="hybridMultilevel"/>
    <w:lvl w:ilvl="0">
      <w:lvlJc w:val="left"/>
      <w:lvlText w:val="(%1)"/>
      <w:numFmt w:val="decimal"/>
      <w:start w:val="2"/>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2"/>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lowerLetter"/>
      <w:start w:val="24"/>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Roman"/>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jpe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jpe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32" Type="http://schemas.openxmlformats.org/officeDocument/2006/relationships/hyperlink" Target="http://www.sec.gov/ix?doc=/Archives/edgar/data/723125/000072312522000048/mu-20220901.htm" TargetMode="External"/><Relationship Id="rId33" Type="http://schemas.openxmlformats.org/officeDocument/2006/relationships/hyperlink" Target="http://www.sec.gov/ix?doc=/Archives/edgar/data/723125/000072312522000072/mu-20221201.htm" TargetMode="External"/><Relationship Id="rId102" Type="http://schemas.openxmlformats.org/officeDocument/2006/relationships/hyperlink" Target="https://www.sec.gov/ix?doc=/Archives/edgar/data/723125/000072312522000072/mu-20221201.htm" TargetMode="External"/><Relationship Id="rId103" Type="http://schemas.openxmlformats.org/officeDocument/2006/relationships/hyperlink" Target="https://www.sec.gov/ix?doc=/Archives/edgar/data/723125/000072312522000048/mu-20220901.htm" TargetMode="External"/><Relationship Id="rId104" Type="http://schemas.openxmlformats.org/officeDocument/2006/relationships/hyperlink" Target="https://www.sec.gov/Archives/edgar/data/723125/000072312522000063/a2022definitiveproxy.htm" TargetMode="External"/><Relationship Id="rId105" Type="http://schemas.openxmlformats.org/officeDocument/2006/relationships/hyperlink" Target="http://www.sec.gov/ix?doc=/Archives/edgar/data/723125/000072312522000051/mu-20221031.htm" TargetMode="External"/><Relationship Id="rId106" Type="http://schemas.openxmlformats.org/officeDocument/2006/relationships/hyperlink" Target="http://www.sec.gov/ix?doc=/Archives/edgar/data/723125/000072312522000053/mu-20221103.htm" TargetMode="External"/><Relationship Id="rId107" Type="http://schemas.openxmlformats.org/officeDocument/2006/relationships/hyperlink" Target="https://www.sec.gov/Archives/edgar/data/723125/000072312522000070/mu-20221221.htm" TargetMode="External"/><Relationship Id="rId108" Type="http://schemas.openxmlformats.org/officeDocument/2006/relationships/hyperlink" Target="https://www.sec.gov/ix?doc=/Archives/edgar/data/723125/000072312523000004/mu-20230105.htm" TargetMode="External"/><Relationship Id="rId109" Type="http://schemas.openxmlformats.org/officeDocument/2006/relationships/hyperlink" Target="https://www.sec.gov/ix?doc=/Archives/edgar/data/723125/000072312523000007/mu-20230112.htm" TargetMode="External"/><Relationship Id="rId123" Type="http://schemas.openxmlformats.org/officeDocument/2006/relationships/hyperlink" Target="http://www.sec.gov/ix?doc=/Archives/edgar/data/723125/000072312520000082/mu-20200903.htm" TargetMode="External"/><Relationship Id="rId124" Type="http://schemas.openxmlformats.org/officeDocument/2006/relationships/hyperlink" Target="http://www.sec.gov/ix?doc=/Archives/edgar/data/723125/000072312520000074/mu-20200921.htm" TargetMode="External"/><Relationship Id="rId125" Type="http://schemas.openxmlformats.org/officeDocument/2006/relationships/hyperlink" Target="http://www.sec.gov/Archives/edgar/data/723125/000072312509000145/form8a12b-nasda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2023-02-08T05:18:15Z</dcterms:created>
  <dcterms:modified xsi:type="dcterms:W3CDTF">2023-02-08T05:18:15Z</dcterms:modified>
</cp:coreProperties>
</file>