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94"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1700" w:hanging="929"/>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2, 2021</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9"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6350</wp:posOffset>
            </wp:positionV>
            <wp:extent cx="1525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Delaware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75-1618004</w:t>
            </w:r>
          </w:p>
        </w:tc>
      </w:tr>
      <w:tr>
        <w:trPr>
          <w:trHeight w:val="216"/>
        </w:trPr>
        <w:tc>
          <w:tcPr>
            <w:tcW w:w="4920" w:type="dxa"/>
            <w:vAlign w:val="bottom"/>
            <w:gridSpan w:val="2"/>
          </w:tcPr>
          <w:p>
            <w:pPr>
              <w:jc w:val="center"/>
              <w:ind w:right="140"/>
              <w:spacing w:after="0"/>
              <w:rPr>
                <w:sz w:val="20"/>
                <w:szCs w:val="20"/>
                <w:color w:val="auto"/>
              </w:rPr>
            </w:pPr>
            <w:r>
              <w:rPr>
                <w:rFonts w:ascii="Arial" w:cs="Arial" w:eastAsia="Arial" w:hAnsi="Arial"/>
                <w:sz w:val="16"/>
                <w:szCs w:val="16"/>
                <w:color w:val="auto"/>
              </w:rPr>
              <w:t>(State or other jurisdiction of incorporation or organization)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16"/>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8000 S. Federal Way, Boise, Idaho</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83716-9632</w:t>
            </w:r>
          </w:p>
        </w:tc>
      </w:tr>
      <w:tr>
        <w:trPr>
          <w:trHeight w:val="216"/>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(Address of principal executive offices)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216"/>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Registrant’s telephone number, including area code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6"/>
                <w:szCs w:val="16"/>
                <w:color w:val="auto"/>
              </w:rPr>
              <w:t>(208) 368-4000</w:t>
            </w:r>
          </w:p>
        </w:tc>
      </w:tr>
      <w:tr>
        <w:trPr>
          <w:trHeight w:val="310"/>
        </w:trPr>
        <w:tc>
          <w:tcPr>
            <w:tcW w:w="49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1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Pr>
          <w:p>
            <w:pPr>
              <w:spacing w:after="0"/>
              <w:rPr>
                <w:sz w:val="19"/>
                <w:szCs w:val="19"/>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Common Stock, par value $0.10 per share</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rPr>
              <w:t>MU</w:t>
            </w:r>
          </w:p>
        </w:tc>
        <w:tc>
          <w:tcPr>
            <w:tcW w:w="46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33" w:lineRule="exact"/>
        <w:rPr>
          <w:sz w:val="24"/>
          <w:szCs w:val="24"/>
          <w:color w:val="auto"/>
        </w:rPr>
      </w:pPr>
    </w:p>
    <w:p>
      <w:pPr>
        <w:sectPr>
          <w:pgSz w:w="11900" w:h="16838" w:orient="portrait"/>
          <w:cols w:equalWidth="0" w:num="1">
            <w:col w:w="11220"/>
          </w:cols>
          <w:pgMar w:left="320" w:top="1027" w:right="359" w:bottom="1440" w:gutter="0" w:footer="0" w:header="0"/>
        </w:sectPr>
      </w:pPr>
    </w:p>
    <w:p>
      <w:pPr>
        <w:ind w:left="346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80"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2" w:lineRule="exact"/>
        <w:rPr>
          <w:sz w:val="24"/>
          <w:szCs w:val="24"/>
          <w:color w:val="auto"/>
        </w:rPr>
      </w:pPr>
    </w:p>
    <w:p>
      <w:pPr>
        <w:ind w:left="20"/>
        <w:spacing w:after="0" w:line="22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6" w:lineRule="exact"/>
        <w:rPr>
          <w:sz w:val="24"/>
          <w:szCs w:val="24"/>
          <w:color w:val="auto"/>
        </w:rPr>
      </w:pPr>
    </w:p>
    <w:p>
      <w:pPr>
        <w:ind w:left="2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1"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22"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2">
            <w:col w:w="9580" w:space="200"/>
            <w:col w:w="1440"/>
          </w:cols>
          <w:pgMar w:left="320" w:top="1027" w:right="359" w:bottom="1440" w:gutter="0" w:footer="0" w:header="0"/>
          <w:type w:val="continuous"/>
        </w:sectPr>
      </w:pPr>
    </w:p>
    <w:p>
      <w:pPr>
        <w:ind w:left="20" w:right="1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300" w:type="dxa"/>
        <w:tblCellMar>
          <w:top w:w="0" w:type="dxa"/>
          <w:left w:w="0" w:type="dxa"/>
          <w:bottom w:w="0" w:type="dxa"/>
          <w:right w:w="0" w:type="dxa"/>
        </w:tblCellMar>
      </w:tblPr>
      <w:tr>
        <w:trPr>
          <w:trHeight w:val="194"/>
        </w:trPr>
        <w:tc>
          <w:tcPr>
            <w:tcW w:w="2080" w:type="dxa"/>
            <w:vAlign w:val="bottom"/>
          </w:tcPr>
          <w:p>
            <w:pPr>
              <w:jc w:val="center"/>
              <w:ind w:right="315"/>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tcPr>
          <w:p>
            <w:pPr>
              <w:jc w:val="center"/>
              <w:ind w:left="15"/>
              <w:spacing w:after="0"/>
              <w:rPr>
                <w:sz w:val="20"/>
                <w:szCs w:val="20"/>
                <w:color w:val="auto"/>
              </w:rPr>
            </w:pPr>
            <w:r>
              <w:rPr>
                <w:rFonts w:ascii="Arial" w:cs="Arial" w:eastAsia="Arial" w:hAnsi="Arial"/>
                <w:sz w:val="16"/>
                <w:szCs w:val="16"/>
                <w:color w:val="auto"/>
              </w:rPr>
              <w:t>Emerging Growth Company</w:t>
            </w:r>
          </w:p>
        </w:tc>
      </w:tr>
      <w:tr>
        <w:trPr>
          <w:trHeight w:val="283"/>
        </w:trPr>
        <w:tc>
          <w:tcPr>
            <w:tcW w:w="2080" w:type="dxa"/>
            <w:vAlign w:val="bottom"/>
          </w:tcPr>
          <w:p>
            <w:pPr>
              <w:jc w:val="center"/>
              <w:ind w:right="315"/>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90" w:lineRule="exact"/>
        <w:rPr>
          <w:sz w:val="24"/>
          <w:szCs w:val="24"/>
          <w:color w:val="auto"/>
        </w:rPr>
      </w:pPr>
    </w:p>
    <w:p>
      <w:pPr>
        <w:sectPr>
          <w:pgSz w:w="11900" w:h="16838" w:orient="portrait"/>
          <w:cols w:equalWidth="0" w:num="1">
            <w:col w:w="11220"/>
          </w:cols>
          <w:pgMar w:left="320" w:top="1027" w:right="359" w:bottom="1440" w:gutter="0" w:footer="0" w:header="0"/>
          <w:type w:val="continuous"/>
        </w:sectPr>
      </w:pPr>
    </w:p>
    <w:p>
      <w:pPr>
        <w:ind w:left="20" w:right="8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1" w:lineRule="exact"/>
        <w:rPr>
          <w:sz w:val="24"/>
          <w:szCs w:val="24"/>
          <w:color w:val="auto"/>
        </w:rPr>
      </w:pPr>
    </w:p>
    <w:p>
      <w:pPr>
        <w:ind w:left="20"/>
        <w:spacing w:after="0" w:line="253"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1" w:lineRule="exact"/>
        <w:rPr>
          <w:sz w:val="24"/>
          <w:szCs w:val="24"/>
          <w:color w:val="auto"/>
        </w:rPr>
      </w:pPr>
    </w:p>
    <w:p>
      <w:pPr>
        <w:sectPr>
          <w:pgSz w:w="11900" w:h="16838" w:orient="portrait"/>
          <w:cols w:equalWidth="0" w:num="2">
            <w:col w:w="10680" w:space="220"/>
            <w:col w:w="320"/>
          </w:cols>
          <w:pgMar w:left="320" w:top="1027" w:right="3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8940" w:type="dxa"/>
            <w:vAlign w:val="bottom"/>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500" w:type="dxa"/>
            <w:vAlign w:val="bottom"/>
            <w:vMerge w:val="restart"/>
          </w:tcPr>
          <w:p>
            <w:pPr>
              <w:ind w:left="8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18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148"/>
        </w:trPr>
        <w:tc>
          <w:tcPr>
            <w:tcW w:w="89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140"/>
        <w:spacing w:after="0" w:line="251" w:lineRule="auto"/>
        <w:rPr>
          <w:sz w:val="20"/>
          <w:szCs w:val="20"/>
          <w:color w:val="auto"/>
        </w:rPr>
      </w:pPr>
      <w:r>
        <w:rPr>
          <w:rFonts w:ascii="Arial" w:cs="Arial" w:eastAsia="Arial" w:hAnsi="Arial"/>
          <w:sz w:val="16"/>
          <w:szCs w:val="16"/>
          <w:color w:val="auto"/>
        </w:rPr>
        <w:t>The aggregate market value of the voting and non-voting common equity held by non-affiliates was $79.9 billion based on the closing price reported on the Nasdaq Global Select Market on March 4, 2021.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October 1, 2021 was 1,118,623,738.</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80" w:lineRule="exact"/>
        <w:rPr>
          <w:sz w:val="24"/>
          <w:szCs w:val="24"/>
          <w:color w:val="auto"/>
        </w:rPr>
      </w:pPr>
    </w:p>
    <w:p>
      <w:pPr>
        <w:ind w:right="640"/>
        <w:spacing w:after="0" w:line="260" w:lineRule="auto"/>
        <w:rPr>
          <w:sz w:val="20"/>
          <w:szCs w:val="20"/>
          <w:color w:val="auto"/>
        </w:rPr>
      </w:pPr>
      <w:r>
        <w:rPr>
          <w:rFonts w:ascii="Arial" w:cs="Arial" w:eastAsia="Arial" w:hAnsi="Arial"/>
          <w:sz w:val="16"/>
          <w:szCs w:val="16"/>
          <w:color w:val="auto"/>
        </w:rPr>
        <w:t>Portions of the Proxy Statement for the registrant’s Fiscal 2021 Annual Meeting of Shareholders to be held on January 13, 2022 are incorporated by reference into Part II and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7"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2134235" cy="190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4235" cy="1903095"/>
                    </a:xfrm>
                    <a:prstGeom prst="rect">
                      <a:avLst/>
                    </a:prstGeom>
                    <a:noFill/>
                  </pic:spPr>
                </pic:pic>
              </a:graphicData>
            </a:graphic>
          </wp:anchor>
        </w:drawing>
      </w:r>
    </w:p>
    <w:p>
      <w:pPr>
        <w:spacing w:after="0" w:line="235" w:lineRule="exact"/>
        <w:rPr>
          <w:sz w:val="20"/>
          <w:szCs w:val="20"/>
          <w:color w:val="auto"/>
        </w:rPr>
      </w:pPr>
    </w:p>
    <w:p>
      <w:pPr>
        <w:ind w:left="214"/>
        <w:spacing w:after="0" w:line="234"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2134235" cy="642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6429375"/>
                    </a:xfrm>
                    <a:prstGeom prst="rect">
                      <a:avLst/>
                    </a:prstGeom>
                    <a:noFill/>
                  </pic:spPr>
                </pic:pic>
              </a:graphicData>
            </a:graphic>
          </wp:anchor>
        </w:drawing>
      </w:r>
    </w:p>
    <w:p>
      <w:pPr>
        <w:spacing w:after="0" w:line="47"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Founded on October 5, 1978</w:t>
      </w:r>
    </w:p>
    <w:p>
      <w:pPr>
        <w:spacing w:after="0" w:line="113"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Headquartered in</w:t>
      </w:r>
    </w:p>
    <w:p>
      <w:pPr>
        <w:ind w:left="214"/>
        <w:spacing w:after="0"/>
        <w:rPr>
          <w:sz w:val="20"/>
          <w:szCs w:val="20"/>
          <w:color w:val="auto"/>
        </w:rPr>
      </w:pPr>
      <w:r>
        <w:rPr>
          <w:rFonts w:ascii="Arial" w:cs="Arial" w:eastAsia="Arial" w:hAnsi="Arial"/>
          <w:sz w:val="18"/>
          <w:szCs w:val="18"/>
          <w:color w:val="FFFFFF"/>
        </w:rPr>
        <w:t>Boise, Idaho, USA</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$27.7B</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FY21 annual revenue</w:t>
      </w:r>
    </w:p>
    <w:p>
      <w:pPr>
        <w:spacing w:after="0" w:line="124"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4th</w:t>
      </w:r>
    </w:p>
    <w:p>
      <w:pPr>
        <w:spacing w:after="0" w:line="12" w:lineRule="exact"/>
        <w:rPr>
          <w:sz w:val="20"/>
          <w:szCs w:val="20"/>
          <w:color w:val="auto"/>
        </w:rPr>
      </w:pPr>
    </w:p>
    <w:p>
      <w:pPr>
        <w:ind w:left="214" w:right="500"/>
        <w:spacing w:after="0" w:line="227" w:lineRule="auto"/>
        <w:rPr>
          <w:sz w:val="20"/>
          <w:szCs w:val="20"/>
          <w:color w:val="auto"/>
        </w:rPr>
      </w:pPr>
      <w:r>
        <w:rPr>
          <w:rFonts w:ascii="Arial" w:cs="Arial" w:eastAsia="Arial" w:hAnsi="Arial"/>
          <w:sz w:val="18"/>
          <w:szCs w:val="18"/>
          <w:color w:val="FFFFFF"/>
        </w:rPr>
        <w:t>Largest semiconductor company in the world*</w:t>
      </w:r>
    </w:p>
    <w:p>
      <w:pPr>
        <w:spacing w:after="0" w:line="48"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135</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On the 2021 Fortune 500</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47,500+</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Patents granted and growing**</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17</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Countries**</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12</w:t>
      </w:r>
    </w:p>
    <w:p>
      <w:pPr>
        <w:spacing w:after="0" w:line="12" w:lineRule="exact"/>
        <w:rPr>
          <w:sz w:val="20"/>
          <w:szCs w:val="20"/>
          <w:color w:val="auto"/>
        </w:rPr>
      </w:pPr>
    </w:p>
    <w:p>
      <w:pPr>
        <w:ind w:left="214" w:right="1180"/>
        <w:spacing w:after="0" w:line="227" w:lineRule="auto"/>
        <w:rPr>
          <w:sz w:val="20"/>
          <w:szCs w:val="20"/>
          <w:color w:val="auto"/>
        </w:rPr>
      </w:pPr>
      <w:r>
        <w:rPr>
          <w:rFonts w:ascii="Arial" w:cs="Arial" w:eastAsia="Arial" w:hAnsi="Arial"/>
          <w:sz w:val="18"/>
          <w:szCs w:val="18"/>
          <w:color w:val="FFFFFF"/>
        </w:rPr>
        <w:t>Manufacturing sites and 14 customer labs**</w:t>
      </w:r>
    </w:p>
    <w:p>
      <w:pPr>
        <w:spacing w:after="0" w:line="48"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~43,000</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Team members**</w:t>
      </w:r>
    </w:p>
    <w:p>
      <w:pPr>
        <w:spacing w:after="0" w:line="309" w:lineRule="exact"/>
        <w:rPr>
          <w:sz w:val="20"/>
          <w:szCs w:val="20"/>
          <w:color w:val="auto"/>
        </w:rPr>
      </w:pPr>
    </w:p>
    <w:p>
      <w:pPr>
        <w:ind w:left="214" w:right="240"/>
        <w:spacing w:after="0" w:line="211" w:lineRule="auto"/>
        <w:rPr>
          <w:sz w:val="20"/>
          <w:szCs w:val="20"/>
          <w:color w:val="auto"/>
        </w:rPr>
      </w:pPr>
      <w:r>
        <w:rPr>
          <w:rFonts w:ascii="Arial" w:cs="Arial" w:eastAsia="Arial" w:hAnsi="Arial"/>
          <w:sz w:val="16"/>
          <w:szCs w:val="16"/>
          <w:color w:val="FFFFFF"/>
        </w:rPr>
        <w:t>*Based on Gartner Market Share: Semiconductors by End Market, Worldwide, 2020 (April 2021), excluding IP/software revenue.</w:t>
      </w:r>
    </w:p>
    <w:p>
      <w:pPr>
        <w:spacing w:after="0" w:line="1" w:lineRule="exact"/>
        <w:rPr>
          <w:sz w:val="20"/>
          <w:szCs w:val="20"/>
          <w:color w:val="auto"/>
        </w:rPr>
      </w:pPr>
    </w:p>
    <w:p>
      <w:pPr>
        <w:ind w:left="214"/>
        <w:spacing w:after="0"/>
        <w:rPr>
          <w:sz w:val="20"/>
          <w:szCs w:val="20"/>
          <w:color w:val="auto"/>
        </w:rPr>
      </w:pPr>
      <w:r>
        <w:rPr>
          <w:rFonts w:ascii="Arial" w:cs="Arial" w:eastAsia="Arial" w:hAnsi="Arial"/>
          <w:sz w:val="16"/>
          <w:szCs w:val="16"/>
          <w:color w:val="FFFFFF"/>
        </w:rPr>
        <w:t>**Micron data as of September 2, 2021.</w:t>
      </w:r>
    </w:p>
    <w:p>
      <w:pPr>
        <w:spacing w:after="0" w:line="118" w:lineRule="exact"/>
        <w:rPr>
          <w:sz w:val="20"/>
          <w:szCs w:val="20"/>
          <w:color w:val="auto"/>
        </w:rPr>
      </w:pPr>
    </w:p>
    <w:p>
      <w:pPr>
        <w:ind w:left="214"/>
        <w:spacing w:after="0"/>
        <w:rPr>
          <w:sz w:val="20"/>
          <w:szCs w:val="20"/>
          <w:color w:val="auto"/>
        </w:rPr>
      </w:pPr>
      <w:r>
        <w:rPr>
          <w:rFonts w:ascii="Arial" w:cs="Arial" w:eastAsia="Arial" w:hAnsi="Arial"/>
          <w:sz w:val="16"/>
          <w:szCs w:val="16"/>
          <w:b w:val="1"/>
          <w:bCs w:val="1"/>
          <w:color w:val="FFFFFF"/>
        </w:rPr>
        <w:t>Media Inquiries</w:t>
      </w:r>
    </w:p>
    <w:p>
      <w:pPr>
        <w:ind w:left="214"/>
        <w:spacing w:after="0"/>
        <w:rPr>
          <w:sz w:val="20"/>
          <w:szCs w:val="20"/>
          <w:color w:val="auto"/>
        </w:rPr>
      </w:pPr>
      <w:r>
        <w:rPr>
          <w:rFonts w:ascii="Arial" w:cs="Arial" w:eastAsia="Arial" w:hAnsi="Arial"/>
          <w:sz w:val="16"/>
          <w:szCs w:val="16"/>
          <w:color w:val="FFFFFF"/>
        </w:rPr>
        <w:t>mediarelations@micron.com</w:t>
      </w:r>
    </w:p>
    <w:p>
      <w:pPr>
        <w:spacing w:after="0" w:line="199" w:lineRule="exact"/>
        <w:rPr>
          <w:sz w:val="20"/>
          <w:szCs w:val="20"/>
          <w:color w:val="auto"/>
        </w:rPr>
      </w:pPr>
    </w:p>
    <w:p>
      <w:pPr>
        <w:ind w:left="214"/>
        <w:spacing w:after="0"/>
        <w:rPr>
          <w:sz w:val="20"/>
          <w:szCs w:val="20"/>
          <w:color w:val="auto"/>
        </w:rPr>
      </w:pPr>
      <w:r>
        <w:rPr>
          <w:rFonts w:ascii="Arial" w:cs="Arial" w:eastAsia="Arial" w:hAnsi="Arial"/>
          <w:sz w:val="16"/>
          <w:szCs w:val="16"/>
          <w:b w:val="1"/>
          <w:bCs w:val="1"/>
          <w:color w:val="FFFFFF"/>
        </w:rPr>
        <w:t>Government Inquiries</w:t>
      </w:r>
    </w:p>
    <w:p>
      <w:pPr>
        <w:ind w:left="214"/>
        <w:spacing w:after="0"/>
        <w:rPr>
          <w:sz w:val="20"/>
          <w:szCs w:val="20"/>
          <w:color w:val="auto"/>
        </w:rPr>
      </w:pPr>
      <w:r>
        <w:rPr>
          <w:rFonts w:ascii="Arial" w:cs="Arial" w:eastAsia="Arial" w:hAnsi="Arial"/>
          <w:sz w:val="16"/>
          <w:szCs w:val="16"/>
          <w:color w:val="FFFFFF"/>
        </w:rPr>
        <w:t>govaffairs@micron.com</w:t>
      </w:r>
    </w:p>
    <w:p>
      <w:pPr>
        <w:spacing w:after="0" w:line="201" w:lineRule="exact"/>
        <w:rPr>
          <w:sz w:val="20"/>
          <w:szCs w:val="20"/>
          <w:color w:val="auto"/>
        </w:rPr>
      </w:pPr>
    </w:p>
    <w:p>
      <w:pPr>
        <w:ind w:left="214" w:right="920"/>
        <w:spacing w:after="0" w:line="251" w:lineRule="auto"/>
        <w:rPr>
          <w:sz w:val="20"/>
          <w:szCs w:val="20"/>
          <w:color w:val="auto"/>
        </w:rPr>
      </w:pPr>
      <w:r>
        <w:rPr>
          <w:rFonts w:ascii="Arial" w:cs="Arial" w:eastAsia="Arial" w:hAnsi="Arial"/>
          <w:sz w:val="16"/>
          <w:szCs w:val="16"/>
          <w:b w:val="1"/>
          <w:bCs w:val="1"/>
          <w:color w:val="FFFFFF"/>
        </w:rPr>
        <w:t xml:space="preserve">Investor Inquiries </w:t>
      </w: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-2689860</wp:posOffset>
            </wp:positionV>
            <wp:extent cx="4114800" cy="1842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0" cy="1842770"/>
                    </a:xfrm>
                    <a:prstGeom prst="rect">
                      <a:avLst/>
                    </a:prstGeom>
                    <a:noFill/>
                  </pic:spPr>
                </pic:pic>
              </a:graphicData>
            </a:graphic>
          </wp:anchor>
        </w:drawing>
      </w:r>
    </w:p>
    <w:p>
      <w:pPr>
        <w:spacing w:after="0" w:line="38" w:lineRule="exact"/>
        <w:rPr>
          <w:sz w:val="20"/>
          <w:szCs w:val="20"/>
          <w:color w:val="auto"/>
        </w:rPr>
      </w:pPr>
    </w:p>
    <w:p>
      <w:pPr>
        <w:ind w:right="379"/>
        <w:spacing w:after="0" w:line="213" w:lineRule="auto"/>
        <w:rPr>
          <w:sz w:val="20"/>
          <w:szCs w:val="20"/>
          <w:color w:val="auto"/>
        </w:rPr>
      </w:pPr>
      <w:r>
        <w:rPr>
          <w:rFonts w:ascii="Arial" w:cs="Arial" w:eastAsia="Arial" w:hAnsi="Arial"/>
          <w:sz w:val="25"/>
          <w:szCs w:val="25"/>
          <w:b w:val="1"/>
          <w:bCs w:val="1"/>
          <w:color w:val="0090DA"/>
        </w:rPr>
        <w:t xml:space="preserve">Data is today’s new business currency, and memory and storage are a critical foundation for the data economy. Memory and storage innovations will help transform society and enable significant value </w:t>
      </w:r>
      <w:r>
        <w:rPr>
          <w:rFonts w:ascii="Arial" w:cs="Arial" w:eastAsia="Arial" w:hAnsi="Arial"/>
          <w:sz w:val="25"/>
          <w:szCs w:val="25"/>
          <w:b w:val="1"/>
          <w:bCs w:val="1"/>
          <w:i w:val="1"/>
          <w:iCs w:val="1"/>
          <w:color w:val="0090DA"/>
        </w:rPr>
        <w:t>for</w:t>
      </w:r>
      <w:r>
        <w:rPr>
          <w:rFonts w:ascii="Arial" w:cs="Arial" w:eastAsia="Arial" w:hAnsi="Arial"/>
          <w:sz w:val="25"/>
          <w:szCs w:val="25"/>
          <w:b w:val="1"/>
          <w:bCs w:val="1"/>
          <w:color w:val="0090DA"/>
        </w:rPr>
        <w:t xml:space="preserve"> </w:t>
      </w:r>
      <w:r>
        <w:rPr>
          <w:rFonts w:ascii="Arial" w:cs="Arial" w:eastAsia="Arial" w:hAnsi="Arial"/>
          <w:sz w:val="25"/>
          <w:szCs w:val="25"/>
          <w:b w:val="1"/>
          <w:bCs w:val="1"/>
          <w:i w:val="1"/>
          <w:iCs w:val="1"/>
          <w:color w:val="0090DA"/>
        </w:rPr>
        <w:t>all</w:t>
      </w:r>
      <w:r>
        <w:rPr>
          <w:rFonts w:ascii="Arial" w:cs="Arial" w:eastAsia="Arial" w:hAnsi="Arial"/>
          <w:sz w:val="25"/>
          <w:szCs w:val="25"/>
          <w:b w:val="1"/>
          <w:bCs w:val="1"/>
          <w:color w:val="0090DA"/>
        </w:rPr>
        <w: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7" w:lineRule="exact"/>
        <w:rPr>
          <w:sz w:val="20"/>
          <w:szCs w:val="20"/>
          <w:color w:val="auto"/>
        </w:rPr>
      </w:pPr>
    </w:p>
    <w:p>
      <w:pPr>
        <w:ind w:right="259"/>
        <w:spacing w:after="0" w:line="210" w:lineRule="auto"/>
        <w:rPr>
          <w:sz w:val="20"/>
          <w:szCs w:val="20"/>
          <w:color w:val="auto"/>
        </w:rPr>
      </w:pPr>
      <w:r>
        <w:rPr>
          <w:rFonts w:ascii="Arial" w:cs="Arial" w:eastAsia="Arial" w:hAnsi="Arial"/>
          <w:sz w:val="18"/>
          <w:szCs w:val="18"/>
          <w:color w:val="auto"/>
        </w:rPr>
        <w:t>Micron designs, develops and manufactures industry-leading memory and storage products. By providing foundational capability for AI and 5G across data center, the intelligent edge, and consumer devices, we unlock innovation across industries including healthcare, automotive and communications. Our technology and expertise are central to maximizing value from cutting-edge computing applications and new business models which disrupt and advance the industry.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7" w:lineRule="exact"/>
        <w:rPr>
          <w:sz w:val="20"/>
          <w:szCs w:val="20"/>
          <w:color w:val="auto"/>
        </w:rPr>
      </w:pPr>
    </w:p>
    <w:p>
      <w:pPr>
        <w:ind w:right="379"/>
        <w:spacing w:after="0" w:line="211"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By advancing technologies to collect, store and manage data with unprecedented speed and efficiency, we lead the transformation of data to intelligence. In a world of change, we remain nimble, delivering products that help inspire the world to learn, communicate and advance faster than ever.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7" w:lineRule="exact"/>
        <w:rPr>
          <w:sz w:val="20"/>
          <w:szCs w:val="20"/>
          <w:color w:val="auto"/>
        </w:rPr>
      </w:pPr>
    </w:p>
    <w:p>
      <w:pPr>
        <w:ind w:right="539"/>
        <w:spacing w:after="0" w:line="215" w:lineRule="auto"/>
        <w:rPr>
          <w:sz w:val="20"/>
          <w:szCs w:val="20"/>
          <w:color w:val="auto"/>
        </w:rPr>
      </w:pPr>
      <w:r>
        <w:rPr>
          <w:rFonts w:ascii="Arial" w:cs="Arial" w:eastAsia="Arial" w:hAnsi="Arial"/>
          <w:sz w:val="18"/>
          <w:szCs w:val="18"/>
          <w:color w:val="auto"/>
        </w:rPr>
        <w:t xml:space="preserve">Our customers depend on our innovative solutions every day. We dedicate ourselves to demonstrating our environmental conscience, an inclusive team culture where all voices are heard and respected, and engaging in our communities to enrich life </w:t>
      </w:r>
      <w:r>
        <w:rPr>
          <w:rFonts w:ascii="Arial" w:cs="Arial" w:eastAsia="Arial" w:hAnsi="Arial"/>
          <w:sz w:val="18"/>
          <w:szCs w:val="18"/>
          <w:i w:val="1"/>
          <w:iCs w:val="1"/>
          <w:color w:val="auto"/>
        </w:rPr>
        <w:t>for all</w:t>
      </w:r>
      <w:r>
        <w:rPr>
          <w:rFonts w:ascii="Arial" w:cs="Arial" w:eastAsia="Arial" w:hAnsi="Arial"/>
          <w:sz w:val="18"/>
          <w:szCs w:val="18"/>
          <w:color w:val="auto"/>
        </w:rPr>
        <w: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60" w:lineRule="exact"/>
        <w:rPr>
          <w:sz w:val="20"/>
          <w:szCs w:val="20"/>
          <w:color w:val="auto"/>
        </w:rPr>
      </w:pPr>
    </w:p>
    <w:p>
      <w:pPr>
        <w:ind w:right="739"/>
        <w:spacing w:after="0" w:line="232" w:lineRule="auto"/>
        <w:rPr>
          <w:sz w:val="20"/>
          <w:szCs w:val="20"/>
          <w:color w:val="auto"/>
        </w:rPr>
      </w:pPr>
      <w:r>
        <w:rPr>
          <w:rFonts w:ascii="Arial" w:cs="Arial" w:eastAsia="Arial" w:hAnsi="Arial"/>
          <w:sz w:val="16"/>
          <w:szCs w:val="16"/>
          <w:color w:val="0090DA"/>
        </w:rPr>
        <w:t>DRAM | NAND | NOR | Solid-State Drives | Graphics and High Bandwidth Memory (HBM) | Managed NAND and Multichip Packages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98425</wp:posOffset>
            </wp:positionV>
            <wp:extent cx="4140200" cy="334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40200" cy="334010"/>
                    </a:xfrm>
                    <a:prstGeom prst="rect">
                      <a:avLst/>
                    </a:prstGeom>
                    <a:noFill/>
                  </pic:spPr>
                </pic:pic>
              </a:graphicData>
            </a:graphic>
          </wp:anchor>
        </w:drawing>
      </w:r>
    </w:p>
    <w:p>
      <w:pPr>
        <w:spacing w:after="0" w:line="213" w:lineRule="exact"/>
        <w:rPr>
          <w:sz w:val="20"/>
          <w:szCs w:val="20"/>
          <w:color w:val="auto"/>
        </w:rPr>
      </w:pPr>
    </w:p>
    <w:p>
      <w:pPr>
        <w:jc w:val="right"/>
        <w:ind w:right="259"/>
        <w:spacing w:after="0"/>
        <w:rPr>
          <w:sz w:val="20"/>
          <w:szCs w:val="20"/>
          <w:color w:val="auto"/>
        </w:rPr>
      </w:pPr>
      <w:r>
        <w:rPr>
          <w:rFonts w:ascii="Arial" w:cs="Arial" w:eastAsia="Arial" w:hAnsi="Arial"/>
          <w:sz w:val="25"/>
          <w:szCs w:val="25"/>
          <w:b w:val="1"/>
          <w:bCs w:val="1"/>
          <w:color w:val="FFFFFF"/>
        </w:rPr>
        <w:t>Connect with us on micron.com</w:t>
      </w:r>
    </w:p>
    <w:p>
      <w:pPr>
        <w:spacing w:after="0" w:line="165" w:lineRule="exact"/>
        <w:rPr>
          <w:sz w:val="20"/>
          <w:szCs w:val="20"/>
          <w:color w:val="auto"/>
        </w:rPr>
      </w:pPr>
    </w:p>
    <w:p>
      <w:pPr>
        <w:sectPr>
          <w:pgSz w:w="11900" w:h="16838" w:orient="portrait"/>
          <w:cols w:equalWidth="0" w:num="2">
            <w:col w:w="3314" w:space="160"/>
            <w:col w:w="6639"/>
          </w:cols>
          <w:pgMar w:left="346" w:top="1440" w:right="1440" w:bottom="1440" w:gutter="0" w:footer="0" w:header="0"/>
        </w:sectPr>
      </w:pPr>
    </w:p>
    <w:p>
      <w:pPr>
        <w:ind w:left="-6" w:right="419" w:firstLine="6"/>
        <w:spacing w:after="0" w:line="203" w:lineRule="auto"/>
        <w:tabs>
          <w:tab w:leader="none" w:pos="104" w:val="left"/>
        </w:tabs>
        <w:numPr>
          <w:ilvl w:val="0"/>
          <w:numId w:val="3"/>
        </w:numPr>
        <w:rPr>
          <w:rFonts w:ascii="Arial" w:cs="Arial" w:eastAsia="Arial" w:hAnsi="Arial"/>
          <w:sz w:val="11"/>
          <w:szCs w:val="11"/>
          <w:color w:val="auto"/>
        </w:rPr>
      </w:pPr>
      <w:r>
        <w:rPr>
          <w:rFonts w:ascii="Arial" w:cs="Arial" w:eastAsia="Arial" w:hAnsi="Arial"/>
          <w:sz w:val="11"/>
          <w:szCs w:val="11"/>
          <w:color w:val="auto"/>
        </w:rPr>
        <w:t>2021 Micron Technology, Inc. Micron, the Micron orbit logo, the M orbit logo, Intelligence Accelerated</w:t>
      </w:r>
      <w:r>
        <w:rPr>
          <w:rFonts w:ascii="Arial" w:cs="Arial" w:eastAsia="Arial" w:hAnsi="Arial"/>
          <w:sz w:val="14"/>
          <w:szCs w:val="14"/>
          <w:color w:val="auto"/>
          <w:vertAlign w:val="superscript"/>
        </w:rPr>
        <w:t>TM</w:t>
      </w:r>
      <w:r>
        <w:rPr>
          <w:rFonts w:ascii="Arial" w:cs="Arial" w:eastAsia="Arial" w:hAnsi="Arial"/>
          <w:sz w:val="11"/>
          <w:szCs w:val="11"/>
          <w:color w:val="auto"/>
        </w:rPr>
        <w:t>, and other Micron trademarks are the property of Micron Technology, Inc. All other trademarks are the property of their respective owners. Products and specifications are subject to change without notice. Rev 10/21 CCMMD-1707390403-3712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481965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Micron’s Global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63590" cy="3368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359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Micron’s global footprint map highlights locations that include our manufacturing sites, centers of excellence, customer labs, and large offices. Not all Micron locations are represented on this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4232275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5863590" cy="3291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ectPr>
          <w:pgSz w:w="11900" w:h="16838" w:orient="portrait"/>
          <w:cols w:equalWidth="0" w:num="1">
            <w:col w:w="10860"/>
          </w:cols>
          <w:pgMar w:left="320" w:top="919" w:right="71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97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1.</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Business</w:t>
            </w:r>
          </w:p>
        </w:tc>
        <w:tc>
          <w:tcPr>
            <w:tcW w:w="100" w:type="dxa"/>
            <w:vAlign w:val="bottom"/>
            <w:tcBorders>
              <w:bottom w:val="single" w:sz="8" w:color="D1D2D4"/>
            </w:tcBorders>
            <w:shd w:val="clear" w:color="auto" w:fill="D1D2D4"/>
          </w:tcPr>
          <w:p>
            <w:pPr>
              <w:spacing w:after="0"/>
              <w:rPr>
                <w:sz w:val="18"/>
                <w:szCs w:val="18"/>
                <w:color w:val="auto"/>
              </w:rPr>
            </w:pPr>
          </w:p>
        </w:tc>
        <w:tc>
          <w:tcPr>
            <w:tcW w:w="100" w:type="dxa"/>
            <w:vAlign w:val="bottom"/>
            <w:tcBorders>
              <w:bottom w:val="single" w:sz="8" w:color="0000FF"/>
            </w:tcBorders>
            <w:shd w:val="clear" w:color="auto" w:fill="D1D2D4"/>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Pr>
          <w:p>
            <w:pPr>
              <w:ind w:left="140"/>
              <w:spacing w:after="0" w:line="189" w:lineRule="exact"/>
              <w:rPr>
                <w:sz w:val="20"/>
                <w:szCs w:val="20"/>
                <w:color w:val="auto"/>
              </w:rPr>
            </w:pPr>
            <w:r>
              <w:rPr>
                <w:rFonts w:ascii="Arial" w:cs="Arial" w:eastAsia="Arial" w:hAnsi="Arial"/>
                <w:sz w:val="18"/>
                <w:szCs w:val="18"/>
                <w:color w:val="auto"/>
              </w:rPr>
              <w:t>Item 1A.</w:t>
            </w:r>
          </w:p>
        </w:tc>
        <w:tc>
          <w:tcPr>
            <w:tcW w:w="9780" w:type="dxa"/>
            <w:vAlign w:val="bottom"/>
          </w:tcPr>
          <w:p>
            <w:pPr>
              <w:ind w:left="280"/>
              <w:spacing w:after="0" w:line="189" w:lineRule="exact"/>
              <w:rPr>
                <w:sz w:val="20"/>
                <w:szCs w:val="20"/>
                <w:color w:val="auto"/>
              </w:rPr>
            </w:pPr>
            <w:r>
              <w:rPr>
                <w:rFonts w:ascii="Arial" w:cs="Arial" w:eastAsia="Arial" w:hAnsi="Arial"/>
                <w:sz w:val="18"/>
                <w:szCs w:val="18"/>
                <w:color w:val="auto"/>
              </w:rPr>
              <w:t>Risk Factors</w:t>
            </w:r>
          </w:p>
        </w:tc>
        <w:tc>
          <w:tcPr>
            <w:tcW w:w="20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17</w:t>
              </w:r>
            </w:hyperlink>
          </w:p>
        </w:tc>
        <w:tc>
          <w:tcPr>
            <w:tcW w:w="20" w:type="dxa"/>
            <w:vAlign w:val="bottom"/>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1B.</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Unresolved Staff Comments</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36</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2.</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Properties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36</w:t>
              </w:r>
            </w:hyperlink>
          </w:p>
        </w:tc>
        <w:tc>
          <w:tcPr>
            <w:tcW w:w="20" w:type="dxa"/>
            <w:vAlign w:val="bottom"/>
            <w:tcBorders>
              <w:top w:val="single" w:sz="8" w:color="D1D2D4"/>
            </w:tcBorders>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3.</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4.</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Mine Safety Disclosures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20" w:type="dxa"/>
            <w:vAlign w:val="bottom"/>
            <w:tcBorders>
              <w:top w:val="single" w:sz="8" w:color="D1D2D4"/>
            </w:tcBorders>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II</w:t>
            </w:r>
          </w:p>
        </w:tc>
        <w:tc>
          <w:tcPr>
            <w:tcW w:w="97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189"/>
        </w:trPr>
        <w:tc>
          <w:tcPr>
            <w:tcW w:w="1240" w:type="dxa"/>
            <w:vAlign w:val="bottom"/>
          </w:tcPr>
          <w:p>
            <w:pPr>
              <w:ind w:left="140"/>
              <w:spacing w:after="0" w:line="189" w:lineRule="exact"/>
              <w:rPr>
                <w:sz w:val="20"/>
                <w:szCs w:val="20"/>
                <w:color w:val="auto"/>
              </w:rPr>
            </w:pPr>
            <w:r>
              <w:rPr>
                <w:rFonts w:ascii="Arial" w:cs="Arial" w:eastAsia="Arial" w:hAnsi="Arial"/>
                <w:sz w:val="18"/>
                <w:szCs w:val="18"/>
                <w:color w:val="auto"/>
              </w:rPr>
              <w:t>Item 5.</w:t>
            </w:r>
          </w:p>
        </w:tc>
        <w:tc>
          <w:tcPr>
            <w:tcW w:w="9780" w:type="dxa"/>
            <w:vAlign w:val="bottom"/>
          </w:tcPr>
          <w:p>
            <w:pPr>
              <w:ind w:left="280"/>
              <w:spacing w:after="0" w:line="189"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20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2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6.</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[Reserved]</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39</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7.</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39</w:t>
              </w:r>
            </w:hyperlink>
          </w:p>
        </w:tc>
        <w:tc>
          <w:tcPr>
            <w:tcW w:w="20" w:type="dxa"/>
            <w:vAlign w:val="bottom"/>
            <w:tcBorders>
              <w:top w:val="single" w:sz="8" w:color="D1D2D4"/>
            </w:tcBorders>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7A.</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8.</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Financial Statements and Supplementary Data</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c>
          <w:tcPr>
            <w:tcW w:w="20" w:type="dxa"/>
            <w:vAlign w:val="bottom"/>
            <w:tcBorders>
              <w:top w:val="single" w:sz="8" w:color="D1D2D4"/>
            </w:tcBorders>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9.</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85</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9A.</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Controls and Procedures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85</w:t>
              </w:r>
            </w:hyperlink>
          </w:p>
        </w:tc>
        <w:tc>
          <w:tcPr>
            <w:tcW w:w="20" w:type="dxa"/>
            <w:vAlign w:val="bottom"/>
            <w:tcBorders>
              <w:top w:val="single" w:sz="8" w:color="D1D2D4"/>
            </w:tcBorders>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9B.</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Other Information</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85</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9C.</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Disclosure Regarding Foreign Jurisdictions that Prevent Inspections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85</w:t>
              </w:r>
            </w:hyperlink>
          </w:p>
        </w:tc>
        <w:tc>
          <w:tcPr>
            <w:tcW w:w="20" w:type="dxa"/>
            <w:vAlign w:val="bottom"/>
            <w:tcBorders>
              <w:top w:val="single" w:sz="8" w:color="D1D2D4"/>
            </w:tcBorders>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III</w:t>
            </w:r>
          </w:p>
        </w:tc>
        <w:tc>
          <w:tcPr>
            <w:tcW w:w="97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189"/>
        </w:trPr>
        <w:tc>
          <w:tcPr>
            <w:tcW w:w="1240" w:type="dxa"/>
            <w:vAlign w:val="bottom"/>
          </w:tcPr>
          <w:p>
            <w:pPr>
              <w:ind w:left="140"/>
              <w:spacing w:after="0" w:line="189" w:lineRule="exact"/>
              <w:rPr>
                <w:sz w:val="20"/>
                <w:szCs w:val="20"/>
                <w:color w:val="auto"/>
              </w:rPr>
            </w:pPr>
            <w:r>
              <w:rPr>
                <w:rFonts w:ascii="Arial" w:cs="Arial" w:eastAsia="Arial" w:hAnsi="Arial"/>
                <w:sz w:val="18"/>
                <w:szCs w:val="18"/>
                <w:color w:val="auto"/>
              </w:rPr>
              <w:t>Item 10.</w:t>
            </w:r>
          </w:p>
        </w:tc>
        <w:tc>
          <w:tcPr>
            <w:tcW w:w="9780" w:type="dxa"/>
            <w:vAlign w:val="bottom"/>
          </w:tcPr>
          <w:p>
            <w:pPr>
              <w:ind w:left="280"/>
              <w:spacing w:after="0" w:line="189" w:lineRule="exact"/>
              <w:rPr>
                <w:sz w:val="20"/>
                <w:szCs w:val="20"/>
                <w:color w:val="auto"/>
              </w:rPr>
            </w:pPr>
            <w:r>
              <w:rPr>
                <w:rFonts w:ascii="Arial" w:cs="Arial" w:eastAsia="Arial" w:hAnsi="Arial"/>
                <w:sz w:val="18"/>
                <w:szCs w:val="18"/>
                <w:color w:val="auto"/>
              </w:rPr>
              <w:t>Directors, Executive Officers, and Corporate Governance</w:t>
            </w:r>
          </w:p>
        </w:tc>
        <w:tc>
          <w:tcPr>
            <w:tcW w:w="20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86</w:t>
              </w:r>
            </w:hyperlink>
          </w:p>
        </w:tc>
        <w:tc>
          <w:tcPr>
            <w:tcW w:w="20" w:type="dxa"/>
            <w:vAlign w:val="bottom"/>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11.</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Executive Compensation</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86</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12.</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86</w:t>
              </w:r>
            </w:hyperlink>
          </w:p>
        </w:tc>
        <w:tc>
          <w:tcPr>
            <w:tcW w:w="20" w:type="dxa"/>
            <w:vAlign w:val="bottom"/>
            <w:tcBorders>
              <w:top w:val="single" w:sz="8" w:color="D1D2D4"/>
            </w:tcBorders>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13.</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86</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14.</w:t>
            </w:r>
          </w:p>
        </w:tc>
        <w:tc>
          <w:tcPr>
            <w:tcW w:w="9780" w:type="dxa"/>
            <w:vAlign w:val="bottom"/>
            <w:tcBorders>
              <w:top w:val="single" w:sz="8" w:color="D1D2D4"/>
            </w:tcBorders>
          </w:tcPr>
          <w:p>
            <w:pPr>
              <w:ind w:left="280"/>
              <w:spacing w:after="0" w:line="189" w:lineRule="exact"/>
              <w:rPr>
                <w:sz w:val="20"/>
                <w:szCs w:val="20"/>
                <w:color w:val="auto"/>
              </w:rPr>
            </w:pPr>
            <w:r>
              <w:rPr>
                <w:rFonts w:ascii="Arial" w:cs="Arial" w:eastAsia="Arial" w:hAnsi="Arial"/>
                <w:sz w:val="18"/>
                <w:szCs w:val="18"/>
                <w:color w:val="auto"/>
              </w:rPr>
              <w:t>Principal Accountant Fees and Services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86</w:t>
              </w:r>
            </w:hyperlink>
          </w:p>
        </w:tc>
        <w:tc>
          <w:tcPr>
            <w:tcW w:w="20" w:type="dxa"/>
            <w:vAlign w:val="bottom"/>
            <w:tcBorders>
              <w:top w:val="single" w:sz="8" w:color="D1D2D4"/>
            </w:tcBorders>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IV</w:t>
            </w:r>
          </w:p>
        </w:tc>
        <w:tc>
          <w:tcPr>
            <w:tcW w:w="97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189"/>
        </w:trPr>
        <w:tc>
          <w:tcPr>
            <w:tcW w:w="1240" w:type="dxa"/>
            <w:vAlign w:val="bottom"/>
          </w:tcPr>
          <w:p>
            <w:pPr>
              <w:ind w:left="140"/>
              <w:spacing w:after="0" w:line="189" w:lineRule="exact"/>
              <w:rPr>
                <w:sz w:val="20"/>
                <w:szCs w:val="20"/>
                <w:color w:val="auto"/>
              </w:rPr>
            </w:pPr>
            <w:r>
              <w:rPr>
                <w:rFonts w:ascii="Arial" w:cs="Arial" w:eastAsia="Arial" w:hAnsi="Arial"/>
                <w:sz w:val="18"/>
                <w:szCs w:val="18"/>
                <w:color w:val="auto"/>
              </w:rPr>
              <w:t>Item 15.</w:t>
            </w:r>
          </w:p>
        </w:tc>
        <w:tc>
          <w:tcPr>
            <w:tcW w:w="9780" w:type="dxa"/>
            <w:vAlign w:val="bottom"/>
          </w:tcPr>
          <w:p>
            <w:pPr>
              <w:ind w:left="280"/>
              <w:spacing w:after="0" w:line="189" w:lineRule="exact"/>
              <w:rPr>
                <w:sz w:val="20"/>
                <w:szCs w:val="20"/>
                <w:color w:val="auto"/>
              </w:rPr>
            </w:pPr>
            <w:r>
              <w:rPr>
                <w:rFonts w:ascii="Arial" w:cs="Arial" w:eastAsia="Arial" w:hAnsi="Arial"/>
                <w:sz w:val="18"/>
                <w:szCs w:val="18"/>
                <w:color w:val="auto"/>
              </w:rPr>
              <w:t>Exhibits and Financial Statement Schedule</w:t>
            </w:r>
          </w:p>
        </w:tc>
        <w:tc>
          <w:tcPr>
            <w:tcW w:w="20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87</w:t>
              </w:r>
            </w:hyperlink>
          </w:p>
        </w:tc>
        <w:tc>
          <w:tcPr>
            <w:tcW w:w="20" w:type="dxa"/>
            <w:vAlign w:val="bottom"/>
          </w:tcPr>
          <w:p>
            <w:pPr>
              <w:spacing w:after="0"/>
              <w:rPr>
                <w:sz w:val="16"/>
                <w:szCs w:val="16"/>
                <w:color w:val="auto"/>
              </w:rPr>
            </w:pPr>
          </w:p>
        </w:tc>
      </w:tr>
      <w:tr>
        <w:trPr>
          <w:trHeight w:val="21"/>
        </w:trPr>
        <w:tc>
          <w:tcPr>
            <w:tcW w:w="12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4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16.</w:t>
            </w:r>
          </w:p>
        </w:tc>
        <w:tc>
          <w:tcPr>
            <w:tcW w:w="9780" w:type="dxa"/>
            <w:vAlign w:val="bottom"/>
            <w:tcBorders>
              <w:bottom w:val="single" w:sz="8" w:color="D1D2D4"/>
            </w:tcBorders>
            <w:shd w:val="clear" w:color="auto" w:fill="D1D2D4"/>
          </w:tcPr>
          <w:p>
            <w:pPr>
              <w:ind w:left="280"/>
              <w:spacing w:after="0" w:line="189" w:lineRule="exact"/>
              <w:rPr>
                <w:sz w:val="20"/>
                <w:szCs w:val="20"/>
                <w:color w:val="auto"/>
              </w:rPr>
            </w:pPr>
            <w:r>
              <w:rPr>
                <w:rFonts w:ascii="Arial" w:cs="Arial" w:eastAsia="Arial" w:hAnsi="Arial"/>
                <w:sz w:val="18"/>
                <w:szCs w:val="18"/>
                <w:color w:val="auto"/>
              </w:rPr>
              <w:t>Form 10-K Summary</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90</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24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Signatures</w:t>
            </w:r>
          </w:p>
        </w:tc>
        <w:tc>
          <w:tcPr>
            <w:tcW w:w="9780" w:type="dxa"/>
            <w:vAlign w:val="bottom"/>
            <w:tcBorders>
              <w:top w:val="single" w:sz="8" w:color="D1D2D4"/>
            </w:tcBorders>
          </w:tcPr>
          <w:p>
            <w:pPr>
              <w:spacing w:after="0"/>
              <w:rPr>
                <w:sz w:val="16"/>
                <w:szCs w:val="16"/>
                <w:color w:val="auto"/>
              </w:rPr>
            </w:pP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91</w:t>
              </w:r>
            </w:hyperlink>
          </w:p>
        </w:tc>
        <w:tc>
          <w:tcPr>
            <w:tcW w:w="20" w:type="dxa"/>
            <w:vAlign w:val="bottom"/>
            <w:tcBorders>
              <w:top w:val="single" w:sz="8" w:color="D1D2D4"/>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t>Forward-Looking Statements</w:t>
      </w:r>
    </w:p>
    <w:p>
      <w:pPr>
        <w:spacing w:after="0" w:line="2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Form 10-K contains trend information and other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the impact of coronavirus disease 2019 (“COVID-19”) to our business; expected bit shipments; the completion of and timing for closing the pending sale of our Lehi facility; the sufficiency of our cash and investments; the payment of future cash dividends; and capital spending in 2022. Our actual results could differ materially from our historical results and those discussed in the forward-looking statements. Factors that could cause actual results to differ materially include, but are not limited to, those identified in “Part I – Item 1A. Risk Factors.”</w:t>
      </w:r>
    </w:p>
    <w:p>
      <w:pPr>
        <w:spacing w:after="0" w:line="20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9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30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0090DA"/>
            </w:tcBorders>
          </w:tcPr>
          <w:p>
            <w:pPr>
              <w:spacing w:after="0"/>
              <w:rPr>
                <w:sz w:val="2"/>
                <w:szCs w:val="2"/>
                <w:color w:val="auto"/>
              </w:rPr>
            </w:pPr>
          </w:p>
        </w:tc>
        <w:tc>
          <w:tcPr>
            <w:tcW w:w="4060" w:type="dxa"/>
            <w:vAlign w:val="bottom"/>
            <w:tcBorders>
              <w:top w:val="single" w:sz="8" w:color="0090DA"/>
            </w:tcBorders>
          </w:tcPr>
          <w:p>
            <w:pPr>
              <w:spacing w:after="0"/>
              <w:rPr>
                <w:sz w:val="2"/>
                <w:szCs w:val="2"/>
                <w:color w:val="auto"/>
              </w:rPr>
            </w:pPr>
          </w:p>
        </w:tc>
      </w:tr>
      <w:tr>
        <w:trPr>
          <w:trHeight w:val="229"/>
        </w:trPr>
        <w:tc>
          <w:tcPr>
            <w:tcW w:w="1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2023 Notes</w:t>
            </w:r>
          </w:p>
        </w:tc>
        <w:tc>
          <w:tcPr>
            <w:tcW w:w="4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2.497% Senior Notes due 2023</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LPDDR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Low-Power Double Data Rate DRAM</w:t>
            </w: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2024 Notes</w:t>
            </w: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4.640% Senior Notes due 2024</w:t>
            </w:r>
          </w:p>
        </w:tc>
        <w:tc>
          <w:tcPr>
            <w:tcW w:w="1560" w:type="dxa"/>
            <w:vAlign w:val="bottom"/>
          </w:tcPr>
          <w:p>
            <w:pPr>
              <w:spacing w:after="0"/>
              <w:rPr>
                <w:sz w:val="20"/>
                <w:szCs w:val="20"/>
                <w:color w:val="auto"/>
              </w:rPr>
            </w:pPr>
            <w:r>
              <w:rPr>
                <w:rFonts w:ascii="Arial" w:cs="Arial" w:eastAsia="Arial" w:hAnsi="Arial"/>
                <w:sz w:val="18"/>
                <w:szCs w:val="18"/>
                <w:color w:val="auto"/>
              </w:rPr>
              <w:t>LPDRAM</w:t>
            </w:r>
          </w:p>
        </w:tc>
        <w:tc>
          <w:tcPr>
            <w:tcW w:w="4060" w:type="dxa"/>
            <w:vAlign w:val="bottom"/>
          </w:tcPr>
          <w:p>
            <w:pPr>
              <w:ind w:left="240"/>
              <w:spacing w:after="0"/>
              <w:rPr>
                <w:sz w:val="20"/>
                <w:szCs w:val="20"/>
                <w:color w:val="auto"/>
              </w:rPr>
            </w:pPr>
            <w:r>
              <w:rPr>
                <w:rFonts w:ascii="Arial" w:cs="Arial" w:eastAsia="Arial" w:hAnsi="Arial"/>
                <w:sz w:val="18"/>
                <w:szCs w:val="18"/>
                <w:color w:val="auto"/>
              </w:rPr>
              <w:t>Low-Power DRAM</w:t>
            </w:r>
          </w:p>
        </w:tc>
      </w:tr>
      <w:tr>
        <w:trPr>
          <w:trHeight w:val="188"/>
        </w:trPr>
        <w:tc>
          <w:tcPr>
            <w:tcW w:w="46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2024</w:t>
            </w:r>
          </w:p>
        </w:tc>
        <w:tc>
          <w:tcPr>
            <w:tcW w:w="5160" w:type="dxa"/>
            <w:vAlign w:val="bottom"/>
            <w:gridSpan w:val="4"/>
            <w:shd w:val="clear" w:color="auto" w:fill="DBDBDB"/>
          </w:tcPr>
          <w:p>
            <w:pPr>
              <w:ind w:left="20"/>
              <w:spacing w:after="0" w:line="189" w:lineRule="exact"/>
              <w:rPr>
                <w:sz w:val="20"/>
                <w:szCs w:val="20"/>
                <w:color w:val="auto"/>
              </w:rPr>
            </w:pPr>
            <w:r>
              <w:rPr>
                <w:rFonts w:ascii="Arial" w:cs="Arial" w:eastAsia="Arial" w:hAnsi="Arial"/>
                <w:sz w:val="18"/>
                <w:szCs w:val="18"/>
                <w:color w:val="auto"/>
              </w:rPr>
              <w:t>Term Loan A   Senior Term Loan A due 2024 entered into on</w:t>
            </w:r>
          </w:p>
        </w:tc>
        <w:tc>
          <w:tcPr>
            <w:tcW w:w="1560" w:type="dxa"/>
            <w:vAlign w:val="bottom"/>
            <w:shd w:val="clear" w:color="auto" w:fill="DBDBDB"/>
          </w:tcPr>
          <w:p>
            <w:pPr>
              <w:spacing w:after="0" w:line="189" w:lineRule="exact"/>
              <w:rPr>
                <w:sz w:val="20"/>
                <w:szCs w:val="20"/>
                <w:color w:val="auto"/>
              </w:rPr>
            </w:pPr>
            <w:r>
              <w:rPr>
                <w:rFonts w:ascii="Arial" w:cs="Arial" w:eastAsia="Arial" w:hAnsi="Arial"/>
                <w:sz w:val="18"/>
                <w:szCs w:val="18"/>
                <w:color w:val="auto"/>
              </w:rPr>
              <w:t>MCP</w:t>
            </w:r>
          </w:p>
        </w:tc>
        <w:tc>
          <w:tcPr>
            <w:tcW w:w="4060" w:type="dxa"/>
            <w:vAlign w:val="bottom"/>
            <w:shd w:val="clear" w:color="auto" w:fill="DBDBDB"/>
          </w:tcPr>
          <w:p>
            <w:pPr>
              <w:ind w:left="240"/>
              <w:spacing w:after="0" w:line="189" w:lineRule="exact"/>
              <w:rPr>
                <w:sz w:val="20"/>
                <w:szCs w:val="20"/>
                <w:color w:val="auto"/>
              </w:rPr>
            </w:pPr>
            <w:r>
              <w:rPr>
                <w:rFonts w:ascii="Arial" w:cs="Arial" w:eastAsia="Arial" w:hAnsi="Arial"/>
                <w:sz w:val="18"/>
                <w:szCs w:val="18"/>
                <w:color w:val="auto"/>
              </w:rPr>
              <w:t>Multichip packaged solutions with managed</w:t>
            </w:r>
          </w:p>
        </w:tc>
      </w:tr>
      <w:tr>
        <w:trPr>
          <w:trHeight w:val="217"/>
        </w:trPr>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4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May 14, 2021</w:t>
            </w:r>
          </w:p>
        </w:tc>
        <w:tc>
          <w:tcPr>
            <w:tcW w:w="1560" w:type="dxa"/>
            <w:vAlign w:val="bottom"/>
            <w:shd w:val="clear" w:color="auto" w:fill="DBDBDB"/>
          </w:tcPr>
          <w:p>
            <w:pPr>
              <w:spacing w:after="0"/>
              <w:rPr>
                <w:sz w:val="18"/>
                <w:szCs w:val="18"/>
                <w:color w:val="auto"/>
              </w:rPr>
            </w:pP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NAND and LPDRAM.</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1000" w:type="dxa"/>
            <w:vAlign w:val="bottom"/>
          </w:tcPr>
          <w:p>
            <w:pPr>
              <w:ind w:left="20"/>
              <w:spacing w:after="0"/>
              <w:rPr>
                <w:sz w:val="20"/>
                <w:szCs w:val="20"/>
                <w:color w:val="auto"/>
              </w:rPr>
            </w:pPr>
            <w:r>
              <w:rPr>
                <w:rFonts w:ascii="Arial" w:cs="Arial" w:eastAsia="Arial" w:hAnsi="Arial"/>
                <w:sz w:val="18"/>
                <w:szCs w:val="18"/>
                <w:color w:val="auto"/>
              </w:rPr>
              <w:t>Notes</w:t>
            </w:r>
          </w:p>
        </w:tc>
        <w:tc>
          <w:tcPr>
            <w:tcW w:w="960" w:type="dxa"/>
            <w:vAlign w:val="bottom"/>
          </w:tcPr>
          <w:p>
            <w:pPr>
              <w:ind w:left="340"/>
              <w:spacing w:after="0"/>
              <w:rPr>
                <w:sz w:val="20"/>
                <w:szCs w:val="20"/>
                <w:color w:val="auto"/>
              </w:rPr>
            </w:pPr>
            <w:r>
              <w:rPr>
                <w:rFonts w:ascii="Arial" w:cs="Arial" w:eastAsia="Arial" w:hAnsi="Arial"/>
                <w:sz w:val="18"/>
                <w:szCs w:val="18"/>
                <w:color w:val="auto"/>
                <w:w w:val="98"/>
              </w:rPr>
              <w:t>5.500%</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2025</w:t>
            </w:r>
          </w:p>
        </w:tc>
        <w:tc>
          <w:tcPr>
            <w:tcW w:w="1560" w:type="dxa"/>
            <w:vAlign w:val="bottom"/>
          </w:tcPr>
          <w:p>
            <w:pPr>
              <w:spacing w:after="0"/>
              <w:rPr>
                <w:sz w:val="20"/>
                <w:szCs w:val="20"/>
                <w:color w:val="auto"/>
              </w:rPr>
            </w:pPr>
            <w:r>
              <w:rPr>
                <w:rFonts w:ascii="Arial" w:cs="Arial" w:eastAsia="Arial" w:hAnsi="Arial"/>
                <w:sz w:val="18"/>
                <w:szCs w:val="18"/>
                <w:color w:val="auto"/>
              </w:rPr>
              <w:t>Micron</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960" w:type="dxa"/>
            <w:vAlign w:val="bottom"/>
            <w:shd w:val="clear" w:color="auto" w:fill="DBDBDB"/>
          </w:tcPr>
          <w:p>
            <w:pPr>
              <w:ind w:left="34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MTU</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Utah, LLC</w:t>
            </w:r>
          </w:p>
        </w:tc>
      </w:tr>
      <w:tr>
        <w:trPr>
          <w:trHeight w:val="188"/>
        </w:trPr>
        <w:tc>
          <w:tcPr>
            <w:tcW w:w="460" w:type="dxa"/>
            <w:vAlign w:val="bottom"/>
          </w:tcPr>
          <w:p>
            <w:pPr>
              <w:ind w:left="20"/>
              <w:spacing w:after="0" w:line="189" w:lineRule="exact"/>
              <w:rPr>
                <w:sz w:val="20"/>
                <w:szCs w:val="20"/>
                <w:color w:val="auto"/>
              </w:rPr>
            </w:pPr>
            <w:r>
              <w:rPr>
                <w:rFonts w:ascii="Arial" w:cs="Arial" w:eastAsia="Arial" w:hAnsi="Arial"/>
                <w:sz w:val="18"/>
                <w:szCs w:val="18"/>
                <w:color w:val="auto"/>
              </w:rPr>
              <w:t>2027</w:t>
            </w:r>
          </w:p>
        </w:tc>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Notes</w:t>
            </w:r>
          </w:p>
        </w:tc>
        <w:tc>
          <w:tcPr>
            <w:tcW w:w="960" w:type="dxa"/>
            <w:vAlign w:val="bottom"/>
          </w:tcPr>
          <w:p>
            <w:pPr>
              <w:ind w:left="340"/>
              <w:spacing w:after="0" w:line="189" w:lineRule="exact"/>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Senior Notes due 2027</w:t>
            </w:r>
          </w:p>
        </w:tc>
        <w:tc>
          <w:tcPr>
            <w:tcW w:w="1560" w:type="dxa"/>
            <w:vAlign w:val="bottom"/>
          </w:tcPr>
          <w:p>
            <w:pPr>
              <w:spacing w:after="0" w:line="189" w:lineRule="exact"/>
              <w:rPr>
                <w:sz w:val="20"/>
                <w:szCs w:val="20"/>
                <w:color w:val="auto"/>
              </w:rPr>
            </w:pPr>
            <w:r>
              <w:rPr>
                <w:rFonts w:ascii="Arial" w:cs="Arial" w:eastAsia="Arial" w:hAnsi="Arial"/>
                <w:sz w:val="18"/>
                <w:szCs w:val="18"/>
                <w:color w:val="auto"/>
              </w:rPr>
              <w:t>NVMe</w:t>
            </w:r>
          </w:p>
        </w:tc>
        <w:tc>
          <w:tcPr>
            <w:tcW w:w="4060" w:type="dxa"/>
            <w:vAlign w:val="bottom"/>
          </w:tcPr>
          <w:p>
            <w:pPr>
              <w:ind w:left="240"/>
              <w:spacing w:after="0" w:line="189" w:lineRule="exact"/>
              <w:rPr>
                <w:sz w:val="20"/>
                <w:szCs w:val="20"/>
                <w:color w:val="auto"/>
              </w:rPr>
            </w:pPr>
            <w:r>
              <w:rPr>
                <w:rFonts w:ascii="Arial" w:cs="Arial" w:eastAsia="Arial" w:hAnsi="Arial"/>
                <w:sz w:val="18"/>
                <w:szCs w:val="18"/>
                <w:color w:val="auto"/>
              </w:rPr>
              <w:t>Hardware interface for SSDs that connect via a</w:t>
            </w:r>
          </w:p>
        </w:tc>
      </w:tr>
      <w:tr>
        <w:trPr>
          <w:trHeight w:val="217"/>
        </w:trPr>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PCIe bus.</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1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960" w:type="dxa"/>
            <w:vAlign w:val="bottom"/>
            <w:shd w:val="clear" w:color="auto" w:fill="DBDBDB"/>
          </w:tcPr>
          <w:p>
            <w:pPr>
              <w:ind w:left="340"/>
              <w:spacing w:after="0"/>
              <w:rPr>
                <w:sz w:val="20"/>
                <w:szCs w:val="20"/>
                <w:color w:val="auto"/>
              </w:rPr>
            </w:pPr>
            <w:r>
              <w:rPr>
                <w:rFonts w:ascii="Arial" w:cs="Arial" w:eastAsia="Arial" w:hAnsi="Arial"/>
                <w:sz w:val="18"/>
                <w:szCs w:val="18"/>
                <w:color w:val="auto"/>
                <w:w w:val="98"/>
              </w:rPr>
              <w:t>5.327%</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2029</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OEM</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Original Equipment Manufacturer</w:t>
            </w:r>
          </w:p>
        </w:tc>
      </w:tr>
      <w:tr>
        <w:trPr>
          <w:trHeight w:val="188"/>
        </w:trPr>
        <w:tc>
          <w:tcPr>
            <w:tcW w:w="460" w:type="dxa"/>
            <w:vAlign w:val="bottom"/>
          </w:tcPr>
          <w:p>
            <w:pPr>
              <w:ind w:left="20"/>
              <w:spacing w:after="0" w:line="189" w:lineRule="exact"/>
              <w:rPr>
                <w:sz w:val="20"/>
                <w:szCs w:val="20"/>
                <w:color w:val="auto"/>
              </w:rPr>
            </w:pPr>
            <w:r>
              <w:rPr>
                <w:rFonts w:ascii="Arial" w:cs="Arial" w:eastAsia="Arial" w:hAnsi="Arial"/>
                <w:sz w:val="18"/>
                <w:szCs w:val="18"/>
                <w:color w:val="auto"/>
              </w:rPr>
              <w:t>2030</w:t>
            </w:r>
          </w:p>
        </w:tc>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Notes</w:t>
            </w:r>
          </w:p>
        </w:tc>
        <w:tc>
          <w:tcPr>
            <w:tcW w:w="960" w:type="dxa"/>
            <w:vAlign w:val="bottom"/>
          </w:tcPr>
          <w:p>
            <w:pPr>
              <w:ind w:left="340"/>
              <w:spacing w:after="0" w:line="189" w:lineRule="exact"/>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Senior Notes due 2030</w:t>
            </w:r>
          </w:p>
        </w:tc>
        <w:tc>
          <w:tcPr>
            <w:tcW w:w="1560" w:type="dxa"/>
            <w:vAlign w:val="bottom"/>
          </w:tcPr>
          <w:p>
            <w:pPr>
              <w:spacing w:after="0" w:line="189" w:lineRule="exact"/>
              <w:rPr>
                <w:sz w:val="20"/>
                <w:szCs w:val="20"/>
                <w:color w:val="auto"/>
              </w:rPr>
            </w:pPr>
            <w:r>
              <w:rPr>
                <w:rFonts w:ascii="Arial" w:cs="Arial" w:eastAsia="Arial" w:hAnsi="Arial"/>
                <w:sz w:val="18"/>
                <w:szCs w:val="18"/>
                <w:color w:val="auto"/>
              </w:rPr>
              <w:t>PCIe</w:t>
            </w:r>
          </w:p>
        </w:tc>
        <w:tc>
          <w:tcPr>
            <w:tcW w:w="4060" w:type="dxa"/>
            <w:vAlign w:val="bottom"/>
          </w:tcPr>
          <w:p>
            <w:pPr>
              <w:ind w:left="240"/>
              <w:spacing w:after="0" w:line="189" w:lineRule="exact"/>
              <w:rPr>
                <w:sz w:val="20"/>
                <w:szCs w:val="20"/>
                <w:color w:val="auto"/>
              </w:rPr>
            </w:pPr>
            <w:r>
              <w:rPr>
                <w:rFonts w:ascii="Arial" w:cs="Arial" w:eastAsia="Arial" w:hAnsi="Arial"/>
                <w:sz w:val="18"/>
                <w:szCs w:val="18"/>
                <w:color w:val="auto"/>
              </w:rPr>
              <w:t>High-speed motherboard connection for</w:t>
            </w:r>
          </w:p>
        </w:tc>
      </w:tr>
      <w:tr>
        <w:trPr>
          <w:trHeight w:val="217"/>
        </w:trPr>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peripheral devices such as storage drives.</w:t>
            </w:r>
          </w:p>
        </w:tc>
      </w:tr>
      <w:tr>
        <w:trPr>
          <w:trHeight w:val="230"/>
        </w:trPr>
        <w:tc>
          <w:tcPr>
            <w:tcW w:w="1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2032D Notes</w:t>
            </w:r>
          </w:p>
        </w:tc>
        <w:tc>
          <w:tcPr>
            <w:tcW w:w="960" w:type="dxa"/>
            <w:vAlign w:val="bottom"/>
            <w:shd w:val="clear" w:color="auto" w:fill="DBDBDB"/>
          </w:tcPr>
          <w:p>
            <w:pPr>
              <w:ind w:left="340"/>
              <w:spacing w:after="0"/>
              <w:rPr>
                <w:sz w:val="20"/>
                <w:szCs w:val="20"/>
                <w:color w:val="auto"/>
              </w:rPr>
            </w:pPr>
            <w:r>
              <w:rPr>
                <w:rFonts w:ascii="Arial" w:cs="Arial" w:eastAsia="Arial" w:hAnsi="Arial"/>
                <w:sz w:val="18"/>
                <w:szCs w:val="18"/>
                <w:color w:val="auto"/>
                <w:w w:val="98"/>
              </w:rPr>
              <w:t>3.125%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Convertible Senior Notes due 2032</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Qimonda</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Qimonda AG</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DDR</w:t>
            </w:r>
          </w:p>
        </w:tc>
        <w:tc>
          <w:tcPr>
            <w:tcW w:w="1000" w:type="dxa"/>
            <w:vAlign w:val="bottom"/>
          </w:tcPr>
          <w:p>
            <w:pPr>
              <w:spacing w:after="0"/>
              <w:rPr>
                <w:sz w:val="19"/>
                <w:szCs w:val="19"/>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Double Data Rate DRAM</w:t>
            </w:r>
          </w:p>
        </w:tc>
        <w:tc>
          <w:tcPr>
            <w:tcW w:w="1560" w:type="dxa"/>
            <w:vAlign w:val="bottom"/>
          </w:tcPr>
          <w:p>
            <w:pPr>
              <w:spacing w:after="0"/>
              <w:rPr>
                <w:sz w:val="20"/>
                <w:szCs w:val="20"/>
                <w:color w:val="auto"/>
              </w:rPr>
            </w:pPr>
            <w:r>
              <w:rPr>
                <w:rFonts w:ascii="Arial" w:cs="Arial" w:eastAsia="Arial" w:hAnsi="Arial"/>
                <w:sz w:val="18"/>
                <w:szCs w:val="18"/>
                <w:color w:val="auto"/>
              </w:rPr>
              <w:t>QLC</w:t>
            </w:r>
          </w:p>
        </w:tc>
        <w:tc>
          <w:tcPr>
            <w:tcW w:w="4060" w:type="dxa"/>
            <w:vAlign w:val="bottom"/>
          </w:tcPr>
          <w:p>
            <w:pPr>
              <w:ind w:left="240"/>
              <w:spacing w:after="0"/>
              <w:rPr>
                <w:sz w:val="20"/>
                <w:szCs w:val="20"/>
                <w:color w:val="auto"/>
              </w:rPr>
            </w:pPr>
            <w:r>
              <w:rPr>
                <w:rFonts w:ascii="Arial" w:cs="Arial" w:eastAsia="Arial" w:hAnsi="Arial"/>
                <w:sz w:val="18"/>
                <w:szCs w:val="18"/>
                <w:color w:val="auto"/>
              </w:rPr>
              <w:t>Quad-Level Cell (four bits per cell)</w:t>
            </w:r>
          </w:p>
        </w:tc>
      </w:tr>
      <w:tr>
        <w:trPr>
          <w:trHeight w:val="188"/>
        </w:trPr>
        <w:tc>
          <w:tcPr>
            <w:tcW w:w="1460" w:type="dxa"/>
            <w:vAlign w:val="bottom"/>
            <w:gridSpan w:val="2"/>
            <w:shd w:val="clear" w:color="auto" w:fill="DBDBDB"/>
          </w:tcPr>
          <w:p>
            <w:pPr>
              <w:ind w:left="20"/>
              <w:spacing w:after="0" w:line="189" w:lineRule="exact"/>
              <w:rPr>
                <w:sz w:val="20"/>
                <w:szCs w:val="20"/>
                <w:color w:val="auto"/>
              </w:rPr>
            </w:pPr>
            <w:r>
              <w:rPr>
                <w:rFonts w:ascii="Arial" w:cs="Arial" w:eastAsia="Arial" w:hAnsi="Arial"/>
                <w:sz w:val="18"/>
                <w:szCs w:val="18"/>
                <w:color w:val="auto"/>
              </w:rPr>
              <w:t>EBITDA</w:t>
            </w:r>
          </w:p>
        </w:tc>
        <w:tc>
          <w:tcPr>
            <w:tcW w:w="4160" w:type="dxa"/>
            <w:vAlign w:val="bottom"/>
            <w:gridSpan w:val="3"/>
            <w:shd w:val="clear" w:color="auto" w:fill="DBDBDB"/>
          </w:tcPr>
          <w:p>
            <w:pPr>
              <w:ind w:left="340"/>
              <w:spacing w:after="0" w:line="189" w:lineRule="exact"/>
              <w:rPr>
                <w:sz w:val="20"/>
                <w:szCs w:val="20"/>
                <w:color w:val="auto"/>
              </w:rPr>
            </w:pPr>
            <w:r>
              <w:rPr>
                <w:rFonts w:ascii="Arial" w:cs="Arial" w:eastAsia="Arial" w:hAnsi="Arial"/>
                <w:sz w:val="18"/>
                <w:szCs w:val="18"/>
                <w:color w:val="auto"/>
              </w:rPr>
              <w:t>Earnings before interest, taxes, depreciation,</w:t>
            </w:r>
          </w:p>
        </w:tc>
        <w:tc>
          <w:tcPr>
            <w:tcW w:w="1560" w:type="dxa"/>
            <w:vAlign w:val="bottom"/>
            <w:shd w:val="clear" w:color="auto" w:fill="DBDBDB"/>
          </w:tcPr>
          <w:p>
            <w:pPr>
              <w:spacing w:after="0" w:line="189" w:lineRule="exact"/>
              <w:rPr>
                <w:sz w:val="20"/>
                <w:szCs w:val="20"/>
                <w:color w:val="auto"/>
              </w:rPr>
            </w:pPr>
            <w:r>
              <w:rPr>
                <w:rFonts w:ascii="Arial" w:cs="Arial" w:eastAsia="Arial" w:hAnsi="Arial"/>
                <w:sz w:val="18"/>
                <w:szCs w:val="18"/>
                <w:color w:val="auto"/>
              </w:rPr>
              <w:t>Revolving Credit</w:t>
            </w:r>
          </w:p>
        </w:tc>
        <w:tc>
          <w:tcPr>
            <w:tcW w:w="4060" w:type="dxa"/>
            <w:vAlign w:val="bottom"/>
            <w:shd w:val="clear" w:color="auto" w:fill="DBDBDB"/>
          </w:tcPr>
          <w:p>
            <w:pPr>
              <w:ind w:left="240"/>
              <w:spacing w:after="0" w:line="189" w:lineRule="exact"/>
              <w:rPr>
                <w:sz w:val="20"/>
                <w:szCs w:val="20"/>
                <w:color w:val="auto"/>
              </w:rPr>
            </w:pPr>
            <w:r>
              <w:rPr>
                <w:rFonts w:ascii="Arial" w:cs="Arial" w:eastAsia="Arial" w:hAnsi="Arial"/>
                <w:sz w:val="18"/>
                <w:szCs w:val="18"/>
                <w:color w:val="auto"/>
              </w:rPr>
              <w:t>$2.5 billion Revolving Credit Facility due May</w:t>
            </w:r>
          </w:p>
        </w:tc>
      </w:tr>
      <w:tr>
        <w:trPr>
          <w:trHeight w:val="217"/>
        </w:trPr>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4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and amortization</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Facility</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2026</w:t>
            </w:r>
          </w:p>
        </w:tc>
      </w:tr>
      <w:tr>
        <w:trPr>
          <w:trHeight w:val="188"/>
        </w:trPr>
        <w:tc>
          <w:tcPr>
            <w:tcW w:w="460" w:type="dxa"/>
            <w:vAlign w:val="bottom"/>
          </w:tcPr>
          <w:p>
            <w:pPr>
              <w:ind w:left="20"/>
              <w:spacing w:after="0" w:line="189" w:lineRule="exact"/>
              <w:rPr>
                <w:sz w:val="20"/>
                <w:szCs w:val="20"/>
                <w:color w:val="auto"/>
              </w:rPr>
            </w:pPr>
            <w:r>
              <w:rPr>
                <w:rFonts w:ascii="Arial" w:cs="Arial" w:eastAsia="Arial" w:hAnsi="Arial"/>
                <w:sz w:val="18"/>
                <w:szCs w:val="18"/>
                <w:color w:val="auto"/>
              </w:rPr>
              <w:t>EUV</w:t>
            </w:r>
          </w:p>
        </w:tc>
        <w:tc>
          <w:tcPr>
            <w:tcW w:w="1000" w:type="dxa"/>
            <w:vAlign w:val="bottom"/>
          </w:tcPr>
          <w:p>
            <w:pPr>
              <w:spacing w:after="0"/>
              <w:rPr>
                <w:sz w:val="16"/>
                <w:szCs w:val="16"/>
                <w:color w:val="auto"/>
              </w:rPr>
            </w:pPr>
          </w:p>
        </w:tc>
        <w:tc>
          <w:tcPr>
            <w:tcW w:w="41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Extreme ultraviolet lithography</w:t>
            </w:r>
          </w:p>
        </w:tc>
        <w:tc>
          <w:tcPr>
            <w:tcW w:w="1560" w:type="dxa"/>
            <w:vAlign w:val="bottom"/>
          </w:tcPr>
          <w:p>
            <w:pPr>
              <w:spacing w:after="0" w:line="189" w:lineRule="exact"/>
              <w:rPr>
                <w:sz w:val="20"/>
                <w:szCs w:val="20"/>
                <w:color w:val="auto"/>
              </w:rPr>
            </w:pPr>
            <w:r>
              <w:rPr>
                <w:rFonts w:ascii="Arial" w:cs="Arial" w:eastAsia="Arial" w:hAnsi="Arial"/>
                <w:sz w:val="18"/>
                <w:szCs w:val="18"/>
                <w:color w:val="auto"/>
              </w:rPr>
              <w:t>SATA</w:t>
            </w:r>
          </w:p>
        </w:tc>
        <w:tc>
          <w:tcPr>
            <w:tcW w:w="4060" w:type="dxa"/>
            <w:vAlign w:val="bottom"/>
          </w:tcPr>
          <w:p>
            <w:pPr>
              <w:ind w:left="240"/>
              <w:spacing w:after="0" w:line="189" w:lineRule="exact"/>
              <w:rPr>
                <w:sz w:val="20"/>
                <w:szCs w:val="20"/>
                <w:color w:val="auto"/>
              </w:rPr>
            </w:pPr>
            <w:r>
              <w:rPr>
                <w:rFonts w:ascii="Arial" w:cs="Arial" w:eastAsia="Arial" w:hAnsi="Arial"/>
                <w:sz w:val="18"/>
                <w:szCs w:val="18"/>
                <w:color w:val="auto"/>
              </w:rPr>
              <w:t>Hardware interface for connecting to storage</w:t>
            </w:r>
          </w:p>
        </w:tc>
      </w:tr>
      <w:tr>
        <w:trPr>
          <w:trHeight w:val="217"/>
        </w:trPr>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devices such as hard disk drives and SSDs.</w:t>
            </w:r>
          </w:p>
        </w:tc>
      </w:tr>
      <w:tr>
        <w:trPr>
          <w:trHeight w:val="188"/>
        </w:trPr>
        <w:tc>
          <w:tcPr>
            <w:tcW w:w="5620" w:type="dxa"/>
            <w:vAlign w:val="bottom"/>
            <w:gridSpan w:val="5"/>
            <w:shd w:val="clear" w:color="auto" w:fill="DBDBDB"/>
          </w:tcPr>
          <w:p>
            <w:pPr>
              <w:ind w:left="20"/>
              <w:spacing w:after="0" w:line="189" w:lineRule="exact"/>
              <w:rPr>
                <w:sz w:val="20"/>
                <w:szCs w:val="20"/>
                <w:color w:val="auto"/>
              </w:rPr>
            </w:pPr>
            <w:r>
              <w:rPr>
                <w:rFonts w:ascii="Arial" w:cs="Arial" w:eastAsia="Arial" w:hAnsi="Arial"/>
                <w:sz w:val="18"/>
                <w:szCs w:val="18"/>
                <w:color w:val="auto"/>
              </w:rPr>
              <w:t>Extinguished 2024   Senior Term Loan A due 2024 repaid on May</w:t>
            </w:r>
          </w:p>
        </w:tc>
        <w:tc>
          <w:tcPr>
            <w:tcW w:w="1560" w:type="dxa"/>
            <w:vAlign w:val="bottom"/>
            <w:shd w:val="clear" w:color="auto" w:fill="DBDBDB"/>
          </w:tcPr>
          <w:p>
            <w:pPr>
              <w:spacing w:after="0" w:line="189" w:lineRule="exact"/>
              <w:rPr>
                <w:sz w:val="20"/>
                <w:szCs w:val="20"/>
                <w:color w:val="auto"/>
              </w:rPr>
            </w:pPr>
            <w:r>
              <w:rPr>
                <w:rFonts w:ascii="Arial" w:cs="Arial" w:eastAsia="Arial" w:hAnsi="Arial"/>
                <w:sz w:val="18"/>
                <w:szCs w:val="18"/>
                <w:color w:val="auto"/>
              </w:rPr>
              <w:t>SLC</w:t>
            </w:r>
          </w:p>
        </w:tc>
        <w:tc>
          <w:tcPr>
            <w:tcW w:w="4060" w:type="dxa"/>
            <w:vAlign w:val="bottom"/>
            <w:shd w:val="clear" w:color="auto" w:fill="DBDBDB"/>
          </w:tcPr>
          <w:p>
            <w:pPr>
              <w:ind w:left="240"/>
              <w:spacing w:after="0" w:line="189" w:lineRule="exact"/>
              <w:rPr>
                <w:sz w:val="20"/>
                <w:szCs w:val="20"/>
                <w:color w:val="auto"/>
              </w:rPr>
            </w:pPr>
            <w:r>
              <w:rPr>
                <w:rFonts w:ascii="Arial" w:cs="Arial" w:eastAsia="Arial" w:hAnsi="Arial"/>
                <w:sz w:val="18"/>
                <w:szCs w:val="18"/>
                <w:color w:val="auto"/>
              </w:rPr>
              <w:t>Single-Level Cell (one bit per cell)</w:t>
            </w:r>
          </w:p>
        </w:tc>
      </w:tr>
      <w:tr>
        <w:trPr>
          <w:trHeight w:val="217"/>
        </w:trPr>
        <w:tc>
          <w:tcPr>
            <w:tcW w:w="1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4040" w:type="dxa"/>
            <w:vAlign w:val="bottom"/>
            <w:gridSpan w:val="2"/>
            <w:shd w:val="clear" w:color="auto" w:fill="DBDBDB"/>
          </w:tcPr>
          <w:p>
            <w:pPr>
              <w:ind w:left="340"/>
              <w:spacing w:after="0"/>
              <w:rPr>
                <w:sz w:val="20"/>
                <w:szCs w:val="20"/>
                <w:color w:val="auto"/>
              </w:rPr>
            </w:pPr>
            <w:r>
              <w:rPr>
                <w:rFonts w:ascii="Arial" w:cs="Arial" w:eastAsia="Arial" w:hAnsi="Arial"/>
                <w:sz w:val="18"/>
                <w:szCs w:val="18"/>
                <w:color w:val="auto"/>
              </w:rPr>
              <w:t>14, 2021</w:t>
            </w:r>
          </w:p>
        </w:tc>
        <w:tc>
          <w:tcPr>
            <w:tcW w:w="12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4060" w:type="dxa"/>
            <w:vAlign w:val="bottom"/>
            <w:shd w:val="clear" w:color="auto" w:fill="DBDBDB"/>
          </w:tcPr>
          <w:p>
            <w:pPr>
              <w:spacing w:after="0"/>
              <w:rPr>
                <w:sz w:val="18"/>
                <w:szCs w:val="18"/>
                <w:color w:val="auto"/>
              </w:rPr>
            </w:pPr>
          </w:p>
        </w:tc>
      </w:t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GDDR</w:t>
            </w: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Graphics Double Data Rate</w:t>
            </w:r>
          </w:p>
        </w:tc>
        <w:tc>
          <w:tcPr>
            <w:tcW w:w="1560" w:type="dxa"/>
            <w:vAlign w:val="bottom"/>
          </w:tcPr>
          <w:p>
            <w:pPr>
              <w:spacing w:after="0"/>
              <w:rPr>
                <w:sz w:val="20"/>
                <w:szCs w:val="20"/>
                <w:color w:val="auto"/>
              </w:rPr>
            </w:pPr>
            <w:r>
              <w:rPr>
                <w:rFonts w:ascii="Arial" w:cs="Arial" w:eastAsia="Arial" w:hAnsi="Arial"/>
                <w:sz w:val="18"/>
                <w:szCs w:val="18"/>
                <w:color w:val="auto"/>
              </w:rPr>
              <w:t>SOFR</w:t>
            </w:r>
          </w:p>
        </w:tc>
        <w:tc>
          <w:tcPr>
            <w:tcW w:w="4060" w:type="dxa"/>
            <w:vAlign w:val="bottom"/>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IC</w:t>
            </w:r>
          </w:p>
        </w:tc>
        <w:tc>
          <w:tcPr>
            <w:tcW w:w="1000" w:type="dxa"/>
            <w:vAlign w:val="bottom"/>
            <w:shd w:val="clear" w:color="auto" w:fill="DBDBDB"/>
          </w:tcPr>
          <w:p>
            <w:pPr>
              <w:spacing w:after="0"/>
              <w:rPr>
                <w:sz w:val="19"/>
                <w:szCs w:val="19"/>
                <w:color w:val="auto"/>
              </w:rPr>
            </w:pPr>
          </w:p>
        </w:tc>
        <w:tc>
          <w:tcPr>
            <w:tcW w:w="4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Integrated Circuit</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SSD</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Solid State Drive</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w w:val="99"/>
              </w:rPr>
              <w:t>IMFT</w:t>
            </w:r>
          </w:p>
        </w:tc>
        <w:tc>
          <w:tcPr>
            <w:tcW w:w="1000" w:type="dxa"/>
            <w:vAlign w:val="bottom"/>
          </w:tcPr>
          <w:p>
            <w:pPr>
              <w:spacing w:after="0"/>
              <w:rPr>
                <w:sz w:val="19"/>
                <w:szCs w:val="19"/>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IM Flash Technologies, LLC</w:t>
            </w:r>
          </w:p>
        </w:tc>
        <w:tc>
          <w:tcPr>
            <w:tcW w:w="1560" w:type="dxa"/>
            <w:vAlign w:val="bottom"/>
          </w:tcPr>
          <w:p>
            <w:pPr>
              <w:spacing w:after="0"/>
              <w:rPr>
                <w:sz w:val="20"/>
                <w:szCs w:val="20"/>
                <w:color w:val="auto"/>
              </w:rPr>
            </w:pPr>
            <w:r>
              <w:rPr>
                <w:rFonts w:ascii="Arial" w:cs="Arial" w:eastAsia="Arial" w:hAnsi="Arial"/>
                <w:sz w:val="18"/>
                <w:szCs w:val="18"/>
                <w:color w:val="auto"/>
              </w:rPr>
              <w:t>TI</w:t>
            </w:r>
          </w:p>
        </w:tc>
        <w:tc>
          <w:tcPr>
            <w:tcW w:w="4060" w:type="dxa"/>
            <w:vAlign w:val="bottom"/>
          </w:tcPr>
          <w:p>
            <w:pPr>
              <w:ind w:left="240"/>
              <w:spacing w:after="0"/>
              <w:rPr>
                <w:sz w:val="20"/>
                <w:szCs w:val="20"/>
                <w:color w:val="auto"/>
              </w:rPr>
            </w:pPr>
            <w:r>
              <w:rPr>
                <w:rFonts w:ascii="Arial" w:cs="Arial" w:eastAsia="Arial" w:hAnsi="Arial"/>
                <w:sz w:val="18"/>
                <w:szCs w:val="18"/>
                <w:color w:val="auto"/>
              </w:rPr>
              <w:t>Texas Instruments Incorporated</w:t>
            </w:r>
          </w:p>
        </w:tc>
      </w:tr>
      <w:tr>
        <w:trPr>
          <w:trHeight w:val="229"/>
        </w:trPr>
        <w:tc>
          <w:tcPr>
            <w:tcW w:w="1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Inotera</w:t>
            </w:r>
          </w:p>
        </w:tc>
        <w:tc>
          <w:tcPr>
            <w:tcW w:w="4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Inotera Memories, Inc.</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TLC</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Triple-Level Cell (three bits per cell)</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Intel</w:t>
            </w:r>
          </w:p>
        </w:tc>
        <w:tc>
          <w:tcPr>
            <w:tcW w:w="1000" w:type="dxa"/>
            <w:vAlign w:val="bottom"/>
          </w:tcPr>
          <w:p>
            <w:pPr>
              <w:spacing w:after="0"/>
              <w:rPr>
                <w:sz w:val="19"/>
                <w:szCs w:val="19"/>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Intel Corporation</w:t>
            </w:r>
          </w:p>
        </w:tc>
        <w:tc>
          <w:tcPr>
            <w:tcW w:w="1560" w:type="dxa"/>
            <w:vAlign w:val="bottom"/>
          </w:tcPr>
          <w:p>
            <w:pPr>
              <w:spacing w:after="0"/>
              <w:rPr>
                <w:sz w:val="20"/>
                <w:szCs w:val="20"/>
                <w:color w:val="auto"/>
              </w:rPr>
            </w:pPr>
            <w:r>
              <w:rPr>
                <w:rFonts w:ascii="Arial" w:cs="Arial" w:eastAsia="Arial" w:hAnsi="Arial"/>
                <w:sz w:val="18"/>
                <w:szCs w:val="18"/>
                <w:color w:val="auto"/>
              </w:rPr>
              <w:t>UFS</w:t>
            </w:r>
          </w:p>
        </w:tc>
        <w:tc>
          <w:tcPr>
            <w:tcW w:w="4060" w:type="dxa"/>
            <w:vAlign w:val="bottom"/>
          </w:tcPr>
          <w:p>
            <w:pPr>
              <w:ind w:left="240"/>
              <w:spacing w:after="0"/>
              <w:rPr>
                <w:sz w:val="20"/>
                <w:szCs w:val="20"/>
                <w:color w:val="auto"/>
              </w:rPr>
            </w:pPr>
            <w:r>
              <w:rPr>
                <w:rFonts w:ascii="Arial" w:cs="Arial" w:eastAsia="Arial" w:hAnsi="Arial"/>
                <w:sz w:val="18"/>
                <w:szCs w:val="18"/>
                <w:color w:val="auto"/>
              </w:rPr>
              <w:t>Universal Flash Storage</w:t>
            </w:r>
          </w:p>
        </w:tc>
      </w:tr>
      <w:tr>
        <w:trPr>
          <w:trHeight w:val="230"/>
        </w:trPr>
        <w:tc>
          <w:tcPr>
            <w:tcW w:w="1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LIBOR</w:t>
            </w:r>
          </w:p>
        </w:tc>
        <w:tc>
          <w:tcPr>
            <w:tcW w:w="4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London Interbank Offered Rate</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uMCP</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UFS-based MCP</w:t>
            </w:r>
          </w:p>
        </w:tc>
      </w:tr>
    </w:tbl>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period references are to our fiscal periods unless otherwise indicated. Our fiscal year is the 52 or 53-week period ending on the Thursday closest to August 31. Fiscal 2021 contained 52 weeks, fiscal 2020 contained 53 weeks, and fiscal 2019 contained 52 weeks. Our fourth quarter of fiscal 2020 contained 14 weeks and all other fiscal quarters in the years presented contained 13 weeks.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auto"/>
        </w:rPr>
        <w:t>PART I</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manufacture our products at wholly-owned facilities and also utilize subcontractors to perform certain manufacturing processes. We make significant investments to develop proprietary product and process technology, which are implemented in our manufacturing facilities. Advancements in product and process technology generally increase the density per wafer and reduce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introduction of 176-layer NAND and 1α (1-alpha) DRAM represent major technology breakthroughs for our company and the first time in our history that we have achieved industry leadership across these two flagship technologies. In 2021, we introduced our industry leading 1α memory node, the world’s most advanced memory node in high-volume production. This advancement has been realized across our standard compute DRAM and LPDRAM product lines. We are shipping these products in volume, and we have partnered with customers to provide value-added innovation, speed market adoption of our new solutions, and prepare the ecosystem for broad adoption of our offerings across markets. We also launched 176-layer NAND based solutions into the market in 2021. Our managed NAND and SSD products incorporate NAND, a controller, firmware, and in some cases, DRAM. An increasing portion of our SSDs incorporate proprietary controllers and firmware that we have developed. Development of advanced technologies enables us to diversify our product portfolio toward a richer mix of differentiated, high-value solutions and to target high-growth markets and specific customer requirements across data center, intelligent edge, client, and mobile environments.</w:t>
      </w:r>
    </w:p>
    <w:p>
      <w:pPr>
        <w:spacing w:after="0" w:line="2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Lehi, Utah Fab and 3D XPoint</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that we entered into a definitive agreement to sell our Lehi facility to TI for cash consideration of $900 million. The sale is anticipated to close in the first quarter of 2022. Select tools and other equipment will be retained for redeployment to our other manufacturing sites or for resale to other buyers.</w:t>
      </w:r>
    </w:p>
    <w:p>
      <w:pPr>
        <w:spacing w:after="0" w:line="23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(and a tax benefit of $104 million included in income tax (provision) benefit) to write down the assets held for sale to</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t>the expected consideration, net of estimated selling costs, to be realized from the sale of these assets and liabilities. In the second quarter of 2021, we also recognized a charge of $49 million to cost of goods sold to write down 3D XPoint inventory due to our decision to cease further development of this technology. Our 3D XPoint technology development and Lehi facility operations are primarily included in our CNBU segment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Events surrounding the ongoing COVID-19 pandemic initially resulted in a reduction in economic activity across the globe, and the timing and extent of the ongoing economic recovery remains uncertain. As a result, we have experienced volatility in the markets that our products are sold into, driven by the move to a stay-at-home economy and fluctuations in consumer and business spending, which has affected demand for certain of our products. The ultimate extent to which COVID-19 will impact our business depends on future developments, which are highly uncertain and very difficult to predict, including the effectiveness and utilization of vaccines for COVID-19 and its variants, the severity of COVID-19 and its variants, and the effectiveness of the actions to contain or limit their spread.</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From the start of the COVID-19 pandemic, we proactively implemented preventative protocols, which we continuously assess and update for changes in conditions and emerging trends. These preventative protocols are intended to safeguard our team members, contractors, suppliers, customers, distributors, and communities, and to ensure business continuity. Government restrictions or severe outbreaks can impact our operations at certain sites. While all our global manufacturing sites are currently operating with close to full staff and at normal capacity levels, our facilities could be required to temporarily curtail production levels or temporarily cease operations based on government mandates or our health and safety protocols. We may be required,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assess our efforts to respond to the COVID-19 pandemic, which have included the following:</w:t>
      </w:r>
    </w:p>
    <w:p>
      <w:pPr>
        <w:spacing w:after="0" w:line="252" w:lineRule="exact"/>
        <w:rPr>
          <w:sz w:val="20"/>
          <w:szCs w:val="20"/>
          <w:color w:val="auto"/>
        </w:rPr>
      </w:pP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locations experiencing continued community COVID-19 infections, we prohibit onsite visitors and are generally requiring team members to work from home where possible or practical. Where work from home is not possible, all on-site team members must complete health questionnaires, pass through thermal scanning equipment to ensure they do not have an elevated body temperature, and adhere to physical distancing requirements, mask protocols, and team member separation protocols. We have also enhanced our contact tracing, significantly decreased business travel, and where possible, made ventilation and other health and safety enhancements at our facilities, and provided COVID-19 testing and vaccinations for our team members.</w:t>
      </w:r>
    </w:p>
    <w:p>
      <w:pPr>
        <w:spacing w:after="0" w:line="2"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U.S. Food and Drug Administration’s recent approval of the Pfizer-BioNTech COVID-19 vaccine, we mandated that all U.S. employees and, in addition, contractors that enter our U.S. buildings and certain other locations, be fully vaccinated against COVID-19, subject to disability and religious exemptions, by November 15,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 to work closely with our customer base to best match our supply to changing market conditions.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evaluate our supply chain and communicate with our suppliers to identify supply gaps and have taken steps to provide continuity, to the extent possible, though we expect that constraints within our supply chain for certain IC components may somewhat limit our bit shipments in the near term. In some cases, we have added alternative suppliers and increased our on-hand inventory of raw materials needed in our operations.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ind w:left="660" w:right="2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evaluated all our construction projects across our global manufacturing operations and enacted protocols to enhance the safety of our team members, suppliers, and contractors.</w:t>
      </w:r>
    </w:p>
    <w:p>
      <w:pPr>
        <w:ind w:left="660" w:right="7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developed strategies and implemented measures to respond to a variety of potential economic scenarios, such as limitations on new hiring and business travel and reductions of discretionary spending.</w:t>
      </w:r>
    </w:p>
    <w:p>
      <w:pPr>
        <w:ind w:left="660" w:right="4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standards, and best practices to help safeguard our team members, while safely continuing operations at our sites across the globe.</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We cannot predict how the steps we, our team members, government entities, suppliers, or customers take in response to the COVID-19 pandemic will ultimately impact our business, outlook, or results of operations.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Sales, Markets, and Products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product portfolio of memory and storage solutions, advanced solutions, and storage platforms is based on our high-performance semiconductor memory and storage technologies, including DRAM, NAND, NOR, and other technologies. We sell our products into various markets through our business units in numerous forms, including wafers, components, modules, SSDs, managed NAND, and MCP products. Our system-level solutions, including SSDs and managed NAND, combine NAND, a controller, firmware, and in some cases DRAM.</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19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3D XPoint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3D XPoint is a class of non-volatile technology between DRAM and NAND in the memory and storage hierarchy. In 2021,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ceased development of 3D XPoint technology.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Products by Business Unit and Market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 and Networking Business Unit (“CNBU”)</w:t>
      </w:r>
    </w:p>
    <w:p>
      <w:pPr>
        <w:spacing w:after="0" w:line="2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CNBU includes memory products and solutions sold into client, cloud server, enterprise, graphics, and networking markets. CNBU reported revenue of $12.28 billion in 2021, $9.18 billion in 2020, and $9.97 billion in 2019. CNBU sales in 2021 consisted primarily of DRAM products produced on 1x, 1y, and 1z technology nodes. In 2021, we were the first to introduce products built using 1α DRAM process technology, which offers major improvements in bit density, power, and performance. Our 1α DRAM is ramping in various products across PC, server, and mobile and accounted for a meaningful portion of our revenue by the fourth quarter of 2021.</w:t>
      </w:r>
    </w:p>
    <w:p>
      <w:pPr>
        <w:spacing w:after="0" w:line="21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u w:val="single" w:color="auto"/>
          <w:color w:val="auto"/>
        </w:rPr>
        <w:t>Client</w:t>
      </w:r>
      <w:r>
        <w:rPr>
          <w:rFonts w:ascii="Arial" w:cs="Arial" w:eastAsia="Arial" w:hAnsi="Arial"/>
          <w:sz w:val="18"/>
          <w:szCs w:val="18"/>
          <w:color w:val="auto"/>
        </w:rPr>
        <w:t>: CNBU sales to the client market in 2021 consisted primarily of DDR4 and LPDDR4 DRAM products. Our products sold to the client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support both commercial and consumer PC growth, with growth driven by the rapid deployment of PCs to support the work-from-home and e-learning environments as the world responded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p>
      <w:pPr>
        <w:ind w:right="60"/>
        <w:spacing w:after="0" w:line="256" w:lineRule="auto"/>
        <w:rPr>
          <w:sz w:val="20"/>
          <w:szCs w:val="20"/>
          <w:color w:val="auto"/>
        </w:rPr>
      </w:pPr>
      <w:r>
        <w:rPr>
          <w:rFonts w:ascii="Arial" w:cs="Arial" w:eastAsia="Arial" w:hAnsi="Arial"/>
          <w:sz w:val="18"/>
          <w:szCs w:val="18"/>
          <w:i w:val="1"/>
          <w:iCs w:val="1"/>
          <w:u w:val="single" w:color="auto"/>
          <w:color w:val="auto"/>
        </w:rPr>
        <w:t>Cloud Server</w:t>
      </w:r>
      <w:r>
        <w:rPr>
          <w:rFonts w:ascii="Arial" w:cs="Arial" w:eastAsia="Arial" w:hAnsi="Arial"/>
          <w:sz w:val="18"/>
          <w:szCs w:val="18"/>
          <w:color w:val="auto"/>
        </w:rPr>
        <w:t>: CNBU sales to the cloud market in 2021 consisted primarily of our DDR4 DRAM products. The cloud server market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to experience healthy demand in 2021 due to work-from-home and e-learning environments, video streaming, and significant increases in e-commerce activity around the world. The cloud server market has also been driven, in part, by intelligent edge devices capable of artificial intelligence and augmented reality that store and access data in the cloud. Cloud servers supporting artificial intelligence and data-centric workloads require significantly increasing quantities of DRAM and, as the number and capabilities of these intelligent edge devices increase, more data is stored, processed, and accessed in the cloud, creating a virtuous cycle between the cloud and edge devices.</w:t>
      </w:r>
    </w:p>
    <w:p>
      <w:pPr>
        <w:spacing w:after="0" w:line="21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Enterprise</w:t>
      </w:r>
      <w:r>
        <w:rPr>
          <w:rFonts w:ascii="Arial" w:cs="Arial" w:eastAsia="Arial" w:hAnsi="Arial"/>
          <w:sz w:val="18"/>
          <w:szCs w:val="18"/>
          <w:color w:val="auto"/>
        </w:rPr>
        <w:t>: CNBU sales to the enterprise market in 2021 consisted primarily of our DDR4 DRAM products. In 2021, we continued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on our transition to DDR5, which doubles bandwidth and reduces power consumption, and we are on track to support customers as they begin to introduce DDR5-enabled platforms in the second half of calendar year 2021. The enterprise market is driven by hybrid cloud growth as part of the ongoing digital transformation.</w:t>
      </w:r>
    </w:p>
    <w:p>
      <w:pPr>
        <w:spacing w:after="0" w:line="2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Graphics</w:t>
      </w:r>
      <w:r>
        <w:rPr>
          <w:rFonts w:ascii="Arial" w:cs="Arial" w:eastAsia="Arial" w:hAnsi="Arial"/>
          <w:sz w:val="18"/>
          <w:szCs w:val="18"/>
          <w:color w:val="auto"/>
        </w:rPr>
        <w:t>: CNBU sales to the graphics market in 2021 consisted primarily of GDDR6 graphics products. In late 2020, we started shipping</w:t>
      </w:r>
      <w:r>
        <w:rPr>
          <w:rFonts w:ascii="Arial" w:cs="Arial" w:eastAsia="Arial" w:hAnsi="Arial"/>
          <w:sz w:val="18"/>
          <w:szCs w:val="18"/>
          <w:i w:val="1"/>
          <w:iCs w:val="1"/>
          <w:color w:val="auto"/>
        </w:rPr>
        <w:t xml:space="preserve"> </w:t>
      </w:r>
      <w:r>
        <w:rPr>
          <w:rFonts w:ascii="Arial" w:cs="Arial" w:eastAsia="Arial" w:hAnsi="Arial"/>
          <w:sz w:val="18"/>
          <w:szCs w:val="18"/>
          <w:color w:val="auto"/>
        </w:rPr>
        <w:t>GDDR6 DRAM products for next-generation gaming consoles and also introduced our GDDR6X graphics memory, which delivers unprecedented speed and bandwidth for high-performance graphics and computing. The graphics market is driven by the need for high-performance, high-bandwidth, and cost-effective memory solutions. Our GDDR6 and GDDR6X DRAM graphics products are incorporated into game consoles, PC graphics cards, and graphics processing unit-based data center solutions, which are the driving force behind applications such as artificial intelligence, virtual and augmented reality, 4K and 8K gaming, and professional design. Our GDDR6X products feature innovative signal transmission technology enabling the industry’s fastest GDDR for compute and graphics workloads.</w:t>
      </w:r>
    </w:p>
    <w:p>
      <w:pPr>
        <w:spacing w:after="0" w:line="21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u w:val="single" w:color="auto"/>
          <w:color w:val="auto"/>
        </w:rPr>
        <w:t>Networking</w:t>
      </w:r>
      <w:r>
        <w:rPr>
          <w:rFonts w:ascii="Arial" w:cs="Arial" w:eastAsia="Arial" w:hAnsi="Arial"/>
          <w:sz w:val="18"/>
          <w:szCs w:val="18"/>
          <w:color w:val="auto"/>
        </w:rPr>
        <w:t>: CNBU sales to the networking market in 2021 consisted primarily of DDR4 and DDR3 DRAM products. In 2021, demand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in part, by increased 5G build-out in certain geographic locations to further support the growth of the advanced 5G networking infrastructure.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3D XPoint</w:t>
      </w:r>
      <w:r>
        <w:rPr>
          <w:rFonts w:ascii="Arial" w:cs="Arial" w:eastAsia="Arial" w:hAnsi="Arial"/>
          <w:sz w:val="18"/>
          <w:szCs w:val="18"/>
          <w:color w:val="auto"/>
        </w:rPr>
        <w:t>: CNBU sales of 3D XPoint memory consisted primarily of wafers sold to Intel.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MBU includes memory products sold into smartphone and other mobile-device markets and includes discrete NAND, DRAM, and managed NAND. MBU managed NAND includes embedded multi-media controller (“e.MMC”) and universal flash storage (“UFS”) solutions, each of which combine high-capacity NAND with a high-speed controller and firmware, and eMCP/uMCP products, which combine an e.MMC/UFS solution with LPDRAM. MBU reported revenue of $7.20 billion in 2021, $5.70 billion in 2020, and $6.40 billion in 2019. In the first quarter of 2021, we were the first to market with uMCP5, the industry’s first UFS 3.1 multichip package with LPDDR5, which combines high-performance, high-density, and low-power memory and storage in one compact package, equipping smartphones to handle data-intensive 5G workloads with dramatically increased speed and power efficiency. In the second quarter of 2021, we began shipping 1α node-based LPDDR4x DRAM, which provides power-efficiency improvements ideal for preserving battery life in mobile phones with memory intensive use cases like smart photography. In 2021, we also began volume shipments of our 176-layer NAND UFS 3.1 mobile solution, which features improved performance, faster downloads, and smoother application response times, enabling 5G mobile experiences.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Smartphone</w:t>
      </w:r>
      <w:r>
        <w:rPr>
          <w:rFonts w:ascii="Arial" w:cs="Arial" w:eastAsia="Arial" w:hAnsi="Arial"/>
          <w:sz w:val="18"/>
          <w:szCs w:val="18"/>
          <w:color w:val="auto"/>
        </w:rPr>
        <w:t>: MBU sales to the smartphone market in 2021 consisted primarily of LPDDR4, LPDDR5, and managed NAND solutions.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we achieved record MCP revenue as we benefited from the growth in 5G-enabled smartphones. High-end smartphones incorporate higher levels of NAND and LPDRAM that enable features such as larger 4K displays, multiple high-resolution cameras, and 4K high-dynamic range video recording. Additionally, our smartphone products are utilized by OEMs to enable artificial intelligence, augmented reality, and life-like virtual reality capabilities into high-end phones, including facial and voice recognition, real-time translation, fast image search, and scene detection.</w:t>
      </w:r>
    </w:p>
    <w:p>
      <w:pPr>
        <w:spacing w:after="0" w:line="21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color w:val="auto"/>
        </w:rPr>
        <w:t>: MBU sales in 2021 also included products sold into the feature and disposable phone markets, mobile PC, and tablet markets. Sales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LPDDR4, uMCPs, and eMCPs.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Storage Business Unit (“SBU”)</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SBU includes SSDs and component-level solutions sold into enterprise and cloud, client, and consumer storage markets and discrete NAND sold in component and wafer forms for usage in various markets. SBU reported revenue of $3.97 billion in 2021, $3.77 billion in 2020, and $3.83 billion in 2019. In 2021, we began volume shipments of the world’s first 176-layer 3D NAND flash memory. Based on our second-generation replacement-gate architecture, our 176-layer NAND is the industry’s most advanced node in high-volume production. In 2021, we drove an increased mix of our QLC NAND technology. The low cost per bit of our NAND QLC technology enables us to offer SSD products at a price point that drives accelerated replacement of hard disk drives in a number of market segments. QLC SSD adoption continues to grow and the majority of our client SSD bits shipped in the fourth quarter of 2021 included NAND with our QLC technology.</w:t>
      </w:r>
    </w:p>
    <w:p>
      <w:pPr>
        <w:spacing w:after="0" w:line="21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u w:val="single" w:color="auto"/>
          <w:color w:val="auto"/>
        </w:rPr>
        <w:t>SSDs</w:t>
      </w:r>
      <w:r>
        <w:rPr>
          <w:rFonts w:ascii="Arial" w:cs="Arial" w:eastAsia="Arial" w:hAnsi="Arial"/>
          <w:sz w:val="18"/>
          <w:szCs w:val="18"/>
          <w:color w:val="auto"/>
        </w:rPr>
        <w:t>: SSD storage products incorporate NAND, a controller, and firmware and offer significant performance and features over hard disk</w:t>
      </w:r>
      <w:r>
        <w:rPr>
          <w:rFonts w:ascii="Arial" w:cs="Arial" w:eastAsia="Arial" w:hAnsi="Arial"/>
          <w:sz w:val="18"/>
          <w:szCs w:val="18"/>
          <w:i w:val="1"/>
          <w:iCs w:val="1"/>
          <w:color w:val="auto"/>
        </w:rPr>
        <w:t xml:space="preserve"> </w:t>
      </w:r>
      <w:r>
        <w:rPr>
          <w:rFonts w:ascii="Arial" w:cs="Arial" w:eastAsia="Arial" w:hAnsi="Arial"/>
          <w:sz w:val="18"/>
          <w:szCs w:val="18"/>
          <w:color w:val="auto"/>
        </w:rPr>
        <w:t>drives, including smaller form factors, faster read and write speeds, higher reliability, and lower power consumption. We offer SSD solutions utilizing our NAND technology to the enterprise and cloud, client, and consumer markets.</w:t>
      </w:r>
    </w:p>
    <w:p>
      <w:pPr>
        <w:spacing w:after="0" w:line="20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Enterprise and Cloud SSDs</w:t>
      </w:r>
      <w:r>
        <w:rPr>
          <w:rFonts w:ascii="Arial" w:cs="Arial" w:eastAsia="Arial" w:hAnsi="Arial"/>
          <w:sz w:val="18"/>
          <w:szCs w:val="18"/>
          <w:color w:val="auto"/>
        </w:rPr>
        <w:t>: SBU sales to the enterprise and cloud SSD markets in 2021 consisted primarily of our 5210, 5300, 7300, and</w:t>
      </w:r>
      <w:r>
        <w:rPr>
          <w:rFonts w:ascii="Arial" w:cs="Arial" w:eastAsia="Arial" w:hAnsi="Arial"/>
          <w:sz w:val="18"/>
          <w:szCs w:val="18"/>
          <w:i w:val="1"/>
          <w:iCs w:val="1"/>
          <w:color w:val="auto"/>
        </w:rPr>
        <w:t xml:space="preserve"> </w:t>
      </w:r>
      <w:r>
        <w:rPr>
          <w:rFonts w:ascii="Arial" w:cs="Arial" w:eastAsia="Arial" w:hAnsi="Arial"/>
          <w:sz w:val="18"/>
          <w:szCs w:val="18"/>
          <w:color w:val="auto"/>
        </w:rPr>
        <w:t>9300 series SSDs. In 2021, we enhanced our portfolio of NVMe SSDs and in the first quarter of 2022, we announced the availability of our PCIe Gen4 enterprise SSDs with Micron-designed controllers. The enterprise and cloud storage markets are driven by the growth of applications that store, access, and analyze data in the cloud. Applications such as artificial intelligence servers require fast access to data with low latency, predictable performance, and high storage capacities.</w:t>
      </w:r>
    </w:p>
    <w:p>
      <w:pPr>
        <w:spacing w:after="0" w:line="21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Client SSDs</w:t>
      </w:r>
      <w:r>
        <w:rPr>
          <w:rFonts w:ascii="Arial" w:cs="Arial" w:eastAsia="Arial" w:hAnsi="Arial"/>
          <w:sz w:val="18"/>
          <w:szCs w:val="18"/>
          <w:color w:val="auto"/>
        </w:rPr>
        <w:t>: SBU sales to the client SSD market in 2021 consisted primarily of our 2300 and 2210 series client SSDs. Our client SSDs,</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for leading personal computer OEMs, have mostly replaced hard disk drives used in notebooks, desktops, workstations, and other consumer applications, and deliver high performance, power efficiency, security, and capacity. In 2021, we announced volume production of our first PCIe Gen4 SSDs, the Micron 2450 and 3400, built with our 176-layer NAND and available in a variety of form factors.</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Consumer SSDs</w:t>
      </w:r>
      <w:r>
        <w:rPr>
          <w:rFonts w:ascii="Arial" w:cs="Arial" w:eastAsia="Arial" w:hAnsi="Arial"/>
          <w:sz w:val="18"/>
          <w:szCs w:val="18"/>
          <w:color w:val="auto"/>
        </w:rPr>
        <w:t>: SBU sales to the consumer SSD market in 2021 consisted primarily of our Crucial-branded MX500 and BX500 SATA SSDs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P1, P2, P5, and P5 Plus PCIe SSDs, which utilize our NAND QLC and TLC technologies. We had record consumer SSD revenue in 2021, assisted by the growth of our QLC SSDs, and we continued to transition our product line of consumer SSDs from SATA to NVMe. In 2021, we began shipping 176-layer NAND based consumer SSDs and announced the availability of our Crucial P5 Plus PCIe SSDs as an expansion of our NVMe SSD portfolio to offer high-performance internal Gen4 storage options to consumers. We also expanded our consumer portable SSD portfolio by introducing the high-capacity 4TB and value-priced 500GB Crucial X6 external SSDs to offer consumers more options for external storage performance, capacity and value at any price point. Our consumer SSD solutions are replacing installed hard disk drives as end users and system builders/integrators seek the higher performance, power savings, and reliability of SSDs.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and Wafers</w:t>
      </w:r>
      <w:r>
        <w:rPr>
          <w:rFonts w:ascii="Arial" w:cs="Arial" w:eastAsia="Arial" w:hAnsi="Arial"/>
          <w:sz w:val="18"/>
          <w:szCs w:val="18"/>
          <w:color w:val="auto"/>
        </w:rPr>
        <w:t>: SBU sales of components in 2021 consisted primarily of our 96-layer and 176-layer TLC and QLC NAND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EBU includes memory and storage products sold into industrial, automotive, and consumer markets and includes discrete and module DRAM, discrete NAND, managed NAND, SSDs, and NOR. EBU reported revenue of $4.21 billion in 2021, $2.76 billion in 2020, and $3.14 billion in 2019. The embedded market has traditionally been characterized by long life-cycle DRAM and non-volatile products manufactured on mature process technologies. With strong trends of digitization, connectivity, and intelligence in every device, demand continues to grow for leading-edge products from newer process technologies emerging in the embedded market. Our embedded products enable edge devices to store, connect, and transform information in the internet of things (“IoT”) market and are utilized in a diverse set of applications in the automotive, industrial, and consumer markets.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ind w:right="280"/>
        <w:spacing w:after="0" w:line="266" w:lineRule="auto"/>
        <w:rPr>
          <w:sz w:val="20"/>
          <w:szCs w:val="20"/>
          <w:color w:val="auto"/>
        </w:rPr>
      </w:pPr>
      <w:r>
        <w:rPr>
          <w:rFonts w:ascii="Arial" w:cs="Arial" w:eastAsia="Arial" w:hAnsi="Arial"/>
          <w:sz w:val="18"/>
          <w:szCs w:val="18"/>
          <w:i w:val="1"/>
          <w:iCs w:val="1"/>
          <w:u w:val="single" w:color="auto"/>
          <w:color w:val="auto"/>
        </w:rPr>
        <w:t>Industrial</w:t>
      </w:r>
      <w:r>
        <w:rPr>
          <w:rFonts w:ascii="Arial" w:cs="Arial" w:eastAsia="Arial" w:hAnsi="Arial"/>
          <w:sz w:val="18"/>
          <w:szCs w:val="18"/>
          <w:color w:val="auto"/>
        </w:rPr>
        <w:t>: EBU sales to the industrial market in 2021 consisted primarily of DDR4 and DDR3 DRAM, LPDDR4 DRAM, SLC NAND, NAND</w:t>
      </w:r>
      <w:r>
        <w:rPr>
          <w:rFonts w:ascii="Arial" w:cs="Arial" w:eastAsia="Arial" w:hAnsi="Arial"/>
          <w:sz w:val="18"/>
          <w:szCs w:val="18"/>
          <w:i w:val="1"/>
          <w:iCs w:val="1"/>
          <w:color w:val="auto"/>
        </w:rPr>
        <w:t xml:space="preserve"> </w:t>
      </w:r>
      <w:r>
        <w:rPr>
          <w:rFonts w:ascii="Arial" w:cs="Arial" w:eastAsia="Arial" w:hAnsi="Arial"/>
          <w:sz w:val="18"/>
          <w:szCs w:val="18"/>
          <w:color w:val="auto"/>
        </w:rPr>
        <w:t>MCPs, and NOR. Our products enable applications in the growing industrial IoT market, including machine-to-machine communication, factory automation, transportation, surveillance, retail, and smart infrastructure.</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u w:val="single" w:color="auto"/>
          <w:color w:val="auto"/>
        </w:rPr>
        <w:t>Automotive</w:t>
      </w:r>
      <w:r>
        <w:rPr>
          <w:rFonts w:ascii="Arial" w:cs="Arial" w:eastAsia="Arial" w:hAnsi="Arial"/>
          <w:sz w:val="18"/>
          <w:szCs w:val="18"/>
          <w:color w:val="auto"/>
        </w:rPr>
        <w:t>: EBU sales to the automotive market in 2021 consisted primarily of LPDDR4 DRAM, e.MMC managed NAND, DDR3 DRAM, and</w:t>
      </w:r>
      <w:r>
        <w:rPr>
          <w:rFonts w:ascii="Arial" w:cs="Arial" w:eastAsia="Arial" w:hAnsi="Arial"/>
          <w:sz w:val="18"/>
          <w:szCs w:val="18"/>
          <w:i w:val="1"/>
          <w:iCs w:val="1"/>
          <w:color w:val="auto"/>
        </w:rPr>
        <w:t xml:space="preserve"> </w:t>
      </w:r>
      <w:r>
        <w:rPr>
          <w:rFonts w:ascii="Arial" w:cs="Arial" w:eastAsia="Arial" w:hAnsi="Arial"/>
          <w:sz w:val="18"/>
          <w:szCs w:val="18"/>
          <w:color w:val="auto"/>
        </w:rPr>
        <w:t>LPDDR2 DRAM. In 2021, we began sampling the industry’s first automotive-grade LPDDR5 that is hardware-evaluated to meet the most stringent Automotive Safety Integrity Level, ASIL D. We also began sampling the industry’s first UFS 3.1 solution for automotive applications. Advancements in autonomous driving, advanced driver-assistance systems, and in-vehicle infotainment systems continue to 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In addition, our products enable increasingly advanced vision and sensor based automated systems to support driver assistance solutions and vehicle safety. Our comprehensive and expanding portfolio of DRAM, NAND, and NOR solutions to the automotive market, as well as our extensive customer support network, enable us to maintain our strong leadership position in this market.</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Consumer</w:t>
      </w:r>
      <w:r>
        <w:rPr>
          <w:rFonts w:ascii="Arial" w:cs="Arial" w:eastAsia="Arial" w:hAnsi="Arial"/>
          <w:sz w:val="18"/>
          <w:szCs w:val="18"/>
          <w:color w:val="auto"/>
        </w:rPr>
        <w:t>: EBU sales to the consumer market in 2021 consisted primarily of our LPDDR4 DRAM, DDR3 DRAM, and SLC NAND. These</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memory and storage solutions are used in a diverse set of consumer products, including service provider and IP set-top boxes, digital home assistants, digital still and video cameras, home networking, ultra-high definition televisions, and many more applications. Our embedded memory and storage solutions enable edge devices in the consumer products market to store, connect, and transform information in the IoT.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Marketing and Customers</w:t>
      </w:r>
    </w:p>
    <w:p>
      <w:pPr>
        <w:spacing w:after="0" w:line="2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independent sales representatives, distributors, and retailers. Our independent sales representatives obtain orders, subject to final acceptance by us, and we then make shipments against these orders directly to customers or through our distributors. Our distributors carry our products in inventory and typically sell a variety of other semiconductor products, including competitors’ products. We sell our Crucial-branded products through a web-based customer direct sales channel as well as through channel and distribution partners. We maintain inventory at locations in close proximity to certain key customers to facilitate rapid delivery of products.</w:t>
      </w:r>
    </w:p>
    <w:p>
      <w:pPr>
        <w:spacing w:after="0" w:line="2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Due to volatile industry conditions, our customers are generally reluctant to enter into long-term, fixed-price purchase contracts. We typically accept orders with acknowledgment that pricing, quantity, and other terms may be adjusted to reflect market conditions at the time of shipment.</w:t>
      </w:r>
    </w:p>
    <w:p>
      <w:pPr>
        <w:spacing w:after="0" w:line="22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For other information regarding our concentrations and customers, see “Part II – Item 8. Financial Statements and Supplementary Data – Notes to Consolidated Financial Statements – Certain Concentrations.”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Competitive Conditions</w:t>
      </w:r>
    </w:p>
    <w:p>
      <w:pPr>
        <w:spacing w:after="0" w:line="265"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Kioxia Holdings Corporation (formerly Toshiba Memory Corporation); Samsung Electronics Co., Ltd.; SK hynix Inc.; and Western Digital Corporation. Some of our competitors are large corporations or conglomerates that may have greater resources to invest in technology, capitalize on growth opportunities, and withstand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 w:name="page12"/>
    <w:bookmarkEnd w:id="11"/>
    <w:p>
      <w:pPr>
        <w:ind w:right="100"/>
        <w:spacing w:after="0" w:line="251" w:lineRule="auto"/>
        <w:rPr>
          <w:sz w:val="20"/>
          <w:szCs w:val="20"/>
          <w:color w:val="auto"/>
        </w:rPr>
      </w:pPr>
      <w:r>
        <w:rPr>
          <w:rFonts w:ascii="Arial" w:cs="Arial" w:eastAsia="Arial" w:hAnsi="Arial"/>
          <w:sz w:val="18"/>
          <w:szCs w:val="18"/>
          <w:color w:val="auto"/>
        </w:rPr>
        <w:t>downturns in the semiconductor markets in which we compete. Consolidation of industry competitors could put us at a competitive disadvantage. We and our competitors generally seek to improve yields, reduce die size in product designs, or increase production capacity,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If competitors are more successful at developing or implementing new product or process technology, their products could have cost or performance advantages. Certain of our memory and storage products are manufactured to industry standard specifications and, as such, have similar performance characteristics to those of our competitors. For these products, the principal competitive factors are generally price and performance characteristics including operating speed, power consumption, reliability, compatibility, size, and form factor. Some of our competitors may use aggressive pricing to obtain market share or take business of our key customers.</w:t>
      </w: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benefit from policies and regulations that favor domestic companies or may not be subject to certain regulations or restrictions to which we are subject, which may allow them access to certain sales opportunities from which we may be restricted. In addition, our customers may redirect their business to our competitors based on government policy, national preference, or other factors.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Manufacturing</w:t>
      </w:r>
    </w:p>
    <w:p>
      <w:pPr>
        <w:spacing w:after="0" w:line="2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manufacture our products within our own facilities located in Taiwan, Singapore, Japan, the United States, Malaysia, and China, and also utilize subcontractors to perform certain manufacturing processes. Our products are manufactured on 300mm wafers in facilities that generally operate 24 hours per day, seven days per week. Semiconductor manufacturing is extremely capital intensive, requiring large investments in sophisticated facilities and equipment. Our DRAM, NAND, and NOR products share a number of common manufacturing processes, enabling us to leverage our product and process technology and certain resources and manufacturing infrastructure across these product lines.</w:t>
      </w:r>
    </w:p>
    <w:p>
      <w:pPr>
        <w:spacing w:after="0" w:line="2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process for manufacturing semiconductor products is complex and involves numerous precise steps, including wafer fabrication,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package type, cleanliness of our manufacturing environment, and utilization of subcontractors to perform certain manufacturing processes. As we continue to increase our production of high value products and solutions, manufacturing costs are increasingly affected by the costs of application-specific integrated circuit (ASIC)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23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Wafer fabrication occurs in a highly-controlled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to heighten quality control as our product offerings expand into higher-end segments that require increasing performance targets.</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Resources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Supply Chain, Materials, and Third-Party Service Providers</w:t>
      </w:r>
    </w:p>
    <w:p>
      <w:pPr>
        <w:spacing w:after="0" w:line="26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or sole source. Various factors could impact the availability of materials or components such as chemicals, silicon wafers, gases, photoresist, controllers, substrates, lead frames, printed circuit boards, targets, and reticle glass blanks. Shortages or increases in lead times have occurred in the past, are currently occurring with respect to some materials and components, and may occur from time to time in the future.</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 carriers, and other service providers. Although we have certain long-term contracts with some of our suppliers, many of these contracts do not provide for long-term capacity commitments. To the extent we do not have firm commitments from our third-party suppliers over a specific time period or for any specific capacity and/or quantity, our suppliers may allocate capacity to their other customers and capacity and/or materials may not be available when we need it or at reasonable prices. Inflationary pressures and shortages may increase costs for materials, supplies, and services. Regardless of contract structure, large swings in demand may exceed our contracted supply and/or our suppliers’ capacity to meet those demand changes in the required timeframe resulting in a shortage of parts, materials, or capacity needed to manufacture our products.</w:t>
      </w:r>
    </w:p>
    <w:p>
      <w:pPr>
        <w:spacing w:after="0" w:line="2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Trade disputes or other political conditions, economic conditions, or public health issues, such as COVID-19, may limit our ability to obtain materials necessary to produce Micron products. Certain materials are primarily available in a limited number of countries, including rare earth elements, minerals, and metals available primarily from China.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0090DA"/>
        </w:rPr>
        <w:t>Patents and Licenses</w:t>
      </w:r>
    </w:p>
    <w:p>
      <w:pPr>
        <w:spacing w:after="0" w:line="26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As of September 2, 2021, we owned approximately 15,400 active U.S. patents and 7,300 active foreign patents. In addition, we have thousands of U.S. and foreign patent applications pending. Our patents have various terms expiring through 2041.</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Research and Development</w:t>
      </w:r>
    </w:p>
    <w:p>
      <w:pPr>
        <w:spacing w:after="0" w:line="2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R&amp;D efforts are focused primarily on development of industry leading memory and storage solutions that enable continuous improvement in performance and cost structure for our products. We are focused on developing new fundamentally different memory structures, materials, and packages designed to facilitate our transition to next generation products. Additional R&amp;D efforts focus on the enablement of advanced computing, storage, and mobile memory architectures and the investigation of new opportunities that leverage our core semiconductor expertise. Product design and development efforts include high-density DDR4, DDR5, LPDDR4, LPDDR5, High Bandwidth Memory, Compute Express Link (CXL) based products, and advanced graphics DRAM; 3D NAND (including TLC and QLC technologies); mobile and storage solutions (including firmware and controllers); managed NAND; SSDs; and other memory technologies and systems.</w:t>
      </w:r>
    </w:p>
    <w:p>
      <w:pPr>
        <w:spacing w:after="0" w:line="23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primary R&amp;D centers are located in Boise, Idaho; Singapore; Japan; Taiwan; Italy; China; India; Germany; and other sites in the United States.</w:t>
      </w:r>
    </w:p>
    <w:p>
      <w:pPr>
        <w:spacing w:after="0" w:line="23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40"/>
          <w:szCs w:val="40"/>
          <w:b w:val="1"/>
          <w:bCs w:val="1"/>
          <w:color w:val="auto"/>
        </w:rPr>
        <w:t>Human Capital</w:t>
      </w:r>
    </w:p>
    <w:p>
      <w:pPr>
        <w:spacing w:after="0" w:line="28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depend on a highly educated and experienced workforce to design, develop, and manufacture high-quality, cutting-edge memory and storage solutions. As of September 2, 2021, we had approximately 43,000 employees located in the following regions:</w:t>
      </w:r>
    </w:p>
    <w:tbl>
      <w:tblPr>
        <w:tblLayout w:type="fixed"/>
        <w:tblInd w:w="0" w:type="dxa"/>
        <w:tblCellMar>
          <w:top w:w="0" w:type="dxa"/>
          <w:left w:w="0" w:type="dxa"/>
          <w:bottom w:w="0" w:type="dxa"/>
          <w:right w:w="0" w:type="dxa"/>
        </w:tblCellMar>
      </w:tblPr>
      <w:tr>
        <w:trPr>
          <w:trHeight w:val="239"/>
        </w:trPr>
        <w:tc>
          <w:tcPr>
            <w:tcW w:w="7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Region</w:t>
            </w:r>
          </w:p>
        </w:tc>
        <w:tc>
          <w:tcPr>
            <w:tcW w:w="16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Percent</w:t>
            </w:r>
          </w:p>
        </w:tc>
        <w:tc>
          <w:tcPr>
            <w:tcW w:w="168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Percent Women</w:t>
            </w:r>
          </w:p>
        </w:tc>
      </w:tr>
      <w:tr>
        <w:trPr>
          <w:trHeight w:val="34"/>
        </w:trPr>
        <w:tc>
          <w:tcPr>
            <w:tcW w:w="7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9"/>
        </w:trPr>
        <w:tc>
          <w:tcPr>
            <w:tcW w:w="7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Asia</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74 %</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660" w:type="dxa"/>
            <w:vAlign w:val="bottom"/>
          </w:tcPr>
          <w:p>
            <w:pPr>
              <w:jc w:val="right"/>
              <w:spacing w:after="0"/>
              <w:rPr>
                <w:sz w:val="20"/>
                <w:szCs w:val="20"/>
                <w:color w:val="auto"/>
              </w:rPr>
            </w:pPr>
            <w:r>
              <w:rPr>
                <w:rFonts w:ascii="Arial" w:cs="Arial" w:eastAsia="Arial" w:hAnsi="Arial"/>
                <w:sz w:val="18"/>
                <w:szCs w:val="18"/>
                <w:color w:val="auto"/>
              </w:rPr>
              <w:t>24 %</w:t>
            </w:r>
          </w:p>
        </w:tc>
        <w:tc>
          <w:tcPr>
            <w:tcW w:w="16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7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Europe</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2 %</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79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As of September 2, 2021, 30% of our global workforce were women, compared to 29% as of September 3, 2020. 23% of our technical or engineering roles were held by women, as compared to 21% on September 3, 2020. Women comprised 15% of our senior leaders as of September 2, 2021, as compared to 13% as of September 3, 2020.</w:t>
      </w:r>
    </w:p>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2021, we added one female director to our Board of Directors, resulting in a Board of Directors that is comprised of four men and four women as of September 2, 2021, compared to five men and three women as of September 3, 2020. In addition, as of September 2, 2021, based on self-identification, one member of our Board of Directors is Asian, one member is African-American, and six members are White. One member of our Board of Directors is a veteran of the U.S. military.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Talent Acquisition, Engagement, and Retention</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Finding and retaining the best and brightest people in an extremely competitive industry environment is a strategic imperative for our business. We have partnerships with colleges and universities worldwide and through this collaboration, we offer curricula and mentorship programs that reinforce awareness of and engagement with Micron among students and graduates. In addition, we use artificial intelligence to reduce or eliminate the potential for bias from resumes, allowing us to focus on individual merit over personal characteristics.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Periodically, we invite all team members to participate in our internal engagement survey, which covers questions that measure and provide insight into leadership and inclusive behaviors. In April 2021, 88% of our team members participated in the survey. Management uses feedback from the survey to identify and implement continuous improvements to our culture and workplace practices.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 and Benefits</w:t>
      </w:r>
    </w:p>
    <w:p>
      <w:pPr>
        <w:spacing w:after="0" w:line="26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compensation programs are designed to support our team members’ financial and personal well-being by providing a valuable return for their contributions to the company. Our total compensation strategy includes base salary, annual bonuses, equity awards, a discounted stock purchase plan, and a comprehensive benefits package.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Diversity, Equality &amp; Inclusion</w:t>
      </w:r>
    </w:p>
    <w:p>
      <w:pPr>
        <w:spacing w:after="0" w:line="26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We have made powerful commitments in 2021 to hold ourselves even more accountable for progress towards diversity, equality, and inclusion (DEI), by setting six global DEI commitments: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representation of underrepresented groups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Drive equitable pay and inclusive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Strengthen our culture of inclusion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Advocate for racial and LGBTQ+ equality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with minority-owned financial institutions for cash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representation and spend with diverse suppliers</w:t>
      </w:r>
    </w:p>
    <w:p>
      <w:pPr>
        <w:spacing w:after="0" w:line="25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have a regular review of pay globally, including base pay and stock awards, to drive compensation equitability. In 2021, we achieved comprehensive global pay equity for all employees in total compensation across base,</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5" w:name="page16"/>
    <w:bookmarkEnd w:id="15"/>
    <w:p>
      <w:pPr>
        <w:ind w:right="180"/>
        <w:spacing w:after="0" w:line="261" w:lineRule="auto"/>
        <w:rPr>
          <w:sz w:val="20"/>
          <w:szCs w:val="20"/>
          <w:color w:val="auto"/>
        </w:rPr>
      </w:pPr>
      <w:r>
        <w:rPr>
          <w:rFonts w:ascii="Arial" w:cs="Arial" w:eastAsia="Arial" w:hAnsi="Arial"/>
          <w:sz w:val="18"/>
          <w:szCs w:val="18"/>
          <w:color w:val="auto"/>
        </w:rPr>
        <w:t>bonuses, and stock rewards. In addition, a portion of our company-wide annual bonus program is based on the achievement of DEI-related goals.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Health, Safety, and Wellness</w:t>
      </w:r>
    </w:p>
    <w:p>
      <w:pPr>
        <w:spacing w:after="0" w:line="2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our proactive efforts on safety, we have increased our focus on providing enhanced services to our team members including free mental health and counseling support, providing critical-incident stress management services and emotional support sessions, launching a work-from-home toolkit, and encouraging team members to earn incentives by participating in well-being challenges and measuring their personal progress.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response to the COVID-19 pandemic, we went well beyond local, state, and federal requirements. With COVID-19 vaccines now available, we have launched a task force to monitor vaccine availability for team members, provided on-site vaccinations where available, provided monetary incentives, and, for U.S. team members, required vaccinations to improve vaccination rates. See “Item 1. Business – Overview – Impact of COVID-19 on Our Business.”</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and the RBA code of conduct, which is a demonstration of our commitment to integrity and responsible practices.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Government Regulations</w:t>
      </w:r>
    </w:p>
    <w:p>
      <w:pPr>
        <w:spacing w:after="0" w:line="28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worldwide business activities are subject to various federal, state, local, and foreign laws and our products are governed by a number of rules and regulations. Compliance with these laws, rules, and regulations are presently not material to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Environmental Compliance</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approach environmental stewardship and sustainability proactively to ensure we meet all government regulations regarding use of raw materials, discharges, climate change and energy use, emissions, and wastes from our manufacturing processes and address the evolving expectations of our investors, customers, team members, and other stakeholders. Compliance with the law and other compliance obligations is considered a minimum environmental expectation at Micron. Our wafer fabrication facilities continued to conform to the requirements of the International Organization for Standardization (“ISO”) 14001 environmental management systems standard to ensure we are continuously improving our performance. As part of the ISO 14001 framework, we have established a global environmental policy and meet requirements in terms of environmental aspects evaluation and control, compliance obligations, commitment, training, communication, control of documented information,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other compliance actions.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0090DA"/>
        </w:rPr>
        <w:t>Trade Regulations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 Risks Related to Laws and Regulations – Trade regulations have restricted our ability to sell our products to several customers, could restrict our ability to sell our products to other customers or in certain markets, or could otherwise restrict our ability to conduct operations” and “ – Risks Related to Our Business, Operations, and Industry – We face geopolitical and other risks associated with our international sales and operations that could materially adversely affect our business, results of operations, or financial condition.”</w:t>
      </w:r>
    </w:p>
    <w:p>
      <w:pPr>
        <w:spacing w:after="0" w:line="23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40"/>
          <w:szCs w:val="40"/>
          <w:b w:val="1"/>
          <w:bCs w:val="1"/>
          <w:color w:val="auto"/>
        </w:rPr>
        <w:t>Information About Our Executive Officers</w:t>
      </w:r>
    </w:p>
    <w:p>
      <w:pPr>
        <w:spacing w:after="0" w:line="28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information, as of September 2, 2021,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6600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6600825"/>
                    </a:xfrm>
                    <a:prstGeom prst="rect">
                      <a:avLst/>
                    </a:prstGeom>
                    <a:noFill/>
                  </pic:spPr>
                </pic:pic>
              </a:graphicData>
            </a:graphic>
          </wp:anchor>
        </w:drawing>
      </w:r>
    </w:p>
    <w:p>
      <w:pPr>
        <w:spacing w:after="0" w:line="5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R. Allen</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Corporate Vice President and Chief Accounting Officer</w:t>
      </w:r>
    </w:p>
    <w:p>
      <w:pPr>
        <w:spacing w:after="0" w:line="72" w:lineRule="exact"/>
        <w:rPr>
          <w:sz w:val="20"/>
          <w:szCs w:val="20"/>
          <w:color w:val="auto"/>
        </w:rPr>
      </w:pPr>
    </w:p>
    <w:p>
      <w:pPr>
        <w:ind w:left="2060" w:right="100"/>
        <w:spacing w:after="0" w:line="227" w:lineRule="auto"/>
        <w:rPr>
          <w:sz w:val="20"/>
          <w:szCs w:val="20"/>
          <w:color w:val="auto"/>
        </w:rPr>
      </w:pPr>
      <w:r>
        <w:rPr>
          <w:rFonts w:ascii="Arial" w:cs="Arial" w:eastAsia="Arial" w:hAnsi="Arial"/>
          <w:sz w:val="18"/>
          <w:szCs w:val="18"/>
          <w:color w:val="auto"/>
        </w:rPr>
        <w:t>Mr. Allen, 53, joined us in September 2020 as Corporate Vice President of Accounting. Mr. Allen was named Corporate Vice President and Chief Accounting Officer in October 2020. From August 2016 to September 2020, Mr. Allen held several executive roles at NetApp,Inc. including Senior Vice President, Chief Accounting Officer. Mr. Allen holds a Bachelor of Business Administration in Accounting from Siena College.</w:t>
      </w:r>
    </w:p>
    <w:p>
      <w:pPr>
        <w:spacing w:after="0" w:line="200" w:lineRule="exact"/>
        <w:rPr>
          <w:sz w:val="20"/>
          <w:szCs w:val="20"/>
          <w:color w:val="auto"/>
        </w:rPr>
      </w:pPr>
    </w:p>
    <w:p>
      <w:pPr>
        <w:spacing w:after="0" w:line="382"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April S. Arnzen</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and Chief People Officer</w:t>
      </w:r>
    </w:p>
    <w:p>
      <w:pPr>
        <w:spacing w:after="0" w:line="85" w:lineRule="exact"/>
        <w:rPr>
          <w:sz w:val="20"/>
          <w:szCs w:val="20"/>
          <w:color w:val="auto"/>
        </w:rPr>
      </w:pPr>
    </w:p>
    <w:p>
      <w:pPr>
        <w:ind w:left="2060" w:right="120"/>
        <w:spacing w:after="0"/>
        <w:rPr>
          <w:sz w:val="20"/>
          <w:szCs w:val="20"/>
          <w:color w:val="auto"/>
        </w:rPr>
      </w:pPr>
      <w:r>
        <w:rPr>
          <w:rFonts w:ascii="Arial" w:cs="Arial" w:eastAsia="Arial" w:hAnsi="Arial"/>
          <w:sz w:val="17"/>
          <w:szCs w:val="17"/>
          <w:color w:val="auto"/>
        </w:rPr>
        <w:t>Ms. Arnzen, 50, joined us in December 1996 and has served in various leadership positions since that time. Ms. Arnzen was named Senior Vice President, Human Resources in June 2017 and named Senior Vice President and Chief People Officer in October 2020. Ms. Arnzen holds a BS in Human Resource Management and Marketing from the University of Idaho and is a graduate of the Stanford Graduate School of Business Executive Program.</w:t>
      </w:r>
    </w:p>
    <w:p>
      <w:pPr>
        <w:spacing w:after="0" w:line="200" w:lineRule="exact"/>
        <w:rPr>
          <w:sz w:val="20"/>
          <w:szCs w:val="20"/>
          <w:color w:val="auto"/>
        </w:rPr>
      </w:pPr>
    </w:p>
    <w:p>
      <w:pPr>
        <w:spacing w:after="0" w:line="383"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Manish Bhatia</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Global Operations</w:t>
      </w:r>
    </w:p>
    <w:p>
      <w:pPr>
        <w:spacing w:after="0" w:line="72" w:lineRule="exact"/>
        <w:rPr>
          <w:sz w:val="20"/>
          <w:szCs w:val="20"/>
          <w:color w:val="auto"/>
        </w:rPr>
      </w:pPr>
    </w:p>
    <w:p>
      <w:pPr>
        <w:ind w:left="2060" w:right="200"/>
        <w:spacing w:after="0" w:line="224" w:lineRule="auto"/>
        <w:rPr>
          <w:sz w:val="20"/>
          <w:szCs w:val="20"/>
          <w:color w:val="auto"/>
        </w:rPr>
      </w:pPr>
      <w:r>
        <w:rPr>
          <w:rFonts w:ascii="Arial" w:cs="Arial" w:eastAsia="Arial" w:hAnsi="Arial"/>
          <w:sz w:val="18"/>
          <w:szCs w:val="18"/>
          <w:color w:val="auto"/>
        </w:rPr>
        <w:t>Mr. Bhatia, 49, joined us in October 2017 as our Executive Vice President, Global Operations. From May 2016 to October 2017, Mr. Bhatia served as the Executive Vice President of Silicon Operations at Western Digital Corporation. From March 2010 to May 2016, Mr. Bhatia held several executive roles at SanDisk Corporation including Executive Vice President of Worldwide Operations until it was acquired by Western Digital in May 2016. Mr. Bhatia holds a BS and MS in Mechanical Engineering and an MBA, each from the Massachusetts Institute of Technology.</w:t>
      </w:r>
    </w:p>
    <w:p>
      <w:pPr>
        <w:spacing w:after="0" w:line="219"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Michael W. Bokan</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Worldwide Sales</w:t>
      </w:r>
    </w:p>
    <w:p>
      <w:pPr>
        <w:spacing w:after="0" w:line="85" w:lineRule="exact"/>
        <w:rPr>
          <w:sz w:val="20"/>
          <w:szCs w:val="20"/>
          <w:color w:val="auto"/>
        </w:rPr>
      </w:pPr>
    </w:p>
    <w:p>
      <w:pPr>
        <w:ind w:left="2060" w:right="100"/>
        <w:spacing w:after="0" w:line="229" w:lineRule="auto"/>
        <w:rPr>
          <w:sz w:val="20"/>
          <w:szCs w:val="20"/>
          <w:color w:val="auto"/>
        </w:rPr>
      </w:pPr>
      <w:r>
        <w:rPr>
          <w:rFonts w:ascii="Arial" w:cs="Arial" w:eastAsia="Arial" w:hAnsi="Arial"/>
          <w:sz w:val="18"/>
          <w:szCs w:val="18"/>
          <w:color w:val="auto"/>
        </w:rPr>
        <w:t>Mr. Bokan, 60, joined us in 1996 and has served in various leadership positions since that time. Mr. Bokan was named Senior Vice President, Worldwide Sales in October 2018. Mr. Bokan holds a BS in Business Administration from Colorado State University.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J. DeBoer</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Technology &amp; Products</w:t>
      </w:r>
    </w:p>
    <w:p>
      <w:pPr>
        <w:spacing w:after="0" w:line="85" w:lineRule="exact"/>
        <w:rPr>
          <w:sz w:val="20"/>
          <w:szCs w:val="20"/>
          <w:color w:val="auto"/>
        </w:rPr>
      </w:pPr>
    </w:p>
    <w:p>
      <w:pPr>
        <w:ind w:left="2060" w:right="180"/>
        <w:spacing w:after="0" w:line="227" w:lineRule="auto"/>
        <w:rPr>
          <w:sz w:val="20"/>
          <w:szCs w:val="20"/>
          <w:color w:val="auto"/>
        </w:rPr>
      </w:pPr>
      <w:r>
        <w:rPr>
          <w:rFonts w:ascii="Arial" w:cs="Arial" w:eastAsia="Arial" w:hAnsi="Arial"/>
          <w:sz w:val="18"/>
          <w:szCs w:val="18"/>
          <w:color w:val="auto"/>
        </w:rPr>
        <w:t>Dr. DeBoer, 55, joined us in February 1995 and has served in various leadership positions since that time. Dr. DeBoer was named Executive Vice President, Technology Development in June 2017 and named Executive Vice President, Technology &amp; Products in September 2019. Dr. DeBoer holds a PhD in Electrical Engineering and an MS in Physics from Iowa State University. He completed his undergraduate degree at Hastings College.</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20"/>
        <w:spacing w:after="0"/>
        <w:rPr>
          <w:sz w:val="20"/>
          <w:szCs w:val="20"/>
          <w:color w:val="auto"/>
        </w:rPr>
      </w:pPr>
      <w:r>
        <w:rPr>
          <w:sz w:val="1"/>
          <w:szCs w:val="1"/>
          <w:color w:val="auto"/>
        </w:rPr>
        <w:drawing>
          <wp:inline distT="0" distB="0" distL="0" distR="0">
            <wp:extent cx="608330"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5"/>
          <w:szCs w:val="15"/>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8" w:name="page19"/>
    <w:bookmarkEnd w:id="18"/>
    <w:p>
      <w:pPr>
        <w:ind w:left="20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5443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443855"/>
                    </a:xfrm>
                    <a:prstGeom prst="rect">
                      <a:avLst/>
                    </a:prstGeom>
                    <a:noFill/>
                  </pic:spPr>
                </pic:pic>
              </a:graphicData>
            </a:graphic>
          </wp:anchor>
        </w:drawing>
        <w:t>Sanjay Mehrotra</w:t>
      </w:r>
    </w:p>
    <w:p>
      <w:pPr>
        <w:spacing w:after="0" w:line="75"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President, Chief Executive Officer, and Director</w:t>
      </w:r>
    </w:p>
    <w:p>
      <w:pPr>
        <w:spacing w:after="0" w:line="72" w:lineRule="exact"/>
        <w:rPr>
          <w:sz w:val="20"/>
          <w:szCs w:val="20"/>
          <w:color w:val="auto"/>
        </w:rPr>
      </w:pPr>
    </w:p>
    <w:p>
      <w:pPr>
        <w:ind w:left="2060" w:right="40"/>
        <w:spacing w:after="0" w:line="223" w:lineRule="auto"/>
        <w:rPr>
          <w:sz w:val="20"/>
          <w:szCs w:val="20"/>
          <w:color w:val="auto"/>
        </w:rPr>
      </w:pPr>
      <w:r>
        <w:rPr>
          <w:rFonts w:ascii="Arial" w:cs="Arial" w:eastAsia="Arial" w:hAnsi="Arial"/>
          <w:sz w:val="18"/>
          <w:szCs w:val="18"/>
          <w:color w:val="auto"/>
        </w:rPr>
        <w:t>Mr. Mehrotra, 63, joined us in May 2017 as our President, Chief Executive Officer, and Director.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currently serves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150"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Joel L. Poppen</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Legal Affairs, General Counsel, and Corporate Secretary</w:t>
      </w:r>
    </w:p>
    <w:p>
      <w:pPr>
        <w:spacing w:after="0" w:line="85" w:lineRule="exact"/>
        <w:rPr>
          <w:sz w:val="20"/>
          <w:szCs w:val="20"/>
          <w:color w:val="auto"/>
        </w:rPr>
      </w:pPr>
    </w:p>
    <w:p>
      <w:pPr>
        <w:ind w:left="2060" w:right="120"/>
        <w:spacing w:after="0" w:line="225" w:lineRule="auto"/>
        <w:rPr>
          <w:sz w:val="20"/>
          <w:szCs w:val="20"/>
          <w:color w:val="auto"/>
        </w:rPr>
      </w:pPr>
      <w:r>
        <w:rPr>
          <w:rFonts w:ascii="Arial" w:cs="Arial" w:eastAsia="Arial" w:hAnsi="Arial"/>
          <w:sz w:val="18"/>
          <w:szCs w:val="18"/>
          <w:color w:val="auto"/>
        </w:rPr>
        <w:t>Mr. Poppen, 57, joined us in October 1995 and has held various leadership positions since that time. Mr. Poppen was named Vice President, Legal Affairs, General Counsel, and Corporate Secretary in December 2013 and named Senior Vice President, Legal Affairs, General Counsel, and Corporate Secretary in June 2017. Mr. Poppen holds a BS in Electrical Engineering from the University of Illinois and a JD from the Duke University School of Law.</w:t>
      </w:r>
    </w:p>
    <w:p>
      <w:pPr>
        <w:spacing w:after="0" w:line="395"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Sumit Sadana</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Business Officer</w:t>
      </w:r>
    </w:p>
    <w:p>
      <w:pPr>
        <w:spacing w:after="0" w:line="72" w:lineRule="exact"/>
        <w:rPr>
          <w:sz w:val="20"/>
          <w:szCs w:val="20"/>
          <w:color w:val="auto"/>
        </w:rPr>
      </w:pPr>
    </w:p>
    <w:p>
      <w:pPr>
        <w:ind w:left="2060" w:right="40"/>
        <w:spacing w:after="0" w:line="224" w:lineRule="auto"/>
        <w:rPr>
          <w:sz w:val="20"/>
          <w:szCs w:val="20"/>
          <w:color w:val="auto"/>
        </w:rPr>
      </w:pPr>
      <w:r>
        <w:rPr>
          <w:rFonts w:ascii="Arial" w:cs="Arial" w:eastAsia="Arial" w:hAnsi="Arial"/>
          <w:sz w:val="18"/>
          <w:szCs w:val="18"/>
          <w:color w:val="auto"/>
        </w:rPr>
        <w:t>Mr. Sadana, 52,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219"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David A. Zinsner</w:t>
      </w:r>
    </w:p>
    <w:p>
      <w:pPr>
        <w:spacing w:after="0" w:line="75"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72" w:lineRule="exact"/>
        <w:rPr>
          <w:sz w:val="20"/>
          <w:szCs w:val="20"/>
          <w:color w:val="auto"/>
        </w:rPr>
      </w:pPr>
    </w:p>
    <w:p>
      <w:pPr>
        <w:ind w:left="2060" w:right="140"/>
        <w:spacing w:after="0" w:line="224" w:lineRule="auto"/>
        <w:rPr>
          <w:sz w:val="20"/>
          <w:szCs w:val="20"/>
          <w:color w:val="auto"/>
        </w:rPr>
      </w:pPr>
      <w:r>
        <w:rPr>
          <w:rFonts w:ascii="Arial" w:cs="Arial" w:eastAsia="Arial" w:hAnsi="Arial"/>
          <w:sz w:val="18"/>
          <w:szCs w:val="18"/>
          <w:color w:val="auto"/>
        </w:rPr>
        <w:t>Mr. Zinsner, 52, joined us in February 2018 as our Senior Vice President and Chief Financial Officer. From April 2017 to February 2018, Mr. Zinsner served as the President and Chief Operating Officer of Affirmed Networks. From January 2009 to April 2017, Mr. Zinsner served as the Senior Vice President of Finance and Chief Financial Officer of Analog Devices. From July 2005 to January 2009, Mr. Zinsner served as the Senior Vice President and Chief Financial Officer of Intersil Corporation. Mr. Zinsner holds an MBA, Finance and Accounting from Vanderbilt University and a BS in Industrial Management from Carnegie Mellon University.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executive offices are located at 8000 South Federal Way, Boise, Idaho 83716-9632 and our telephone number is (208) 368-4000. Information about us is available at our website, www.micron.com. Also available on our website are our Corporate Governance Guidelines, Governance and Sustainability Committee Charter, Compensation Committee Charter, Audit Committee Charter, Finance Committee Charter, Security Committee Charter, and Code of Business Conduct and Ethics. Any amendments or waivers of our Code of Business Conduct and Ethics will also be posted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2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and webcasts. We use</w:t>
      </w:r>
    </w:p>
    <w:p>
      <w:pPr>
        <w:sectPr>
          <w:pgSz w:w="11900" w:h="16838" w:orient="portrait"/>
          <w:cols w:equalWidth="0" w:num="1">
            <w:col w:w="11220"/>
          </w:cols>
          <w:pgMar w:left="320" w:top="1017"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type w:val="continuous"/>
        </w:sectPr>
      </w:pPr>
    </w:p>
    <w:bookmarkStart w:id="19" w:name="page20"/>
    <w:bookmarkEnd w:id="19"/>
    <w:p>
      <w:pPr>
        <w:ind w:right="60"/>
        <w:spacing w:after="0" w:line="256" w:lineRule="auto"/>
        <w:rPr>
          <w:sz w:val="20"/>
          <w:szCs w:val="20"/>
          <w:color w:val="auto"/>
        </w:rPr>
      </w:pPr>
      <w:r>
        <w:rPr>
          <w:rFonts w:ascii="Arial" w:cs="Arial" w:eastAsia="Arial" w:hAnsi="Arial"/>
          <w:sz w:val="18"/>
          <w:szCs w:val="18"/>
          <w:color w:val="auto"/>
        </w:rPr>
        <w:t>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8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to the factors discussed elsewhere in this Form 10-K,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products, and markets;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0090DA"/>
        </w:rPr>
      </w:pPr>
      <w:r>
        <w:rPr>
          <w:rFonts w:ascii="Arial" w:cs="Arial" w:eastAsia="Arial" w:hAnsi="Arial"/>
          <w:sz w:val="18"/>
          <w:szCs w:val="18"/>
          <w:color w:val="auto"/>
        </w:rPr>
        <w:t>disruptions to our manufacturing operations from natural disasters or other events;</w:t>
      </w:r>
    </w:p>
    <w:p>
      <w:pPr>
        <w:spacing w:after="0" w:line="9" w:lineRule="exact"/>
        <w:rPr>
          <w:rFonts w:ascii="Arial" w:cs="Arial" w:eastAsia="Arial" w:hAnsi="Arial"/>
          <w:sz w:val="18"/>
          <w:szCs w:val="18"/>
          <w:b w:val="1"/>
          <w:bCs w:val="1"/>
          <w:color w:val="0090DA"/>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breaches of our security systems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proceedings and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allegations of anticompetitive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our former IMFT joint venture with Intel;</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alleged patent infringement complaints in Chinese courts.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payment of cash dividends and resulting impacts.</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pandemic could adversely affect our business, results of operations, and financial condition.</w:t>
      </w:r>
    </w:p>
    <w:p>
      <w:pPr>
        <w:spacing w:after="0" w:line="27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effects of the public health crisis caused by the COVID-19 pandemic and the measures being taken to limit COVID-19’s spread are uncertain and difficult to predict, but may include, and in some cases, have included and may continue to include:</w:t>
      </w:r>
    </w:p>
    <w:p>
      <w:pPr>
        <w:spacing w:after="0" w:line="225" w:lineRule="exact"/>
        <w:rPr>
          <w:sz w:val="20"/>
          <w:szCs w:val="20"/>
          <w:color w:val="auto"/>
        </w:rPr>
      </w:pPr>
    </w:p>
    <w:p>
      <w:pPr>
        <w:ind w:left="660" w:right="2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global economic volatility that could reduce demand and/or pricing for our products, resulting from the spread of COVID-19 and/or the actions taken by governments, businesses, and/or the general public in an effort to limit exposure to and the spread of COVID-19, such as travel restrictions, quarantines, and business shutdowns or slowdowns;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9" w:lineRule="exact"/>
        <w:rPr>
          <w:rFonts w:ascii="Arial" w:cs="Arial" w:eastAsia="Arial" w:hAnsi="Arial"/>
          <w:sz w:val="18"/>
          <w:szCs w:val="18"/>
          <w:color w:val="auto"/>
        </w:rPr>
      </w:pPr>
    </w:p>
    <w:p>
      <w:pPr>
        <w:ind w:left="1300" w:right="10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measures we have enacted at our locations around the world in an effort to protect our employees’ and contractors’ health and well-being, including working from home, limiting the number of meeting attendees, reducing the number of people in certain of our sites at any one time, quarantines of team members, contractors, or vendors who are at risk of contracting, or have contracted, COVID-19, and limiting employee travel;</w:t>
      </w:r>
    </w:p>
    <w:p>
      <w:pPr>
        <w:spacing w:after="0" w:line="2" w:lineRule="exact"/>
        <w:rPr>
          <w:rFonts w:ascii="Arial" w:cs="Arial" w:eastAsia="Arial" w:hAnsi="Arial"/>
          <w:sz w:val="18"/>
          <w:szCs w:val="18"/>
          <w:color w:val="auto"/>
        </w:rPr>
      </w:pPr>
    </w:p>
    <w:p>
      <w:pPr>
        <w:ind w:left="1300" w:right="2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physical-distancing measures, working from home, upgrades to our sites, COVID-19 testing and vaccination, enhanced cleaning measures, and the increased use of personal protective equipment at our sites;</w:t>
      </w:r>
    </w:p>
    <w:p>
      <w:pPr>
        <w:spacing w:after="0" w:line="1" w:lineRule="exact"/>
        <w:rPr>
          <w:rFonts w:ascii="Arial" w:cs="Arial" w:eastAsia="Arial" w:hAnsi="Arial"/>
          <w:sz w:val="18"/>
          <w:szCs w:val="18"/>
          <w:color w:val="auto"/>
        </w:rPr>
      </w:pPr>
    </w:p>
    <w:p>
      <w:pPr>
        <w:ind w:left="1300" w:right="12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increased costs, business disruptions, attrition, and/or reduced employee morale resulting from our mandate that all U.S. employees and, in addition, contractors that enter our U.S. buildings and certain other locations, be fully vaccinated against COVID-19, subject to disability and religious exemptions, by November 15, 2021, as a condition of working for us;</w:t>
      </w:r>
    </w:p>
    <w:p>
      <w:pPr>
        <w:spacing w:after="0" w:line="1" w:lineRule="exact"/>
        <w:rPr>
          <w:rFonts w:ascii="Arial" w:cs="Arial" w:eastAsia="Arial" w:hAnsi="Arial"/>
          <w:sz w:val="18"/>
          <w:szCs w:val="18"/>
          <w:color w:val="auto"/>
        </w:rPr>
      </w:pPr>
    </w:p>
    <w:p>
      <w:pPr>
        <w:ind w:left="130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components, electricity and/or other energy sources, or other inputs necessary for the operation of our business;</w:t>
      </w:r>
    </w:p>
    <w:p>
      <w:pPr>
        <w:ind w:left="130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measures to prevent and/or mitigate the spread of COVID-19 at one or more of our sites, such as we have experienced at some of our facilities from time to time since the start of the COVID-19 pandemic;</w:t>
      </w:r>
    </w:p>
    <w:p>
      <w:pPr>
        <w:spacing w:after="0" w:line="1" w:lineRule="exact"/>
        <w:rPr>
          <w:rFonts w:ascii="Arial" w:cs="Arial" w:eastAsia="Arial" w:hAnsi="Arial"/>
          <w:sz w:val="18"/>
          <w:szCs w:val="18"/>
          <w:color w:val="auto"/>
        </w:rPr>
      </w:pPr>
    </w:p>
    <w:p>
      <w:pPr>
        <w:ind w:left="1300" w:right="20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inability to continue, or increased costs of, construction projects due to delays in obtaining materials, equipment, labor, engineering services, government permits, or any other essential aspect of projects, which could impact our ability to introduce new technologies, reduce costs, or meet customer demand; and</w:t>
      </w:r>
    </w:p>
    <w:p>
      <w:pPr>
        <w:spacing w:after="0" w:line="1" w:lineRule="exact"/>
        <w:rPr>
          <w:rFonts w:ascii="Arial" w:cs="Arial" w:eastAsia="Arial" w:hAnsi="Arial"/>
          <w:sz w:val="18"/>
          <w:szCs w:val="18"/>
          <w:color w:val="auto"/>
        </w:rPr>
      </w:pPr>
    </w:p>
    <w:p>
      <w:pPr>
        <w:jc w:val="both"/>
        <w:ind w:left="1300" w:right="100" w:hanging="320"/>
        <w:spacing w:after="0" w:line="256"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and transportation of materials, components, equipment and engineering support, and services from or in geographic areas that have been impacted by COVID-19, by efforts to contain the spread of COVID-19, or by follow-on effects on the worldwide supply chain;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1" w:name="page22"/>
    <w:bookmarkEnd w:id="21"/>
    <w:p>
      <w:pPr>
        <w:ind w:left="660" w:right="20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or result in a higher rate of losses on our accounts receivable due to credit defaults.</w:t>
      </w:r>
    </w:p>
    <w:p>
      <w:pPr>
        <w:spacing w:after="0" w:line="22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While several COVID-19 vaccines have been approved and are available for use in the United States and certain other countries, we are unable to predict how widely utilized the vaccines ultimately will be, whether they will be effective in preventing the symptoms and spread of COVID-19 (including its variant strains), and when or if normal economic activity and business operations will resume.</w:t>
      </w:r>
    </w:p>
    <w:p>
      <w:pPr>
        <w:spacing w:after="0" w:line="2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or financial condition. The continuation of the pandemic or expanded or recurring outbreaks could exacerbate the adverse impact of such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p>
        </w:tc>
        <w:tc>
          <w:tcPr>
            <w:tcW w:w="1420" w:type="dxa"/>
            <w:vAlign w:val="bottom"/>
            <w:tcBorders>
              <w:bottom w:val="single" w:sz="8" w:color="0090DA"/>
            </w:tcBorders>
          </w:tcPr>
          <w:p>
            <w:pPr>
              <w:ind w:left="76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0"/>
                <w:szCs w:val="20"/>
                <w:color w:val="auto"/>
              </w:rPr>
            </w:pPr>
          </w:p>
        </w:tc>
        <w:tc>
          <w:tcPr>
            <w:tcW w:w="170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NAND</w:t>
            </w:r>
          </w:p>
        </w:tc>
      </w:tr>
      <w:tr>
        <w:trPr>
          <w:trHeight w:val="223"/>
        </w:trPr>
        <w:tc>
          <w:tcPr>
            <w:tcW w:w="7100" w:type="dxa"/>
            <w:vAlign w:val="bottom"/>
            <w:tcBorders>
              <w:bottom w:val="single" w:sz="8" w:color="0090DA"/>
            </w:tcBorders>
          </w:tcPr>
          <w:p>
            <w:pPr>
              <w:spacing w:after="0"/>
              <w:rPr>
                <w:sz w:val="19"/>
                <w:szCs w:val="19"/>
                <w:color w:val="auto"/>
              </w:rPr>
            </w:pPr>
          </w:p>
        </w:tc>
        <w:tc>
          <w:tcPr>
            <w:tcW w:w="4140" w:type="dxa"/>
            <w:vAlign w:val="bottom"/>
            <w:tcBorders>
              <w:bottom w:val="single" w:sz="8" w:color="0090DA"/>
            </w:tcBorders>
            <w:gridSpan w:val="3"/>
          </w:tcPr>
          <w:p>
            <w:pPr>
              <w:jc w:val="right"/>
              <w:ind w:right="170"/>
              <w:spacing w:after="0"/>
              <w:rPr>
                <w:sz w:val="20"/>
                <w:szCs w:val="20"/>
                <w:color w:val="auto"/>
              </w:rPr>
            </w:pPr>
            <w:r>
              <w:rPr>
                <w:rFonts w:ascii="Arial" w:cs="Arial" w:eastAsia="Arial" w:hAnsi="Arial"/>
                <w:sz w:val="18"/>
                <w:szCs w:val="18"/>
                <w:color w:val="auto"/>
              </w:rPr>
              <w:t>(percentage change in average selling prices)</w:t>
            </w:r>
          </w:p>
        </w:tc>
      </w:tr>
      <w:tr>
        <w:trPr>
          <w:trHeight w:val="34"/>
        </w:trPr>
        <w:tc>
          <w:tcPr>
            <w:tcW w:w="7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0"/>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2021 from 2020</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36 %</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18 %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or additional 3D memory layers or NAND cell levels, process complexity including number of mask layers and fabrication steps, manufacturing yield, technological barriers, changes in process technologies, new products that may require relatively larger die sizes, and start-up or other costs associated with capacity expansion.</w:t>
      </w:r>
    </w:p>
    <w:p>
      <w:pPr>
        <w:spacing w:after="0" w:line="2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declining selling prices, and changes in supply agreements.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3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Consequently, we may incur charges in connection with obsolete or excess</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2" w:name="page23"/>
    <w:bookmarkEnd w:id="22"/>
    <w:p>
      <w:pPr>
        <w:ind w:right="260"/>
        <w:spacing w:after="0" w:line="254" w:lineRule="auto"/>
        <w:rPr>
          <w:sz w:val="20"/>
          <w:szCs w:val="20"/>
          <w:color w:val="auto"/>
        </w:rPr>
      </w:pPr>
      <w:r>
        <w:rPr>
          <w:rFonts w:ascii="Arial" w:cs="Arial" w:eastAsia="Arial" w:hAnsi="Arial"/>
          <w:sz w:val="18"/>
          <w:szCs w:val="18"/>
          <w:color w:val="auto"/>
        </w:rPr>
        <w:t>inventories.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4"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23" w:name="page24"/>
    <w:bookmarkEnd w:id="23"/>
    <w:p>
      <w:pPr>
        <w:ind w:right="80"/>
        <w:spacing w:after="0" w:line="256" w:lineRule="auto"/>
        <w:rPr>
          <w:sz w:val="20"/>
          <w:szCs w:val="20"/>
          <w:color w:val="auto"/>
        </w:rPr>
      </w:pPr>
      <w:r>
        <w:rPr>
          <w:rFonts w:ascii="Arial" w:cs="Arial" w:eastAsia="Arial" w:hAnsi="Arial"/>
          <w:sz w:val="18"/>
          <w:szCs w:val="18"/>
          <w:color w:val="auto"/>
        </w:rPr>
        <w:t>We develop and produce advanced memory and storage technologies and there can be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particularly those in China, could impact our industry bit demand growth outlook. The loss of, or restrictions on our ability to sell to, one or more of our major customers, such as occurred with our former customer, Huawei Technologies, Co. Ltd. (“Huawei”), or any significant reduction in orders from, or a shift in product mix by, customers could have a material adverse effect on our business, results of operations, or financial condition.</w:t>
      </w:r>
    </w:p>
    <w:p>
      <w:pPr>
        <w:spacing w:after="0" w:line="2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0090DA"/>
        </w:rPr>
        <w:t>We face geopolitical and other risks associated with our international sales and operations that could materially adversely affect our business, results of operations, or financial condition.</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2021, 56% of our revenue was from sales to customers who have headquarters located outside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in 2021 was from products shipped to customer locations outside the United States.</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substantial portion of our operations are conducted in Taiwan, Singapore, Japan, Malaysia, China, and India,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from China could impact Taiwan and its economy, and may adversely affect our operations in Taiwan, our customers, and the technology industry supply chain.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1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2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4" w:name="page25"/>
    <w:bookmarkEnd w:id="24"/>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5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20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or sole source. Various factors could impact the availability of materials or components such as chemicals, silicon wafers, gases, photoresist, controllers, substrates, lead frames, printed circuit boards, targets, and reticle glass blanks. Shortages or increases in lead times have occurred in the past, are currently occurring with respect to some materials and components, and may occur from time to time in the future. As a result, we expect that constraints within our supply chain for certain IC components may somewhat limit our bit shipments in the near term, which could have a material adverse effect on our business, results of operations, or financial condition.</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 carriers, and other service providers. Although we have certain long-term contracts with some of our suppliers, many of these contracts do not provide for long-term capacity commitments. To the extent we do not have firm commitments from our third-party suppliers over a specific time period or for any specific capacity and/or quantity, our suppliers may allocate capacity to their other customers and capacity and/or materials may not be available when we need it or at reasonable prices. As mentioned in the preceding paragraph, we are currently experiencing constraints within our supply chain for certain IC components. Inflationary pressures and shortages, such as those the market is currently experiencing, may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w:t>
      </w:r>
    </w:p>
    <w:p>
      <w:pPr>
        <w:spacing w:after="0" w:line="2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Similarly, if our customers experience disruptions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5" w:name="page26"/>
    <w:bookmarkEnd w:id="25"/>
    <w:p>
      <w:pPr>
        <w:jc w:val="both"/>
        <w:ind w:right="60"/>
        <w:spacing w:after="0" w:line="254" w:lineRule="auto"/>
        <w:rPr>
          <w:sz w:val="20"/>
          <w:szCs w:val="20"/>
          <w:color w:val="auto"/>
        </w:rPr>
      </w:pPr>
      <w:r>
        <w:rPr>
          <w:rFonts w:ascii="Arial" w:cs="Arial" w:eastAsia="Arial" w:hAnsi="Arial"/>
          <w:sz w:val="18"/>
          <w:szCs w:val="18"/>
          <w:color w:val="auto"/>
        </w:rPr>
        <w:t>to their supplies, materials, components, or services, or the extension of their lead times, they may reduce, cancel, or alter the timing of their purchases with us. For example, currently, some PC customers are adjusting their memory and storage purchases due to shortages of non-memory components that are needed to complete PC builds. Reduction, cancellation, or alteration of the timing of customer purchases could have a material adverse effect on our business, results of operations, or financial condition.</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For example, recently several automotive manufacturers have experienced shortages of non-memory semiconductor-based components from other suppliers, forcing a curtailment of production lines. Any damage to our customer relationships as a result of a shortage of our products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The effects of the public health crisis caused by the COVID-19 pandemic and the measures being taken to limit COVID-19’s spread has negatively impacted, and could in the future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 There can be no assurance that:</w:t>
      </w:r>
    </w:p>
    <w:p>
      <w:pPr>
        <w:spacing w:after="0" w:line="23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9"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5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20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38" w:lineRule="exact"/>
        <w:rPr>
          <w:sz w:val="20"/>
          <w:szCs w:val="20"/>
          <w:color w:val="auto"/>
        </w:rPr>
      </w:pPr>
    </w:p>
    <w:p>
      <w:pPr>
        <w:ind w:left="660" w:right="8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7" w:name="page28"/>
    <w:bookmarkEnd w:id="27"/>
    <w:p>
      <w:pPr>
        <w:ind w:left="660" w:right="2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3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including droughts, earthquakes, tsunamis, or other occurrences, such as the recent Taiwan drought, that could disrupt operations, resulting in increased costs, or disruptions to our or our suppliers’ or customers’ manufacturing operations. In addition, our suppliers and customers also have operations in such locations. Other events, including political or public health crises, such as an outbreak of contagious diseases like COVID-19, SARS-CoV, avian and swine influenza, measles, or Ebola, may also affect our production capabilities or that of our suppliers, including as a result of quarantines, closures of production facilities, lack of supplies, or delays caused by restrictions on travel or shipping. For example, previously in response to increasing positive cases of COVID-19 in Johor State, Malaysia, we reduced our workforce on-site at our Muar facility, which reduced output levels from that facility, though it is now operating at normal levels. In addition, climate change may pose physical risks to our manufacturing facilities or our suppliers’ facilities, including increased extreme weather events that could result in supply delays or disruptions. The events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including through cyberattacks. These parties may also be able to develop and deploy viruses, worms, and other malicious software programs that disrupt our operations and create security vulnerabilities. Breaches of our physical security,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or plan for succession for key employees. Competition for experienced employees in our industry continues to be intense. Hiring and retaining qualified executives, engineers, technical staff, sales representatives, and other employees is critical to our business. If other employers are perceived as offering a greater degree of workplace flexibility or other employment benefits to employees than us, we may experience difficulty in attracting, retaining, and motivating the employees needed for our business operations. Our inability to attract, retain, and motivate executives and other employees or effectively manage or plan for succession of key employees may inhibit our ability to maintain or expand our business operations. In September 2021, we mandated that all U.S. employees and, in addition, contractors that enter our U.S. buildings and certain other locations, be fully vaccinated against COVID-19, subject to disability and religious exemptions, by November 15, 2021 as a condition of working for us, which could result in increased attrition, loss of critical skills, and reduced employee morale, potentially resulting in business disruptions or increased expenses to address any disruptions. Additionally, changes to immigration policies in the numerous countries in which we operate, including the United States, as well as restrictions on global travel as a result of local or global public health crises requiring quarantines or other precautions to limit exposure to infectious diseases, may limit our ability to hire and/or retain talent in, or transfer talent to, specific locations. If our total compensation programs and workplace culture cease to be viewed as competitive and inclusive, our ability to attract, retain, and motivate employees could be weakened, which could have a material adverse effect on our business, results of operations, or financial condition.</w:t>
      </w:r>
    </w:p>
    <w:p>
      <w:pPr>
        <w:spacing w:after="0" w:line="21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2"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may be unable to obtain significant future incentives to continue to fund a portion of our capital expenditures and operating costs, without which our cost structure would be adversely impacted. We also cannot guarantee that we will successfully achieve performance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restructuring charges in future periods.</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ceased development of 3D XPoint technology and on June 30, 2021, we announced that we have entered into a definitive agreement to sell our Lehi facility that was dedicated to 3D XPoint production to TI for cash consideration of $ 900 million. There is no assurance that we will be able to close the sale to TI in a timely manner or at all. The net assets and liabilities of the Lehi facility were classified as held for sale and are carried at the net consideration expected to be realized from the sale. We recognized a $435 million impairment charge in the third quarter of 2021 and could recognize additional losses as a result of changes in the assets and liabilities prior to the closing date of the transaction. Our inability to close the transaction in a timely manner or additional impairment losses could adversely affect our business, results of operations, or financial condition.</w:t>
      </w:r>
    </w:p>
    <w:p>
      <w:pPr>
        <w:spacing w:after="0" w:line="2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b w:val="1"/>
          <w:bCs w:val="1"/>
          <w:color w:val="0090DA"/>
        </w:rPr>
        <w:t>Compliance with customer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environmental, social, and governance efforts to ensure that our performance and the materials, supplies, and services we use and incorporate into the products we sell are consistent with their programs. Some of our customers may elect to disqualify us as a supplier or reduce purchases from us if we are unable to verify that our performance or products meet the specifications of their responsible sourcing programs. Meeting customer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based on our responsible sourcing requirements and may be unable to replace them in a timely or cost effective manner. This may affect our ability and/or the cost to obtain sufficient quantities of materials, supplies, and services necessary for the manufacture of our products. Our inability to comply with customers’ responsible sourcing requirements or with any related regulations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health crisis caused by COVID-19 has adversely affected economic conditions and caused a downturn in the worldwide economy. Downturns in the worldwide economy, including the downturn and subsequent volatility driven</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p>
      <w:pPr>
        <w:spacing w:after="0" w:line="253" w:lineRule="auto"/>
        <w:rPr>
          <w:sz w:val="20"/>
          <w:szCs w:val="20"/>
          <w:color w:val="auto"/>
        </w:rPr>
      </w:pPr>
      <w:r>
        <w:rPr>
          <w:rFonts w:ascii="Arial" w:cs="Arial" w:eastAsia="Arial" w:hAnsi="Arial"/>
          <w:sz w:val="18"/>
          <w:szCs w:val="18"/>
          <w:color w:val="auto"/>
        </w:rPr>
        <w:t>by the COVID-19 pandemic, have adversely affected our business in the past. Adverse economic conditions affect demand for devices that incorporate our products, such as personal computers, smartphones, automobiles, and servers. Reduced demand for these or other products could result in significant decreases in our average selling prices and product sales. Future downturns could also adversely affect our business. In addition, to the extent our customers or distributors have elevated inventory levels, we may experience a decrease in short-term and/or long-term demand and/or pricing for our products.</w:t>
      </w:r>
    </w:p>
    <w:p>
      <w:pPr>
        <w:spacing w:after="0" w:line="2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“Part II – Item 8. Financial Statements and Supplementary Data – Notes to Consolidated Financial Statements – Contingencies.” 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232" w:lineRule="exact"/>
        <w:rPr>
          <w:sz w:val="20"/>
          <w:szCs w:val="20"/>
          <w:color w:val="auto"/>
        </w:rPr>
      </w:pPr>
    </w:p>
    <w:p>
      <w:pPr>
        <w:ind w:left="660" w:right="5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1" w:name="page32"/>
    <w:bookmarkEnd w:id="31"/>
    <w:p>
      <w:pPr>
        <w:spacing w:after="0" w:line="252"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May 3, 2021, several plaintiffs filed a substantially identical complaint in the U.S. District Court for the Northern District of California purportedly on behalf of a nationwide class of indirect purchasers of DRAM products. On July 19, 2021, the District Court dismissed the May 3, 2021 complaint pursuant to an agreement between the plaintiffs and Micron providing that the plaintiffs may refile the complaint if the District Court’s December 21, 2020 dismissal order is not affirmed on appeal.</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w:t>
      </w:r>
    </w:p>
    <w:p>
      <w:pPr>
        <w:spacing w:after="0" w:line="23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face risks associated with our former IMFT joint venture with Intel.</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risks from our arbitration proceeding with Intel in connection with our former IMFT joint venture, in which we and Intel have made claims against each other for damages relating to the joint venture. For information regarding the arbitration proceeding, see “Part II – Item 8. Financial Statements and Supplementary Data – Notes to Consolidated Financial Statements – Contingencies.” The foregoing could have a material adverse effect on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ind w:right="220"/>
        <w:spacing w:after="0" w:line="268"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3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unable to predict the outcome of these assertions of infringement made against us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II – Item 8. Financial Statements and Supplementary Data – Notes to Consolidated Financial Statements – Contingencies.”)</w:t>
      </w:r>
    </w:p>
    <w:p>
      <w:pPr>
        <w:spacing w:after="0" w:line="21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0090DA"/>
        </w:rPr>
        <w:t>The acquisition of our ownership interest in Inotera from Qimonda AG (“Qimonda”) has been challenged by the administrator of the insolvency proceedings for Qimonda.</w:t>
      </w:r>
    </w:p>
    <w:p>
      <w:pPr>
        <w:spacing w:after="0" w:line="20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a patent cross-license between us and Qimonda entered into at the same time as the share purchase agreement. See “Part</w:t>
      </w:r>
    </w:p>
    <w:p>
      <w:pPr>
        <w:spacing w:after="0" w:line="1" w:lineRule="exact"/>
        <w:rPr>
          <w:sz w:val="20"/>
          <w:szCs w:val="20"/>
          <w:color w:val="auto"/>
        </w:rPr>
      </w:pPr>
    </w:p>
    <w:p>
      <w:pPr>
        <w:ind w:right="660" w:firstLine="8"/>
        <w:spacing w:after="0" w:line="261" w:lineRule="auto"/>
        <w:tabs>
          <w:tab w:leader="none" w:pos="1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Item 8. Financial Statements and Supplementary Data – Notes to Consolidated Financial Statements – Contingencies” for further information regarding the matter.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33" w:name="page34"/>
    <w:bookmarkEnd w:id="33"/>
    <w:p>
      <w:pPr>
        <w:ind w:right="80"/>
        <w:spacing w:after="0" w:line="254" w:lineRule="auto"/>
        <w:rPr>
          <w:sz w:val="20"/>
          <w:szCs w:val="20"/>
          <w:color w:val="auto"/>
        </w:rPr>
      </w:pPr>
      <w:r>
        <w:rPr>
          <w:rFonts w:ascii="Arial" w:cs="Arial" w:eastAsia="Arial" w:hAnsi="Arial"/>
          <w:sz w:val="18"/>
          <w:szCs w:val="18"/>
          <w:color w:val="auto"/>
        </w:rPr>
        <w:t>We are unable to predict the outcome of the matter and cannot make a reasonable estimate of the potential loss or range of possible losses.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In 2021,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Malaysia, and China.</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United States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United States has threatened to impose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20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International trade disputes have led, and may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Escalating tensions between the United States and China have led to increased trade restrictions and have affected customer ordering patterns. For example, the U.S. Bureau of Industry and Security (“BIS”) has enacted increasingly broad trade restrictions with respect to Huawei (which represented approximately 10% of our revenue in the fourth quarter of 2020), culminating with restrictions that took effect on September 15, 2020 and that prevent us and many other companies from shipping products to Huawei. We cannot predict the duration these restrictions will remain in place, whether the BIS will grant us or others licenses to ship products to Huawei, or whether the BIS or other U.S. or foreign government entities will enact similar restrictions with respect to other customers, markets, or products. We may not be able to replace the lost revenue opportunities associated with such restrictions.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4" w:name="page35"/>
    <w:bookmarkEnd w:id="34"/>
    <w:p>
      <w:pPr>
        <w:spacing w:after="0" w:line="252"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have reduced our sales,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In addition, further increases in trade restrictions or barriers may negatively impact our revenue, and any licenses we have received or could receive in the future could be rendered ineffective. Any such changes may have an adverse effect on our business, results of operations, or financial condition.</w:t>
      </w:r>
    </w:p>
    <w:p>
      <w:pPr>
        <w:spacing w:after="0" w:line="2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tax reform by the United States. Additionally, various levels of government are increasingly focused on tax reform and other legislative actions to increase tax revenue. The current administration has various proposals that, if enacted, would increase U.S. federal income taxes on corporations.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5" w:name="page36"/>
    <w:bookmarkEnd w:id="35"/>
    <w:p>
      <w:pPr>
        <w:ind w:right="320"/>
        <w:spacing w:after="0" w:line="287"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climate change, that may have a material adverse effect on our business, results of operations, or financial condition.</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Climate change concerns and the potential resulting environmental impact may result in new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estimate capital expenditures in 2022 for property, plant, and equipment, net of partner contributions, will be between approximately $11 billion and $12 billion. Investments in capital expenditures may not generate expected returns or cash flows. In addition, we invest our capital in areas that we believe best align with our business strategy and will yield future profitability.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 which could have a material adverse effect on our business, results of operations, or financial condition.</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ind w:right="60"/>
        <w:spacing w:after="0" w:line="253" w:lineRule="auto"/>
        <w:rPr>
          <w:sz w:val="20"/>
          <w:szCs w:val="20"/>
          <w:color w:val="auto"/>
        </w:rPr>
      </w:pPr>
      <w:r>
        <w:rPr>
          <w:rFonts w:ascii="Arial" w:cs="Arial" w:eastAsia="Arial" w:hAnsi="Arial"/>
          <w:sz w:val="18"/>
          <w:szCs w:val="18"/>
          <w:color w:val="auto"/>
        </w:rPr>
        <w:t>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September 2, 2021 we had debt with a carrying value of $6.78 billion and $2.50 billion of our Revolving Credit Facility was available to us. Our debt obligations could adversely impact us as follows:</w:t>
      </w:r>
    </w:p>
    <w:p>
      <w:pPr>
        <w:spacing w:after="0" w:line="229" w:lineRule="exact"/>
        <w:rPr>
          <w:sz w:val="20"/>
          <w:szCs w:val="20"/>
          <w:color w:val="auto"/>
        </w:rPr>
      </w:pPr>
    </w:p>
    <w:p>
      <w:pPr>
        <w:ind w:left="660" w:right="2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payment of dividends, and other business activities;</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2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7" w:name="page38"/>
    <w:bookmarkEnd w:id="37"/>
    <w:p>
      <w:pPr>
        <w:ind w:right="100"/>
        <w:spacing w:after="0" w:line="252" w:lineRule="auto"/>
        <w:rPr>
          <w:sz w:val="20"/>
          <w:szCs w:val="20"/>
          <w:color w:val="auto"/>
        </w:rPr>
      </w:pPr>
      <w:r>
        <w:rPr>
          <w:rFonts w:ascii="Arial" w:cs="Arial" w:eastAsia="Arial" w:hAnsi="Arial"/>
          <w:sz w:val="18"/>
          <w:szCs w:val="18"/>
          <w:color w:val="auto"/>
        </w:rPr>
        <w:t>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operating results have fluctuated in the past and will continue to do so, sometimes materially. Many of the matters discussed in this Risk Factors section could impact our operating results in any fiscal quarter or year. If our operating results fall below our forecasts and the expectations of public market analysts and investors, the trading price of our common stock may decline.</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For example, we repurchased 66.4 million shares for $ 2.66 billion in 2019, 3.6 million shares for $176 million in 2020, and 15.6 million shares for $ 1.20 billion in 2021.These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8" w:name="page39"/>
    <w:bookmarkEnd w:id="38"/>
    <w:p>
      <w:pPr>
        <w:ind w:right="140"/>
        <w:spacing w:after="0" w:line="254"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28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September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863590" cy="3291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9560" w:type="dxa"/>
            <w:vAlign w:val="bottom"/>
            <w:tcBorders>
              <w:bottom w:val="single" w:sz="8" w:color="0090DA"/>
            </w:tcBorders>
          </w:tcPr>
          <w:p>
            <w:pPr>
              <w:ind w:left="580"/>
              <w:spacing w:after="0"/>
              <w:rPr>
                <w:sz w:val="20"/>
                <w:szCs w:val="20"/>
                <w:color w:val="auto"/>
              </w:rPr>
            </w:pPr>
            <w:r>
              <w:rPr>
                <w:rFonts w:ascii="Arial" w:cs="Arial" w:eastAsia="Arial" w:hAnsi="Arial"/>
                <w:sz w:val="18"/>
                <w:szCs w:val="18"/>
                <w:b w:val="1"/>
                <w:bCs w:val="1"/>
                <w:color w:val="auto"/>
              </w:rPr>
              <w:t>Principal Operations</w:t>
            </w:r>
          </w:p>
        </w:tc>
      </w:tr>
      <w:tr>
        <w:trPr>
          <w:trHeight w:val="34"/>
        </w:trPr>
        <w:tc>
          <w:tcPr>
            <w:tcW w:w="168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w:t>
            </w: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reticle manufacturing</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China</w:t>
            </w:r>
          </w:p>
        </w:tc>
        <w:tc>
          <w:tcPr>
            <w:tcW w:w="9560" w:type="dxa"/>
            <w:vAlign w:val="bottom"/>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bl>
    <w:p>
      <w:pPr>
        <w:spacing w:after="0" w:line="3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generally utilize all of our manufacturing capacity; however, a portion of our MTU facility was underutilized for 2021, 2020, and 2019 and was classified as held for sale as of September 2, 2021. We believe that our existing facilities are suitable and adequate for our present purposes. We do not identify or allocate assets by operating segment, other than goodwill. (See “Part II – Item 8. Financial Statements and Supplementary Data – Notes to Consolidated Financial Statements – Lehi, Utah Fab and 3D XPoint” and “ – Geographic Information.”)</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5"/>
          <w:szCs w:val="25"/>
          <w:b w:val="1"/>
          <w:bCs w:val="1"/>
          <w:color w:val="auto"/>
        </w:rPr>
        <w:t>ITEM 3. LEGAL PROCEEDINGS</w:t>
      </w:r>
    </w:p>
    <w:p>
      <w:pPr>
        <w:spacing w:after="0" w:line="28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a discussion of legal proceedings, see “Part II – Item 8. Financial Statements and Supplementary Data – Notes to Consolidated Financial Statements – Contingencies” and “Item 1A. Risk Factors” of this Annual Report on Form 10-K.</w:t>
      </w:r>
    </w:p>
    <w:p>
      <w:pPr>
        <w:spacing w:after="0" w:line="22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57" w:lineRule="exact"/>
        <w:rPr>
          <w:sz w:val="20"/>
          <w:szCs w:val="20"/>
          <w:color w:val="auto"/>
        </w:rPr>
      </w:pPr>
    </w:p>
    <w:p>
      <w:pPr>
        <w:ind w:right="1120"/>
        <w:spacing w:after="0" w:line="288"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Market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“MU.”</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Holders of Record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2021, there were 1,844 shareholders of record of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Dividends</w:t>
      </w:r>
    </w:p>
    <w:p>
      <w:pPr>
        <w:spacing w:after="0" w:line="28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On August 2, 2021, we announced that our Board of Directors had declared a quarterly dividend of $0.10 per share, payable in cash on October 18, 2021, to shareholders of record as of the close of business on October 1, 2021.</w:t>
      </w:r>
    </w:p>
    <w:p>
      <w:pPr>
        <w:spacing w:after="0" w:line="22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8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information to be included in our 2021 Proxy Statement under the section entitled “Equity Compensation Plan Information,” which will be filed with the SEC within 120 days after September 2, 2021.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40" w:name="page41"/>
    <w:bookmarkEnd w:id="40"/>
    <w:p>
      <w:pPr>
        <w:spacing w:after="0"/>
        <w:rPr>
          <w:sz w:val="20"/>
          <w:szCs w:val="20"/>
          <w:color w:val="auto"/>
        </w:rPr>
      </w:pPr>
      <w:r>
        <w:rPr>
          <w:rFonts w:ascii="Arial" w:cs="Arial" w:eastAsia="Arial" w:hAnsi="Arial"/>
          <w:sz w:val="40"/>
          <w:szCs w:val="40"/>
          <w:b w:val="1"/>
          <w:bCs w:val="1"/>
          <w:color w:val="auto"/>
        </w:rPr>
        <w:t>Issuer Purchase of Equity Securities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Common Stock Repurchase Authorization</w:t>
      </w:r>
    </w:p>
    <w:p>
      <w:pPr>
        <w:spacing w:after="0" w:line="26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tbl>
      <w:tblPr>
        <w:tblLayout w:type="fixed"/>
        <w:tblInd w:w="0" w:type="dxa"/>
        <w:tblCellMar>
          <w:top w:w="0" w:type="dxa"/>
          <w:left w:w="0" w:type="dxa"/>
          <w:bottom w:w="0" w:type="dxa"/>
          <w:right w:w="0" w:type="dxa"/>
        </w:tblCellMar>
      </w:tblPr>
      <w:tr>
        <w:trPr>
          <w:trHeight w:val="191"/>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20" w:type="dxa"/>
            <w:vAlign w:val="bottom"/>
          </w:tcPr>
          <w:p>
            <w:pPr>
              <w:spacing w:after="0"/>
              <w:rPr>
                <w:sz w:val="16"/>
                <w:szCs w:val="16"/>
                <w:color w:val="auto"/>
              </w:rPr>
            </w:pPr>
          </w:p>
        </w:tc>
        <w:tc>
          <w:tcPr>
            <w:tcW w:w="8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Average</w:t>
            </w:r>
          </w:p>
        </w:tc>
        <w:tc>
          <w:tcPr>
            <w:tcW w:w="2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Total number of shares</w:t>
            </w:r>
          </w:p>
        </w:tc>
        <w:tc>
          <w:tcPr>
            <w:tcW w:w="3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Approximate dollar value of shares that</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3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may yet be purchased under publicly</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9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price paid</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3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 xml:space="preserve">announced plans or programs </w:t>
            </w:r>
            <w:r>
              <w:rPr>
                <w:rFonts w:ascii="Arial" w:cs="Arial" w:eastAsia="Arial" w:hAnsi="Arial"/>
                <w:sz w:val="18"/>
                <w:szCs w:val="18"/>
                <w:color w:val="auto"/>
                <w:w w:val="99"/>
              </w:rPr>
              <w:t>(in</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0090DA"/>
            </w:tcBorders>
          </w:tcPr>
          <w:p>
            <w:pPr>
              <w:spacing w:after="0"/>
              <w:rPr>
                <w:sz w:val="19"/>
                <w:szCs w:val="19"/>
                <w:color w:val="auto"/>
              </w:rPr>
            </w:pPr>
          </w:p>
        </w:tc>
        <w:tc>
          <w:tcPr>
            <w:tcW w:w="1960" w:type="dxa"/>
            <w:vAlign w:val="bottom"/>
            <w:tcBorders>
              <w:bottom w:val="single" w:sz="8" w:color="0090DA"/>
            </w:tcBorders>
            <w:vMerge w:val="continue"/>
          </w:tcPr>
          <w:p>
            <w:pPr>
              <w:spacing w:after="0"/>
              <w:rPr>
                <w:sz w:val="19"/>
                <w:szCs w:val="19"/>
                <w:color w:val="auto"/>
              </w:rPr>
            </w:pP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purchased</w:t>
            </w:r>
          </w:p>
        </w:tc>
        <w:tc>
          <w:tcPr>
            <w:tcW w:w="9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8"/>
              </w:rPr>
              <w:t>per share</w:t>
            </w:r>
          </w:p>
        </w:tc>
        <w:tc>
          <w:tcPr>
            <w:tcW w:w="2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4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9"/>
              </w:rPr>
              <w:t>millions)</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June 4, 2021</w:t>
            </w:r>
          </w:p>
        </w:tc>
        <w:tc>
          <w:tcPr>
            <w:tcW w:w="1960" w:type="dxa"/>
            <w:vAlign w:val="bottom"/>
            <w:shd w:val="clear" w:color="auto" w:fill="D1D2D4"/>
          </w:tcPr>
          <w:p>
            <w:pPr>
              <w:ind w:left="80"/>
              <w:spacing w:after="0"/>
              <w:rPr>
                <w:sz w:val="20"/>
                <w:szCs w:val="20"/>
                <w:color w:val="auto"/>
              </w:rPr>
            </w:pPr>
            <w:r>
              <w:rPr>
                <w:rFonts w:ascii="Arial" w:cs="Arial" w:eastAsia="Arial" w:hAnsi="Arial"/>
                <w:sz w:val="18"/>
                <w:szCs w:val="18"/>
                <w:color w:val="auto"/>
              </w:rPr>
              <w:t>– July 8, 2021</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1,872,825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80.48</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1,872,825</w:t>
            </w:r>
          </w:p>
        </w:tc>
        <w:tc>
          <w:tcPr>
            <w:tcW w:w="34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July 9, 2021</w:t>
            </w:r>
          </w:p>
        </w:tc>
        <w:tc>
          <w:tcPr>
            <w:tcW w:w="1960" w:type="dxa"/>
            <w:vAlign w:val="bottom"/>
          </w:tcPr>
          <w:p>
            <w:pPr>
              <w:ind w:left="80"/>
              <w:spacing w:after="0"/>
              <w:rPr>
                <w:sz w:val="20"/>
                <w:szCs w:val="20"/>
                <w:color w:val="auto"/>
              </w:rPr>
            </w:pPr>
            <w:r>
              <w:rPr>
                <w:rFonts w:ascii="Arial" w:cs="Arial" w:eastAsia="Arial" w:hAnsi="Arial"/>
                <w:sz w:val="18"/>
                <w:szCs w:val="18"/>
                <w:color w:val="auto"/>
              </w:rPr>
              <w:t>– August 5, 2021</w:t>
            </w:r>
          </w:p>
        </w:tc>
        <w:tc>
          <w:tcPr>
            <w:tcW w:w="1340" w:type="dxa"/>
            <w:vAlign w:val="bottom"/>
          </w:tcPr>
          <w:p>
            <w:pPr>
              <w:jc w:val="right"/>
              <w:spacing w:after="0"/>
              <w:rPr>
                <w:sz w:val="20"/>
                <w:szCs w:val="20"/>
                <w:color w:val="auto"/>
              </w:rPr>
            </w:pPr>
            <w:r>
              <w:rPr>
                <w:rFonts w:ascii="Arial" w:cs="Arial" w:eastAsia="Arial" w:hAnsi="Arial"/>
                <w:sz w:val="18"/>
                <w:szCs w:val="18"/>
                <w:color w:val="auto"/>
              </w:rPr>
              <w:t>7,735,146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76.63</w:t>
            </w:r>
          </w:p>
        </w:tc>
        <w:tc>
          <w:tcPr>
            <w:tcW w:w="2220" w:type="dxa"/>
            <w:vAlign w:val="bottom"/>
          </w:tcPr>
          <w:p>
            <w:pPr>
              <w:jc w:val="right"/>
              <w:spacing w:after="0"/>
              <w:rPr>
                <w:sz w:val="20"/>
                <w:szCs w:val="20"/>
                <w:color w:val="auto"/>
              </w:rPr>
            </w:pPr>
            <w:r>
              <w:rPr>
                <w:rFonts w:ascii="Arial" w:cs="Arial" w:eastAsia="Arial" w:hAnsi="Arial"/>
                <w:sz w:val="18"/>
                <w:szCs w:val="18"/>
                <w:color w:val="auto"/>
              </w:rPr>
              <w:t>7,735,146</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August 6, 2021</w:t>
            </w:r>
          </w:p>
        </w:tc>
        <w:tc>
          <w:tcPr>
            <w:tcW w:w="1960" w:type="dxa"/>
            <w:vAlign w:val="bottom"/>
            <w:shd w:val="clear" w:color="auto" w:fill="D1D2D4"/>
          </w:tcPr>
          <w:p>
            <w:pPr>
              <w:ind w:left="80"/>
              <w:spacing w:after="0"/>
              <w:rPr>
                <w:sz w:val="20"/>
                <w:szCs w:val="20"/>
                <w:color w:val="auto"/>
              </w:rPr>
            </w:pPr>
            <w:r>
              <w:rPr>
                <w:rFonts w:ascii="Arial" w:cs="Arial" w:eastAsia="Arial" w:hAnsi="Arial"/>
                <w:sz w:val="18"/>
                <w:szCs w:val="18"/>
                <w:color w:val="auto"/>
              </w:rPr>
              <w:t>– September 2, 2021</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4,242,303</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72.29</w:t>
            </w:r>
          </w:p>
        </w:tc>
        <w:tc>
          <w:tcPr>
            <w:tcW w:w="2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4,242,303</w:t>
            </w:r>
          </w:p>
        </w:tc>
        <w:tc>
          <w:tcPr>
            <w:tcW w:w="34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13,850,274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75.82</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13,850,274</w:t>
            </w:r>
          </w:p>
        </w:tc>
        <w:tc>
          <w:tcPr>
            <w:tcW w:w="3460" w:type="dxa"/>
            <w:vAlign w:val="bottom"/>
          </w:tcPr>
          <w:p>
            <w:pPr>
              <w:jc w:val="right"/>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the amounts in the table above.</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Performance Graph</w:t>
      </w:r>
    </w:p>
    <w:p>
      <w:pPr>
        <w:spacing w:after="0" w:line="2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graph illustrates a five-year comparison of cumulative total returns for our common stock, the S&amp;P 500 Composite Index, and the Philadelphia Semiconductor Index (SOX) from August 31, 2016, through August 31, 2021. We operate on a 52 or 53 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09285" cy="2623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928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Note: Management cautions that the stock price performance information shown in the graph above may not be indicative of current stock price levels or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1" w:name="page42"/>
    <w:bookmarkEnd w:id="41"/>
    <w:p>
      <w:pPr>
        <w:jc w:val="both"/>
        <w:ind w:right="260"/>
        <w:spacing w:after="0" w:line="256" w:lineRule="auto"/>
        <w:rPr>
          <w:sz w:val="20"/>
          <w:szCs w:val="20"/>
          <w:color w:val="auto"/>
        </w:rPr>
      </w:pPr>
      <w:r>
        <w:rPr>
          <w:rFonts w:ascii="Arial" w:cs="Arial" w:eastAsia="Arial" w:hAnsi="Arial"/>
          <w:sz w:val="18"/>
          <w:szCs w:val="18"/>
          <w:color w:val="auto"/>
        </w:rPr>
        <w:t>The performance graph above assumes $100 was invested on August 31, 2016 in common stock of Micron Technology, Inc., the S&amp;P 500 Composite Index, and the Philadelphia Semiconductor Index (SOX). Any dividends paid during the period presented were assumed to be reinvested. The performance was plotted using the following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0090DA"/>
            </w:tcBorders>
          </w:tcPr>
          <w:p>
            <w:pPr>
              <w:spacing w:after="0"/>
              <w:rPr>
                <w:sz w:val="20"/>
                <w:szCs w:val="20"/>
                <w:color w:val="auto"/>
              </w:rPr>
            </w:pPr>
          </w:p>
        </w:tc>
        <w:tc>
          <w:tcPr>
            <w:tcW w:w="88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34"/>
        </w:trPr>
        <w:tc>
          <w:tcPr>
            <w:tcW w:w="3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Inc.</w:t>
            </w:r>
          </w:p>
        </w:tc>
        <w:tc>
          <w:tcPr>
            <w:tcW w:w="8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S&amp;P 500 Composite Index</w:t>
            </w:r>
          </w:p>
        </w:tc>
        <w:tc>
          <w:tcPr>
            <w:tcW w:w="8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Philadelphia Semiconductor Index (SOX)</w:t>
            </w:r>
          </w:p>
        </w:tc>
        <w:tc>
          <w:tcPr>
            <w:tcW w:w="8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pacing w:after="0" w:line="200" w:lineRule="exact"/>
        <w:rPr>
          <w:sz w:val="20"/>
          <w:szCs w:val="20"/>
          <w:color w:val="auto"/>
        </w:rPr>
      </w:pPr>
    </w:p>
    <w:p>
      <w:pPr>
        <w:spacing w:after="0" w:line="296"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for the year ended September 2, 2021. All period references are to our fiscal periods unless otherwise indicated. Our fiscal year is the 52 or 53-week period ending on the Thursday closest to August 31. Fiscal 2021 contained 52 weeks, fiscal 2020 contained 53 weeks, and fiscal 2019 contained 52 weeks. Our fourth quarter of fiscal 2020 contained 14 weeks and all other fiscal quarters in the years presented contained 13 weeks</w:t>
      </w:r>
      <w:r>
        <w:rPr>
          <w:rFonts w:ascii="Arial" w:cs="Arial" w:eastAsia="Arial" w:hAnsi="Arial"/>
          <w:sz w:val="18"/>
          <w:szCs w:val="18"/>
          <w:color w:val="auto"/>
        </w:rPr>
        <w:t>.</w:t>
      </w:r>
      <w:r>
        <w:rPr>
          <w:rFonts w:ascii="Arial" w:cs="Arial" w:eastAsia="Arial" w:hAnsi="Arial"/>
          <w:sz w:val="18"/>
          <w:szCs w:val="18"/>
          <w:i w:val="1"/>
          <w:iCs w:val="1"/>
          <w:color w:val="auto"/>
        </w:rPr>
        <w:t xml:space="preserve"> All tabular dollar amounts are in millions, except per share amounts.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an overview of our business and certain related trends, see “Part I – Item 1. Business – Overview.”</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0090DA"/>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23,406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28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69 %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54 %</w:t>
            </w:r>
          </w:p>
        </w:tc>
      </w:tr>
      <w:tr>
        <w:trPr>
          <w:trHeight w:val="223"/>
        </w:trPr>
        <w:tc>
          <w:tcPr>
            <w:tcW w:w="58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10,702</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46 %</w:t>
            </w:r>
          </w:p>
        </w:tc>
      </w:tr>
      <w:tr>
        <w:trPr>
          <w:trHeight w:val="257"/>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2,441</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Borders>
              <w:top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280" w:type="dxa"/>
            <w:vAlign w:val="bottom"/>
            <w:tcBorders>
              <w:top w:val="single" w:sz="8" w:color="D1D2D4"/>
            </w:tcBorders>
            <w:shd w:val="clear" w:color="auto" w:fill="D1D2D4"/>
          </w:tcPr>
          <w:p>
            <w:pPr>
              <w:spacing w:after="0"/>
              <w:rPr>
                <w:sz w:val="19"/>
                <w:szCs w:val="19"/>
                <w:color w:val="auto"/>
              </w:rPr>
            </w:pPr>
          </w:p>
        </w:tc>
        <w:tc>
          <w:tcPr>
            <w:tcW w:w="6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7,376</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32 %</w:t>
            </w:r>
          </w:p>
        </w:tc>
      </w:tr>
      <w:tr>
        <w:trPr>
          <w:trHeight w:val="256"/>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Pr>
          <w:p>
            <w:pPr>
              <w:ind w:left="400"/>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5,861</w:t>
            </w:r>
          </w:p>
        </w:tc>
        <w:tc>
          <w:tcPr>
            <w:tcW w:w="3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21 % $</w:t>
            </w:r>
          </w:p>
        </w:tc>
        <w:tc>
          <w:tcPr>
            <w:tcW w:w="700" w:type="dxa"/>
            <w:vAlign w:val="bottom"/>
          </w:tcPr>
          <w:p>
            <w:pPr>
              <w:jc w:val="right"/>
              <w:spacing w:after="0"/>
              <w:rPr>
                <w:sz w:val="20"/>
                <w:szCs w:val="20"/>
                <w:color w:val="auto"/>
              </w:rPr>
            </w:pPr>
            <w:r>
              <w:rPr>
                <w:rFonts w:ascii="Arial" w:cs="Arial" w:eastAsia="Arial" w:hAnsi="Arial"/>
                <w:sz w:val="18"/>
                <w:szCs w:val="18"/>
                <w:color w:val="auto"/>
              </w:rPr>
              <w:t>2,687</w:t>
            </w:r>
          </w:p>
        </w:tc>
        <w:tc>
          <w:tcPr>
            <w:tcW w:w="2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13 % $</w:t>
            </w:r>
          </w:p>
        </w:tc>
        <w:tc>
          <w:tcPr>
            <w:tcW w:w="700" w:type="dxa"/>
            <w:vAlign w:val="bottom"/>
          </w:tcPr>
          <w:p>
            <w:pPr>
              <w:jc w:val="right"/>
              <w:spacing w:after="0"/>
              <w:rPr>
                <w:sz w:val="20"/>
                <w:szCs w:val="20"/>
                <w:color w:val="auto"/>
              </w:rPr>
            </w:pPr>
            <w:r>
              <w:rPr>
                <w:rFonts w:ascii="Arial" w:cs="Arial" w:eastAsia="Arial" w:hAnsi="Arial"/>
                <w:sz w:val="18"/>
                <w:szCs w:val="18"/>
                <w:color w:val="auto"/>
              </w:rPr>
              <w:t>6,313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1"/>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2021 increased 29% as compared to 2020 primarily due to increases in DRAM and NAND sales.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for 2021 increased 38% as compared to 2020 primarily due to growth in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ind w:right="20"/>
        <w:spacing w:after="0" w:line="253" w:lineRule="auto"/>
        <w:rPr>
          <w:sz w:val="20"/>
          <w:szCs w:val="20"/>
          <w:color w:val="auto"/>
        </w:rPr>
      </w:pPr>
      <w:r>
        <w:rPr>
          <w:rFonts w:ascii="Arial" w:cs="Arial" w:eastAsia="Arial" w:hAnsi="Arial"/>
          <w:sz w:val="18"/>
          <w:szCs w:val="18"/>
          <w:color w:val="auto"/>
        </w:rPr>
        <w:t>bit shipments in the high-20% range and a high single-digit percent increase in average selling prices. Sales of NAND products for 2021 increased 14% as compared to 2020 primarily due to increases in bit shipments in the high-20% range, partially offset by a low-10% range decline in average selling prices. In the first quarter of 2022, we expect that our bit shipments may be adversely impacted as some customers are adjusting their memory and storage purchases due to shortages of non-memory components and due to constraints within our supply chain for certain IC components.</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Total revenue for 2020 decreased 8% as compared to 2019 primarily due to a decline in DRAM sales partially offset by an increase in NAND sales. Sales of DRAM products for 2020 decreased 14% as compared to 2019 as average selling prices declined in the mid-30% range due to challenging market conditions, partially offset by growth in bit shipments in the low-30% range driven by cloud server, enterprise server, and mobile markets. Sales of NAND products for 2020 increased 14% as compared to 2019 primarily due to increases in bit shipments in the mid-20% range driven by sales of SSDs to data center customers and sales of managed NAND products, partially offset by a high-single-digit percent decline in average selling prices.</w:t>
      </w:r>
    </w:p>
    <w:p>
      <w:pPr>
        <w:spacing w:after="0" w:line="21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increased to 38% for 2021 from 31% for 2020, primarily due to the increases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average selling prices and cost reductions resulting from strong execution in delivering products featuring advanced technologies, partially offset by the declines in NAND average selling prices. Our gross margins included the impact of underutilization costs at MTU of $335 million for 2021, $557 million for 2020, and $ 384 million for 2019. Underutilization costs at MTU declined in 2021 primarily due to the plan to sell MTU’s Lehi facility and classification of assets as held for sale at the end of the second quarter of 2021, which resulted in the cessation of depreciation on those assets (See “Item 8. Financial Statements and Supplementary Data – Notes to Consolidated Financial Statements – Lehi, Utah Fab and 3D XPoint”). Effective as of the beginning of the second quarter of 2021, we changed our method of inventory costing from average cost to first-in, first-out (“FIFO”). Concurrently, as of the beginning of the second quarter of 2021, we modified our inventory cost absorption processes used to estimate inventory values, which affects the timing of when costs are recognized. These changes resulted in a one-time increase to cost of goods sold of approximately $293 million in 2021.</w:t>
      </w:r>
    </w:p>
    <w:p>
      <w:pPr>
        <w:spacing w:after="0" w:line="23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overall gross margin percentage decreased to 31% for 2020 from 46% for 2019, primarily due to declines in average selling prices, partially offset by the effect of decreases in non-cash depreciation expense from the revision in estimated useful lives of equipment in our NAND wafer fabrication facilities, cost reductions resulting from strong execution in delivering products featuring advanced technologies, and continuous improvement initiatives to reduce production costs. Based on our assessment of planned technology node transitions, capital spending, and re-use rates, we revised the estimated useful lives of the existing equipment in our NAND wafer fabrication facilities and our research and development facilities from five years to seven years as of the beginning of the first quarter of 2020. The revision in estimated useful lives reduced NAND manufacturing depreciation expense and benefited cost of goods sold by approximately $400 million for 2020.</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Borders>
              <w:bottom w:val="single" w:sz="8" w:color="0090DA"/>
            </w:tcBorders>
          </w:tcPr>
          <w:p>
            <w:pPr>
              <w:spacing w:after="0"/>
              <w:rPr>
                <w:sz w:val="20"/>
                <w:szCs w:val="20"/>
                <w:color w:val="auto"/>
              </w:rPr>
            </w:pPr>
          </w:p>
        </w:tc>
        <w:tc>
          <w:tcPr>
            <w:tcW w:w="106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0090DA"/>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12,280</w:t>
            </w:r>
          </w:p>
        </w:tc>
        <w:tc>
          <w:tcPr>
            <w:tcW w:w="3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44 %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9,184</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43 %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9,968</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MBU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5,702</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3,973</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3,765</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3,826</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4,209</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2,759</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27,705</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21,435</w:t>
            </w:r>
          </w:p>
        </w:tc>
        <w:tc>
          <w:tcPr>
            <w:tcW w:w="3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23,406</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2021 as compared to 2020 were as follows:</w:t>
      </w:r>
    </w:p>
    <w:p>
      <w:pPr>
        <w:spacing w:after="0" w:line="252" w:lineRule="exact"/>
        <w:rPr>
          <w:sz w:val="20"/>
          <w:szCs w:val="20"/>
          <w:color w:val="auto"/>
        </w:rPr>
      </w:pPr>
    </w:p>
    <w:p>
      <w:pPr>
        <w:ind w:left="660" w:right="2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CNBU revenue increased 34% primarily due to broad-based increases in bit shipments across markets and higher average selling prices for DRAM.</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MBU revenue increased 26% primarily due to increases in bit shipments for high-value mobile MCP products.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SBU revenue increased 6% as increases in bit shipments for NAND products outpaced declines in average selling prices.</w:t>
      </w:r>
    </w:p>
    <w:p>
      <w:pPr>
        <w:spacing w:after="0" w:line="9" w:lineRule="exact"/>
        <w:rPr>
          <w:rFonts w:ascii="Arial" w:cs="Arial" w:eastAsia="Arial" w:hAnsi="Arial"/>
          <w:sz w:val="18"/>
          <w:szCs w:val="18"/>
          <w:color w:val="auto"/>
        </w:rPr>
      </w:pPr>
    </w:p>
    <w:p>
      <w:pPr>
        <w:ind w:left="660" w:right="26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EBU revenue increased 53% primarily due to increases in bit shipments driven by strong demand growth in automotive, industrial, and consumer markets and improved pricing in industrial and consumer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2020 as compared to 2019 were as follows:</w:t>
      </w:r>
    </w:p>
    <w:p>
      <w:pPr>
        <w:spacing w:after="0" w:line="252" w:lineRule="exact"/>
        <w:rPr>
          <w:sz w:val="20"/>
          <w:szCs w:val="20"/>
          <w:color w:val="auto"/>
        </w:rPr>
      </w:pP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CNBU revenue decreased 8% primarily due to DRAM price declines driven by imbalances in supply and demand, partially offset by bit sales growth across key markets, particularly in the cloud server and graphics markets. In addition, in the second quarter of 2020, we determined that the 3D XPoint technology and product roadmap were more closely aligned with our CNBU strategy than our SBU strategy and 3D XPoint became an integral part of CNBU. Accordingly, we began to report all 3D XPoint activities within CNBU from that date.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MBU revenue decreased 11% primarily due to price declines, partially offset by bit sales growth for high-value mobile MCP products.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SBU revenue decreased 2% primarily due to the decline in 3D XPoint revenue in SBU after the first quarter of 2020 as noted above and NAND selling price declines, partially offset by bit sales growth for SSDs. SBU revenue included products manufactured and sold to Intel under a long-term supply agreement at prices approximating cost, which included 3D XPoint memory and NAND, aggregating $124 million for 2020 and $682 million for 2019.</w:t>
      </w:r>
    </w:p>
    <w:p>
      <w:pPr>
        <w:spacing w:after="0" w:line="1" w:lineRule="exact"/>
        <w:rPr>
          <w:rFonts w:ascii="Arial" w:cs="Arial" w:eastAsia="Arial" w:hAnsi="Arial"/>
          <w:sz w:val="18"/>
          <w:szCs w:val="18"/>
          <w:color w:val="auto"/>
        </w:rPr>
      </w:pPr>
    </w:p>
    <w:p>
      <w:pPr>
        <w:ind w:left="660" w:right="540" w:hanging="328"/>
        <w:spacing w:after="0"/>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EBU revenue decreased 12% primarily due to price declines resulting from the impact of the global COVID-19 pandemic on automotive, industrial, and consumer segments partially offset by bit sales growth from transitions to an increasing mix of high-density DRAM and NAND products.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0090DA"/>
            </w:tcBorders>
          </w:tcPr>
          <w:p>
            <w:pPr>
              <w:spacing w:after="0"/>
              <w:rPr>
                <w:sz w:val="20"/>
                <w:szCs w:val="20"/>
                <w:color w:val="auto"/>
              </w:rPr>
            </w:pPr>
          </w:p>
        </w:tc>
      </w:tr>
      <w:tr>
        <w:trPr>
          <w:trHeight w:val="34"/>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4,295</w:t>
            </w:r>
          </w:p>
        </w:tc>
        <w:tc>
          <w:tcPr>
            <w:tcW w:w="34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00"/>
              <w:spacing w:after="0"/>
              <w:rPr>
                <w:sz w:val="20"/>
                <w:szCs w:val="20"/>
                <w:color w:val="auto"/>
              </w:rPr>
            </w:pPr>
            <w:r>
              <w:rPr>
                <w:rFonts w:ascii="Arial" w:cs="Arial" w:eastAsia="Arial" w:hAnsi="Arial"/>
                <w:sz w:val="18"/>
                <w:szCs w:val="18"/>
                <w:color w:val="auto"/>
              </w:rPr>
              <w:t>35 %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22 %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4,645</w:t>
            </w:r>
          </w:p>
        </w:tc>
        <w:tc>
          <w:tcPr>
            <w:tcW w:w="34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1,074</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2,606</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(386)</w:t>
            </w:r>
          </w:p>
        </w:tc>
        <w:tc>
          <w:tcPr>
            <w:tcW w:w="34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923</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22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r>
      <w:tr>
        <w:trPr>
          <w:trHeight w:val="223"/>
        </w:trPr>
        <w:tc>
          <w:tcPr>
            <w:tcW w:w="58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7,667</w:t>
            </w: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3,419</w:t>
            </w: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7,801</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2021 as compared to 2020 were as follows:</w:t>
      </w:r>
    </w:p>
    <w:p>
      <w:pPr>
        <w:spacing w:after="0" w:line="252" w:lineRule="exact"/>
        <w:rPr>
          <w:sz w:val="20"/>
          <w:szCs w:val="20"/>
          <w:color w:val="auto"/>
        </w:rPr>
      </w:pPr>
    </w:p>
    <w:p>
      <w:pPr>
        <w:ind w:left="660" w:right="40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bit shipments, higher average selling prices, manufacturing cost reductions, and lower MTU underutilization costs.</w:t>
      </w:r>
    </w:p>
    <w:p>
      <w:pPr>
        <w:ind w:left="660" w:right="14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sales of high-value MCP products, manufacturing cost reductions for low-power DRAM, and increases in DRAM bit shipments.</w:t>
      </w:r>
    </w:p>
    <w:p>
      <w:pPr>
        <w:ind w:left="660" w:right="62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SBU operating income increased primarily due to lower manufacturing costs and increases in bit shipments, partially offset by decreases in selling prices and higher R&amp;D costs.</w:t>
      </w:r>
    </w:p>
    <w:p>
      <w:pPr>
        <w:ind w:left="660" w:right="50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EBU operating income increased primarily due to improved pricing in industrial and consumer markets, cost reductions from an increasing mix of leading edge bits, and higher bit shipments.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2020 as compared to 2019 were as follows:</w:t>
      </w:r>
    </w:p>
    <w:p>
      <w:pPr>
        <w:spacing w:after="0" w:line="252" w:lineRule="exact"/>
        <w:rPr>
          <w:sz w:val="20"/>
          <w:szCs w:val="20"/>
          <w:color w:val="auto"/>
        </w:rPr>
      </w:pPr>
    </w:p>
    <w:p>
      <w:pPr>
        <w:ind w:left="660" w:right="1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DRAM pricing and MTU underutilization costs in 2020 related to 3D XPoint.</w:t>
      </w:r>
    </w:p>
    <w:p>
      <w:pPr>
        <w:ind w:left="660" w:right="30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low-power DRAM and NAND pricing, partially offset by increases in sales of high-value MCP products and manufacturing cost reductions.</w:t>
      </w:r>
    </w:p>
    <w:p>
      <w:pPr>
        <w:ind w:left="660" w:right="1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SBU operating margin improved primarily due to lower 3D XPoint underutilization costs, manufacturing cost reductions, increases in sales volumes, and improved product mix, partially offset by declines in selling prices.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4" w:name="page45"/>
    <w:bookmarkEnd w:id="44"/>
    <w:p>
      <w:pPr>
        <w:ind w:left="660" w:right="2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EBU operating income decreased as a result of declines in pricing, partially offset by increases in sales volumes to the automotive and industrial markets.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2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R&amp;D expenses for 2021 increased 2% as compared to 2020 primarily due to increases in employee compensation and depreciation expense resulting from higher capital spending, partially offset by lower volumes of development and prequalification wafers. R&amp;D expenses for 2020 were 7% higher as compared to 2019 primarily due to increases in volumes of development and pre-qualification wafers, a reduction of R&amp;D reimbursements from our partners, increases in employee compensation, and increases in subcontractor expense, partially offset by lower depreciation expense from the revision of the estimated useful lives of equipment.</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2021 were relatively unchanged as compared to 2020. SG&amp;A expenses for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5% higher as compared to 2019 due to increases in employee compensation and legal costs, partially offset by a reduction in consulting fees.</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Restructure and Asset Impairments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2021, we ceased development of 3D XPoint technology and classified our Lehi facility assets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for sale. We recognized a restructure charge of $435 million to write down the assets held for sale to the expected consideration to be received under our agreement with TI. For further discussion see “Item 8. Financial Statements and Supplementary Data – Notes to Consolidated Financial Statements – Lehi, Utah Fab and 3D XPoint.”</w:t>
      </w:r>
    </w:p>
    <w:p>
      <w:pPr>
        <w:spacing w:after="0" w:line="203"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b w:val="1"/>
          <w:bCs w:val="1"/>
          <w:i w:val="1"/>
          <w:iCs w:val="1"/>
          <w:color w:val="auto"/>
        </w:rPr>
        <w:t>Other Operating and Non-Operating Income (Expense)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See “Item 8. Financial Statements and Supplementary Data – Notes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Financial Statements – Other Operating (Income) Expense, Net” and “ – Other Non-Operating Income (Expense), Net.”</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Interest Income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interest expense for 2021 increased by $66 million as compared to 2020 primarily due a decrease of $77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interest income as a result of decreases in interest rates on our cash and investments. Net interest expense for 2020 was $80 million, as compared to $77 million of net interest income for 2019 (a change of $157 million), primarily due to (1) a $91 million decrease in interest income as a result of decreases in interest rates, partially offset by higher average levels of cash and investment balances and (2) a $66 million increase in interest expense primarily due to an increase in our average debt outstanding and a reduction in the amount of interest expense capitalized in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20" w:type="dxa"/>
            <w:vAlign w:val="bottom"/>
          </w:tcPr>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64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620" w:type="dxa"/>
            <w:vAlign w:val="bottom"/>
            <w:tcBorders>
              <w:bottom w:val="single" w:sz="8" w:color="0090DA"/>
            </w:tcBorders>
          </w:tcPr>
          <w:p>
            <w:pPr>
              <w:spacing w:after="0"/>
              <w:rPr>
                <w:sz w:val="22"/>
                <w:szCs w:val="22"/>
                <w:color w:val="auto"/>
              </w:rPr>
            </w:pPr>
          </w:p>
        </w:tc>
        <w:tc>
          <w:tcPr>
            <w:tcW w:w="120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34"/>
        </w:trPr>
        <w:tc>
          <w:tcPr>
            <w:tcW w:w="6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6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6,218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2,983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7,048</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62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(693)</w:t>
            </w:r>
          </w:p>
        </w:tc>
      </w:tr>
      <w:tr>
        <w:trPr>
          <w:trHeight w:val="229"/>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6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6.3 %</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9.4 %</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9.8 %</w:t>
            </w:r>
          </w:p>
        </w:tc>
      </w:tr>
    </w:tbl>
    <w:p>
      <w:pPr>
        <w:spacing w:after="0" w:line="3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effective tax rate decreased in 2021 as compared to 2020 primarily as a result of a $104 million tax benefit recorded for the discrete $435 million charge to write down the Lehi assets held for sale to the estimated consideration to be realized from the sale of these assets, less expected selling costs. Other changes to our effective tax rate in the periods presented were primarily due to the geographic mix of our earnings. Our income tax provision decreased in 2020 as compared to 2019 primarily as a result of reductions in our profit before tax.</w:t>
      </w:r>
    </w:p>
    <w:p>
      <w:pPr>
        <w:spacing w:after="0" w:line="23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5" w:name="page46"/>
    <w:bookmarkEnd w:id="45"/>
    <w:p>
      <w:pPr>
        <w:ind w:right="100"/>
        <w:spacing w:after="0" w:line="261" w:lineRule="auto"/>
        <w:rPr>
          <w:sz w:val="20"/>
          <w:szCs w:val="20"/>
          <w:color w:val="auto"/>
        </w:rPr>
      </w:pPr>
      <w:r>
        <w:rPr>
          <w:rFonts w:ascii="Arial" w:cs="Arial" w:eastAsia="Arial" w:hAnsi="Arial"/>
          <w:sz w:val="18"/>
          <w:szCs w:val="18"/>
          <w:color w:val="auto"/>
        </w:rPr>
        <w:t>arrangements reduced our tax provision by $758 million (benefiting our diluted earnings per share by $0.66) for 2021, by $215 million ($0.19 per diluted share) for 2020, and by $756 million ($0.66 per diluted share) for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Income Taxes.”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Liquidity and Capital Resources</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September 2, 2021, $2.50 billion was available to draw under our Revolving Credit Facility. We expect to receive $900 million of proceeds from the sale of our Lehi facility to TI in the first quarter of 2022.</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and marketable investments totaled $10.40 billion as of September 2, 2021 and $9.19 billion as of September 3, 2020. Our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September 2, 2021, $3.69 billion of our cash and marketable investments was held by our foreign subsidiaries.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2022 for property, plant, and equipment, net of partner contributions, to be between $11 billion and $12 billion, and we expect the timing of our capital expenditures to be weighted more toward the first half of 2022. Capital expenditures for 2022 are driven by our continued 176-layer NAND transition, pilot line enablement for next generation NAND and DRAM, and continued infrastructure and prepayments to support the introduction of EUV lithography. Actual amounts for 2022 will vary depending on market conditions. As of September 2, 2021, we had purchase obligations of approximately $2.87 billion for the acquisition of property, plant, and equipment, of which approximately $2.56 billion is expected to be paid within one year.</w:t>
      </w:r>
    </w:p>
    <w:p>
      <w:pPr>
        <w:spacing w:after="0" w:line="232"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For a description of contractual obligations, such as debt, leases, and purchase obligations, see “Item 8. Financial Statements and Supplementary Data – Notes to Consolidated Financial Statements – Debt,” “ – Leases,” and “ – Commitments.”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a Rule 10b5-1 trading plan. The repurchase authorization has no expiration date, does not obligate us to acquire any common stock, and is subject to market conditions and our ongoing determination of the best use of available cash. Through September 2, 2021, we have repurchased an aggregate of $4.04 billion of the authorized amount. See “Item 8. Financial Statements and Supplementary Data – Notes to Consolidated Financial Statements – Equity.”</w:t>
      </w:r>
    </w:p>
    <w:p>
      <w:pPr>
        <w:spacing w:after="0" w:line="2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August 2, 2021, we announced that our Board of Directors had declared a quarterly dividend of $0.10 per share, payable in cash on October 18, 2021, to shareholders of record as of the close of business on October 1, 2021.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8,306</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13,189</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(10,589)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(10,085)</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(2,438)</w:t>
            </w:r>
          </w:p>
        </w:tc>
      </w:tr>
      <w:tr>
        <w:trPr>
          <w:trHeight w:val="188"/>
        </w:trPr>
        <w:tc>
          <w:tcPr>
            <w:tcW w:w="6900" w:type="dxa"/>
            <w:vAlign w:val="bottom"/>
          </w:tcPr>
          <w:p>
            <w:pPr>
              <w:ind w:left="20"/>
              <w:spacing w:after="0" w:line="189" w:lineRule="exact"/>
              <w:rPr>
                <w:sz w:val="20"/>
                <w:szCs w:val="20"/>
                <w:color w:val="auto"/>
              </w:rPr>
            </w:pPr>
            <w:r>
              <w:rPr>
                <w:rFonts w:ascii="Arial" w:cs="Arial" w:eastAsia="Arial" w:hAnsi="Arial"/>
                <w:sz w:val="18"/>
                <w:szCs w:val="18"/>
                <w:color w:val="auto"/>
              </w:rPr>
              <w:t>Effect of changes in currency exchange rates on cash, cash equivalents, and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692</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Cash provided by operating activities reflects net income adjusted for certain non-cash items, including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amortization of intangible assets, asset impairments, and stock-based compensation, and the effects of changes in operating assets and liabilities. The increase in cash provided by operating activities for 2021 as compared to 2020 was primarily due to higher net income adjusted for non-cash items compared with the prior period and the effect of lower inventories, partially offset by an increase in receivables due to a higher level of sales. The decrease in cash provided by operating activities for 2020 compared with 2019 was primarily due to lower net income and changes in working capital.</w:t>
      </w:r>
    </w:p>
    <w:p>
      <w:pPr>
        <w:spacing w:after="0" w:line="214"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2021, net cash used for investing activities consisted primarily of $ 10.03 billion of expenditures for property,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partially offset by inflows of $502 million of partner contributions for capital expenditures, and $1.06 billion of net outflows from purchases, sales, and maturities of available-for-sale securities.</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2020, net cash used for investing activities consisted primarily of $8.22 billion of expenditures for property, plant, and equipment, partially offset by inflows of $272 million of partner contributions for capital expenditures, and $415 million of net inflows from purchases, sales, and maturities of available-for-sale securities.</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2019, net cash used for investing activities consisted primarily of $9.78 billion of expenditures for property, plant, and equipment, partially offset by inflows of $754 million of partner contributions for capital expenditures. Net cash used for investing activities also included $1.17 billion of net outflows from purchases, sales, and maturities of available-for-sale securities.</w:t>
      </w:r>
    </w:p>
    <w:p>
      <w:pPr>
        <w:spacing w:after="0" w:line="211"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2021, net cash used for financing activities consisted primarily of $1.20 billion for the acquisition of 15.6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under our $10 billion share repurchase authorization, $295 million of payments on equipment purchase contracts, $185 million of cash payments to settle conversions of our 2032D Notes, and $147 million of repayments of finance leases and other debt. In addition, we received proceeds of $1.19 billion under an unsecured 2024 Term Loan A and used the proceeds to repay the $1.19 billion Extinguished 2024 Term Loan 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2020, net cash used for financing activities consisted primarily of $4.37 billion of cash payments to reduce our debt, including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to pay down borrowings under our Revolving Credit Facility, $621 million for repayments of IMFT’s debt obligations to Intel,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$534 million to prepay our 2025 Notes, $266 million to settle conversions of notes, and $248 million for scheduled repayment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leases; $744 million for the acquisition of Intel’s noncontrolling interest in IMFT; and $176 million for the acquisition of 3.6 million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under our share repurchase authorization. Cash used for financing activities was partially offset by proceeds of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from our Revolving Credit Facility, $1.25 billion from the 2023 Notes, and $1.25 billion from the Extinguished 2024 Term Loan A.</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2019, net cash used for financing activities consisted primarily of $2.66 billion for the acquisition of 67 million shares of treasury stock under our share repurchase authorization and cash payments to reduce our debt, including $1.65 billion to settle conversions of notes, $728 million to prepay the 2022 Term Loan B, $316 million for repayments of IMFT’s debt obligations to Intel, and $643 million for scheduled repayment of other notes and capital leases. Cash used for financing activities was partially offset by net proceeds of $3.53 billion from the aggregate issuance of the 2024 Notes, 2026 Notes, 2027 Notes, 2029 Notes, and 2030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0090DA"/>
        </w:rPr>
        <w:t>Critical Accounting Estimates</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Significant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test goodwill for impairment in our fourth quarter each year, or more frequently if indicators of an impairment exist,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would record an impairment loss up to the difference between the carrying value and implied fair value. For 2021, our qualitative assessment indicated that the fair value for all of our reporting units substantially exceeded their carrying value and that a quantitative assessment was unnecessary.</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We test the reasonableness of the output of our long-range planning process by calculating an implied value per share and comparing that to current stock prices, analysts’ consensus pricing, and management’s expectations.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required to estimate our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Our income tax provision or benefit is dependent, in part, on our ability to forecast future taxable income in Japan, the United States,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2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FIFO basis. Effective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beginning of the second quarter of 2021, we changed our method of inventory</w:t>
      </w:r>
    </w:p>
    <w:p>
      <w:pPr>
        <w:spacing w:after="0" w:line="39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ind w:right="40"/>
        <w:spacing w:after="0" w:line="251" w:lineRule="auto"/>
        <w:rPr>
          <w:sz w:val="20"/>
          <w:szCs w:val="20"/>
          <w:color w:val="auto"/>
        </w:rPr>
      </w:pPr>
      <w:r>
        <w:rPr>
          <w:rFonts w:ascii="Arial" w:cs="Arial" w:eastAsia="Arial" w:hAnsi="Arial"/>
          <w:sz w:val="18"/>
          <w:szCs w:val="18"/>
          <w:color w:val="auto"/>
        </w:rPr>
        <w:t>costing from average cost to FIFO. Cost includes depreciation, labor, material, and overhead costs, including product and process technology costs. Determining net realizable value of inventories involves significant judgments, including projecting future average selling prices and future sales volumes. To project average selling prices and sales volumes, we review recent sales volumes, existing customer orders, current contract prices, industry analyses of supply and demand, seasonal factors, general economic trends, and other information. Actual selling prices and volumes may vary significantly from projected prices and volumes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inventory by approximately $301 million as of September 2, 2021. Due to the volatile nature of the semiconductor memory and storage markets, actual selling prices and volumes often vary significantly from projected prices and volumes; as a result, the timing of when product costs are charged to operations can vary significantly.</w:t>
      </w:r>
    </w:p>
    <w:p>
      <w:pPr>
        <w:spacing w:after="0" w:line="23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average cost or net realizable value analysis and categorize all inventories (including DRAM, NAND, and other memory) as a single group.</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periodically assess the estimated useful lives of our property, plant, and equipment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node 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 In addition, significant judgment is required in determining the groups of assets for which impairment tests are separately performed.</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primarily recognized at a point in time when control of the promised goods is transferred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Recently Adopted Accounting Standards.”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Interest Rate Risk</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September 2, 2021 and September 3, 2020, we had fixed-rate debt of $3.9 billion and $4.9 billion, respectively, and as a result, the fair value of our debt fluctuates with changes in market interest rates. We estimate that, as of September 2, 2021 and September 3, 2020, a decrease in market interest rates of 1% would increase the fair value of our fixed-rate debt by approximately $ 200 million and $300 million, respectively. As of September 2, 2021, we had variable-rate debt of $2.09 billion and, therefore, a 1% increase in the interest rates of our variable-rate debt would result in an increase in annual interest expense of approximately $21 million. As of September 3, 2020, we had variable-rate debt of $1.25 billion and, therefore, a 1% increase in the interest rates of our variable-rate debt would result in an increase in annual interest expense of approximately $13 million.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Foreign Currency Exchange Rate Risk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section should be read in conjunction with the information related to changes in the currency exchange rates in “Part I</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 Item 1A. Risk Factors.” Changes in currency exchange rates could materially adversely affect our results of operations or financial condition.</w:t>
      </w:r>
    </w:p>
    <w:p>
      <w:pPr>
        <w:spacing w:after="0" w:line="22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functional currency for all of our operations is the U.S. dollar. The substantial majority of our sales are transacted in the U.S. dollar; however, significant amounts of our operating expenditures and capital purchases, and certain assets and liabilities, are incurred in or exposed to other currencies, primarily the euro, Malaysian ringgit, New Taiwan dollar, Singapore dollar, and yen. We have established currency risk management programs for our monetary assets and liabilities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Based on monetary assets and liabilities denominated in foreign currencies, we estimate that a 10% adverse change in exchange rates versus the U.S. dollar would result in losses of approximately $122 million as of September 2, 2021 and $98 million as of September 3, 2020.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 Notes to Consolidated Financial Statements – Derivative Instruments.”)</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0" w:name="page51"/>
    <w:bookmarkEnd w:id="50"/>
    <w:p>
      <w:pPr>
        <w:spacing w:after="0"/>
        <w:rPr>
          <w:sz w:val="20"/>
          <w:szCs w:val="20"/>
          <w:color w:val="auto"/>
        </w:rPr>
      </w:pPr>
      <w:r>
        <w:rPr>
          <w:rFonts w:ascii="Arial" w:cs="Arial" w:eastAsia="Arial" w:hAnsi="Arial"/>
          <w:sz w:val="25"/>
          <w:szCs w:val="25"/>
          <w:b w:val="1"/>
          <w:bCs w:val="1"/>
          <w:color w:val="auto"/>
        </w:rPr>
        <w:t>ITEM 8. FINANCIAL STATEMENTS AND SUPPLEMENTARY DATA</w:t>
      </w: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(in millions, except per share amounts)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7"/>
                <w:szCs w:val="17"/>
                <w:color w:val="auto"/>
              </w:rPr>
            </w:pP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September 2,</w:t>
            </w:r>
          </w:p>
        </w:tc>
        <w:tc>
          <w:tcPr>
            <w:tcW w:w="140" w:type="dxa"/>
            <w:vAlign w:val="bottom"/>
          </w:tcPr>
          <w:p>
            <w:pPr>
              <w:spacing w:after="0"/>
              <w:rPr>
                <w:sz w:val="17"/>
                <w:szCs w:val="17"/>
                <w:color w:val="auto"/>
              </w:rPr>
            </w:pP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23,406</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10,702</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57"/>
        </w:trPr>
        <w:tc>
          <w:tcPr>
            <w:tcW w:w="69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5,861</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56"/>
        </w:trPr>
        <w:tc>
          <w:tcPr>
            <w:tcW w:w="69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7"/>
                <w:szCs w:val="17"/>
                <w:color w:val="auto"/>
              </w:rPr>
            </w:pP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September 2,</w:t>
            </w:r>
          </w:p>
        </w:tc>
        <w:tc>
          <w:tcPr>
            <w:tcW w:w="120" w:type="dxa"/>
            <w:vAlign w:val="bottom"/>
          </w:tcPr>
          <w:p>
            <w:pPr>
              <w:spacing w:after="0"/>
              <w:rPr>
                <w:sz w:val="17"/>
                <w:szCs w:val="17"/>
                <w:color w:val="auto"/>
              </w:rPr>
            </w:pP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5,792</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2,772</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2,749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0"/>
        </w:trPr>
        <w:tc>
          <w:tcPr>
            <w:tcW w:w="694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0020"/>
        <w:spacing w:after="0"/>
        <w:rPr>
          <w:sz w:val="20"/>
          <w:szCs w:val="20"/>
          <w:color w:val="auto"/>
        </w:rPr>
      </w:pPr>
      <w:r>
        <w:rPr>
          <w:sz w:val="1"/>
          <w:szCs w:val="1"/>
          <w:color w:val="auto"/>
        </w:rPr>
        <w:drawing>
          <wp:inline distT="0" distB="0" distL="0" distR="0">
            <wp:extent cx="608330" cy="1714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5"/>
          <w:szCs w:val="15"/>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Balance Sheets</w:t>
      </w: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September 2,</w:t>
            </w:r>
          </w:p>
        </w:tc>
        <w:tc>
          <w:tcPr>
            <w:tcW w:w="140" w:type="dxa"/>
            <w:vAlign w:val="bottom"/>
          </w:tcPr>
          <w:p>
            <w:pPr>
              <w:spacing w:after="0"/>
              <w:rPr>
                <w:sz w:val="17"/>
                <w:szCs w:val="17"/>
                <w:color w:val="auto"/>
              </w:rPr>
            </w:pP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19,907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33,213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shareholders’ equity</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20"/>
              <w:spacing w:after="0" w:line="189" w:lineRule="exact"/>
              <w:rPr>
                <w:sz w:val="20"/>
                <w:szCs w:val="20"/>
                <w:color w:val="auto"/>
              </w:rPr>
            </w:pPr>
            <w:r>
              <w:rPr>
                <w:rFonts w:ascii="Arial" w:cs="Arial" w:eastAsia="Arial" w:hAnsi="Arial"/>
                <w:sz w:val="18"/>
                <w:szCs w:val="18"/>
                <w:color w:val="auto"/>
              </w:rPr>
              <w:t>Common stock, $0.10 par value, 3,000 shares authorized, 1,216 shares issued and 1,119 outstanding</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8"/>
                <w:szCs w:val="18"/>
                <w:color w:val="auto"/>
              </w:rPr>
              <w:t>(1,194 shares issued and 1,113 outstanding as of September 3, 2020)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Additional capital</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39,051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Treasury stock, 97 shares held (81 shares as of September 3, 2020)</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700" w:type="dxa"/>
            <w:vAlign w:val="bottom"/>
            <w:tcBorders>
              <w:bottom w:val="single" w:sz="8" w:color="0090DA"/>
            </w:tcBorders>
          </w:tcPr>
          <w:p>
            <w:pPr>
              <w:spacing w:after="0"/>
              <w:rPr>
                <w:sz w:val="18"/>
                <w:szCs w:val="18"/>
                <w:color w:val="auto"/>
              </w:rPr>
            </w:pPr>
          </w:p>
        </w:tc>
        <w:tc>
          <w:tcPr>
            <w:tcW w:w="240" w:type="dxa"/>
            <w:vAlign w:val="bottom"/>
            <w:tcBorders>
              <w:bottom w:val="single" w:sz="8" w:color="0090DA"/>
            </w:tcBorders>
          </w:tcPr>
          <w:p>
            <w:pPr>
              <w:spacing w:after="0"/>
              <w:rPr>
                <w:sz w:val="18"/>
                <w:szCs w:val="18"/>
                <w:color w:val="auto"/>
              </w:rPr>
            </w:pPr>
          </w:p>
        </w:tc>
        <w:tc>
          <w:tcPr>
            <w:tcW w:w="520" w:type="dxa"/>
            <w:vAlign w:val="bottom"/>
            <w:tcBorders>
              <w:bottom w:val="single" w:sz="8" w:color="0090DA"/>
            </w:tcBorders>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spacing w:after="0"/>
              <w:rPr>
                <w:sz w:val="18"/>
                <w:szCs w:val="18"/>
                <w:color w:val="auto"/>
              </w:rPr>
            </w:pPr>
          </w:p>
        </w:tc>
        <w:tc>
          <w:tcPr>
            <w:tcW w:w="1720" w:type="dxa"/>
            <w:vAlign w:val="bottom"/>
            <w:tcBorders>
              <w:bottom w:val="single" w:sz="8" w:color="0090DA"/>
            </w:tcBorders>
            <w:gridSpan w:val="4"/>
          </w:tcPr>
          <w:p>
            <w:pPr>
              <w:jc w:val="center"/>
              <w:spacing w:after="0"/>
              <w:rPr>
                <w:sz w:val="20"/>
                <w:szCs w:val="20"/>
                <w:color w:val="auto"/>
              </w:rPr>
            </w:pPr>
            <w:r>
              <w:rPr>
                <w:rFonts w:ascii="Arial" w:cs="Arial" w:eastAsia="Arial" w:hAnsi="Arial"/>
                <w:sz w:val="16"/>
                <w:szCs w:val="16"/>
                <w:b w:val="1"/>
                <w:bCs w:val="1"/>
                <w:color w:val="auto"/>
              </w:rPr>
              <w:t>Micron Shareholders</w:t>
            </w:r>
          </w:p>
        </w:tc>
        <w:tc>
          <w:tcPr>
            <w:tcW w:w="1160" w:type="dxa"/>
            <w:vAlign w:val="bottom"/>
            <w:tcBorders>
              <w:bottom w:val="single" w:sz="8" w:color="0090DA"/>
            </w:tcBorders>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460" w:type="dxa"/>
            <w:vAlign w:val="bottom"/>
            <w:tcBorders>
              <w:bottom w:val="single" w:sz="8" w:color="0090DA"/>
            </w:tcBorders>
            <w:gridSpan w:val="3"/>
          </w:tcPr>
          <w:p>
            <w:pPr>
              <w:jc w:val="right"/>
              <w:ind w:right="5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center"/>
              <w:ind w:right="31"/>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8"/>
              </w:rPr>
              <w:t>Total Micron</w:t>
            </w: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Noncontrolling</w:t>
            </w: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1"/>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940" w:type="dxa"/>
            <w:vAlign w:val="bottom"/>
            <w:gridSpan w:val="9"/>
          </w:tcPr>
          <w:p>
            <w:pPr>
              <w:jc w:val="right"/>
              <w:spacing w:after="0" w:line="162" w:lineRule="exact"/>
              <w:rPr>
                <w:sz w:val="20"/>
                <w:szCs w:val="20"/>
                <w:color w:val="auto"/>
              </w:rPr>
            </w:pPr>
            <w:r>
              <w:rPr>
                <w:rFonts w:ascii="Arial" w:cs="Arial" w:eastAsia="Arial" w:hAnsi="Arial"/>
                <w:sz w:val="16"/>
                <w:szCs w:val="16"/>
                <w:b w:val="1"/>
                <w:bCs w:val="1"/>
                <w:color w:val="auto"/>
              </w:rPr>
              <w:t>Additional  Retained  Treasury Comprehensive Shareholders’</w:t>
            </w:r>
          </w:p>
        </w:tc>
        <w:tc>
          <w:tcPr>
            <w:tcW w:w="140" w:type="dxa"/>
            <w:vAlign w:val="bottom"/>
          </w:tcPr>
          <w:p>
            <w:pPr>
              <w:spacing w:after="0"/>
              <w:rPr>
                <w:sz w:val="14"/>
                <w:szCs w:val="14"/>
                <w:color w:val="auto"/>
              </w:rPr>
            </w:pPr>
          </w:p>
        </w:tc>
        <w:tc>
          <w:tcPr>
            <w:tcW w:w="1080" w:type="dxa"/>
            <w:vAlign w:val="bottom"/>
          </w:tcPr>
          <w:p>
            <w:pPr>
              <w:jc w:val="right"/>
              <w:ind w:right="91"/>
              <w:spacing w:after="0" w:line="162" w:lineRule="exact"/>
              <w:rPr>
                <w:sz w:val="20"/>
                <w:szCs w:val="20"/>
                <w:color w:val="auto"/>
              </w:rPr>
            </w:pPr>
            <w:r>
              <w:rPr>
                <w:rFonts w:ascii="Arial" w:cs="Arial" w:eastAsia="Arial" w:hAnsi="Arial"/>
                <w:sz w:val="16"/>
                <w:szCs w:val="16"/>
                <w:b w:val="1"/>
                <w:bCs w:val="1"/>
                <w:color w:val="auto"/>
              </w:rPr>
              <w:t>Interests in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60" w:type="dxa"/>
            <w:vAlign w:val="bottom"/>
            <w:tcBorders>
              <w:bottom w:val="single" w:sz="8" w:color="0090DA"/>
            </w:tcBorders>
          </w:tcPr>
          <w:p>
            <w:pPr>
              <w:spacing w:after="0"/>
              <w:rPr>
                <w:sz w:val="18"/>
                <w:szCs w:val="18"/>
                <w:color w:val="auto"/>
              </w:rPr>
            </w:pPr>
          </w:p>
        </w:tc>
        <w:tc>
          <w:tcPr>
            <w:tcW w:w="7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0090DA"/>
            </w:tcBorders>
            <w:gridSpan w:val="2"/>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jc w:val="right"/>
              <w:ind w:right="70"/>
              <w:spacing w:after="0"/>
              <w:rPr>
                <w:sz w:val="20"/>
                <w:szCs w:val="20"/>
                <w:color w:val="auto"/>
              </w:rPr>
            </w:pPr>
            <w:r>
              <w:rPr>
                <w:rFonts w:ascii="Arial" w:cs="Arial" w:eastAsia="Arial" w:hAnsi="Arial"/>
                <w:sz w:val="16"/>
                <w:szCs w:val="16"/>
                <w:b w:val="1"/>
                <w:bCs w:val="1"/>
                <w:color w:val="auto"/>
              </w:rPr>
              <w:t>Capital</w:t>
            </w:r>
          </w:p>
        </w:tc>
        <w:tc>
          <w:tcPr>
            <w:tcW w:w="82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140" w:type="dxa"/>
            <w:vAlign w:val="bottom"/>
            <w:tcBorders>
              <w:bottom w:val="single" w:sz="8" w:color="0090DA"/>
            </w:tcBorders>
          </w:tcPr>
          <w:p>
            <w:pPr>
              <w:spacing w:after="0"/>
              <w:rPr>
                <w:sz w:val="18"/>
                <w:szCs w:val="18"/>
                <w:color w:val="auto"/>
              </w:rPr>
            </w:pPr>
          </w:p>
        </w:tc>
        <w:tc>
          <w:tcPr>
            <w:tcW w:w="640" w:type="dxa"/>
            <w:vAlign w:val="bottom"/>
            <w:tcBorders>
              <w:bottom w:val="single" w:sz="8" w:color="0090DA"/>
            </w:tcBorders>
          </w:tcPr>
          <w:p>
            <w:pPr>
              <w:jc w:val="right"/>
              <w:ind w:right="90"/>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w w:val="99"/>
              </w:rPr>
              <w:t>Income (Loss)</w:t>
            </w: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40" w:type="dxa"/>
            <w:vAlign w:val="bottom"/>
            <w:tcBorders>
              <w:bottom w:val="single" w:sz="8" w:color="0090DA"/>
            </w:tcBorders>
          </w:tcPr>
          <w:p>
            <w:pPr>
              <w:spacing w:after="0"/>
              <w:rPr>
                <w:sz w:val="18"/>
                <w:szCs w:val="18"/>
                <w:color w:val="auto"/>
              </w:rPr>
            </w:pPr>
          </w:p>
        </w:tc>
        <w:tc>
          <w:tcPr>
            <w:tcW w:w="1080" w:type="dxa"/>
            <w:vAlign w:val="bottom"/>
            <w:tcBorders>
              <w:bottom w:val="single" w:sz="8" w:color="0090DA"/>
            </w:tcBorders>
          </w:tcPr>
          <w:p>
            <w:pPr>
              <w:jc w:val="right"/>
              <w:ind w:right="31"/>
              <w:spacing w:after="0"/>
              <w:rPr>
                <w:sz w:val="20"/>
                <w:szCs w:val="20"/>
                <w:color w:val="auto"/>
              </w:rPr>
            </w:pPr>
            <w:r>
              <w:rPr>
                <w:rFonts w:ascii="Arial" w:cs="Arial" w:eastAsia="Arial" w:hAnsi="Arial"/>
                <w:sz w:val="16"/>
                <w:szCs w:val="16"/>
                <w:b w:val="1"/>
                <w:bCs w:val="1"/>
                <w:color w:val="auto"/>
                <w:w w:val="98"/>
              </w:rPr>
              <w:t>Subsidiaries</w:t>
            </w:r>
          </w:p>
        </w:tc>
        <w:tc>
          <w:tcPr>
            <w:tcW w:w="760" w:type="dxa"/>
            <w:vAlign w:val="bottom"/>
            <w:tcBorders>
              <w:bottom w:val="single" w:sz="8" w:color="0090DA"/>
            </w:tcBorders>
          </w:tcPr>
          <w:p>
            <w:pPr>
              <w:jc w:val="right"/>
              <w:ind w:right="5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5"/>
        </w:trPr>
        <w:tc>
          <w:tcPr>
            <w:tcW w:w="2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30, 2018</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1,170</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8,201</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$ 24,395</w:t>
            </w:r>
          </w:p>
        </w:tc>
        <w:tc>
          <w:tcPr>
            <w:tcW w:w="1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32,294</w:t>
            </w:r>
          </w:p>
        </w:tc>
        <w:tc>
          <w:tcPr>
            <w:tcW w:w="1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$33,164</w:t>
            </w:r>
          </w:p>
        </w:tc>
        <w:tc>
          <w:tcPr>
            <w:tcW w:w="0" w:type="dxa"/>
            <w:vAlign w:val="bottom"/>
          </w:tcPr>
          <w:p>
            <w:pPr>
              <w:spacing w:after="0"/>
              <w:rPr>
                <w:sz w:val="1"/>
                <w:szCs w:val="1"/>
                <w:color w:val="auto"/>
              </w:rPr>
            </w:pPr>
          </w:p>
        </w:tc>
      </w:tr>
      <w:tr>
        <w:trPr>
          <w:trHeight w:val="177"/>
        </w:trPr>
        <w:tc>
          <w:tcPr>
            <w:tcW w:w="2860" w:type="dxa"/>
            <w:vAlign w:val="bottom"/>
          </w:tcPr>
          <w:p>
            <w:pPr>
              <w:ind w:left="20"/>
              <w:spacing w:after="0" w:line="178" w:lineRule="exact"/>
              <w:rPr>
                <w:sz w:val="20"/>
                <w:szCs w:val="20"/>
                <w:color w:val="auto"/>
              </w:rPr>
            </w:pPr>
            <w:r>
              <w:rPr>
                <w:rFonts w:ascii="Arial" w:cs="Arial" w:eastAsia="Arial" w:hAnsi="Arial"/>
                <w:sz w:val="16"/>
                <w:szCs w:val="16"/>
                <w:color w:val="auto"/>
              </w:rPr>
              <w:t>Cumulative effect from adoption of new</w:t>
            </w: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6"/>
                <w:szCs w:val="16"/>
                <w:color w:val="auto"/>
              </w:rPr>
              <w:t>accounting standards</w:t>
            </w: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6,313</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6,313</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177"/>
        </w:trPr>
        <w:tc>
          <w:tcPr>
            <w:tcW w:w="2860" w:type="dxa"/>
            <w:vAlign w:val="bottom"/>
          </w:tcPr>
          <w:p>
            <w:pPr>
              <w:ind w:left="20"/>
              <w:spacing w:after="0" w:line="178"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700" w:type="dxa"/>
            <w:vAlign w:val="bottom"/>
            <w:shd w:val="clear" w:color="auto" w:fill="D1D2D4"/>
          </w:tcPr>
          <w:p>
            <w:pPr>
              <w:ind w:left="460"/>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(2,728)</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Acquisitions of noncontrolling interest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7"/>
        </w:trPr>
        <w:tc>
          <w:tcPr>
            <w:tcW w:w="2860" w:type="dxa"/>
            <w:vAlign w:val="bottom"/>
            <w:shd w:val="clear" w:color="auto" w:fill="D1D2D4"/>
          </w:tcPr>
          <w:p>
            <w:pPr>
              <w:ind w:left="20"/>
              <w:spacing w:after="0" w:line="178" w:lineRule="exact"/>
              <w:rPr>
                <w:sz w:val="20"/>
                <w:szCs w:val="20"/>
                <w:color w:val="auto"/>
              </w:rPr>
            </w:pPr>
            <w:r>
              <w:rPr>
                <w:rFonts w:ascii="Arial" w:cs="Arial" w:eastAsia="Arial" w:hAnsi="Arial"/>
                <w:sz w:val="16"/>
                <w:szCs w:val="16"/>
                <w:color w:val="auto"/>
              </w:rPr>
              <w:t>Reclassification of redeemable</w:t>
            </w:r>
          </w:p>
        </w:tc>
        <w:tc>
          <w:tcPr>
            <w:tcW w:w="700" w:type="dxa"/>
            <w:vAlign w:val="bottom"/>
            <w:vMerge w:val="restart"/>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D1D2D4"/>
          </w:tcPr>
          <w:p>
            <w:pPr>
              <w:spacing w:after="0"/>
              <w:rPr>
                <w:sz w:val="15"/>
                <w:szCs w:val="15"/>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1"/>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convertible notes, net</w:t>
            </w:r>
          </w:p>
        </w:tc>
        <w:tc>
          <w:tcPr>
            <w:tcW w:w="700" w:type="dxa"/>
            <w:vAlign w:val="bottom"/>
            <w:vMerge w:val="continue"/>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5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8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64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16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080" w:type="dxa"/>
            <w:vAlign w:val="bottom"/>
            <w:vMerge w:val="continue"/>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settlement of convertible notes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29, 2019</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8,214</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$ 30,761</w:t>
            </w:r>
          </w:p>
        </w:tc>
        <w:tc>
          <w:tcPr>
            <w:tcW w:w="1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35,881</w:t>
            </w:r>
          </w:p>
        </w:tc>
        <w:tc>
          <w:tcPr>
            <w:tcW w:w="1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889</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177"/>
        </w:trPr>
        <w:tc>
          <w:tcPr>
            <w:tcW w:w="2860" w:type="dxa"/>
            <w:vAlign w:val="bottom"/>
            <w:shd w:val="clear" w:color="auto" w:fill="D1D2D4"/>
          </w:tcPr>
          <w:p>
            <w:pPr>
              <w:ind w:left="20"/>
              <w:spacing w:after="0" w:line="178"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D1D2D4"/>
          </w:tcPr>
          <w:p>
            <w:pPr>
              <w:spacing w:after="0"/>
              <w:rPr>
                <w:sz w:val="15"/>
                <w:szCs w:val="15"/>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1"/>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5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8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64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16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080" w:type="dxa"/>
            <w:vAlign w:val="bottom"/>
            <w:vMerge w:val="continue"/>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00" w:type="dxa"/>
            <w:vAlign w:val="bottom"/>
          </w:tcPr>
          <w:p>
            <w:pPr>
              <w:ind w:left="46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Settlement of capped calls</w:t>
            </w:r>
          </w:p>
        </w:tc>
        <w:tc>
          <w:tcPr>
            <w:tcW w:w="700" w:type="dxa"/>
            <w:vAlign w:val="bottom"/>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Acquisitions of noncontrolling interest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w:t>
            </w:r>
          </w:p>
        </w:tc>
        <w:tc>
          <w:tcPr>
            <w:tcW w:w="76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settlement of convertible notes</w:t>
            </w:r>
          </w:p>
        </w:tc>
        <w:tc>
          <w:tcPr>
            <w:tcW w:w="700" w:type="dxa"/>
            <w:vAlign w:val="bottom"/>
            <w:tcBorders>
              <w:bottom w:val="single" w:sz="8" w:color="auto"/>
            </w:tcBorders>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5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 2020</w:t>
            </w:r>
          </w:p>
        </w:tc>
        <w:tc>
          <w:tcPr>
            <w:tcW w:w="700" w:type="dxa"/>
            <w:vAlign w:val="bottom"/>
          </w:tcPr>
          <w:p>
            <w:pPr>
              <w:jc w:val="right"/>
              <w:spacing w:after="0"/>
              <w:rPr>
                <w:sz w:val="20"/>
                <w:szCs w:val="20"/>
                <w:color w:val="auto"/>
              </w:rPr>
            </w:pPr>
            <w:r>
              <w:rPr>
                <w:rFonts w:ascii="Arial" w:cs="Arial" w:eastAsia="Arial" w:hAnsi="Arial"/>
                <w:sz w:val="18"/>
                <w:szCs w:val="18"/>
                <w:color w:val="auto"/>
              </w:rPr>
              <w:t>1,194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8,917</w:t>
            </w:r>
          </w:p>
        </w:tc>
        <w:tc>
          <w:tcPr>
            <w:tcW w:w="820" w:type="dxa"/>
            <w:vAlign w:val="bottom"/>
          </w:tcPr>
          <w:p>
            <w:pPr>
              <w:jc w:val="right"/>
              <w:spacing w:after="0"/>
              <w:rPr>
                <w:sz w:val="20"/>
                <w:szCs w:val="20"/>
                <w:color w:val="auto"/>
              </w:rPr>
            </w:pPr>
            <w:r>
              <w:rPr>
                <w:rFonts w:ascii="Arial" w:cs="Arial" w:eastAsia="Arial" w:hAnsi="Arial"/>
                <w:sz w:val="18"/>
                <w:szCs w:val="18"/>
                <w:color w:val="auto"/>
              </w:rPr>
              <w:t>$ 33,384</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38,996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$38,996</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177"/>
        </w:trPr>
        <w:tc>
          <w:tcPr>
            <w:tcW w:w="2860" w:type="dxa"/>
            <w:vAlign w:val="bottom"/>
          </w:tcPr>
          <w:p>
            <w:pPr>
              <w:ind w:left="20"/>
              <w:spacing w:after="0" w:line="178"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700" w:type="dxa"/>
            <w:vAlign w:val="bottom"/>
            <w:shd w:val="clear" w:color="auto" w:fill="D1D2D4"/>
          </w:tcPr>
          <w:p>
            <w:pPr>
              <w:ind w:left="460"/>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for convertible notes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settlement of convertible notes</w:t>
            </w:r>
          </w:p>
        </w:tc>
        <w:tc>
          <w:tcPr>
            <w:tcW w:w="700" w:type="dxa"/>
            <w:vAlign w:val="bottom"/>
            <w:shd w:val="clear" w:color="auto" w:fill="D1D2D4"/>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7"/>
        </w:trPr>
        <w:tc>
          <w:tcPr>
            <w:tcW w:w="2860" w:type="dxa"/>
            <w:vAlign w:val="bottom"/>
          </w:tcPr>
          <w:p>
            <w:pPr>
              <w:ind w:left="20"/>
              <w:spacing w:after="0" w:line="178" w:lineRule="exact"/>
              <w:rPr>
                <w:sz w:val="20"/>
                <w:szCs w:val="20"/>
                <w:color w:val="auto"/>
              </w:rPr>
            </w:pPr>
            <w:r>
              <w:rPr>
                <w:rFonts w:ascii="Arial" w:cs="Arial" w:eastAsia="Arial" w:hAnsi="Arial"/>
                <w:sz w:val="16"/>
                <w:szCs w:val="16"/>
                <w:color w:val="auto"/>
              </w:rPr>
              <w:t>Cash dividends declared ($0.10 per</w:t>
            </w: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1"/>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share)</w:t>
            </w:r>
          </w:p>
        </w:tc>
        <w:tc>
          <w:tcPr>
            <w:tcW w:w="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2, 2021</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1,216</w:t>
            </w:r>
          </w:p>
        </w:tc>
        <w:tc>
          <w:tcPr>
            <w:tcW w:w="240" w:type="dxa"/>
            <w:vAlign w:val="bottom"/>
            <w:tcBorders>
              <w:bottom w:val="single" w:sz="8" w:color="auto"/>
            </w:tcBorders>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$ 39,051</w:t>
            </w:r>
          </w:p>
        </w:tc>
        <w:tc>
          <w:tcPr>
            <w:tcW w:w="140" w:type="dxa"/>
            <w:vAlign w:val="bottom"/>
            <w:tcBorders>
              <w:bottom w:val="single" w:sz="8" w:color="auto"/>
            </w:tcBorders>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14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 $43,933</w:t>
            </w:r>
          </w:p>
        </w:tc>
        <w:tc>
          <w:tcPr>
            <w:tcW w:w="0" w:type="dxa"/>
            <w:vAlign w:val="bottom"/>
          </w:tcPr>
          <w:p>
            <w:pPr>
              <w:spacing w:after="0"/>
              <w:rPr>
                <w:sz w:val="1"/>
                <w:szCs w:val="1"/>
                <w:color w:val="auto"/>
              </w:rPr>
            </w:pPr>
          </w:p>
        </w:tc>
      </w:tr>
      <w:tr>
        <w:trPr>
          <w:trHeight w:val="20"/>
        </w:trPr>
        <w:tc>
          <w:tcPr>
            <w:tcW w:w="2860" w:type="dxa"/>
            <w:vAlign w:val="bottom"/>
            <w:tcBorders>
              <w:top w:val="single" w:sz="8" w:color="D1D2D4"/>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64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0020"/>
        <w:spacing w:after="0"/>
        <w:rPr>
          <w:sz w:val="20"/>
          <w:szCs w:val="20"/>
          <w:color w:val="auto"/>
        </w:rPr>
      </w:pPr>
      <w:r>
        <w:rPr>
          <w:sz w:val="1"/>
          <w:szCs w:val="1"/>
          <w:color w:val="auto"/>
        </w:rPr>
        <w:drawing>
          <wp:inline distT="0" distB="0" distL="0" distR="0">
            <wp:extent cx="608330" cy="1714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5"/>
          <w:szCs w:val="15"/>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Cash Flows</w:t>
      </w: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7"/>
                <w:szCs w:val="17"/>
                <w:color w:val="auto"/>
              </w:rPr>
            </w:pP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September 2,</w:t>
            </w:r>
          </w:p>
        </w:tc>
        <w:tc>
          <w:tcPr>
            <w:tcW w:w="140" w:type="dxa"/>
            <w:vAlign w:val="bottom"/>
          </w:tcPr>
          <w:p>
            <w:pPr>
              <w:spacing w:after="0"/>
              <w:rPr>
                <w:sz w:val="17"/>
                <w:szCs w:val="17"/>
                <w:color w:val="auto"/>
              </w:rPr>
            </w:pP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5,650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(Gains) losses on debt prepayments, repurchases, and conversions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9"/>
        </w:trPr>
        <w:tc>
          <w:tcPr>
            <w:tcW w:w="69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48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8,306</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13,189</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(3,163)</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(1,857)</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196"/>
        </w:trPr>
        <w:tc>
          <w:tcPr>
            <w:tcW w:w="690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26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(4,366)</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Payments to acquire treasury stock</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00" w:type="dxa"/>
            <w:vAlign w:val="bottom"/>
            <w:shd w:val="clear" w:color="auto" w:fill="D1D2D4"/>
          </w:tcPr>
          <w:p>
            <w:pPr>
              <w:ind w:left="180"/>
              <w:spacing w:after="0" w:line="189" w:lineRule="exact"/>
              <w:rPr>
                <w:sz w:val="20"/>
                <w:szCs w:val="20"/>
                <w:color w:val="auto"/>
              </w:rPr>
            </w:pPr>
            <w:r>
              <w:rPr>
                <w:rFonts w:ascii="Arial" w:cs="Arial" w:eastAsia="Arial" w:hAnsi="Arial"/>
                <w:sz w:val="18"/>
                <w:szCs w:val="18"/>
                <w:color w:val="auto"/>
              </w:rPr>
              <w:t>Effect of changes in currency exchange rates on cash, cash equivalents, and</w:t>
            </w:r>
          </w:p>
        </w:tc>
        <w:tc>
          <w:tcPr>
            <w:tcW w:w="140" w:type="dxa"/>
            <w:vAlign w:val="bottom"/>
            <w:shd w:val="clear" w:color="auto" w:fill="D1D2D4"/>
          </w:tcPr>
          <w:p>
            <w:pPr>
              <w:spacing w:after="0"/>
              <w:rPr>
                <w:sz w:val="16"/>
                <w:szCs w:val="16"/>
                <w:color w:val="auto"/>
              </w:rPr>
            </w:pPr>
          </w:p>
        </w:tc>
        <w:tc>
          <w:tcPr>
            <w:tcW w:w="13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32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12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D1D2D4"/>
          </w:tcPr>
          <w:p>
            <w:pPr>
              <w:spacing w:after="0"/>
              <w:rPr>
                <w:sz w:val="18"/>
                <w:szCs w:val="18"/>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Income taxes paid,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Noncash equipment acquisitions on contracts payable and finance leases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3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 See</w:t>
      </w:r>
    </w:p>
    <w:p>
      <w:pPr>
        <w:spacing w:after="0" w:line="2" w:lineRule="exact"/>
        <w:rPr>
          <w:sz w:val="20"/>
          <w:szCs w:val="20"/>
          <w:color w:val="auto"/>
        </w:rPr>
      </w:pPr>
    </w:p>
    <w:p>
      <w:pPr>
        <w:ind w:right="2560"/>
        <w:spacing w:after="0" w:line="261" w:lineRule="auto"/>
        <w:rPr>
          <w:sz w:val="20"/>
          <w:szCs w:val="20"/>
          <w:color w:val="auto"/>
        </w:rPr>
      </w:pPr>
      <w:r>
        <w:rPr>
          <w:rFonts w:ascii="Arial" w:cs="Arial" w:eastAsia="Arial" w:hAnsi="Arial"/>
          <w:sz w:val="18"/>
          <w:szCs w:val="18"/>
          <w:color w:val="auto"/>
        </w:rPr>
        <w:t>“Inventories” below for changes to our significant accounting policies, and the “Inventories” note for additional information.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fiscal year is the 52 or 53-week period ending on the Thursday closest to August 31. Fiscal 2021 contained 52 weeks, fiscal 2020 contained 53 weeks, and fiscal 2019 contained 52 weeks. Our fourth quarter of fiscal 2020 contained 14 weeks and all other fiscal quarters in the years presented contained 13 weeks. All period references are to our fiscal periods unless otherwise indicated.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and Hedging Instruments</w:t>
      </w:r>
    </w:p>
    <w:p>
      <w:pPr>
        <w:spacing w:after="0" w:line="26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use derivative instruments to manage our exposure to changes in currency exchange rates from (1) our monetary assets and liabilities denominated in currencies other than the U.S. dollar and (2) forecasted cash flows for certain capital expenditures and manufacturing costs. We also use derivative instruments to manage our exposure to changes in commodity prices for manufacturing supplies and to minimize certain exposures to changes in the fair value of fixed-rate debt that result from fluctuations in benchmark interest rates. Derivative instruments are measured at their fair values and recognized as either assets or liabilities.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cash flow hedges, time value is excluded from the assessment of effectiveness and the gains and losses attributable to time value are recognized in earnings. For derivative instruments designated as fair value hedges, changes in the fair values of the derivative instruments and the offsetting changes in the fair values of the underlying hedged items are both recognized in earnings.</w:t>
      </w:r>
    </w:p>
    <w:p>
      <w:pPr>
        <w:spacing w:after="0" w:line="2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0090DA"/>
        </w:rPr>
        <w:t>Financial Instruments</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equivalents include highly liquid short-term investments with original maturities to us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Functional Currency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U.S. dollar is the functional currency for us and all of our consolidated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Goodwill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perform an annual impairment assessment for goodwill in our fourth quarter each year.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Government Incentives</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receive incentives from governmental entities related to expenses, assets, and other activities. Our government incentives 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expenses, a reduction of asset costs, or other income. Incentives related to specific operating activities are offset against the related expense in the period the expense is incurred. Incentives related to the acquisition or construction of fixed assets are recognized as a reduction in the carrying amounts of the related assets and reduce depreciation expense over the useful lives of the assets. Other incentives are recognized as other operating income.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Inventories</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Effective as of the beginning of the second quarter of 2021, we changed the method of inventory costing from average cost to FIFO. The difference between average cost and FIFO was not material to any previously reported financial statements. Therefore, we have recognized the cumulative effect of the change as a reduction of inventories and a charge to cost of goods sold of $133 million as of the beginning of the second quarter of 2021.</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Inventories are stated at the lower of cost or net realizable value, with cost being determined on a FIFO basis. Cost includes depreciation, labor, material, and overhead costs, including product and process technology costs. When net realizable value (which requires projecting future average selling prices, sales volumes, and costs to complete products in work in process inventories)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cost or net realizable value analysis and categorize all inventories (including DRAM, NAND, and other memory) as a single group. We remove amounts from inventory and charge such amounts to cost of goods sold on a FIFO basis.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0090DA"/>
        </w:rPr>
        <w:t>Leases</w:t>
      </w:r>
    </w:p>
    <w:p>
      <w:pPr>
        <w:spacing w:after="0" w:line="251" w:lineRule="exact"/>
        <w:rPr>
          <w:sz w:val="20"/>
          <w:szCs w:val="20"/>
          <w:color w:val="auto"/>
        </w:rPr>
      </w:pPr>
    </w:p>
    <w:p>
      <w:pPr>
        <w:ind w:right="400"/>
        <w:spacing w:after="0" w:line="224" w:lineRule="auto"/>
        <w:rPr>
          <w:sz w:val="20"/>
          <w:szCs w:val="20"/>
          <w:color w:val="auto"/>
        </w:rPr>
      </w:pPr>
      <w:r>
        <w:rPr>
          <w:rFonts w:ascii="Arial" w:cs="Arial" w:eastAsia="Arial" w:hAnsi="Arial"/>
          <w:sz w:val="18"/>
          <w:szCs w:val="18"/>
          <w:color w:val="auto"/>
        </w:rPr>
        <w:t>We adopted ASC 842 in the first quarter of 2020 under the modified retrospective method and elected to not recast prior periods. We determine if an arrangement is a lease, or contains a lease, at the inception of the arrangement and evaluate whether the lease is an operating lease or a finance lease at the commencement date. We recognize right-of-use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presented within lease expense.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and Process Technology</w:t>
      </w:r>
    </w:p>
    <w:p>
      <w:pPr>
        <w:spacing w:after="0" w:line="265"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Costs incurred to (1) acquire product and process technology, (2) patent technology, and (3) maintain patent technology, are capitalized and amortized on a straight-line basis over periods ranging up to 12.5 years. We capitalize a portion of costs incurred to patent technology based on historical data of patents issued as a percent of patents we file. Product and process technology costs are amortized over the shorter of</w:t>
      </w:r>
    </w:p>
    <w:p>
      <w:pPr>
        <w:spacing w:after="0" w:line="1" w:lineRule="exact"/>
        <w:rPr>
          <w:sz w:val="20"/>
          <w:szCs w:val="20"/>
          <w:color w:val="auto"/>
        </w:rPr>
      </w:pPr>
    </w:p>
    <w:p>
      <w:pPr>
        <w:ind w:right="300" w:firstLine="8"/>
        <w:spacing w:after="0" w:line="261"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estimated useful life of the technology, (2) the patent term, or (3) the term of the technology agreement. Fully-amortized assets are removed from product and process technology and accumulated amortization.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Warranty</w:t>
      </w:r>
    </w:p>
    <w:p>
      <w:pPr>
        <w:spacing w:after="0" w:line="265"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Property, Plant, and Equipment</w:t>
      </w:r>
    </w:p>
    <w:p>
      <w:pPr>
        <w:spacing w:after="0" w:line="26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Property, plant, and equipment is stated at cost and depreciated using the straight-line method over estimated useful lives of generally 10 to 30 years for buildings, 5 to 7 years for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23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assets to the condition of their intended use and location. Capitalized interest becomes part of the cost of assets.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Research and Development</w:t>
      </w:r>
    </w:p>
    <w:p>
      <w:pPr>
        <w:spacing w:after="0" w:line="2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 Amounts from cost-sharing arrangements are reflected as a reduction of R&amp;D expense.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Recognition</w:t>
      </w:r>
    </w:p>
    <w:p>
      <w:pPr>
        <w:spacing w:after="0" w:line="26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0090DA"/>
        </w:rPr>
        <w:t>Stock-based Compensation</w:t>
      </w:r>
    </w:p>
    <w:p>
      <w:pPr>
        <w:spacing w:after="0" w:line="26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or conversion of share units.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Treasury Stock</w:t>
      </w:r>
    </w:p>
    <w:p>
      <w:pPr>
        <w:spacing w:after="0" w:line="26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Treasury stock is carried at cost. When we retire our treasury stock, any excess of the repurchase price paid over par value is allocated between additional capital and retained earnings.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Use of Estimates</w:t>
      </w:r>
    </w:p>
    <w:p>
      <w:pPr>
        <w:spacing w:after="0" w:line="26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November 2018, the Financial Accounting Standards Board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We adopted ASU 2018-18 in the first quarter of 2021 under the retrospective adoption method to the date we adopted ASC 606, which was August 31, 2018. The adoption of this ASU did not have a significant impact on our financial statements.</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We adopted ASU 2016-13 in the first quarter of 2021 under the modified retrospective adoption method. The adoption of this ASU did not have a significant impact on our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Lehi, Utah Fab and 3D XPoint</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a definitive agreement to sell our Lehi facility to TI for cash consideration of $900 million. The sale is anticipated to close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9" w:name="page60"/>
    <w:bookmarkEnd w:id="59"/>
    <w:p>
      <w:pPr>
        <w:spacing w:after="0" w:line="252"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(and a tax benefit of $104 million included in income tax (provision) benefit) to write down the assets held for sale to the expected consideration, net of estimated selling costs, to be realized from the sale of these assets and liabilities. The impairment charge was based on Level 3 inputs including expected consideration and the composition of assets included in the sale, which were derived from the agreement with TI. In the second quarter of 2021, we also recognized a charge of $49 million to cost of goods sold to write down 3D XPoint inventory due to our decision to cease further development of this technology.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 2021, the significant balances of assets held for sale in connection with our Lehi facility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9800" w:type="dxa"/>
            <w:vAlign w:val="bottom"/>
          </w:tcPr>
          <w:p>
            <w:pPr>
              <w:ind w:left="240"/>
              <w:spacing w:after="0"/>
              <w:rPr>
                <w:sz w:val="20"/>
                <w:szCs w:val="20"/>
                <w:color w:val="auto"/>
              </w:rPr>
            </w:pPr>
            <w:r>
              <w:rPr>
                <w:rFonts w:ascii="Arial" w:cs="Arial" w:eastAsia="Arial" w:hAnsi="Arial"/>
                <w:sz w:val="18"/>
                <w:szCs w:val="18"/>
                <w:color w:val="auto"/>
              </w:rPr>
              <w:t>Lehi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
        </w:trPr>
        <w:tc>
          <w:tcPr>
            <w:tcW w:w="9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September 2, 2021, we also had a $50 million finance lease obligation included in the current portion of long-term debt and $11 million of other liabilities that we expect to transfer with the sale. The expected cash consideration, net of estimated selling expenses, approximates the carrying value of the net assets and liabilities expected to transfer in the sale, after giving effect to the impairment charge discussed above.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8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interests in entities that are variable interest entities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Through October 31, 2019, IMFT was a VIE because all of its costs were passed to us and its other member, Intel, through product purchase agreements and because IMFT was dependent upon us or Intel for additional cash requirements. The primary activities of IMFT were driven by the constant introduction of product and process technology. Because we performed a significant majority of the technology development, we had the power to direct its key activities. We consolidated IMFT due to this power and our obligation to absorb losses and the right to receive benefits from IMFT that could have been potentially significant to it.</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October 31, 2019, we paid $1.25 billion to acquire Intel’s noncontrolling interest in IMFT and settle IMFT’s debt obligations to Intel, at which time IMFT (now known as MTU) became a wholly-owned subsidiary. In connection therewith, we recognized a $160 million adjustment to equity for the difference between the $744 million of cash consideration allocated to Intel’s noncontrolling interest and its $904 million carrying value.</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IMFT manufactured semiconductor products exclusively for its members under a long-term supply agreement at prices approximating cost. In 2018, IMFT discontinued production of NAND and subsequent to that time manufactured 3D XPoint memory. IMFT sales to Intel were $158 million through the date of our purchase of Intel’s noncontrolling interest in 2020, and $731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0" w:name="page61"/>
    <w:bookmarkEnd w:id="60"/>
    <w:p>
      <w:pPr>
        <w:spacing w:after="0"/>
        <w:rPr>
          <w:sz w:val="20"/>
          <w:szCs w:val="20"/>
          <w:color w:val="auto"/>
        </w:rPr>
      </w:pPr>
      <w:r>
        <w:rPr>
          <w:rFonts w:ascii="Arial" w:cs="Arial" w:eastAsia="Arial" w:hAnsi="Arial"/>
          <w:sz w:val="40"/>
          <w:szCs w:val="40"/>
          <w:b w:val="1"/>
          <w:bCs w:val="1"/>
          <w:color w:val="auto"/>
        </w:rPr>
        <w:t>Cash and Investments</w:t>
      </w:r>
    </w:p>
    <w:p>
      <w:pPr>
        <w:spacing w:after="0" w:line="28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tbl>
      <w:tblPr>
        <w:tblLayout w:type="fixed"/>
        <w:tblInd w:w="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16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20" w:type="dxa"/>
            <w:vAlign w:val="bottom"/>
          </w:tcPr>
          <w:p>
            <w:pPr>
              <w:spacing w:after="0"/>
              <w:rPr>
                <w:sz w:val="14"/>
                <w:szCs w:val="14"/>
                <w:color w:val="auto"/>
              </w:rPr>
            </w:pPr>
          </w:p>
        </w:tc>
        <w:tc>
          <w:tcPr>
            <w:tcW w:w="11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20" w:type="dxa"/>
            <w:vAlign w:val="bottom"/>
          </w:tcPr>
          <w:p>
            <w:pPr>
              <w:spacing w:after="0"/>
              <w:rPr>
                <w:sz w:val="14"/>
                <w:szCs w:val="14"/>
                <w:color w:val="auto"/>
              </w:rPr>
            </w:pPr>
          </w:p>
        </w:tc>
        <w:tc>
          <w:tcPr>
            <w:tcW w:w="11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6"/>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188"/>
        </w:trPr>
        <w:tc>
          <w:tcPr>
            <w:tcW w:w="2020" w:type="dxa"/>
            <w:vAlign w:val="bottom"/>
            <w:shd w:val="clear" w:color="auto" w:fill="D1D2D4"/>
          </w:tcPr>
          <w:p>
            <w:pPr>
              <w:ind w:left="140"/>
              <w:spacing w:after="0" w:line="189"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6"/>
                <w:szCs w:val="16"/>
                <w:color w:val="auto"/>
              </w:rPr>
            </w:pPr>
          </w:p>
        </w:tc>
        <w:tc>
          <w:tcPr>
            <w:tcW w:w="9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220" w:type="dxa"/>
            <w:vAlign w:val="bottom"/>
            <w:shd w:val="clear" w:color="auto" w:fill="D1D2D4"/>
          </w:tcPr>
          <w:p>
            <w:pPr>
              <w:spacing w:after="0"/>
              <w:rPr>
                <w:sz w:val="16"/>
                <w:szCs w:val="16"/>
                <w:color w:val="auto"/>
              </w:rPr>
            </w:pPr>
          </w:p>
        </w:tc>
        <w:tc>
          <w:tcPr>
            <w:tcW w:w="114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9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220" w:type="dxa"/>
            <w:vAlign w:val="bottom"/>
            <w:shd w:val="clear" w:color="auto" w:fill="D1D2D4"/>
          </w:tcPr>
          <w:p>
            <w:pPr>
              <w:spacing w:after="0"/>
              <w:rPr>
                <w:sz w:val="16"/>
                <w:szCs w:val="16"/>
                <w:color w:val="auto"/>
              </w:rPr>
            </w:pPr>
          </w:p>
        </w:tc>
        <w:tc>
          <w:tcPr>
            <w:tcW w:w="116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20" w:type="dxa"/>
            <w:vAlign w:val="bottom"/>
          </w:tcPr>
          <w:p>
            <w:pPr>
              <w:ind w:left="20"/>
              <w:spacing w:after="0" w:line="168"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line="190" w:lineRule="exact"/>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ind w:left="240" w:hanging="232"/>
        <w:spacing w:after="0" w:line="196" w:lineRule="auto"/>
        <w:tabs>
          <w:tab w:leader="none" w:pos="2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3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September 2, 2021 or September 3, 2020.</w:t>
      </w:r>
    </w:p>
    <w:p>
      <w:pPr>
        <w:spacing w:after="0" w:line="1" w:lineRule="exact"/>
        <w:rPr>
          <w:rFonts w:ascii="Arial" w:cs="Arial" w:eastAsia="Arial" w:hAnsi="Arial"/>
          <w:sz w:val="23"/>
          <w:szCs w:val="23"/>
          <w:i w:val="1"/>
          <w:iCs w:val="1"/>
          <w:color w:val="auto"/>
          <w:vertAlign w:val="superscript"/>
        </w:rPr>
      </w:pPr>
    </w:p>
    <w:p>
      <w:pPr>
        <w:ind w:left="260" w:right="580" w:hanging="252"/>
        <w:spacing w:after="0" w:line="220" w:lineRule="auto"/>
        <w:tabs>
          <w:tab w:leader="none" w:pos="254" w:val="left"/>
        </w:tabs>
        <w:numPr>
          <w:ilvl w:val="0"/>
          <w:numId w:val="3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certain government incentives received prior to being earned and for which restrictions lapse upon achieving certain performance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addition to the amounts included in the table above, we had $153 million and $92 million of non-marketable equity investments without a readily determinable fair value that were included in other noncurrent assets as of September 2, 2021 and September 3, 2020, respectively. We recognized gains in other non-operating income on these non-marketable investments of $70 million and $13 million for 2021 and 2020, respectively. These gains primarily resulted from adjustments of these investments to the value indicated by transactions in the same or similar investments.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4,920</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1" w:name="page62"/>
    <w:bookmarkEnd w:id="61"/>
    <w:p>
      <w:pPr>
        <w:spacing w:after="0"/>
        <w:rPr>
          <w:sz w:val="20"/>
          <w:szCs w:val="20"/>
          <w:color w:val="auto"/>
        </w:rPr>
      </w:pPr>
      <w:r>
        <w:rPr>
          <w:rFonts w:ascii="Arial" w:cs="Arial" w:eastAsia="Arial" w:hAnsi="Arial"/>
          <w:sz w:val="40"/>
          <w:szCs w:val="40"/>
          <w:b w:val="1"/>
          <w:bCs w:val="1"/>
          <w:color w:val="auto"/>
        </w:rPr>
        <w:t>Inventories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3,469</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3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505</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was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a $128 million reduction to net income, and an $0.11 reduction to diluted earnings per share for both the second quarter and the year ended 2021.</w:t>
      </w:r>
    </w:p>
    <w:p>
      <w:pPr>
        <w:spacing w:after="0" w:line="23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Beginning in the second quarter of 2021, we changed the classification of spare parts for equipment to better align with the manner in which they are used in operations. As a result, we now present spare parts as other current assets and no longer as a component of raw materials inventories. This reclassification was applied on a retrospective basis. As a result, $254 million of spare parts were presented in other current assets as of September 2, 2021, and we reclassified $234 million of spare parts from inventories to other current assets in the accompanying balance sheet as of September 3,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0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34"/>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14,776</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13,981</w:t>
            </w:r>
          </w:p>
        </w:tc>
      </w:tr>
      <w:tr>
        <w:trPr>
          <w:trHeight w:val="230"/>
        </w:trPr>
        <w:tc>
          <w:tcPr>
            <w:tcW w:w="84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30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51,902</w:t>
            </w:r>
          </w:p>
        </w:tc>
        <w:tc>
          <w:tcPr>
            <w:tcW w:w="30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48,525</w:t>
            </w:r>
          </w:p>
        </w:tc>
      </w:tr>
      <w:tr>
        <w:trPr>
          <w:trHeight w:val="230"/>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30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873</w:t>
            </w:r>
          </w:p>
        </w:tc>
      </w:tr>
      <w:tr>
        <w:trPr>
          <w:trHeight w:val="223"/>
        </w:trPr>
        <w:tc>
          <w:tcPr>
            <w:tcW w:w="8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69,462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65,331</w:t>
            </w:r>
          </w:p>
        </w:tc>
      </w:tr>
      <w:tr>
        <w:trPr>
          <w:trHeight w:val="229"/>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(36,249)</w:t>
            </w:r>
          </w:p>
        </w:tc>
        <w:tc>
          <w:tcPr>
            <w:tcW w:w="30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(34,300)</w:t>
            </w:r>
          </w:p>
        </w:tc>
      </w:tr>
      <w:tr>
        <w:trPr>
          <w:trHeight w:val="223"/>
        </w:trPr>
        <w:tc>
          <w:tcPr>
            <w:tcW w:w="84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31,031</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60" w:right="160" w:hanging="252"/>
        <w:spacing w:after="0" w:line="229" w:lineRule="auto"/>
        <w:tabs>
          <w:tab w:leader="none" w:pos="254" w:val="left"/>
        </w:tabs>
        <w:numPr>
          <w:ilvl w:val="0"/>
          <w:numId w:val="3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$1.99 billion as of September 2, 2021 and $1.63 billion as of September 3, 2020.</w:t>
      </w:r>
    </w:p>
    <w:p>
      <w:pPr>
        <w:ind w:left="240" w:hanging="232"/>
        <w:spacing w:after="0" w:line="196" w:lineRule="auto"/>
        <w:tabs>
          <w:tab w:leader="none" w:pos="240" w:val="left"/>
        </w:tabs>
        <w:numPr>
          <w:ilvl w:val="0"/>
          <w:numId w:val="3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Depreciation expense was $6.13 billion, $ 5.57 billion, and $5.34 billion for 2021, 2020, and 2019, respectively. Interest capitalized as part of the cost of property, plant, and equipment was $66 million, $77 million, and $103 million for 2021, 2020, and 2019, respectively.</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(“R&amp;D”) facilities from five years to seven years as of the beginning of the first quarter of 2020. This revision reduced our aggregate depreciation expense by approximately $675 million in 2020, of which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$165 million remained capitalized in inventory as of the end of 2020. After adjusting for the effect of the reduced amount of depreciation</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62" w:name="page63"/>
    <w:bookmarkEnd w:id="62"/>
    <w:p>
      <w:pPr>
        <w:ind w:right="20"/>
        <w:spacing w:after="0" w:line="261" w:lineRule="auto"/>
        <w:rPr>
          <w:sz w:val="20"/>
          <w:szCs w:val="20"/>
          <w:color w:val="auto"/>
        </w:rPr>
      </w:pPr>
      <w:r>
        <w:rPr>
          <w:rFonts w:ascii="Arial" w:cs="Arial" w:eastAsia="Arial" w:hAnsi="Arial"/>
          <w:sz w:val="18"/>
          <w:szCs w:val="18"/>
          <w:color w:val="auto"/>
        </w:rPr>
        <w:t>expense remaining in inventory, the revision in estimated useful lives benefited both operating income and net income by approximately $510 million and diluted earnings per share by approximately $0.45 for 2020.</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p>
        </w:tc>
        <w:tc>
          <w:tcPr>
            <w:tcW w:w="1060" w:type="dxa"/>
            <w:vAlign w:val="bottom"/>
            <w:tcBorders>
              <w:bottom w:val="single" w:sz="8" w:color="0090DA"/>
            </w:tcBorders>
          </w:tcPr>
          <w:p>
            <w:pPr>
              <w:spacing w:after="0"/>
              <w:rPr>
                <w:sz w:val="20"/>
                <w:szCs w:val="20"/>
                <w:color w:val="auto"/>
              </w:rPr>
            </w:pPr>
          </w:p>
        </w:tc>
        <w:tc>
          <w:tcPr>
            <w:tcW w:w="1820" w:type="dxa"/>
            <w:vAlign w:val="bottom"/>
            <w:tcBorders>
              <w:bottom w:val="single" w:sz="8" w:color="0090DA"/>
            </w:tcBorders>
            <w:gridSpan w:val="3"/>
          </w:tcPr>
          <w:p>
            <w:pPr>
              <w:jc w:val="right"/>
              <w:ind w:right="11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2640" w:type="dxa"/>
            <w:vAlign w:val="bottom"/>
            <w:tcBorders>
              <w:bottom w:val="single" w:sz="8" w:color="0090DA"/>
            </w:tcBorders>
            <w:gridSpan w:val="3"/>
          </w:tcPr>
          <w:p>
            <w:pPr>
              <w:jc w:val="right"/>
              <w:ind w:right="11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60" w:type="dxa"/>
            <w:vAlign w:val="bottom"/>
          </w:tcPr>
          <w:p>
            <w:pPr>
              <w:jc w:val="center"/>
              <w:ind w:left="290"/>
              <w:spacing w:after="0" w:line="169" w:lineRule="exact"/>
              <w:rPr>
                <w:sz w:val="20"/>
                <w:szCs w:val="20"/>
                <w:color w:val="auto"/>
              </w:rPr>
            </w:pPr>
            <w:r>
              <w:rPr>
                <w:rFonts w:ascii="Arial" w:cs="Arial" w:eastAsia="Arial" w:hAnsi="Arial"/>
                <w:sz w:val="18"/>
                <w:szCs w:val="18"/>
                <w:b w:val="1"/>
                <w:bCs w:val="1"/>
                <w:color w:val="auto"/>
                <w:w w:val="99"/>
              </w:rPr>
              <w:t>Gross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4"/>
                <w:szCs w:val="14"/>
                <w:color w:val="auto"/>
              </w:rPr>
            </w:pPr>
          </w:p>
        </w:tc>
        <w:tc>
          <w:tcPr>
            <w:tcW w:w="13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29"/>
        </w:trPr>
        <w:tc>
          <w:tcPr>
            <w:tcW w:w="5360" w:type="dxa"/>
            <w:vAlign w:val="bottom"/>
            <w:vMerge w:val="continue"/>
          </w:tcPr>
          <w:p>
            <w:pPr>
              <w:spacing w:after="0"/>
              <w:rPr>
                <w:sz w:val="19"/>
                <w:szCs w:val="19"/>
                <w:color w:val="auto"/>
              </w:rPr>
            </w:pPr>
          </w:p>
        </w:tc>
        <w:tc>
          <w:tcPr>
            <w:tcW w:w="106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1060" w:type="dxa"/>
            <w:vAlign w:val="bottom"/>
            <w:tcBorders>
              <w:top w:val="single" w:sz="8" w:color="0090DA"/>
            </w:tcBorders>
          </w:tcPr>
          <w:p>
            <w:pPr>
              <w:spacing w:after="0"/>
              <w:rPr>
                <w:sz w:val="2"/>
                <w:szCs w:val="2"/>
                <w:color w:val="auto"/>
              </w:rPr>
            </w:pPr>
          </w:p>
        </w:tc>
        <w:tc>
          <w:tcPr>
            <w:tcW w:w="3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1060" w:type="dxa"/>
            <w:vAlign w:val="bottom"/>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3"/>
              </w:rPr>
              <w:t>633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2021, 2020, and 2019, we capitalized $106 million, $73 million, and $91 million, respectively, for product and process technology with weighted-average useful lives of 9 years, 10 years, and 8 years, respectively. Amortization expense was $ 82 million, $78 million, and $ 82 million for 2021, 2020, and 2019, respectively. Expected amortization expense is $72 million for 2022, $61 million for 2023, $55 million for 2024, $34 million for 2025, and $26 million for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finance and operating leases through which we obtain the right to use equipment and facilities in our manufacturing operations and R&amp;D activities as well as office space and other facilities used in our SG&amp;A functions. Our finance leases consist primarily of gas or other supply agreements that are deemed to contain embedded leases in which we effectively control the underlying gas plants or other assets used to fulfill the supply agreements. Our operating leases consist primarily of offices, other facilities, and land used in SG&amp;A, R&amp;D, and certain of our manufacturing operations. Certain of our operating leases include one or more options to extend the lease term for periods from one year to 10 years for real estate and one year to 30 years for land.</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Certain supply or service agreements require us to exercise significant judgment to determine whether the agreement contains a lease of a right-of-use asset. Our assessment includes determining whether we or the supplier control the assets used to fulfill the supply or service agreement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 In determining the lease term, we assess whether we are reasonably certain to exercise options to renew or terminate a lease, and when or whether we would exercise an option to purchase the right-of-use asset. Measuring the present value of the initial lease liability requires judgment to determine the discount rate, which we base on interest rates for borrowings with similar terms and collateral issued by entities with credit ratings similar to ours.</w:t>
      </w:r>
    </w:p>
    <w:p>
      <w:pPr>
        <w:spacing w:after="0" w:line="23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Operating lease costs include short-term and variable lease expenses. Short-term, variable leases, and sublease income are not material for the periods presented. The components of lease expense are presented below:</w:t>
      </w:r>
    </w:p>
    <w:tbl>
      <w:tblPr>
        <w:tblLayout w:type="fixed"/>
        <w:tblInd w:w="0" w:type="dxa"/>
        <w:tblCellMar>
          <w:top w:w="0" w:type="dxa"/>
          <w:left w:w="0" w:type="dxa"/>
          <w:bottom w:w="0" w:type="dxa"/>
          <w:right w:w="0" w:type="dxa"/>
        </w:tblCellMar>
      </w:tblPr>
      <w:tr>
        <w:trPr>
          <w:trHeight w:val="239"/>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Amortization of right-of-use asset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8360" w:type="dxa"/>
            <w:vAlign w:val="bottom"/>
            <w:shd w:val="clear" w:color="auto" w:fill="DDDDDD"/>
          </w:tcPr>
          <w:p>
            <w:pPr>
              <w:ind w:left="140"/>
              <w:spacing w:after="0"/>
              <w:rPr>
                <w:sz w:val="20"/>
                <w:szCs w:val="20"/>
                <w:color w:val="auto"/>
              </w:rPr>
            </w:pPr>
            <w:r>
              <w:rPr>
                <w:rFonts w:ascii="Arial" w:cs="Arial" w:eastAsia="Arial" w:hAnsi="Arial"/>
                <w:sz w:val="18"/>
                <w:szCs w:val="18"/>
                <w:color w:val="auto"/>
              </w:rPr>
              <w:t>Interest on lease liability</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3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8"/>
        </w:trPr>
        <w:tc>
          <w:tcPr>
            <w:tcW w:w="836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Borders>
              <w:bottom w:val="single" w:sz="8" w:color="auto"/>
            </w:tcBorders>
            <w:shd w:val="clear" w:color="auto" w:fill="DDDDDD"/>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36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 under the previous ASC 840 lease accounting guidance was $93 million for 2019.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69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76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17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920" w:type="dxa"/>
            <w:vAlign w:val="bottom"/>
            <w:shd w:val="clear" w:color="auto" w:fill="DDDDDD"/>
          </w:tcPr>
          <w:p>
            <w:pPr>
              <w:ind w:left="14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17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from financing leases</w:t>
            </w:r>
          </w:p>
        </w:tc>
        <w:tc>
          <w:tcPr>
            <w:tcW w:w="1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17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92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17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w:t>
            </w:r>
          </w:p>
        </w:tc>
      </w:tr>
    </w:tbl>
    <w:p>
      <w:pPr>
        <w:spacing w:after="0" w:line="76"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$48 million of reimbursements received for tenant improvements for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8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520" w:type="dxa"/>
            <w:vAlign w:val="bottom"/>
            <w:tcBorders>
              <w:bottom w:val="single" w:sz="8" w:color="0090DA"/>
            </w:tcBorders>
          </w:tcPr>
          <w:p>
            <w:pPr>
              <w:spacing w:after="0"/>
              <w:rPr>
                <w:sz w:val="22"/>
                <w:szCs w:val="22"/>
                <w:color w:val="auto"/>
              </w:rPr>
            </w:pPr>
          </w:p>
        </w:tc>
        <w:tc>
          <w:tcPr>
            <w:tcW w:w="160" w:type="dxa"/>
            <w:vAlign w:val="bottom"/>
            <w:tcBorders>
              <w:bottom w:val="single" w:sz="8" w:color="0090DA"/>
            </w:tcBorders>
          </w:tcPr>
          <w:p>
            <w:pPr>
              <w:spacing w:after="0"/>
              <w:rPr>
                <w:sz w:val="22"/>
                <w:szCs w:val="22"/>
                <w:color w:val="auto"/>
              </w:rPr>
            </w:pPr>
          </w:p>
        </w:tc>
        <w:tc>
          <w:tcPr>
            <w:tcW w:w="72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0090DA"/>
            </w:tcBorders>
          </w:tcPr>
          <w:p>
            <w:pPr>
              <w:spacing w:after="0"/>
              <w:rPr>
                <w:sz w:val="22"/>
                <w:szCs w:val="22"/>
                <w:color w:val="auto"/>
              </w:rPr>
            </w:pPr>
          </w:p>
        </w:tc>
        <w:tc>
          <w:tcPr>
            <w:tcW w:w="200" w:type="dxa"/>
            <w:vAlign w:val="bottom"/>
            <w:tcBorders>
              <w:bottom w:val="single" w:sz="8" w:color="0090DA"/>
            </w:tcBorders>
          </w:tcPr>
          <w:p>
            <w:pPr>
              <w:spacing w:after="0"/>
              <w:rPr>
                <w:sz w:val="22"/>
                <w:szCs w:val="22"/>
                <w:color w:val="auto"/>
              </w:rPr>
            </w:pPr>
          </w:p>
        </w:tc>
        <w:tc>
          <w:tcPr>
            <w:tcW w:w="1220" w:type="dxa"/>
            <w:vAlign w:val="bottom"/>
            <w:tcBorders>
              <w:bottom w:val="single" w:sz="8" w:color="0090DA"/>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780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Finance lease right-of-use assets (included in property, plant, and equipment and assets held for</w:t>
            </w:r>
          </w:p>
        </w:tc>
        <w:tc>
          <w:tcPr>
            <w:tcW w:w="52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56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220" w:type="dxa"/>
            <w:vAlign w:val="bottom"/>
            <w:shd w:val="clear" w:color="auto" w:fill="D1D2D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sale)</w:t>
            </w:r>
          </w:p>
        </w:tc>
        <w:tc>
          <w:tcPr>
            <w:tcW w:w="5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766</w:t>
            </w:r>
          </w:p>
        </w:tc>
        <w:tc>
          <w:tcPr>
            <w:tcW w:w="5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8"/>
                <w:szCs w:val="18"/>
                <w:color w:val="auto"/>
              </w:rPr>
            </w:pPr>
          </w:p>
        </w:tc>
        <w:tc>
          <w:tcPr>
            <w:tcW w:w="122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0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color w:val="auto"/>
                <w:w w:val="99"/>
              </w:rPr>
              <w:t>55</w:t>
            </w: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0" w:type="dxa"/>
            <w:vAlign w:val="bottom"/>
            <w:shd w:val="clear" w:color="auto" w:fill="D1D2D4"/>
          </w:tcPr>
          <w:p>
            <w:pPr>
              <w:spacing w:after="0"/>
              <w:rPr>
                <w:sz w:val="23"/>
                <w:szCs w:val="23"/>
                <w:color w:val="auto"/>
              </w:rPr>
            </w:pPr>
          </w:p>
        </w:tc>
        <w:tc>
          <w:tcPr>
            <w:tcW w:w="52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720" w:type="dxa"/>
            <w:vAlign w:val="bottom"/>
            <w:shd w:val="clear" w:color="auto" w:fill="D1D2D4"/>
          </w:tcPr>
          <w:p>
            <w:pPr>
              <w:spacing w:after="0"/>
              <w:rPr>
                <w:sz w:val="23"/>
                <w:szCs w:val="23"/>
                <w:color w:val="auto"/>
              </w:rPr>
            </w:pPr>
          </w:p>
        </w:tc>
        <w:tc>
          <w:tcPr>
            <w:tcW w:w="56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22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5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3.14 %</w:t>
            </w: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4.51 %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ind w:right="250"/>
              <w:spacing w:after="0"/>
              <w:rPr>
                <w:sz w:val="20"/>
                <w:szCs w:val="20"/>
                <w:color w:val="auto"/>
              </w:rPr>
            </w:pPr>
            <w:r>
              <w:rPr>
                <w:rFonts w:ascii="Arial" w:cs="Arial" w:eastAsia="Arial" w:hAnsi="Arial"/>
                <w:sz w:val="18"/>
                <w:szCs w:val="18"/>
                <w:color w:val="auto"/>
              </w:rPr>
              <w:t>2.63 %</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2.67 %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7840" w:type="dxa"/>
            <w:vAlign w:val="bottom"/>
            <w:gridSpan w:val="2"/>
          </w:tcPr>
          <w:p>
            <w:pPr>
              <w:spacing w:after="0"/>
              <w:rPr>
                <w:sz w:val="20"/>
                <w:szCs w:val="20"/>
                <w:color w:val="auto"/>
              </w:rPr>
            </w:pPr>
            <w:r>
              <w:rPr>
                <w:rFonts w:ascii="Arial" w:cs="Arial" w:eastAsia="Arial" w:hAnsi="Arial"/>
                <w:sz w:val="18"/>
                <w:szCs w:val="18"/>
                <w:color w:val="auto"/>
              </w:rPr>
              <w:t>Maturities of lease liabilities existing as of September 2, 2021 were as follows: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520" w:type="dxa"/>
            <w:vAlign w:val="bottom"/>
          </w:tcPr>
          <w:p>
            <w:pPr>
              <w:spacing w:after="0"/>
              <w:rPr>
                <w:sz w:val="17"/>
                <w:szCs w:val="1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0090DA"/>
            </w:tcBorders>
            <w:gridSpan w:val="2"/>
            <w:vMerge w:val="continue"/>
          </w:tcPr>
          <w:p>
            <w:pPr>
              <w:spacing w:after="0"/>
              <w:rPr>
                <w:sz w:val="19"/>
                <w:szCs w:val="19"/>
                <w:color w:val="auto"/>
              </w:rPr>
            </w:pPr>
          </w:p>
        </w:tc>
        <w:tc>
          <w:tcPr>
            <w:tcW w:w="520" w:type="dxa"/>
            <w:vAlign w:val="bottom"/>
            <w:tcBorders>
              <w:bottom w:val="single" w:sz="8" w:color="0090DA"/>
            </w:tcBorders>
          </w:tcPr>
          <w:p>
            <w:pPr>
              <w:spacing w:after="0"/>
              <w:rPr>
                <w:sz w:val="19"/>
                <w:szCs w:val="19"/>
                <w:color w:val="auto"/>
              </w:rPr>
            </w:pPr>
          </w:p>
        </w:tc>
        <w:tc>
          <w:tcPr>
            <w:tcW w:w="1440" w:type="dxa"/>
            <w:vAlign w:val="bottom"/>
            <w:tcBorders>
              <w:bottom w:val="single" w:sz="8" w:color="0090DA"/>
            </w:tcBorders>
            <w:gridSpan w:val="3"/>
            <w:vMerge w:val="continue"/>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2022</w:t>
            </w:r>
          </w:p>
        </w:tc>
        <w:tc>
          <w:tcPr>
            <w:tcW w:w="6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2027 and thereafter</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spacing w:after="0"/>
              <w:rPr>
                <w:sz w:val="19"/>
                <w:szCs w:val="19"/>
                <w:color w:val="auto"/>
              </w:rPr>
            </w:pPr>
          </w:p>
        </w:tc>
        <w:tc>
          <w:tcPr>
            <w:tcW w:w="5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table above excludes any lease liabilities for leases that have been executed but have not yet commenced. As of September 2, 2021, we had such lease liabilities relating to (1) operating lease payment obligations of $147 million for the initial 10-year lease term for a building, which may, at our election, be terminated after 3 years or extended for an additional 10 years, and (2) finance lease obligations of $553 million over a weighted-average period of 15 years for gas supply arrangements deemed to contain embedded leases. We will recognize right-of-use assets and associated lease liabilities at the time such assets become available for our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4" w:name="page65"/>
    <w:bookmarkEnd w:id="64"/>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1,744</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2,191</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1,887</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984</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346</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rPr>
                <w:sz w:val="20"/>
                <w:szCs w:val="20"/>
                <w:color w:val="auto"/>
              </w:rPr>
            </w:pPr>
          </w:p>
        </w:tc>
        <w:tc>
          <w:tcPr>
            <w:tcW w:w="100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78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68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66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9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54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rPr>
              <w:t>Net Carrying Amount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54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rPr>
              <w:t>Net Carrying Amount</w:t>
            </w:r>
          </w:p>
        </w:tc>
        <w:tc>
          <w:tcPr>
            <w:tcW w:w="0" w:type="dxa"/>
            <w:vAlign w:val="bottom"/>
          </w:tcPr>
          <w:p>
            <w:pPr>
              <w:spacing w:after="0"/>
              <w:rPr>
                <w:sz w:val="1"/>
                <w:szCs w:val="1"/>
                <w:color w:val="auto"/>
              </w:rPr>
            </w:pPr>
          </w:p>
        </w:tc>
      </w:tr>
      <w:tr>
        <w:trPr>
          <w:trHeight w:val="169"/>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Effective</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4"/>
                <w:szCs w:val="14"/>
                <w:color w:val="auto"/>
              </w:rPr>
            </w:pPr>
          </w:p>
        </w:tc>
        <w:tc>
          <w:tcPr>
            <w:tcW w:w="6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Current</w:t>
            </w:r>
          </w:p>
        </w:tc>
        <w:tc>
          <w:tcPr>
            <w:tcW w:w="220" w:type="dxa"/>
            <w:vAlign w:val="bottom"/>
          </w:tcPr>
          <w:p>
            <w:pPr>
              <w:spacing w:after="0"/>
              <w:rPr>
                <w:sz w:val="14"/>
                <w:szCs w:val="14"/>
                <w:color w:val="auto"/>
              </w:rPr>
            </w:pPr>
          </w:p>
        </w:tc>
        <w:tc>
          <w:tcPr>
            <w:tcW w:w="6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6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68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6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4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6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Finance lease</w:t>
            </w:r>
          </w:p>
        </w:tc>
        <w:tc>
          <w:tcPr>
            <w:tcW w:w="1000" w:type="dxa"/>
            <w:vAlign w:val="bottom"/>
            <w:shd w:val="clear" w:color="auto" w:fill="D1D2D4"/>
          </w:tcPr>
          <w:p>
            <w:pPr>
              <w:spacing w:after="0"/>
              <w:rPr>
                <w:sz w:val="16"/>
                <w:szCs w:val="16"/>
                <w:color w:val="auto"/>
              </w:rPr>
            </w:pPr>
          </w:p>
        </w:tc>
        <w:tc>
          <w:tcPr>
            <w:tcW w:w="98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76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680" w:type="dxa"/>
            <w:vAlign w:val="bottom"/>
            <w:shd w:val="clear" w:color="auto" w:fill="D1D2D4"/>
          </w:tcPr>
          <w:p>
            <w:pPr>
              <w:spacing w:after="0"/>
              <w:rPr>
                <w:sz w:val="16"/>
                <w:szCs w:val="16"/>
                <w:color w:val="auto"/>
              </w:rPr>
            </w:pPr>
          </w:p>
        </w:tc>
        <w:tc>
          <w:tcPr>
            <w:tcW w:w="22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00" w:type="dxa"/>
            <w:vAlign w:val="bottom"/>
            <w:shd w:val="clear" w:color="auto" w:fill="D1D2D4"/>
          </w:tcPr>
          <w:p>
            <w:pPr>
              <w:spacing w:after="0"/>
              <w:rPr>
                <w:sz w:val="16"/>
                <w:szCs w:val="16"/>
                <w:color w:val="auto"/>
              </w:rPr>
            </w:pPr>
          </w:p>
        </w:tc>
        <w:tc>
          <w:tcPr>
            <w:tcW w:w="26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740" w:type="dxa"/>
            <w:vAlign w:val="bottom"/>
            <w:shd w:val="clear" w:color="auto" w:fill="D1D2D4"/>
          </w:tcPr>
          <w:p>
            <w:pPr>
              <w:spacing w:after="0"/>
              <w:rPr>
                <w:sz w:val="16"/>
                <w:szCs w:val="16"/>
                <w:color w:val="auto"/>
              </w:rPr>
            </w:pPr>
          </w:p>
        </w:tc>
        <w:tc>
          <w:tcPr>
            <w:tcW w:w="22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obligations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3.14 %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D1D2D4"/>
          </w:tcPr>
          <w:p>
            <w:pPr>
              <w:spacing w:after="0"/>
              <w:rPr>
                <w:sz w:val="18"/>
                <w:szCs w:val="18"/>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2.497 %</w:t>
            </w:r>
          </w:p>
        </w:tc>
        <w:tc>
          <w:tcPr>
            <w:tcW w:w="980" w:type="dxa"/>
            <w:vAlign w:val="bottom"/>
          </w:tcPr>
          <w:p>
            <w:pPr>
              <w:jc w:val="right"/>
              <w:spacing w:after="0"/>
              <w:rPr>
                <w:sz w:val="20"/>
                <w:szCs w:val="20"/>
                <w:color w:val="auto"/>
              </w:rPr>
            </w:pPr>
            <w:r>
              <w:rPr>
                <w:rFonts w:ascii="Arial" w:cs="Arial" w:eastAsia="Arial" w:hAnsi="Arial"/>
                <w:sz w:val="18"/>
                <w:szCs w:val="18"/>
                <w:color w:val="auto"/>
              </w:rPr>
              <w:t>2.64 %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4.76 %</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0.975 %</w:t>
            </w:r>
          </w:p>
        </w:tc>
        <w:tc>
          <w:tcPr>
            <w:tcW w:w="980" w:type="dxa"/>
            <w:vAlign w:val="bottom"/>
          </w:tcPr>
          <w:p>
            <w:pPr>
              <w:jc w:val="right"/>
              <w:spacing w:after="0"/>
              <w:rPr>
                <w:sz w:val="20"/>
                <w:szCs w:val="20"/>
                <w:color w:val="auto"/>
              </w:rPr>
            </w:pPr>
            <w:r>
              <w:rPr>
                <w:rFonts w:ascii="Arial" w:cs="Arial" w:eastAsia="Arial" w:hAnsi="Arial"/>
                <w:sz w:val="18"/>
                <w:szCs w:val="18"/>
                <w:color w:val="auto"/>
              </w:rPr>
              <w:t>1.01 %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line="189" w:lineRule="exact"/>
              <w:rPr>
                <w:sz w:val="20"/>
                <w:szCs w:val="20"/>
                <w:color w:val="auto"/>
              </w:rPr>
            </w:pPr>
            <w:r>
              <w:rPr>
                <w:rFonts w:ascii="Arial" w:cs="Arial" w:eastAsia="Arial" w:hAnsi="Arial"/>
                <w:sz w:val="18"/>
                <w:szCs w:val="18"/>
                <w:color w:val="auto"/>
              </w:rPr>
              <w:t>Extinguished 2024 Term</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tcPr>
          <w:p>
            <w:pPr>
              <w:ind w:left="20"/>
              <w:spacing w:after="0"/>
              <w:rPr>
                <w:sz w:val="20"/>
                <w:szCs w:val="20"/>
                <w:color w:val="auto"/>
              </w:rPr>
            </w:pPr>
            <w:r>
              <w:rPr>
                <w:rFonts w:ascii="Arial" w:cs="Arial" w:eastAsia="Arial" w:hAnsi="Arial"/>
                <w:sz w:val="18"/>
                <w:szCs w:val="18"/>
                <w:color w:val="auto"/>
              </w:rPr>
              <w:t>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80" w:right="240" w:hanging="172"/>
        <w:spacing w:after="0" w:line="239" w:lineRule="auto"/>
        <w:tabs>
          <w:tab w:leader="none" w:pos="211" w:val="left"/>
        </w:tabs>
        <w:numPr>
          <w:ilvl w:val="0"/>
          <w:numId w:val="3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as a result, the carrying value of our 2027 Notes reflects adjustments in fair value.</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September 2, 2021, all of our debt, other than our finance leases, are unsecured obligations that rank equally in right of payment with all of our other existing and future unsecured indebtedness and are effectively subordinated to all of our other existing and future secured indebtedness, to the extent of the value of the assets securing such indebtedness. As of September 2, 2021, Micron had $ 5.97 billion of unsecured debt (net of unamortized discount and debt issuance costs) that was structurally subordinated to all liabilities of its subsidiaries, including trade payables. The terms of our indebtedness generally contain cross payment default and cross acceleration provisions. Micron’s guarantees of its subsidiary debt obligations are unsecured obligations ranking equally in right of payment with all of Micron’s other existing and future unsecured indebtedness.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2023 Notes, 2024 Notes, 2026 Notes, 2027 Notes, 2029 Notes, and 2030 Notes (the “Senior Unsecured Notes”) each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 (3) consolidate with or merge with or into, or convey, transfer, or lease all or substantially all of our properties and assets, to another entity. These covenants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65" w:name="page66"/>
    <w:bookmarkEnd w:id="65"/>
    <w:p>
      <w:pPr>
        <w:ind w:right="80"/>
        <w:spacing w:after="0" w:line="256" w:lineRule="auto"/>
        <w:rPr>
          <w:sz w:val="20"/>
          <w:szCs w:val="20"/>
          <w:color w:val="auto"/>
        </w:rPr>
      </w:pPr>
      <w:r>
        <w:rPr>
          <w:rFonts w:ascii="Arial" w:cs="Arial" w:eastAsia="Arial" w:hAnsi="Arial"/>
          <w:sz w:val="18"/>
          <w:szCs w:val="18"/>
          <w:color w:val="auto"/>
        </w:rPr>
        <w:t>are subject to a number of limitations and exceptions. Additionally, if a change of control triggering event occurs, as defined in the indentures governing our senior unsecured notes, we will be required to offer to purchase such notes at 101% of the outstanding aggregate principal amount plus accrued interest up to the purchase date.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14, 2021, we terminated our existing undrawn credit facility and entered into a new five-year unsecured Revolving Credit Facility. Under the Revolving Credit Facility, we can draw up to $2.50 billion which would generally bear interest at a rate equal to LIBOR plus 1.00% to 1.75%, depending on our corporate credit ratings. Any amounts outstanding under the Revolving Credit Facility would mature in May 2026 and amounts borrowed may be prepaid without penalty. As of September 2, 2021, no amounts were outstanding under the Revolving Credit Facility and $2.50 billion was available to us.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Revolving Credit Facility, we must maintain a leverage ratio, calculated as of the last day of each fiscal quarter, of total indebtedness to adjusted EBITDA not to exceed 3.25 to 1.00. The Revolving Credit Facility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2024 Term Loans</w:t>
      </w:r>
    </w:p>
    <w:p>
      <w:pPr>
        <w:spacing w:after="0" w:line="2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14, 2021, we drew $1.19 billion under an unsecured 2024 Term Loan A and used the proceeds to repay the $1.19 billion Extinguished 2024 Term Loan A. The 2024 Term Loan A bears interest at a rate equal to LIBOR plus 0.625% to 1.375% based on our current corporate credit ratings. The principal amount is due October 2024 and may be prepaid without penalty. The 2024 Term Loan A contains the same leverage ratio and substantially the same other covenants as the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effects of issuances, prepayments, and settlements of debt conversions in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60" w:type="dxa"/>
            <w:vAlign w:val="bottom"/>
          </w:tcPr>
          <w:p>
            <w:pPr>
              <w:spacing w:after="0"/>
              <w:rPr>
                <w:sz w:val="18"/>
                <w:szCs w:val="18"/>
                <w:color w:val="auto"/>
              </w:rPr>
            </w:pPr>
          </w:p>
        </w:tc>
        <w:tc>
          <w:tcPr>
            <w:tcW w:w="12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Decrease in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(Decrease) in</w:t>
            </w: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Gain (Loss)</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Principal</w:t>
            </w:r>
          </w:p>
        </w:tc>
        <w:tc>
          <w:tcPr>
            <w:tcW w:w="142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Cash</w:t>
            </w:r>
          </w:p>
        </w:tc>
        <w:tc>
          <w:tcPr>
            <w:tcW w:w="16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8"/>
              </w:rPr>
              <w:t>Equity</w:t>
            </w:r>
          </w:p>
        </w:tc>
        <w:tc>
          <w:tcPr>
            <w:tcW w:w="16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Issuance of 2024 Term Loan A</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Prepayment of Extinguished 2024 Term Loan A</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9"/>
                <w:szCs w:val="19"/>
                <w:color w:val="auto"/>
              </w:rPr>
            </w:pPr>
          </w:p>
        </w:tc>
        <w:tc>
          <w:tcPr>
            <w:tcW w:w="126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60" w:type="dxa"/>
            <w:vAlign w:val="bottom"/>
            <w:shd w:val="clear" w:color="auto" w:fill="D1D2D4"/>
          </w:tcPr>
          <w:p>
            <w:pPr>
              <w:ind w:left="140"/>
              <w:spacing w:after="0" w:line="230" w:lineRule="exact"/>
              <w:rPr>
                <w:sz w:val="20"/>
                <w:szCs w:val="20"/>
                <w:color w:val="auto"/>
              </w:rPr>
            </w:pPr>
            <w:r>
              <w:rPr>
                <w:rFonts w:ascii="Arial" w:cs="Arial" w:eastAsia="Arial" w:hAnsi="Arial"/>
                <w:sz w:val="18"/>
                <w:szCs w:val="18"/>
                <w:color w:val="auto"/>
              </w:rPr>
              <w:t>Settlement of Conversions of 2032D Notes</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center"/>
              <w:ind w:left="770"/>
              <w:spacing w:after="0"/>
              <w:rPr>
                <w:sz w:val="20"/>
                <w:szCs w:val="20"/>
                <w:color w:val="auto"/>
              </w:rPr>
            </w:pPr>
            <w:r>
              <w:rPr>
                <w:rFonts w:ascii="Arial" w:cs="Arial" w:eastAsia="Arial" w:hAnsi="Arial"/>
                <w:sz w:val="18"/>
                <w:szCs w:val="18"/>
                <w:color w:val="auto"/>
                <w:w w:val="99"/>
              </w:rPr>
              <w:t>(52)</w:t>
            </w:r>
          </w:p>
        </w:tc>
        <w:tc>
          <w:tcPr>
            <w:tcW w:w="16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9"/>
              </w:rPr>
              <w:t>(52)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60" w:right="120" w:hanging="252"/>
        <w:spacing w:after="0" w:line="229" w:lineRule="auto"/>
        <w:tabs>
          <w:tab w:leader="none" w:pos="254" w:val="left"/>
        </w:tabs>
        <w:numPr>
          <w:ilvl w:val="0"/>
          <w:numId w:val="3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substantially all holders of our 2032D Notes converted their notes. We settled these conversions and all remaining 2032D Notes with $185 million in cash and 11.1 million shares of our stock.</w:t>
      </w:r>
    </w:p>
    <w:p>
      <w:pPr>
        <w:spacing w:after="0" w:line="2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2020, we recognized aggregate non-operating gains of $40 million in connection with debt prepayments and conversions of $3.77 billion of principal amount of notes (carrying value of $3.90 billion) for an aggregate of $3.92 billion in cash.</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2019, we recognized aggregate non-operating losses of $396 million in connection with debt prepayments, repurchases, and conversions of $1.80 billion of principal amount of notes (carrying value of $1.60 billion) for an aggregate of $2.38 billion in cash.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0090DA"/>
        </w:rPr>
        <w:t>Maturities of Notes Payable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00" w:type="dxa"/>
            <w:vAlign w:val="bottom"/>
          </w:tcPr>
          <w:p>
            <w:pPr>
              <w:spacing w:after="0"/>
              <w:rPr>
                <w:sz w:val="20"/>
                <w:szCs w:val="20"/>
                <w:color w:val="auto"/>
              </w:rPr>
            </w:pPr>
            <w:r>
              <w:rPr>
                <w:rFonts w:ascii="Arial" w:cs="Arial" w:eastAsia="Arial" w:hAnsi="Arial"/>
                <w:sz w:val="18"/>
                <w:szCs w:val="18"/>
                <w:color w:val="auto"/>
              </w:rPr>
              <w:t>As of September 2, 2021, maturities of notes payable were as follows: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
        </w:trPr>
        <w:tc>
          <w:tcPr>
            <w:tcW w:w="9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discounts</w:t>
            </w:r>
          </w:p>
        </w:tc>
        <w:tc>
          <w:tcPr>
            <w:tcW w:w="520" w:type="dxa"/>
            <w:vAlign w:val="bottom"/>
            <w:tcBorders>
              <w:bottom w:val="single" w:sz="8" w:color="auto"/>
            </w:tcBorders>
            <w:shd w:val="clear" w:color="auto" w:fill="D1D2D4"/>
          </w:tcPr>
          <w:p>
            <w:pPr>
              <w:spacing w:after="0"/>
              <w:rPr>
                <w:sz w:val="19"/>
                <w:szCs w:val="19"/>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98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w:t>
            </w:r>
          </w:p>
        </w:tc>
      </w:tr>
      <w:tr>
        <w:trPr>
          <w:trHeight w:val="21"/>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Commitments</w:t>
      </w:r>
    </w:p>
    <w:p>
      <w:pPr>
        <w:spacing w:after="0" w:line="2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September 2, 2021, we had commitments of approximately $ 6.5 billion for purchase obligations, of which approximately $5.0 billion will be due within one year. Purchase obligations include payments for the acquisition of property, plant, and equipment, and other goods or services of either a fixed or minimum quantity and exclude any lease payments for leases that have been executed but have not yet commenced.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8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U.S. District Court for the Northern District of California. The complaint alleges that Micron infringes a single U.S. patent and seeks damages, attorneys’ fees, and costs.</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 On July 14, 2021, the action was dismissed with prejudice pursuant to a stipulation of dismissal filed by the parties.</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w:t>
      </w:r>
    </w:p>
    <w:p>
      <w:pPr>
        <w:spacing w:after="0" w:line="22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7" w:name="page68"/>
    <w:bookmarkEnd w:id="67"/>
    <w:p>
      <w:pPr>
        <w:ind w:right="320"/>
        <w:spacing w:after="0" w:line="261" w:lineRule="auto"/>
        <w:rPr>
          <w:sz w:val="20"/>
          <w:szCs w:val="20"/>
          <w:color w:val="auto"/>
        </w:rPr>
      </w:pPr>
      <w:r>
        <w:rPr>
          <w:rFonts w:ascii="Arial" w:cs="Arial" w:eastAsia="Arial" w:hAnsi="Arial"/>
          <w:sz w:val="18"/>
          <w:szCs w:val="18"/>
          <w:color w:val="auto"/>
        </w:rPr>
        <w:t>to stop manufacturing, using, selling, and offering for sale the accused products in China; and to pay damages of 98 million Chinese yuan plus court fees incurred.</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w:t>
      </w:r>
    </w:p>
    <w:p>
      <w:pPr>
        <w:spacing w:after="0" w:line="23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April 28, 2021, Netlist, Inc. filed two patent infringement actions against Micron, Micron Semiconductor Products, Inc. and Micron Technology Texas, LLC in the U.S. District Court for the Western District of Texas. The first complaint alleges that a single U.S. patent is infringed by certain of our non-volatile dual in-line memory modules. The second complaint alleges that three U.S. patents are infringed by certain of our load-reduced dual in-line memory modules. Each complaint seeks injunctive relief, damages, attorneys’ fees, and costs.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May 10, 2021, Vervain, LLC filed a patent infringement action against Micron, Micron Semiconductor Products, Inc., and Micron Technology Texas, LLC in the U.S. District Court for the Western District of Texas. The complaint alleges that four U.S. patents are infringed by certain SSD products. The complaint seeks injunctive relief, damages, attorneys’ fees, and costs.</w:t>
      </w:r>
    </w:p>
    <w:p>
      <w:pPr>
        <w:spacing w:after="0" w:line="22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6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8" w:name="page69"/>
    <w:bookmarkEnd w:id="68"/>
    <w:p>
      <w:pPr>
        <w:ind w:right="180"/>
        <w:spacing w:after="0" w:line="261" w:lineRule="auto"/>
        <w:rPr>
          <w:sz w:val="20"/>
          <w:szCs w:val="20"/>
          <w:color w:val="auto"/>
        </w:rPr>
      </w:pPr>
      <w:r>
        <w:rPr>
          <w:rFonts w:ascii="Arial" w:cs="Arial" w:eastAsia="Arial" w:hAnsi="Arial"/>
          <w:sz w:val="18"/>
          <w:szCs w:val="18"/>
          <w:color w:val="auto"/>
        </w:rPr>
        <w:t>under Sections 103 or 133 of the German Insolvency Code, a patent cross-license between us and Qimonda entered into at the same time as the share purchase agreement.</w:t>
      </w:r>
    </w:p>
    <w:p>
      <w:pPr>
        <w:spacing w:after="0" w:line="225"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right="40" w:firstLine="8"/>
        <w:spacing w:after="0" w:line="251"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 On March 4, 2021, the Appeals Court issued an order setting forth a new legal view that whether the 2008 sale of Inotera Shares is voidable depends on the question whether, in October 2008, Qimonda had a restructuring plan in place, and whether Micron was aware of and reasonably relied on that restructuring plan sufficient to form a belief that Qimonda was not imminently illiquid.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May 3, 2021, several plaintiffs filed a substantially identical complaint in the U.S. District Court for the Northern District of California purportedly on behalf of a nationwide class of indirect purchasers of DRAM products. On July 19, 2021, the District Court dismissed the May 3, 2021 complaint pursuant to an agreement between the plaintiffs and Micron providing that the plaintiffs may refile the complaint if the District Court’s December 21, 2020 dismissal order is not affirmed on appeal.</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9" w:name="page70"/>
    <w:bookmarkEnd w:id="69"/>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 three other plaintiffs assert claims for violation of the Idaho Wage Claim Act, breach of contract, breach of the covenant of good faith and fair dealing, and fraud. On June 24, 2020, the court entered judgment in favor of Micron based on the statute of limitations, and the plaintiffs filed a notice of appeal on July 23, 2020.</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IMFT joint venture between Micron and Intel, which ended October 31, 2019, and to other agreements relating to the joint development, production, and sale of non-volatile memory products. Each party alleges that the other owes damages relating to allegations of breach of one or more agreements.</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July 13, 2015, Allied Telesis, Inc. and Allied Telesis International (Asia) Pte Ltd. filed a complaint against Micron in the Superior Court of California in Santa Clara alleging breach of implied and express warranties and fraudulent inducement to contract arising from plaintiffs’ purchase of certain allegedly defective DDR1 products between 2008 and 2010. Through subsequent amendments to the complaint, the plaintiffs substituted Allied Telesis K.K. as plaintiff, withdrew the warranty claims, and added claims of fraudulent concealment, negligent misrepresentation, negligence, and strict products liability. The plaintiff’s amended complaint seeks an unspecified award of damages, including punitive damages and lost profits. On September 3, 2020, the Superior Court granted summary judgment dismissing the claims for negligence and strict products liability and denied summary judgment as to the claims for negligent misrepresentation, fraudulent concealment, and fraudulent inducement to contract. A trial is scheduled to begin on January 10, 2022.</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0" w:name="page71"/>
    <w:bookmarkEnd w:id="70"/>
    <w:p>
      <w:pPr>
        <w:ind w:right="180"/>
        <w:spacing w:after="0" w:line="273"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1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unable to predict the outcome of the patent matters, Qimonda matter, antitrust matters, securities matters, binding arbitration with Intel, or any other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currently a party to legal actions other than those described in this note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We repurchased 15.6 million shares of our common stock for $1.20 billion in 2021 and 3.6 million shares for $176 million in 2020. Through September 2, 2021, we had repurchased an aggregate of $4.04 billion under the authorization. Amounts repurchased are included in treasury stock.</w:t>
      </w:r>
    </w:p>
    <w:p>
      <w:pPr>
        <w:spacing w:after="0" w:line="20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2, 2021, we announced that our Board of Directors had declared a quarterly dividend of $0.10 per share, payable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on October 18, 2021, to shareholders of record as of the close of business on October 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by component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Gains (Losses)</w:t>
            </w:r>
          </w:p>
        </w:tc>
        <w:tc>
          <w:tcPr>
            <w:tcW w:w="120" w:type="dxa"/>
            <w:vAlign w:val="bottom"/>
          </w:tcPr>
          <w:p>
            <w:pPr>
              <w:spacing w:after="0"/>
              <w:rPr>
                <w:sz w:val="15"/>
                <w:szCs w:val="15"/>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Gains (Losses)</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on Derivative</w:t>
            </w:r>
          </w:p>
        </w:tc>
        <w:tc>
          <w:tcPr>
            <w:tcW w:w="120" w:type="dxa"/>
            <w:vAlign w:val="bottom"/>
          </w:tcPr>
          <w:p>
            <w:pPr>
              <w:spacing w:after="0"/>
              <w:rPr>
                <w:sz w:val="15"/>
                <w:szCs w:val="15"/>
                <w:color w:val="auto"/>
              </w:rPr>
            </w:pPr>
          </w:p>
        </w:tc>
        <w:tc>
          <w:tcPr>
            <w:tcW w:w="12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3, 2020</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center"/>
              <w:ind w:left="790"/>
              <w:spacing w:after="0"/>
              <w:rPr>
                <w:sz w:val="20"/>
                <w:szCs w:val="20"/>
                <w:color w:val="auto"/>
              </w:rPr>
            </w:pPr>
            <w:r>
              <w:rPr>
                <w:rFonts w:ascii="Arial" w:cs="Arial" w:eastAsia="Arial" w:hAnsi="Arial"/>
                <w:sz w:val="18"/>
                <w:szCs w:val="18"/>
                <w:color w:val="auto"/>
                <w:w w:val="99"/>
              </w:rPr>
              <w:t>45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center"/>
              <w:ind w:left="850"/>
              <w:spacing w:after="0"/>
              <w:rPr>
                <w:sz w:val="20"/>
                <w:szCs w:val="20"/>
                <w:color w:val="auto"/>
              </w:rPr>
            </w:pPr>
            <w:r>
              <w:rPr>
                <w:rFonts w:ascii="Arial" w:cs="Arial" w:eastAsia="Arial" w:hAnsi="Arial"/>
                <w:sz w:val="18"/>
                <w:szCs w:val="18"/>
                <w:color w:val="auto"/>
                <w:w w:val="99"/>
              </w:rPr>
              <w:t>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200" w:type="dxa"/>
            <w:vAlign w:val="bottom"/>
          </w:tcPr>
          <w:p>
            <w:pPr>
              <w:jc w:val="center"/>
              <w:ind w:left="750"/>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00" w:type="dxa"/>
            <w:vAlign w:val="bottom"/>
          </w:tcPr>
          <w:p>
            <w:pPr>
              <w:jc w:val="center"/>
              <w:ind w:left="850"/>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8"/>
        </w:trPr>
        <w:tc>
          <w:tcPr>
            <w:tcW w:w="4580" w:type="dxa"/>
            <w:vAlign w:val="bottom"/>
            <w:shd w:val="clear" w:color="auto" w:fill="D1D2D4"/>
          </w:tcPr>
          <w:p>
            <w:pPr>
              <w:ind w:left="240"/>
              <w:spacing w:after="0" w:line="189"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22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28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jc w:val="center"/>
              <w:ind w:left="750"/>
              <w:spacing w:after="0"/>
              <w:rPr>
                <w:sz w:val="20"/>
                <w:szCs w:val="20"/>
                <w:color w:val="auto"/>
              </w:rPr>
            </w:pPr>
            <w:r>
              <w:rPr>
                <w:rFonts w:ascii="Arial" w:cs="Arial" w:eastAsia="Arial" w:hAnsi="Arial"/>
                <w:sz w:val="18"/>
                <w:szCs w:val="18"/>
                <w:color w:val="auto"/>
                <w:w w:val="99"/>
              </w:rPr>
              <w:t>(41)</w:t>
            </w:r>
          </w:p>
        </w:tc>
        <w:tc>
          <w:tcPr>
            <w:tcW w:w="12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9"/>
              </w:rPr>
              <w:t>26</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center"/>
              <w:ind w:left="750"/>
              <w:spacing w:after="0"/>
              <w:rPr>
                <w:sz w:val="20"/>
                <w:szCs w:val="20"/>
                <w:color w:val="auto"/>
              </w:rPr>
            </w:pPr>
            <w:r>
              <w:rPr>
                <w:rFonts w:ascii="Arial" w:cs="Arial" w:eastAsia="Arial" w:hAnsi="Arial"/>
                <w:sz w:val="18"/>
                <w:szCs w:val="18"/>
                <w:color w:val="auto"/>
                <w:w w:val="99"/>
              </w:rPr>
              <w:t>(67)</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center"/>
              <w:ind w:left="850"/>
              <w:spacing w:after="0"/>
              <w:rPr>
                <w:sz w:val="20"/>
                <w:szCs w:val="20"/>
                <w:color w:val="auto"/>
              </w:rPr>
            </w:pPr>
            <w:r>
              <w:rPr>
                <w:rFonts w:ascii="Arial" w:cs="Arial" w:eastAsia="Arial" w:hAnsi="Arial"/>
                <w:sz w:val="18"/>
                <w:szCs w:val="18"/>
                <w:color w:val="auto"/>
                <w:w w:val="99"/>
              </w:rPr>
              <w:t>(7)</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9"/>
              </w:rPr>
              <w:t>(22)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1" w:name="page72"/>
    <w:bookmarkEnd w:id="71"/>
    <w:p>
      <w:pPr>
        <w:spacing w:after="0"/>
        <w:rPr>
          <w:sz w:val="20"/>
          <w:szCs w:val="20"/>
          <w:color w:val="auto"/>
        </w:rPr>
      </w:pPr>
      <w:r>
        <w:rPr>
          <w:rFonts w:ascii="Arial" w:cs="Arial" w:eastAsia="Arial" w:hAnsi="Arial"/>
          <w:sz w:val="40"/>
          <w:szCs w:val="40"/>
          <w:b w:val="1"/>
          <w:bCs w:val="1"/>
          <w:color w:val="auto"/>
        </w:rPr>
        <w:t>Fair Value Measurements</w:t>
      </w:r>
    </w:p>
    <w:p>
      <w:pPr>
        <w:spacing w:after="0" w:line="28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estimated fair values and carrying values of our outstanding debt instruments (excluding the carrying value of equity components of our convertible notes) were as follows:</w:t>
      </w:r>
    </w:p>
    <w:tbl>
      <w:tblPr>
        <w:tblLayout w:type="fixed"/>
        <w:tblInd w:w="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p>
        </w:tc>
        <w:tc>
          <w:tcPr>
            <w:tcW w:w="28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0090DA"/>
            </w:tcBorders>
          </w:tcPr>
          <w:p>
            <w:pPr>
              <w:spacing w:after="0"/>
              <w:rPr>
                <w:sz w:val="20"/>
                <w:szCs w:val="20"/>
                <w:color w:val="auto"/>
              </w:rPr>
            </w:pPr>
          </w:p>
        </w:tc>
        <w:tc>
          <w:tcPr>
            <w:tcW w:w="13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14"/>
                <w:szCs w:val="14"/>
                <w:color w:val="auto"/>
              </w:rPr>
            </w:pPr>
          </w:p>
        </w:tc>
        <w:tc>
          <w:tcPr>
            <w:tcW w:w="102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280" w:type="dxa"/>
            <w:vAlign w:val="bottom"/>
          </w:tcPr>
          <w:p>
            <w:pPr>
              <w:spacing w:after="0"/>
              <w:rPr>
                <w:sz w:val="14"/>
                <w:szCs w:val="14"/>
                <w:color w:val="auto"/>
              </w:rPr>
            </w:pPr>
          </w:p>
        </w:tc>
        <w:tc>
          <w:tcPr>
            <w:tcW w:w="108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280" w:type="dxa"/>
            <w:vAlign w:val="bottom"/>
          </w:tcPr>
          <w:p>
            <w:pPr>
              <w:spacing w:after="0"/>
              <w:rPr>
                <w:sz w:val="14"/>
                <w:szCs w:val="14"/>
                <w:color w:val="auto"/>
              </w:rPr>
            </w:pPr>
          </w:p>
        </w:tc>
        <w:tc>
          <w:tcPr>
            <w:tcW w:w="108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29"/>
        </w:trPr>
        <w:tc>
          <w:tcPr>
            <w:tcW w:w="5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58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8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8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6,584</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5,973</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6,710</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the trading price of our notes when available, discounted cash flows, and interest rates based on similar debt issued by parties with credit ratings similar to ours.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Assets classified as held for sale are carried at the lower of estimated fair value or carrying value. Significant judgments and assumptions are required to estimate their fair values. Actual selling prices could vary significantly from our estimated fair value and we could recognize additional losses in the event that the sales prices of assets classified as held for sale are lower than their carrying values.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Derivative Instruments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19"/>
                <w:szCs w:val="19"/>
                <w:color w:val="auto"/>
              </w:rPr>
            </w:pPr>
          </w:p>
        </w:tc>
        <w:tc>
          <w:tcPr>
            <w:tcW w:w="26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22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22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3, 2020</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1,587</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 other and other noncurrent assets.</w:t>
      </w:r>
    </w:p>
    <w:p>
      <w:pPr>
        <w:ind w:left="660" w:hanging="328"/>
        <w:spacing w:after="0" w:line="196" w:lineRule="auto"/>
        <w:tabs>
          <w:tab w:leader="none" w:pos="660" w:val="left"/>
        </w:tabs>
        <w:numPr>
          <w:ilvl w:val="0"/>
          <w:numId w:val="4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 other and other noncurrent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to changes in currency exchange rates or commodity prices for certain capital expenditures and manufacturing costs. Forward and swap contracts are measured at fair value based on market-</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10020"/>
        <w:spacing w:after="0"/>
        <w:rPr>
          <w:sz w:val="20"/>
          <w:szCs w:val="20"/>
          <w:color w:val="auto"/>
        </w:rPr>
      </w:pPr>
      <w:r>
        <w:rPr>
          <w:sz w:val="1"/>
          <w:szCs w:val="1"/>
          <w:color w:val="auto"/>
        </w:rPr>
        <w:drawing>
          <wp:inline distT="0" distB="0" distL="0" distR="0">
            <wp:extent cx="608330" cy="1714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5"/>
          <w:szCs w:val="15"/>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72" w:name="page73"/>
    <w:bookmarkEnd w:id="72"/>
    <w:p>
      <w:pPr>
        <w:ind w:right="80"/>
        <w:spacing w:after="0" w:line="251" w:lineRule="auto"/>
        <w:rPr>
          <w:sz w:val="20"/>
          <w:szCs w:val="20"/>
          <w:color w:val="auto"/>
        </w:rPr>
      </w:pPr>
      <w:r>
        <w:rPr>
          <w:rFonts w:ascii="Arial" w:cs="Arial" w:eastAsia="Arial" w:hAnsi="Arial"/>
          <w:sz w:val="18"/>
          <w:szCs w:val="18"/>
          <w:color w:val="auto"/>
        </w:rPr>
        <w:t>based observable inputs including market spot and forward rates, interest rates, and credit-risk spreads (Level 2). We do not use derivative instruments for speculative purposes. We recognized losses of $52 million and gains of $51 million for 2021 and 2020, respectively, in accumulated other comprehensive income from cash flow hedges. The amounts recognized in 2019 were not significant. We recognized losses of $14 million in 2021 in cost of goods sold related to the amounts excluded from hedge effectiveness testing. The amounts recognized in 2020 and 2019 were not significant. We reclassified $41 million of gains in 2021 from accumulated other comprehensive income to earnings, primarily to cost of goods sold. The reclassifications were not significant in 2020 or 2019. As of September 2, 2021, we expect to reclassify $12 million of pre-tax losses related to cash flow hedges from accumulated other comprehensive income into earnings in the next 12 months. Substantially all of the cash flow hedging relates to foreign currency contracts for all periods presented, and the commodity hedges had an immaterial impact.</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For derivative instruments without hedge accounting designation, we recognized gains of $21 million and losses of $32 million for 2020 and 2019, respectively. The amounts recognized in 2021 were not significant.</w:t>
      </w:r>
    </w:p>
    <w:p>
      <w:pPr>
        <w:spacing w:after="0" w:line="21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We recognized losses $ 14 million and $58 million for 2020 and 2019, respectively, in other non-operating income (expense), net for the changes in fair value of the derivative settlement obligations. The amounts recognized in 2021 were not significant.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Counterparty Credit Risk and Master Netting Arrangements</w:t>
      </w:r>
    </w:p>
    <w:p>
      <w:pPr>
        <w:spacing w:after="0" w:line="265"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September 2, 2021 and September 3, 2020, amounts netted under our master netting arrangements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3" w:name="page74"/>
    <w:bookmarkEnd w:id="73"/>
    <w:p>
      <w:pPr>
        <w:spacing w:after="0"/>
        <w:rPr>
          <w:sz w:val="20"/>
          <w:szCs w:val="20"/>
          <w:color w:val="auto"/>
        </w:rPr>
      </w:pPr>
      <w:r>
        <w:rPr>
          <w:rFonts w:ascii="Arial" w:cs="Arial" w:eastAsia="Arial" w:hAnsi="Arial"/>
          <w:sz w:val="40"/>
          <w:szCs w:val="40"/>
          <w:b w:val="1"/>
          <w:bCs w:val="1"/>
          <w:color w:val="auto"/>
        </w:rPr>
        <w:t>Equity Plans</w:t>
      </w:r>
    </w:p>
    <w:p>
      <w:pPr>
        <w:spacing w:after="0" w:line="28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As of September 2, 2021, 104 million shares of our common stock were available for future awards under our equity plans, including 23 million shares approved for issuance under our employee stock purchase plan (“ESPP”).</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September 2, 2021, there were 20 million shares of Restricted Stock Awards outstanding, 17 million of which contained only service conditions. For service-based Restricted Stock Awards, restrictions generally lapse in one-fourth or one-third increments during each year of employment after the grant date. Restrictions generally lapse on Restricted Stock with performance or market conditions as conditions are met over a 3-year period. At the end of the performance period, the number of actual shares to be awarded will vary between 0% and 200% of target amounts, depending upon the achievement level. Restricted Stock Awards activity for 2021 is summarized as follows:</w:t>
      </w:r>
    </w:p>
    <w:tbl>
      <w:tblPr>
        <w:tblLayout w:type="fixed"/>
        <w:tblInd w:w="0" w:type="dxa"/>
        <w:tblCellMar>
          <w:top w:w="0" w:type="dxa"/>
          <w:left w:w="0" w:type="dxa"/>
          <w:bottom w:w="0" w:type="dxa"/>
          <w:right w:w="0" w:type="dxa"/>
        </w:tblCellMar>
      </w:tblPr>
      <w:tr>
        <w:trPr>
          <w:trHeight w:val="179"/>
        </w:trPr>
        <w:tc>
          <w:tcPr>
            <w:tcW w:w="5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53"/>
              <w:spacing w:after="0" w:line="179"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32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0090DA"/>
            </w:tcBorders>
          </w:tcPr>
          <w:p>
            <w:pPr>
              <w:spacing w:after="0"/>
              <w:rPr>
                <w:sz w:val="18"/>
                <w:szCs w:val="18"/>
                <w:color w:val="auto"/>
              </w:rPr>
            </w:pPr>
          </w:p>
        </w:tc>
        <w:tc>
          <w:tcPr>
            <w:tcW w:w="1360" w:type="dxa"/>
            <w:vAlign w:val="bottom"/>
            <w:tcBorders>
              <w:bottom w:val="single" w:sz="8" w:color="0090DA"/>
            </w:tcBorders>
          </w:tcPr>
          <w:p>
            <w:pPr>
              <w:spacing w:after="0"/>
              <w:rPr>
                <w:sz w:val="18"/>
                <w:szCs w:val="18"/>
                <w:color w:val="auto"/>
              </w:rPr>
            </w:pPr>
          </w:p>
        </w:tc>
        <w:tc>
          <w:tcPr>
            <w:tcW w:w="1360" w:type="dxa"/>
            <w:vAlign w:val="bottom"/>
            <w:tcBorders>
              <w:bottom w:val="single" w:sz="8" w:color="0090DA"/>
            </w:tcBorders>
          </w:tcPr>
          <w:p>
            <w:pPr>
              <w:spacing w:after="0"/>
              <w:rPr>
                <w:sz w:val="18"/>
                <w:szCs w:val="18"/>
                <w:color w:val="auto"/>
              </w:rPr>
            </w:pPr>
          </w:p>
        </w:tc>
        <w:tc>
          <w:tcPr>
            <w:tcW w:w="620" w:type="dxa"/>
            <w:vAlign w:val="bottom"/>
            <w:tcBorders>
              <w:bottom w:val="single" w:sz="8" w:color="0090DA"/>
            </w:tcBorders>
          </w:tcPr>
          <w:p>
            <w:pPr>
              <w:spacing w:after="0"/>
              <w:rPr>
                <w:sz w:val="18"/>
                <w:szCs w:val="18"/>
                <w:color w:val="auto"/>
              </w:rPr>
            </w:pPr>
          </w:p>
        </w:tc>
        <w:tc>
          <w:tcPr>
            <w:tcW w:w="1440" w:type="dxa"/>
            <w:vAlign w:val="bottom"/>
            <w:tcBorders>
              <w:bottom w:val="single" w:sz="8" w:color="0090DA"/>
            </w:tcBorders>
            <w:gridSpan w:val="2"/>
            <w:vMerge w:val="continue"/>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1320" w:type="dxa"/>
            <w:vAlign w:val="bottom"/>
            <w:tcBorders>
              <w:bottom w:val="single" w:sz="8" w:color="0090DA"/>
            </w:tcBorders>
          </w:tcPr>
          <w:p>
            <w:pPr>
              <w:jc w:val="center"/>
              <w:ind w:right="33"/>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35"/>
        </w:trPr>
        <w:tc>
          <w:tcPr>
            <w:tcW w:w="5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Outstanding as of September 3, 2020</w:t>
            </w:r>
          </w:p>
        </w:tc>
        <w:tc>
          <w:tcPr>
            <w:tcW w:w="1360" w:type="dxa"/>
            <w:vAlign w:val="bottom"/>
            <w:shd w:val="clear" w:color="auto" w:fill="D1D2D4"/>
          </w:tcPr>
          <w:p>
            <w:pPr>
              <w:spacing w:after="0"/>
              <w:rPr>
                <w:sz w:val="19"/>
                <w:szCs w:val="19"/>
                <w:color w:val="auto"/>
              </w:rPr>
            </w:pPr>
          </w:p>
        </w:tc>
        <w:tc>
          <w:tcPr>
            <w:tcW w:w="136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ind w:left="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30"/>
        </w:trPr>
        <w:tc>
          <w:tcPr>
            <w:tcW w:w="5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Restrictions lapsed</w:t>
            </w:r>
          </w:p>
        </w:tc>
        <w:tc>
          <w:tcPr>
            <w:tcW w:w="1360" w:type="dxa"/>
            <w:vAlign w:val="bottom"/>
            <w:shd w:val="clear" w:color="auto" w:fill="D1D2D4"/>
          </w:tcPr>
          <w:p>
            <w:pPr>
              <w:spacing w:after="0"/>
              <w:rPr>
                <w:sz w:val="19"/>
                <w:szCs w:val="19"/>
                <w:color w:val="auto"/>
              </w:rPr>
            </w:pPr>
          </w:p>
        </w:tc>
        <w:tc>
          <w:tcPr>
            <w:tcW w:w="136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Canceled</w:t>
            </w:r>
          </w:p>
        </w:tc>
        <w:tc>
          <w:tcPr>
            <w:tcW w:w="1360" w:type="dxa"/>
            <w:vAlign w:val="bottom"/>
            <w:tcBorders>
              <w:bottom w:val="single" w:sz="8" w:color="D1D2D4"/>
            </w:tcBorders>
          </w:tcPr>
          <w:p>
            <w:pPr>
              <w:spacing w:after="0"/>
              <w:rPr>
                <w:sz w:val="19"/>
                <w:szCs w:val="19"/>
                <w:color w:val="auto"/>
              </w:rPr>
            </w:pPr>
          </w:p>
        </w:tc>
        <w:tc>
          <w:tcPr>
            <w:tcW w:w="13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1D2D4"/>
            </w:tcBorders>
          </w:tcPr>
          <w:p>
            <w:pPr>
              <w:spacing w:after="0"/>
              <w:rPr>
                <w:sz w:val="19"/>
                <w:szCs w:val="19"/>
                <w:color w:val="auto"/>
              </w:rPr>
            </w:pPr>
          </w:p>
        </w:tc>
        <w:tc>
          <w:tcPr>
            <w:tcW w:w="13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Outstanding as of September 2, 2021</w:t>
            </w:r>
          </w:p>
        </w:tc>
        <w:tc>
          <w:tcPr>
            <w:tcW w:w="1360" w:type="dxa"/>
            <w:vAlign w:val="bottom"/>
            <w:tcBorders>
              <w:bottom w:val="single" w:sz="8" w:color="D1D2D4"/>
            </w:tcBorders>
            <w:shd w:val="clear" w:color="auto" w:fill="D1D2D4"/>
          </w:tcPr>
          <w:p>
            <w:pPr>
              <w:spacing w:after="0"/>
              <w:rPr>
                <w:sz w:val="21"/>
                <w:szCs w:val="21"/>
                <w:color w:val="auto"/>
              </w:rPr>
            </w:pPr>
          </w:p>
        </w:tc>
        <w:tc>
          <w:tcPr>
            <w:tcW w:w="1360" w:type="dxa"/>
            <w:vAlign w:val="bottom"/>
            <w:tcBorders>
              <w:bottom w:val="single" w:sz="8" w:color="D1D2D4"/>
            </w:tcBorders>
            <w:shd w:val="clear" w:color="auto" w:fill="D1D2D4"/>
          </w:tcPr>
          <w:p>
            <w:pPr>
              <w:spacing w:after="0"/>
              <w:rPr>
                <w:sz w:val="21"/>
                <w:szCs w:val="21"/>
                <w:color w:val="auto"/>
              </w:rPr>
            </w:pPr>
          </w:p>
        </w:tc>
        <w:tc>
          <w:tcPr>
            <w:tcW w:w="620" w:type="dxa"/>
            <w:vAlign w:val="bottom"/>
            <w:tcBorders>
              <w:bottom w:val="single" w:sz="8" w:color="D1D2D4"/>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ind w:left="4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D1D2D4"/>
            </w:tcBorders>
            <w:shd w:val="clear" w:color="auto" w:fill="D1D2D4"/>
          </w:tcPr>
          <w:p>
            <w:pPr>
              <w:spacing w:after="0"/>
              <w:rPr>
                <w:sz w:val="21"/>
                <w:szCs w:val="21"/>
                <w:color w:val="auto"/>
              </w:rPr>
            </w:pPr>
          </w:p>
        </w:tc>
        <w:tc>
          <w:tcPr>
            <w:tcW w:w="1320" w:type="dxa"/>
            <w:vAlign w:val="bottom"/>
            <w:tcBorders>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0"/>
        </w:trPr>
        <w:tc>
          <w:tcPr>
            <w:tcW w:w="5020" w:type="dxa"/>
            <w:vAlign w:val="bottom"/>
            <w:tcBorders>
              <w:top w:val="single" w:sz="8" w:color="D1D2D4"/>
            </w:tcBorders>
          </w:tcPr>
          <w:p>
            <w:pPr>
              <w:spacing w:after="0" w:line="20" w:lineRule="exact"/>
              <w:rPr>
                <w:sz w:val="1"/>
                <w:szCs w:val="1"/>
                <w:color w:val="auto"/>
              </w:rPr>
            </w:pPr>
          </w:p>
        </w:tc>
        <w:tc>
          <w:tcPr>
            <w:tcW w:w="1360" w:type="dxa"/>
            <w:vAlign w:val="bottom"/>
            <w:tcBorders>
              <w:top w:val="single" w:sz="8" w:color="D1D2D4"/>
            </w:tcBorders>
          </w:tcPr>
          <w:p>
            <w:pPr>
              <w:spacing w:after="0" w:line="20" w:lineRule="exact"/>
              <w:rPr>
                <w:sz w:val="1"/>
                <w:szCs w:val="1"/>
                <w:color w:val="auto"/>
              </w:rPr>
            </w:pPr>
          </w:p>
        </w:tc>
        <w:tc>
          <w:tcPr>
            <w:tcW w:w="13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32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0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360" w:type="dxa"/>
            <w:vAlign w:val="bottom"/>
            <w:tcBorders>
              <w:bottom w:val="single" w:sz="8" w:color="0090DA"/>
            </w:tcBorders>
          </w:tcPr>
          <w:p>
            <w:pPr>
              <w:spacing w:after="0"/>
              <w:rPr>
                <w:sz w:val="24"/>
                <w:szCs w:val="24"/>
                <w:color w:val="auto"/>
              </w:rPr>
            </w:pPr>
          </w:p>
        </w:tc>
        <w:tc>
          <w:tcPr>
            <w:tcW w:w="1360" w:type="dxa"/>
            <w:vAlign w:val="bottom"/>
            <w:tcBorders>
              <w:bottom w:val="single" w:sz="8" w:color="0090DA"/>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592"/>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1320" w:type="dxa"/>
            <w:vAlign w:val="bottom"/>
            <w:tcBorders>
              <w:bottom w:val="single" w:sz="8" w:color="0090DA"/>
            </w:tcBorders>
          </w:tcPr>
          <w:p>
            <w:pPr>
              <w:jc w:val="right"/>
              <w:ind w:right="653"/>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5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13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53.58</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30"/>
        </w:trPr>
        <w:tc>
          <w:tcPr>
            <w:tcW w:w="5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Aggregate vesting-date fair value of shares vested</w:t>
            </w:r>
          </w:p>
        </w:tc>
        <w:tc>
          <w:tcPr>
            <w:tcW w:w="136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w:t>
            </w:r>
          </w:p>
        </w:tc>
        <w:tc>
          <w:tcPr>
            <w:tcW w:w="620" w:type="dxa"/>
            <w:vAlign w:val="bottom"/>
            <w:shd w:val="clear" w:color="auto" w:fill="D1D2D4"/>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ESPP was offered to substantially all employees beginning in August 2018 and permitted eligible employees to purchase shares of our common stock through payroll deductions of up to 10% of their eligible compensation, subject to certain limitations prior to August 2021. Beginning in August 2021, employees are permitted to deduct up to 15% of their eligible compensation to purchase shares under the ESPP.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260" w:type="dxa"/>
            <w:vAlign w:val="bottom"/>
            <w:tcBorders>
              <w:bottom w:val="single" w:sz="8" w:color="0090DA"/>
            </w:tcBorders>
          </w:tcPr>
          <w:p>
            <w:pPr>
              <w:spacing w:after="0"/>
              <w:rPr>
                <w:sz w:val="20"/>
                <w:szCs w:val="20"/>
                <w:color w:val="auto"/>
              </w:rPr>
            </w:pPr>
          </w:p>
        </w:tc>
        <w:tc>
          <w:tcPr>
            <w:tcW w:w="1380" w:type="dxa"/>
            <w:vAlign w:val="bottom"/>
            <w:tcBorders>
              <w:bottom w:val="single" w:sz="8" w:color="0090DA"/>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0090DA"/>
            </w:tcBorders>
          </w:tcPr>
          <w:p>
            <w:pPr>
              <w:spacing w:after="0"/>
              <w:rPr>
                <w:sz w:val="20"/>
                <w:szCs w:val="20"/>
                <w:color w:val="auto"/>
              </w:rPr>
            </w:pPr>
          </w:p>
        </w:tc>
        <w:tc>
          <w:tcPr>
            <w:tcW w:w="1380" w:type="dxa"/>
            <w:vAlign w:val="bottom"/>
            <w:tcBorders>
              <w:bottom w:val="single" w:sz="8" w:color="0090DA"/>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0090DA"/>
            </w:tcBorders>
          </w:tcPr>
          <w:p>
            <w:pPr>
              <w:spacing w:after="0"/>
              <w:rPr>
                <w:sz w:val="20"/>
                <w:szCs w:val="20"/>
                <w:color w:val="auto"/>
              </w:rPr>
            </w:pPr>
          </w:p>
        </w:tc>
        <w:tc>
          <w:tcPr>
            <w:tcW w:w="1420" w:type="dxa"/>
            <w:vAlign w:val="bottom"/>
            <w:tcBorders>
              <w:bottom w:val="single" w:sz="8" w:color="0090DA"/>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34"/>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4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2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20.71</w:t>
            </w:r>
          </w:p>
        </w:tc>
        <w:tc>
          <w:tcPr>
            <w:tcW w:w="4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14.24</w:t>
            </w:r>
          </w:p>
        </w:tc>
        <w:tc>
          <w:tcPr>
            <w:tcW w:w="4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11.60</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1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29"/>
        </w:trPr>
        <w:tc>
          <w:tcPr>
            <w:tcW w:w="4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w:t>
            </w:r>
          </w:p>
        </w:tc>
        <w:tc>
          <w:tcPr>
            <w:tcW w:w="126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41 %</w:t>
            </w:r>
          </w:p>
        </w:tc>
        <w:tc>
          <w:tcPr>
            <w:tcW w:w="46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c>
          <w:tcPr>
            <w:tcW w:w="480" w:type="dxa"/>
            <w:vAlign w:val="bottom"/>
            <w:shd w:val="clear" w:color="auto" w:fill="D1D2D4"/>
          </w:tcPr>
          <w:p>
            <w:pPr>
              <w:spacing w:after="0"/>
              <w:rPr>
                <w:sz w:val="19"/>
                <w:szCs w:val="19"/>
                <w:color w:val="auto"/>
              </w:rPr>
            </w:pPr>
          </w:p>
        </w:tc>
        <w:tc>
          <w:tcPr>
            <w:tcW w:w="14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45 %</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0.1 %</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0.8 %</w:t>
            </w:r>
          </w:p>
        </w:tc>
        <w:tc>
          <w:tcPr>
            <w:tcW w:w="4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2.2 %</w:t>
            </w:r>
          </w:p>
        </w:tc>
      </w:tr>
      <w:tr>
        <w:trPr>
          <w:trHeight w:val="230"/>
        </w:trPr>
        <w:tc>
          <w:tcPr>
            <w:tcW w:w="4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0.3 %</w:t>
            </w:r>
          </w:p>
        </w:tc>
        <w:tc>
          <w:tcPr>
            <w:tcW w:w="46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0.0 %</w:t>
            </w:r>
          </w:p>
        </w:tc>
        <w:tc>
          <w:tcPr>
            <w:tcW w:w="480" w:type="dxa"/>
            <w:vAlign w:val="bottom"/>
            <w:shd w:val="clear" w:color="auto" w:fill="D1D2D4"/>
          </w:tcPr>
          <w:p>
            <w:pPr>
              <w:spacing w:after="0"/>
              <w:rPr>
                <w:sz w:val="19"/>
                <w:szCs w:val="19"/>
                <w:color w:val="auto"/>
              </w:rPr>
            </w:pPr>
          </w:p>
        </w:tc>
        <w:tc>
          <w:tcPr>
            <w:tcW w:w="14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0.0 %</w:t>
            </w:r>
          </w:p>
        </w:tc>
      </w:tr>
    </w:tbl>
    <w:p>
      <w:pPr>
        <w:spacing w:after="0" w:line="33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Under the ESPP, employees purchased 3 million shares of common stock for $140 million in 2021 and 3 million shares for $118 million in 2020.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0090DA"/>
        </w:rPr>
        <w:t>Stock Options</w:t>
      </w:r>
    </w:p>
    <w:p>
      <w:pPr>
        <w:spacing w:after="0" w:line="26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September 2, 2021, stock options of 4 million shares were outstanding, which are generally exercisable in increments of either one-fourth or one-third per year beginning one year from the date of grant. Stock options expire 8 years from the date of grant. We did not grant any stock options in 2021 or 2020 and options granted in 2019 were not material. Stock options of 3 million shares were exercised in 2021. The total intrinsic value for options exercised was $143 million, $130 million, and $108 million in 2021, 2020, and 2019,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ESPP</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Income tax benefits related to the tax deductions for share -based awards are recognized only upon the settlement of the related share-based awards. Income tax benefits for share-based awards were $83 million, $72 million, and $66 million for 2021, 2020, and 2019, respectively. Stock-based compensation expense of $30 million and $42 million was capitalized and remained in inventory as of September 2, 2021 and September 3, 2020, respectively. As of September 2, 2021, $ 691 million of total unrecognized compensation costs for unvested awards, before the effect of any future forfeitures, was expected to be recognized through the fourth quarter of 2025, resulting in a weighted-average period of 1.2 years.</w:t>
      </w:r>
    </w:p>
    <w:p>
      <w:pPr>
        <w:spacing w:after="0" w:line="2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Employee Benefit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 retirement plans at our U.S. and international sites. Details of significant plans are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Savings Plan for U.S. Employees</w:t>
      </w:r>
    </w:p>
    <w:p>
      <w:pPr>
        <w:spacing w:after="0" w:line="2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$77 million, $66 million, and $67 million in 2021, 2020, and 2019,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Retirement Plans</w:t>
      </w:r>
    </w:p>
    <w:p>
      <w:pPr>
        <w:spacing w:after="0" w:line="265"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We have pension plans available to employees at various foreign sites. As of September 2, 2021, the projected benefit obligations of our plans were $222 million and plan assets were $ 256 million. As of September 3, 2020, the projected benefit obligations of our plans were $202 million and plan assets were $222 million. Pension expense was not material for 2021,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5" w:name="page76"/>
    <w:bookmarkEnd w:id="75"/>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Revenue by technology is presented in the table below:</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6"/>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2"/>
                <w:szCs w:val="22"/>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2"/>
                <w:szCs w:val="22"/>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20,039</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14,510</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16,841</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NAND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5,355</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659</w:t>
            </w:r>
          </w:p>
        </w:tc>
        <w:tc>
          <w:tcPr>
            <w:tcW w:w="3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794</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Beginning in 2020, revenues for MCPs and SSDs, which contain both DRAM and NAND, are disaggregated into DRAM and NAND based on the relative values of each component. The amounts for 2019 in the table above have been conformed to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Customer Contract Liabilities</w:t>
      </w:r>
    </w:p>
    <w:p>
      <w:pPr>
        <w:spacing w:after="0" w:line="2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Revenue recognized during 2021 from the ending balance of 2020 included $64 million from meeting performance obligations of other contract liabilities and shipments against customer advances. The following table presents contract liabilities: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September 2, 2021, our future performance obligations were $117 million, substantially all of which are expected to be recognized as revenue within one year.</w:t>
      </w:r>
    </w:p>
    <w:p>
      <w:pPr>
        <w:spacing w:after="0" w:line="232"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As of September 2, 2021 and September 3, 2020, other current liabilities included $846 million and $466 million for estimates of consideration payable to customers, respectively, including estimates for pricing adjustments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76" w:name="page77"/>
    <w:bookmarkEnd w:id="76"/>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34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48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3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r>
    </w:tbl>
    <w:p>
      <w:pPr>
        <w:spacing w:after="0" w:line="33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Restructure and asset impairments for 2021 are primarily due to the planned sale of our Lehi, Utah facility. (See “Lehi, Utah Fab and 3D XPoint.”) Restructure and asset impairments for 2020 primarily related to asset impairments and employee relocation and severance costs related to right-sizing our Lehi, Utah facility. In 2019, we finalized the sale of our 200mm fabrication facility in Singapore and recognized restructure gains of $128 million. Other restructure and asset impairments for 2019 primarily related to our continued emphasis to centralize certain key functions.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(Gain) loss on disposition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investments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Gain (loss) on debt prepayments, repurchases, and conversions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77" w:name="page78"/>
    <w:bookmarkEnd w:id="77"/>
    <w:p>
      <w:pPr>
        <w:spacing w:after="0"/>
        <w:rPr>
          <w:sz w:val="20"/>
          <w:szCs w:val="20"/>
          <w:color w:val="auto"/>
        </w:rPr>
      </w:pPr>
      <w:r>
        <w:rPr>
          <w:rFonts w:ascii="Arial" w:cs="Arial" w:eastAsia="Arial" w:hAnsi="Arial"/>
          <w:sz w:val="40"/>
          <w:szCs w:val="40"/>
          <w:b w:val="1"/>
          <w:bCs w:val="1"/>
          <w:color w:val="auto"/>
        </w:rPr>
        <w:t>Income Taxes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57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180" w:type="dxa"/>
            <w:vAlign w:val="bottom"/>
            <w:tcBorders>
              <w:bottom w:val="single" w:sz="8" w:color="0090DA"/>
            </w:tcBorders>
          </w:tcPr>
          <w:p>
            <w:pPr>
              <w:spacing w:after="0"/>
              <w:rPr>
                <w:sz w:val="22"/>
                <w:szCs w:val="22"/>
                <w:color w:val="auto"/>
              </w:rPr>
            </w:pPr>
          </w:p>
        </w:tc>
        <w:tc>
          <w:tcPr>
            <w:tcW w:w="32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2"/>
                <w:szCs w:val="22"/>
                <w:color w:val="auto"/>
              </w:rPr>
            </w:pPr>
          </w:p>
        </w:tc>
        <w:tc>
          <w:tcPr>
            <w:tcW w:w="12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7220" w:type="dxa"/>
            <w:vAlign w:val="bottom"/>
            <w:gridSpan w:val="3"/>
            <w:shd w:val="clear" w:color="auto" w:fill="D1D2D4"/>
          </w:tcPr>
          <w:p>
            <w:pPr>
              <w:ind w:left="20"/>
              <w:spacing w:after="0" w:line="189" w:lineRule="exact"/>
              <w:rPr>
                <w:sz w:val="20"/>
                <w:szCs w:val="20"/>
                <w:color w:val="auto"/>
              </w:rPr>
            </w:pPr>
            <w:r>
              <w:rPr>
                <w:rFonts w:ascii="Arial" w:cs="Arial" w:eastAsia="Arial" w:hAnsi="Arial"/>
                <w:sz w:val="18"/>
                <w:szCs w:val="18"/>
                <w:color w:val="auto"/>
              </w:rPr>
              <w:t>Income (loss) before income taxes, net income (loss) attributable to noncontrolling</w:t>
            </w:r>
          </w:p>
        </w:tc>
        <w:tc>
          <w:tcPr>
            <w:tcW w:w="1120" w:type="dxa"/>
            <w:vAlign w:val="bottom"/>
            <w:shd w:val="clear" w:color="auto" w:fill="D1D2D4"/>
          </w:tcPr>
          <w:p>
            <w:pPr>
              <w:spacing w:after="0"/>
              <w:rPr>
                <w:sz w:val="16"/>
                <w:szCs w:val="16"/>
                <w:color w:val="auto"/>
              </w:rPr>
            </w:pPr>
          </w:p>
        </w:tc>
        <w:tc>
          <w:tcPr>
            <w:tcW w:w="340" w:type="dxa"/>
            <w:vAlign w:val="bottom"/>
            <w:shd w:val="clear" w:color="auto" w:fill="D1D2D4"/>
          </w:tcPr>
          <w:p>
            <w:pPr>
              <w:spacing w:after="0"/>
              <w:rPr>
                <w:sz w:val="16"/>
                <w:szCs w:val="16"/>
                <w:color w:val="auto"/>
              </w:rPr>
            </w:pPr>
          </w:p>
        </w:tc>
        <w:tc>
          <w:tcPr>
            <w:tcW w:w="112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1260" w:type="dxa"/>
            <w:vAlign w:val="bottom"/>
            <w:shd w:val="clear" w:color="auto" w:fill="D1D2D4"/>
          </w:tcPr>
          <w:p>
            <w:pPr>
              <w:spacing w:after="0"/>
              <w:rPr>
                <w:sz w:val="16"/>
                <w:szCs w:val="16"/>
                <w:color w:val="auto"/>
              </w:rPr>
            </w:pPr>
          </w:p>
        </w:tc>
      </w:tr>
      <w:tr>
        <w:trPr>
          <w:trHeight w:val="217"/>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interests, and equity in net income (loss) of equity method investees</w:t>
            </w:r>
          </w:p>
        </w:tc>
        <w:tc>
          <w:tcPr>
            <w:tcW w:w="1180" w:type="dxa"/>
            <w:vAlign w:val="bottom"/>
            <w:shd w:val="clear" w:color="auto" w:fill="D1D2D4"/>
          </w:tcPr>
          <w:p>
            <w:pPr>
              <w:spacing w:after="0"/>
              <w:rPr>
                <w:sz w:val="18"/>
                <w:szCs w:val="18"/>
                <w:color w:val="auto"/>
              </w:rPr>
            </w:pPr>
          </w:p>
        </w:tc>
        <w:tc>
          <w:tcPr>
            <w:tcW w:w="32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34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U.S.</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57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118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6,429</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2,675</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7,115</w:t>
            </w:r>
          </w:p>
        </w:tc>
      </w:tr>
      <w:tr>
        <w:trPr>
          <w:trHeight w:val="223"/>
        </w:trPr>
        <w:tc>
          <w:tcPr>
            <w:tcW w:w="5720" w:type="dxa"/>
            <w:vAlign w:val="bottom"/>
          </w:tcPr>
          <w:p>
            <w:pPr>
              <w:spacing w:after="0"/>
              <w:rPr>
                <w:sz w:val="19"/>
                <w:szCs w:val="19"/>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6,218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7,048</w:t>
            </w:r>
          </w:p>
        </w:tc>
      </w:tr>
      <w:tr>
        <w:trPr>
          <w:trHeight w:val="20"/>
        </w:trPr>
        <w:tc>
          <w:tcPr>
            <w:tcW w:w="5720" w:type="dxa"/>
            <w:vAlign w:val="bottom"/>
            <w:tcBorders>
              <w:bottom w:val="single" w:sz="8" w:color="D1D2D4"/>
            </w:tcBorders>
          </w:tcPr>
          <w:p>
            <w:pPr>
              <w:spacing w:after="0" w:line="20" w:lineRule="exact"/>
              <w:rPr>
                <w:sz w:val="1"/>
                <w:szCs w:val="1"/>
                <w:color w:val="auto"/>
              </w:rPr>
            </w:pPr>
          </w:p>
        </w:tc>
        <w:tc>
          <w:tcPr>
            <w:tcW w:w="1180" w:type="dxa"/>
            <w:vAlign w:val="bottom"/>
            <w:tcBorders>
              <w:bottom w:val="single" w:sz="8" w:color="D1D2D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7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Current</w:t>
            </w:r>
          </w:p>
        </w:tc>
        <w:tc>
          <w:tcPr>
            <w:tcW w:w="118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7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72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D1D2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57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(413)</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(357)</w:t>
            </w:r>
          </w:p>
        </w:tc>
      </w:tr>
      <w:tr>
        <w:trPr>
          <w:trHeight w:val="209"/>
        </w:trPr>
        <w:tc>
          <w:tcPr>
            <w:tcW w:w="572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7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U.S. federal</w:t>
            </w:r>
          </w:p>
        </w:tc>
        <w:tc>
          <w:tcPr>
            <w:tcW w:w="118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7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118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5720" w:type="dxa"/>
            <w:vAlign w:val="bottom"/>
            <w:tcBorders>
              <w:bottom w:val="single" w:sz="8" w:color="D1D2D4"/>
            </w:tcBorders>
          </w:tcPr>
          <w:p>
            <w:pPr>
              <w:spacing w:after="0"/>
              <w:rPr>
                <w:sz w:val="19"/>
                <w:szCs w:val="19"/>
                <w:color w:val="auto"/>
              </w:rPr>
            </w:pPr>
          </w:p>
        </w:tc>
        <w:tc>
          <w:tcPr>
            <w:tcW w:w="1180" w:type="dxa"/>
            <w:vAlign w:val="bottom"/>
            <w:tcBorders>
              <w:bottom w:val="single" w:sz="8" w:color="D1D2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36"/>
        </w:trPr>
        <w:tc>
          <w:tcPr>
            <w:tcW w:w="572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4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r>
      <w:tr>
        <w:trPr>
          <w:trHeight w:val="230"/>
        </w:trPr>
        <w:tc>
          <w:tcPr>
            <w:tcW w:w="5720" w:type="dxa"/>
            <w:vAlign w:val="bottom"/>
          </w:tcPr>
          <w:p>
            <w:pPr>
              <w:ind w:left="520"/>
              <w:spacing w:after="0"/>
              <w:rPr>
                <w:sz w:val="20"/>
                <w:szCs w:val="20"/>
                <w:color w:val="auto"/>
              </w:rPr>
            </w:pPr>
            <w:r>
              <w:rPr>
                <w:rFonts w:ascii="Arial" w:cs="Arial" w:eastAsia="Arial" w:hAnsi="Arial"/>
                <w:sz w:val="18"/>
                <w:szCs w:val="18"/>
                <w:color w:val="auto"/>
              </w:rPr>
              <w:t>Income tax (provision) benefit</w:t>
            </w:r>
          </w:p>
        </w:tc>
        <w:tc>
          <w:tcPr>
            <w:tcW w:w="1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6900" w:type="dxa"/>
            <w:vAlign w:val="bottom"/>
            <w:gridSpan w:val="2"/>
          </w:tcPr>
          <w:p>
            <w:pPr>
              <w:spacing w:after="0" w:line="20" w:lineRule="exact"/>
              <w:rPr>
                <w:sz w:val="1"/>
                <w:szCs w:val="1"/>
                <w:color w:val="auto"/>
              </w:rPr>
            </w:pPr>
          </w:p>
        </w:tc>
        <w:tc>
          <w:tcPr>
            <w:tcW w:w="29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47"/>
        </w:trPr>
        <w:tc>
          <w:tcPr>
            <w:tcW w:w="9800" w:type="dxa"/>
            <w:vAlign w:val="bottom"/>
            <w:gridSpan w:val="6"/>
          </w:tcPr>
          <w:p>
            <w:pPr>
              <w:spacing w:after="0"/>
              <w:rPr>
                <w:sz w:val="20"/>
                <w:szCs w:val="20"/>
                <w:color w:val="auto"/>
              </w:rPr>
            </w:pPr>
            <w:r>
              <w:rPr>
                <w:rFonts w:ascii="Arial" w:cs="Arial" w:eastAsia="Arial" w:hAnsi="Arial"/>
                <w:sz w:val="18"/>
                <w:szCs w:val="18"/>
                <w:color w:val="auto"/>
              </w:rPr>
              <w:t>The table below reconciles our tax (provision) benefit based on the U.S. federal statutory rate to our effective rate:</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57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22"/>
                <w:szCs w:val="22"/>
                <w:color w:val="auto"/>
              </w:rPr>
            </w:pPr>
          </w:p>
        </w:tc>
        <w:tc>
          <w:tcPr>
            <w:tcW w:w="1460" w:type="dxa"/>
            <w:vAlign w:val="bottom"/>
            <w:tcBorders>
              <w:bottom w:val="single" w:sz="8" w:color="0090DA"/>
            </w:tcBorders>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0090DA"/>
            </w:tcBorders>
          </w:tcPr>
          <w:p>
            <w:pPr>
              <w:spacing w:after="0"/>
              <w:rPr>
                <w:sz w:val="22"/>
                <w:szCs w:val="22"/>
                <w:color w:val="auto"/>
              </w:rPr>
            </w:pPr>
          </w:p>
        </w:tc>
        <w:tc>
          <w:tcPr>
            <w:tcW w:w="180" w:type="dxa"/>
            <w:vAlign w:val="bottom"/>
            <w:tcBorders>
              <w:bottom w:val="single" w:sz="8" w:color="0090DA"/>
            </w:tcBorders>
          </w:tcPr>
          <w:p>
            <w:pPr>
              <w:spacing w:after="0"/>
              <w:rPr>
                <w:sz w:val="22"/>
                <w:szCs w:val="22"/>
                <w:color w:val="auto"/>
              </w:rPr>
            </w:pPr>
          </w:p>
        </w:tc>
        <w:tc>
          <w:tcPr>
            <w:tcW w:w="1260" w:type="dxa"/>
            <w:vAlign w:val="bottom"/>
            <w:tcBorders>
              <w:bottom w:val="single" w:sz="8" w:color="0090DA"/>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federal income tax (provision) benefit at statutory rate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unrecognized tax benefits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tax on foreign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tax rate differential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premium deductions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tax credits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valuation allowance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taxes, net of federal benefit</w:t>
      </w:r>
    </w:p>
    <w:p>
      <w:pPr>
        <w:spacing w:after="0" w:line="23" w:lineRule="exact"/>
        <w:rPr>
          <w:sz w:val="20"/>
          <w:szCs w:val="20"/>
          <w:color w:val="auto"/>
        </w:rPr>
      </w:pPr>
    </w:p>
    <w:p>
      <w:pPr>
        <w:ind w:left="20" w:right="1120"/>
        <w:spacing w:after="0" w:line="277" w:lineRule="auto"/>
        <w:rPr>
          <w:sz w:val="20"/>
          <w:szCs w:val="20"/>
          <w:color w:val="auto"/>
        </w:rPr>
      </w:pPr>
      <w:r>
        <w:rPr>
          <w:rFonts w:ascii="Arial" w:cs="Arial" w:eastAsia="Arial" w:hAnsi="Arial"/>
          <w:sz w:val="18"/>
          <w:szCs w:val="18"/>
          <w:color w:val="auto"/>
        </w:rPr>
        <w:t>Foreign derived intangible income deduction Other</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(1,306)</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21.0 % $</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(626)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21.0 % $</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(1,480)</w:t>
            </w:r>
          </w:p>
        </w:tc>
        <w:tc>
          <w:tcPr>
            <w:tcW w:w="88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2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(238)</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3.8 %</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1.1 %</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88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29"/>
        </w:trPr>
        <w:tc>
          <w:tcPr>
            <w:tcW w:w="2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(226)</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3.6 %</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0.5 %</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(327)</w:t>
            </w:r>
          </w:p>
        </w:tc>
        <w:tc>
          <w:tcPr>
            <w:tcW w:w="88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2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951</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(15.3)%</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253</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(8.5)%</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993</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2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130</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123</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62</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92</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54</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0.7 %</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8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2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59</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67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(0.6)%</w:t>
            </w: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(394)</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6.3 % $</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9.4 % $</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-1353820</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-1062355</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-770890</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-479425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520"/>
            <w:col w:w="6040"/>
          </w:cols>
          <w:pgMar w:left="320" w:top="919" w:right="339" w:bottom="1440" w:gutter="0" w:footer="0" w:header="0"/>
          <w:type w:val="continuous"/>
        </w:sectPr>
      </w:pPr>
    </w:p>
    <w:p>
      <w:pPr>
        <w:spacing w:after="0" w:line="1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$758 million (benefiting our diluted earnings per share by $0.66) for 2021, by $215 million ($0.19 per diluted share) for 2020, and by $756 million ($0.66 per diluted share) for 2019.</w:t>
      </w:r>
    </w:p>
    <w:p>
      <w:pPr>
        <w:spacing w:after="0" w:line="23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September 2, 2021, certain non-U.S. subsidiaries had cumulative undistributed earnings of $3.53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ectPr>
          <w:pgSz w:w="11900" w:h="16838" w:orient="portrait"/>
          <w:cols w:equalWidth="0" w:num="1">
            <w:col w:w="11240"/>
          </w:cols>
          <w:pgMar w:left="320" w:top="9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20"/>
        <w:spacing w:after="0"/>
        <w:rPr>
          <w:sz w:val="20"/>
          <w:szCs w:val="20"/>
          <w:color w:val="auto"/>
        </w:rPr>
      </w:pPr>
      <w:r>
        <w:rPr>
          <w:sz w:val="1"/>
          <w:szCs w:val="1"/>
          <w:color w:val="auto"/>
        </w:rPr>
        <w:drawing>
          <wp:inline distT="0" distB="0" distL="0" distR="0">
            <wp:extent cx="608330" cy="1714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5"/>
          <w:szCs w:val="15"/>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78" w:name="page79"/>
    <w:bookmarkEnd w:id="78"/>
    <w:p>
      <w:pPr>
        <w:jc w:val="both"/>
        <w:ind w:right="140"/>
        <w:spacing w:after="0" w:line="256" w:lineRule="auto"/>
        <w:rPr>
          <w:sz w:val="20"/>
          <w:szCs w:val="20"/>
          <w:color w:val="auto"/>
        </w:rPr>
      </w:pPr>
      <w:r>
        <w:rPr>
          <w:rFonts w:ascii="Arial" w:cs="Arial" w:eastAsia="Arial" w:hAnsi="Arial"/>
          <w:sz w:val="18"/>
          <w:szCs w:val="18"/>
          <w:color w:val="auto"/>
        </w:rPr>
        <w:t>Pursuant to SEC Staff Accounting Bulletin No. 118, measurement period adjustments in 2019 related to the Tax Cuts and Jobs Act included $47 million of benefit for the repatriation tax, net of adjustments related to uncertain tax positions. We recognize the foreign minimum tax in the period the tax is incurred.</w:t>
      </w:r>
    </w:p>
    <w:p>
      <w:pPr>
        <w:spacing w:after="0" w:line="22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tbl>
      <w:tblPr>
        <w:tblLayout w:type="fixed"/>
        <w:tblInd w:w="0" w:type="dxa"/>
        <w:tblCellMar>
          <w:top w:w="0" w:type="dxa"/>
          <w:left w:w="0" w:type="dxa"/>
          <w:bottom w:w="0" w:type="dxa"/>
          <w:right w:w="0" w:type="dxa"/>
        </w:tblCellMar>
      </w:tblPr>
      <w:tr>
        <w:trPr>
          <w:trHeight w:val="239"/>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Accrued salaries, wages, and benefits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999</w:t>
            </w:r>
          </w:p>
        </w:tc>
      </w:tr>
      <w:tr>
        <w:trPr>
          <w:trHeight w:val="237"/>
        </w:trPr>
        <w:tc>
          <w:tcPr>
            <w:tcW w:w="8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Product and process technology</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37"/>
        </w:trPr>
        <w:tc>
          <w:tcPr>
            <w:tcW w:w="836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36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Reported as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836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772</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698</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assess positive and negative evidence for each jurisdiction to determine whether it is more likely than not that existing deferred tax assets will be realized. As of September 2, 2021, and September 3, 2020, we had a valuation allowance of $233 million and $294 million, respectively, against our net deferred tax assets, primarily related to carryforwards in Malaysia and Japan. Changes in 2021 in the valuation allowance were due to loss expirations during the year, offset by adjustments based on management’s assessment of tax credits, allowances and net operating losses that are more likely than not to be realized.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 2021, our net operating loss carryforward amounts and expiration periods, as reported to tax authorities,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Year of Expiration</w:t>
            </w:r>
          </w:p>
        </w:tc>
        <w:tc>
          <w:tcPr>
            <w:tcW w:w="3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State</w:t>
            </w: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Japan</w:t>
            </w:r>
          </w:p>
        </w:tc>
        <w:tc>
          <w:tcPr>
            <w:tcW w:w="2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Malaysia</w:t>
            </w:r>
          </w:p>
        </w:tc>
        <w:tc>
          <w:tcPr>
            <w:tcW w:w="2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170"/>
              <w:spacing w:after="0"/>
              <w:rPr>
                <w:sz w:val="20"/>
                <w:szCs w:val="20"/>
                <w:color w:val="auto"/>
              </w:rPr>
            </w:pPr>
            <w:r>
              <w:rPr>
                <w:rFonts w:ascii="Arial" w:cs="Arial" w:eastAsia="Arial" w:hAnsi="Arial"/>
                <w:sz w:val="18"/>
                <w:szCs w:val="18"/>
                <w:b w:val="1"/>
                <w:bCs w:val="1"/>
                <w:color w:val="auto"/>
              </w:rPr>
              <w:t>Singapore</w:t>
            </w:r>
          </w:p>
        </w:tc>
        <w:tc>
          <w:tcPr>
            <w:tcW w:w="1080" w:type="dxa"/>
            <w:vAlign w:val="bottom"/>
            <w:tcBorders>
              <w:bottom w:val="single" w:sz="8" w:color="0090DA"/>
            </w:tcBorders>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0090DA"/>
            </w:tcBorders>
          </w:tcPr>
          <w:p>
            <w:pPr>
              <w:spacing w:after="0"/>
              <w:rPr>
                <w:sz w:val="20"/>
                <w:szCs w:val="20"/>
                <w:color w:val="auto"/>
              </w:rPr>
            </w:pP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2022 - 2026</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2300" w:type="dxa"/>
            <w:vAlign w:val="bottom"/>
            <w:gridSpan w:val="2"/>
            <w:shd w:val="clear" w:color="auto" w:fill="D1D2D4"/>
          </w:tcPr>
          <w:p>
            <w:pPr>
              <w:jc w:val="right"/>
              <w:ind w:right="850"/>
              <w:spacing w:after="0"/>
              <w:rPr>
                <w:sz w:val="20"/>
                <w:szCs w:val="20"/>
                <w:color w:val="auto"/>
              </w:rPr>
            </w:pPr>
            <w:r>
              <w:rPr>
                <w:rFonts w:ascii="Arial" w:cs="Arial" w:eastAsia="Arial" w:hAnsi="Arial"/>
                <w:sz w:val="18"/>
                <w:szCs w:val="18"/>
                <w:color w:val="auto"/>
              </w:rPr>
              <w:t>— $</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2032 - 2036</w:t>
            </w:r>
          </w:p>
        </w:tc>
        <w:tc>
          <w:tcPr>
            <w:tcW w:w="3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spacing w:after="0"/>
              <w:rPr>
                <w:sz w:val="19"/>
                <w:szCs w:val="19"/>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2037 - 2041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3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477</w:t>
            </w:r>
          </w:p>
        </w:tc>
        <w:tc>
          <w:tcPr>
            <w:tcW w:w="1080" w:type="dxa"/>
            <w:vAlign w:val="bottom"/>
            <w:tcBorders>
              <w:bottom w:val="single" w:sz="8" w:color="auto"/>
            </w:tcBorders>
            <w:shd w:val="clear" w:color="auto" w:fill="D1D2D4"/>
          </w:tcPr>
          <w:p>
            <w:pPr>
              <w:spacing w:after="0"/>
              <w:rPr>
                <w:sz w:val="19"/>
                <w:szCs w:val="19"/>
                <w:color w:val="auto"/>
              </w:rPr>
            </w:pP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1,091</w:t>
            </w:r>
          </w:p>
        </w:tc>
      </w:tr>
      <w:tr>
        <w:trPr>
          <w:trHeight w:val="223"/>
        </w:trPr>
        <w:tc>
          <w:tcPr>
            <w:tcW w:w="26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r>
      <w:tr>
        <w:trPr>
          <w:trHeight w:val="20"/>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9" w:name="page80"/>
    <w:bookmarkEnd w:id="79"/>
    <w:p>
      <w:pPr>
        <w:ind w:right="240"/>
        <w:spacing w:after="0" w:line="261" w:lineRule="auto"/>
        <w:rPr>
          <w:sz w:val="20"/>
          <w:szCs w:val="20"/>
          <w:color w:val="auto"/>
        </w:rPr>
      </w:pPr>
      <w:r>
        <w:rPr>
          <w:rFonts w:ascii="Arial" w:cs="Arial" w:eastAsia="Arial" w:hAnsi="Arial"/>
          <w:sz w:val="18"/>
          <w:szCs w:val="18"/>
          <w:color w:val="auto"/>
        </w:rPr>
        <w:t>As of September 2, 2021, our federal and state tax credit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Year of Tax Credit Expiration</w:t>
            </w:r>
          </w:p>
        </w:tc>
        <w:tc>
          <w:tcPr>
            <w:tcW w:w="16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U.S. Federal</w:t>
            </w:r>
          </w:p>
        </w:tc>
        <w:tc>
          <w:tcPr>
            <w:tcW w:w="32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State</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2022 - 2026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2032 - 2036</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2037 - 2041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6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r>
      <w:tr>
        <w:trPr>
          <w:trHeight w:val="20"/>
        </w:trPr>
        <w:tc>
          <w:tcPr>
            <w:tcW w:w="69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7"/>
        </w:trPr>
        <w:tc>
          <w:tcPr>
            <w:tcW w:w="8340" w:type="dxa"/>
            <w:vAlign w:val="bottom"/>
            <w:gridSpan w:val="3"/>
          </w:tcPr>
          <w:p>
            <w:pPr>
              <w:spacing w:after="0"/>
              <w:rPr>
                <w:sz w:val="20"/>
                <w:szCs w:val="20"/>
                <w:color w:val="auto"/>
              </w:rPr>
            </w:pPr>
            <w:r>
              <w:rPr>
                <w:rFonts w:ascii="Arial" w:cs="Arial" w:eastAsia="Arial" w:hAnsi="Arial"/>
                <w:sz w:val="18"/>
                <w:szCs w:val="18"/>
                <w:color w:val="auto"/>
              </w:rPr>
              <w:t>Below is a reconciliation of the beginning and ending amount of our unrecognized tax benefits: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60" w:type="dxa"/>
            <w:vAlign w:val="bottom"/>
            <w:tcBorders>
              <w:bottom w:val="single" w:sz="8" w:color="0090DA"/>
            </w:tcBorders>
          </w:tcPr>
          <w:p>
            <w:pPr>
              <w:spacing w:after="0"/>
              <w:rPr>
                <w:sz w:val="22"/>
                <w:szCs w:val="22"/>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22"/>
                <w:szCs w:val="22"/>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Beginning unrecognized tax benefits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Increases related to tax positions from prior years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Increases related to tax positions taken in current year</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Decreases related to tax positions from prior years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Ending unrecognized tax benefits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September 2, 2021, gross unrecognized tax benefits were $660 million, substantially all of which would affect our effective tax rate in the future, if recognized. Increases to unrecognized tax benefits were primarily due to tax return positions taken during 2021. Amounts accrued for interest and penalties related to uncertain tax positions were not significant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significant.</w:t>
      </w:r>
    </w:p>
    <w:p>
      <w:pPr>
        <w:spacing w:after="0" w:line="23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2017 through 2021. We are currently under audit by the Internal Revenue Service for our 2018 and 2019 tax years. In addition, tax returns that remain open to examination in Singapore, Taiwan and Japan range from the years 2015 to 2021.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6,313</w:t>
            </w: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Assumed conversion of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2,683</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6,301</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1,114</w:t>
            </w: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36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32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1,143</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3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690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0" w:name="page81"/>
    <w:bookmarkEnd w:id="80"/>
    <w:p>
      <w:pPr>
        <w:ind w:right="80"/>
        <w:spacing w:after="0" w:line="261"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as follows at the end of the periods shown:</w:t>
      </w:r>
    </w:p>
    <w:tbl>
      <w:tblPr>
        <w:tblLayout w:type="fixed"/>
        <w:tblInd w:w="0" w:type="dxa"/>
        <w:tblCellMar>
          <w:top w:w="0" w:type="dxa"/>
          <w:left w:w="0" w:type="dxa"/>
          <w:bottom w:w="0" w:type="dxa"/>
          <w:right w:w="0" w:type="dxa"/>
        </w:tblCellMar>
      </w:tblPr>
      <w:tr>
        <w:trPr>
          <w:trHeight w:val="239"/>
        </w:trPr>
        <w:tc>
          <w:tcPr>
            <w:tcW w:w="45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060" w:type="dxa"/>
            <w:vAlign w:val="bottom"/>
            <w:tcBorders>
              <w:bottom w:val="single" w:sz="8" w:color="0090DA"/>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420" w:type="dxa"/>
            <w:vAlign w:val="bottom"/>
            <w:tcBorders>
              <w:bottom w:val="single" w:sz="8" w:color="0090DA"/>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4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plans</w:t>
            </w:r>
          </w:p>
        </w:tc>
        <w:tc>
          <w:tcPr>
            <w:tcW w:w="40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2</w:t>
            </w:r>
          </w:p>
        </w:tc>
        <w:tc>
          <w:tcPr>
            <w:tcW w:w="142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3" w:lineRule="exact"/>
        <w:rPr>
          <w:sz w:val="20"/>
          <w:szCs w:val="20"/>
          <w:color w:val="auto"/>
        </w:rPr>
      </w:pPr>
    </w:p>
    <w:p>
      <w:pPr>
        <w:ind w:left="340" w:right="380" w:hanging="323"/>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 As of September 2, 2021 and September 3, 2020, CNBU, MBU, SBU, and EBU had goodwill of $832 million, $198 million, $101 million, and $97 million,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9,184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7,203</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5,702</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SBU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4,209</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2,759</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23,406</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4,295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2,173</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1,074</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SBU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7,667</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3,419</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Employee severance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D1D2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7"/>
        </w:trPr>
        <w:tc>
          <w:tcPr>
            <w:tcW w:w="6900" w:type="dxa"/>
            <w:vAlign w:val="bottom"/>
            <w:shd w:val="clear" w:color="auto" w:fill="D1D2D4"/>
          </w:tcPr>
          <w:p>
            <w:pPr>
              <w:spacing w:after="0"/>
              <w:rPr>
                <w:sz w:val="20"/>
                <w:szCs w:val="20"/>
                <w:color w:val="auto"/>
              </w:rPr>
            </w:pPr>
          </w:p>
        </w:tc>
        <w:tc>
          <w:tcPr>
            <w:tcW w:w="320" w:type="dxa"/>
            <w:vAlign w:val="bottom"/>
            <w:tcBorders>
              <w:bottom w:val="single" w:sz="8" w:color="auto"/>
            </w:tcBorders>
            <w:shd w:val="clear" w:color="auto" w:fill="D1D2D4"/>
          </w:tcPr>
          <w:p>
            <w:pPr>
              <w:spacing w:after="0"/>
              <w:rPr>
                <w:sz w:val="20"/>
                <w:szCs w:val="20"/>
                <w:color w:val="auto"/>
              </w:rPr>
            </w:pPr>
          </w:p>
        </w:tc>
        <w:tc>
          <w:tcPr>
            <w:tcW w:w="1120" w:type="dxa"/>
            <w:vAlign w:val="bottom"/>
            <w:tcBorders>
              <w:bottom w:val="single" w:sz="8" w:color="auto"/>
            </w:tcBorders>
            <w:shd w:val="clear" w:color="auto" w:fill="D1D2D4"/>
          </w:tcPr>
          <w:p>
            <w:pPr>
              <w:spacing w:after="0"/>
              <w:rPr>
                <w:sz w:val="20"/>
                <w:szCs w:val="20"/>
                <w:color w:val="auto"/>
              </w:rPr>
            </w:pPr>
          </w:p>
        </w:tc>
        <w:tc>
          <w:tcPr>
            <w:tcW w:w="340" w:type="dxa"/>
            <w:vAlign w:val="bottom"/>
            <w:tcBorders>
              <w:bottom w:val="single" w:sz="8" w:color="auto"/>
            </w:tcBorders>
            <w:shd w:val="clear" w:color="auto" w:fill="D1D2D4"/>
          </w:tcPr>
          <w:p>
            <w:pPr>
              <w:spacing w:after="0"/>
              <w:rPr>
                <w:sz w:val="20"/>
                <w:szCs w:val="20"/>
                <w:color w:val="auto"/>
              </w:rPr>
            </w:pPr>
          </w:p>
        </w:tc>
        <w:tc>
          <w:tcPr>
            <w:tcW w:w="1120" w:type="dxa"/>
            <w:vAlign w:val="bottom"/>
            <w:tcBorders>
              <w:bottom w:val="single" w:sz="8" w:color="auto"/>
            </w:tcBorders>
            <w:shd w:val="clear" w:color="auto" w:fill="D1D2D4"/>
          </w:tcPr>
          <w:p>
            <w:pPr>
              <w:spacing w:after="0"/>
              <w:rPr>
                <w:sz w:val="20"/>
                <w:szCs w:val="20"/>
                <w:color w:val="auto"/>
              </w:rPr>
            </w:pPr>
          </w:p>
        </w:tc>
        <w:tc>
          <w:tcPr>
            <w:tcW w:w="320" w:type="dxa"/>
            <w:vAlign w:val="bottom"/>
            <w:tcBorders>
              <w:bottom w:val="single" w:sz="8" w:color="auto"/>
            </w:tcBorders>
            <w:shd w:val="clear" w:color="auto" w:fill="D1D2D4"/>
          </w:tcPr>
          <w:p>
            <w:pPr>
              <w:spacing w:after="0"/>
              <w:rPr>
                <w:sz w:val="20"/>
                <w:szCs w:val="20"/>
                <w:color w:val="auto"/>
              </w:rPr>
            </w:pPr>
          </w:p>
        </w:tc>
        <w:tc>
          <w:tcPr>
            <w:tcW w:w="1120" w:type="dxa"/>
            <w:vAlign w:val="bottom"/>
            <w:tcBorders>
              <w:bottom w:val="single" w:sz="8" w:color="auto"/>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 included in operating income was as follows: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2,497</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2,318</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MBU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6,214</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5,650</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20"/>
        <w:spacing w:after="0"/>
        <w:rPr>
          <w:sz w:val="20"/>
          <w:szCs w:val="20"/>
          <w:color w:val="auto"/>
        </w:rPr>
      </w:pPr>
      <w:r>
        <w:rPr>
          <w:sz w:val="1"/>
          <w:szCs w:val="1"/>
          <w:color w:val="auto"/>
        </w:rPr>
        <w:drawing>
          <wp:inline distT="0" distB="0" distL="0" distR="0">
            <wp:extent cx="608330" cy="1714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5"/>
          <w:szCs w:val="15"/>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2" w:name="page83"/>
    <w:bookmarkEnd w:id="82"/>
    <w:p>
      <w:pPr>
        <w:spacing w:after="0"/>
        <w:rPr>
          <w:sz w:val="20"/>
          <w:szCs w:val="20"/>
          <w:color w:val="auto"/>
        </w:rPr>
      </w:pPr>
      <w:r>
        <w:rPr>
          <w:rFonts w:ascii="Arial" w:cs="Arial" w:eastAsia="Arial" w:hAnsi="Arial"/>
          <w:sz w:val="40"/>
          <w:szCs w:val="40"/>
          <w:b w:val="1"/>
          <w:bCs w:val="1"/>
          <w:color w:val="auto"/>
        </w:rPr>
        <w:t>Certain Concentrations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20" w:type="dxa"/>
            <w:vAlign w:val="bottom"/>
            <w:gridSpan w:val="2"/>
          </w:tcPr>
          <w:p>
            <w:pPr>
              <w:spacing w:after="0"/>
              <w:rPr>
                <w:sz w:val="20"/>
                <w:szCs w:val="20"/>
                <w:color w:val="auto"/>
              </w:rPr>
            </w:pPr>
            <w:r>
              <w:rPr>
                <w:rFonts w:ascii="Arial" w:cs="Arial" w:eastAsia="Arial" w:hAnsi="Arial"/>
                <w:sz w:val="18"/>
                <w:szCs w:val="18"/>
                <w:color w:val="auto"/>
              </w:rPr>
              <w:t>Revenue by market segment as an approximate percent of total revenue is presented in the table below:</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50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440" w:type="dxa"/>
            <w:vAlign w:val="bottom"/>
            <w:tcBorders>
              <w:bottom w:val="single" w:sz="8" w:color="0090DA"/>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0090DA"/>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34"/>
        </w:trPr>
        <w:tc>
          <w:tcPr>
            <w:tcW w:w="50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Mobile</w:t>
            </w:r>
          </w:p>
        </w:tc>
        <w:tc>
          <w:tcPr>
            <w:tcW w:w="34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25 %</w:t>
            </w:r>
          </w:p>
        </w:tc>
        <w:tc>
          <w:tcPr>
            <w:tcW w:w="14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25 %</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Client and graphics</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20 %</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20 %</w:t>
            </w:r>
          </w:p>
        </w:tc>
        <w:tc>
          <w:tcPr>
            <w:tcW w:w="12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Enterprise and cloud server</w:t>
            </w:r>
          </w:p>
        </w:tc>
        <w:tc>
          <w:tcPr>
            <w:tcW w:w="34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20 %</w:t>
            </w:r>
          </w:p>
        </w:tc>
        <w:tc>
          <w:tcPr>
            <w:tcW w:w="14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20 %</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SSDs and other storage</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15 %</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20 %</w:t>
            </w:r>
          </w:p>
        </w:tc>
        <w:tc>
          <w:tcPr>
            <w:tcW w:w="12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Automotive, industrial, and consumer</w:t>
            </w:r>
          </w:p>
        </w:tc>
        <w:tc>
          <w:tcPr>
            <w:tcW w:w="34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15 %</w:t>
            </w:r>
          </w:p>
        </w:tc>
        <w:tc>
          <w:tcPr>
            <w:tcW w:w="14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15 %</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r>
    </w:tbl>
    <w:p>
      <w:pPr>
        <w:spacing w:after="0" w:line="3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from WPG Holdings Limited was 13% of total revenue in 2021. Revenue from Kingston Technology Company, Inc. was 11% of total revenue for 2020 and 2019. Revenue from Huawei Technologies Co. Ltd. was 12% of total revenue for 2019. Our sales to WPG were included in our MBU, CNBU, EBU, and SBU segments; our sales to Kingston were included in our CNBU, MBU, and SBU segments; and our sales to Huawei were included in our MBU, CNBU, SBU, and EBU segments.</w:t>
      </w:r>
    </w:p>
    <w:p>
      <w:pPr>
        <w:spacing w:after="0" w:line="2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money market accounts, certificates of deposit, fixed-rate debt securities, trade receivables, share repurchase,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foreign currency hedges as the number of counterparties to our hedges is limited and the notional amounts are relatively large. We seek to mitigate such risk by limiting our counterparties to major financial institutions and through entering into master netting arrangements.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Geographic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Revenue based on the geographic location of our customers’ headquarters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12,155</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10,381</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12,451</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Taiwan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3,657</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2,703</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Mainland China (excluding Hong Kong)</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2,456</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2,337</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3,595</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1,614</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1,652</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1,387</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958</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Other Asia Pacific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834</w:t>
            </w:r>
          </w:p>
        </w:tc>
        <w:tc>
          <w:tcPr>
            <w:tcW w:w="3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1,053</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Long-lived assets by geographic area consisted of property, plant, and equipment and right-of-use assets and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11,457</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10,516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8,161</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7,222</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6,478</w:t>
            </w: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United States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5,434</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3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757</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34,663</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31,615</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740" w:hanging="332"/>
        <w:spacing w:after="0" w:line="229" w:lineRule="auto"/>
        <w:tabs>
          <w:tab w:leader="none" w:pos="334" w:val="left"/>
        </w:tabs>
        <w:numPr>
          <w:ilvl w:val="0"/>
          <w:numId w:val="4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$899 million (net of impairment) as of September 2, 2021 of property, plant, and equipment for our Lehi facility that was classified as held for sale and presented in other current assets.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4" w:name="page85"/>
    <w:bookmarkEnd w:id="84"/>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Micron Technology,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Micron Technology, Inc. and its subsidiaries (the “Company”) as of September 2, 2021 and September 3, 2020, and the related consolidated statements of operations, of comprehensive income, of changes in equity and of cash flows for each of the three years in the period ended September 2, 2021, including the related notes and schedule of valuation and qualifying accounts for each of the three years in the period ended September 2, 2021 appearing under Item 15 (collectively referred to as the “consolidated financial statements”). We also have audited the Company’s internal control over financial reporting as of September 2,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September 2, 2021 and September 3, 2020</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September 2, 2021 in conformity with accounting principles generally accepted in the United States of America. Also in our opinion, the Company maintained, in all material respects, effective internal control over financial reporting as of September 2,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discussed in the Significant Accounting Policies and Inventories notes to the consolidated financial statements, the Company changed the manner in which it accounts for inventory costing from the average cost inventory accounting method to the first-in, first-out inventory accounting method and the manner in which it classifies spare parts for equipment from raw materials inventories to other current assets in 2021, and the manner in which it accounts for leases in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 (Finished goods and Work in process)</w:t>
      </w:r>
    </w:p>
    <w:p>
      <w:pPr>
        <w:spacing w:after="0" w:line="2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described in the Significant Accounting Policies and Inventories notes to the consolidated financial statements, as of September 2, 2021, the Company had a net inventory balance for finished goods and work in process inventory totaling approximately $ 4 billion. As disclosed by management, determining the net realizable value of the Company's net inventories involves significant judgments, including projecting future average selling prices and future sales volumes.</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finished goods and work in process inventories is a critical audit matter are the significant judgment by management in determining the net realizable value of inventories, which in turn led to significant auditor judgment, subjectivity and effort in performing procedures over the reasonableness of the significant assumptions related to future average selling prices and future sales volumes, used to estimate the net realizable value of finished goods and work in process inventories.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net realizable value of finished goods and work in process inventories, significant assumptions, and data used to value the inventories. These procedures also included, among others, testing management's process for developing the net realizable value estimate of finished goods and work in process inventories; evaluating the appropriateness of management’s estimated net realizable value methodology; testing the completeness, accuracy, and relevance of underlying data used in the estimate of net realizable value of finished goods and work in process inventories; and evaluating the reasonableness of management's assumptions related to future average selling prices and future sales volumes. Evaluating management's assumptions related to future average selling prices and future sales volumes involved evaluating whether the assumptions used by management were reasonable considering (i) current and past results, including recent sales, (ii) the consistency with external market, industry data and current contract prices, (iii) a comparison of the prior year estimates to actual results in the current year, and (iv) whether these assumptions were consistent with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8, 2021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1984.</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7" w:name="page88"/>
    <w:bookmarkEnd w:id="87"/>
    <w:p>
      <w:pPr>
        <w:ind w:right="260"/>
        <w:spacing w:after="0" w:line="288"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28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decisions regarding disclosure.</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fourth quarter of 2021,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Management’s Report on Internal Control Over Financial Reporting</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September 2, 2021. The effectiveness of our internal control over financial reporting as of September 2, 2021 has been audited by PricewaterhouseCoopers LLP, an independent registered public accounting firm, as stated in their report, which is included in Part II, Item 8, of this Form 10-K.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ind w:right="1620"/>
        <w:spacing w:after="0" w:line="288" w:lineRule="auto"/>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88" w:name="page89"/>
    <w:bookmarkEnd w:id="88"/>
    <w:p>
      <w:pPr>
        <w:spacing w:after="0"/>
        <w:rPr>
          <w:sz w:val="20"/>
          <w:szCs w:val="20"/>
          <w:color w:val="auto"/>
        </w:rPr>
      </w:pPr>
      <w:r>
        <w:rPr>
          <w:rFonts w:ascii="Arial" w:cs="Arial" w:eastAsia="Arial" w:hAnsi="Arial"/>
          <w:sz w:val="29"/>
          <w:szCs w:val="29"/>
          <w:b w:val="1"/>
          <w:bCs w:val="1"/>
          <w:color w:val="auto"/>
        </w:rPr>
        <w:t>PART III</w:t>
      </w:r>
    </w:p>
    <w:p>
      <w:pPr>
        <w:spacing w:after="0" w:line="257" w:lineRule="exact"/>
        <w:rPr>
          <w:sz w:val="20"/>
          <w:szCs w:val="20"/>
          <w:color w:val="auto"/>
        </w:rPr>
      </w:pPr>
    </w:p>
    <w:p>
      <w:pPr>
        <w:ind w:right="1440"/>
        <w:spacing w:after="0" w:line="450" w:lineRule="auto"/>
        <w:rPr>
          <w:sz w:val="20"/>
          <w:szCs w:val="20"/>
          <w:color w:val="auto"/>
        </w:rPr>
      </w:pPr>
      <w:r>
        <w:rPr>
          <w:rFonts w:ascii="Arial" w:cs="Arial" w:eastAsia="Arial" w:hAnsi="Arial"/>
          <w:sz w:val="25"/>
          <w:szCs w:val="25"/>
          <w:b w:val="1"/>
          <w:bCs w:val="1"/>
          <w:color w:val="auto"/>
        </w:rPr>
        <w:t>ITEM 10. DIRECTORS, EXECUTIVE OFFICERS, AND CORPORATE GOVERNANCE ITEM 11. EXECUTIVE COMPENSATION</w:t>
      </w:r>
    </w:p>
    <w:p>
      <w:pPr>
        <w:spacing w:after="0" w:line="2" w:lineRule="exact"/>
        <w:rPr>
          <w:sz w:val="20"/>
          <w:szCs w:val="20"/>
          <w:color w:val="auto"/>
        </w:rPr>
      </w:pPr>
    </w:p>
    <w:p>
      <w:pPr>
        <w:ind w:right="280"/>
        <w:spacing w:after="0" w:line="288"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147" w:lineRule="exact"/>
        <w:rPr>
          <w:sz w:val="20"/>
          <w:szCs w:val="20"/>
          <w:color w:val="auto"/>
        </w:rPr>
      </w:pPr>
    </w:p>
    <w:p>
      <w:pPr>
        <w:ind w:right="880"/>
        <w:spacing w:after="0" w:line="288" w:lineRule="auto"/>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2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concerning our executive officers is included under the caption, “Information About Our Executive Officers” in Part I, Item 1 of this report. Other information required by Items 10, 11, 12, 13, and 14 will be contained in our 2021 Proxy Statement which will be filed with the SEC within 120 days after September 2, 2021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89" w:name="page90"/>
    <w:bookmarkEnd w:id="89"/>
    <w:p>
      <w:pPr>
        <w:spacing w:after="0"/>
        <w:rPr>
          <w:sz w:val="20"/>
          <w:szCs w:val="20"/>
          <w:color w:val="auto"/>
        </w:rPr>
      </w:pPr>
      <w:r>
        <w:rPr>
          <w:rFonts w:ascii="Arial" w:cs="Arial" w:eastAsia="Arial" w:hAnsi="Arial"/>
          <w:sz w:val="29"/>
          <w:szCs w:val="29"/>
          <w:b w:val="1"/>
          <w:bCs w:val="1"/>
          <w:color w:val="auto"/>
        </w:rPr>
        <w:t>PART IV</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EXHIBITS AND FINANCIAL STATEMENT SCHEDULE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50" w:lineRule="exact"/>
        <w:rPr>
          <w:sz w:val="20"/>
          <w:szCs w:val="20"/>
          <w:color w:val="auto"/>
        </w:rPr>
      </w:pPr>
    </w:p>
    <w:p>
      <w:pPr>
        <w:ind w:left="600" w:hanging="358"/>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Statements: See our consolidated financial statements under Item 8.</w:t>
      </w:r>
    </w:p>
    <w:p>
      <w:pPr>
        <w:ind w:left="600" w:hanging="358"/>
        <w:spacing w:after="0" w:line="229"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Statement Schedule:</w:t>
      </w:r>
    </w:p>
    <w:p>
      <w:pPr>
        <w:ind w:left="600"/>
        <w:spacing w:after="0"/>
        <w:rPr>
          <w:rFonts w:ascii="Arial" w:cs="Arial" w:eastAsia="Arial" w:hAnsi="Arial"/>
          <w:sz w:val="18"/>
          <w:szCs w:val="18"/>
          <w:color w:val="auto"/>
        </w:rPr>
      </w:pPr>
      <w:r>
        <w:rPr>
          <w:rFonts w:ascii="Arial" w:cs="Arial" w:eastAsia="Arial" w:hAnsi="Arial"/>
          <w:sz w:val="18"/>
          <w:szCs w:val="18"/>
          <w:color w:val="auto"/>
        </w:rPr>
        <w:t>See “Schedule II – Valuation and Qualifying Accounts” within Item 15 below.</w:t>
      </w:r>
    </w:p>
    <w:p>
      <w:pPr>
        <w:spacing w:after="0" w:line="144" w:lineRule="exact"/>
        <w:rPr>
          <w:sz w:val="20"/>
          <w:szCs w:val="20"/>
          <w:color w:val="auto"/>
        </w:rPr>
      </w:pPr>
    </w:p>
    <w:p>
      <w:pPr>
        <w:ind w:left="600" w:right="440"/>
        <w:spacing w:after="0" w:line="227" w:lineRule="auto"/>
        <w:rPr>
          <w:sz w:val="20"/>
          <w:szCs w:val="20"/>
          <w:color w:val="auto"/>
        </w:rPr>
      </w:pPr>
      <w:r>
        <w:rPr>
          <w:rFonts w:ascii="Arial" w:cs="Arial" w:eastAsia="Arial" w:hAnsi="Arial"/>
          <w:sz w:val="18"/>
          <w:szCs w:val="18"/>
          <w:color w:val="auto"/>
        </w:rPr>
        <w:t>Certain Financial Statement Schedules have been omitted since they are either not required, not applicable, or the information is otherwise included.</w:t>
      </w:r>
    </w:p>
    <w:p>
      <w:pPr>
        <w:spacing w:after="0" w:line="13" w:lineRule="exact"/>
        <w:rPr>
          <w:sz w:val="20"/>
          <w:szCs w:val="20"/>
          <w:color w:val="auto"/>
        </w:rPr>
      </w:pPr>
    </w:p>
    <w:p>
      <w:pPr>
        <w:ind w:left="600" w:hanging="358"/>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 See “Index to Exhibits” within Item 15 below.</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0" w:name="page91"/>
    <w:bookmarkEnd w:id="90"/>
    <w:p>
      <w:pPr>
        <w:spacing w:after="0"/>
        <w:rPr>
          <w:sz w:val="20"/>
          <w:szCs w:val="20"/>
          <w:color w:val="auto"/>
        </w:rPr>
      </w:pPr>
      <w:r>
        <w:rPr>
          <w:rFonts w:ascii="Arial" w:cs="Arial" w:eastAsia="Arial" w:hAnsi="Arial"/>
          <w:sz w:val="40"/>
          <w:szCs w:val="40"/>
          <w:b w:val="1"/>
          <w:bCs w:val="1"/>
          <w:color w:val="auto"/>
        </w:rPr>
        <w:t>SCHEDULE II</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Charged</w:t>
            </w:r>
          </w:p>
        </w:tc>
        <w:tc>
          <w:tcPr>
            <w:tcW w:w="140" w:type="dxa"/>
            <w:vAlign w:val="bottom"/>
          </w:tcPr>
          <w:p>
            <w:pPr>
              <w:spacing w:after="0"/>
              <w:rPr>
                <w:sz w:val="17"/>
                <w:szCs w:val="17"/>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Currency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8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rPr>
              <w:t>(Credited) to</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and Charges</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Beginning of</w:t>
            </w:r>
          </w:p>
        </w:tc>
        <w:tc>
          <w:tcPr>
            <w:tcW w:w="16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Income Tax</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to Other</w:t>
            </w:r>
          </w:p>
        </w:tc>
        <w:tc>
          <w:tcPr>
            <w:tcW w:w="18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End of</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Year</w:t>
            </w:r>
          </w:p>
        </w:tc>
        <w:tc>
          <w:tcPr>
            <w:tcW w:w="16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Provision</w:t>
            </w:r>
          </w:p>
        </w:tc>
        <w:tc>
          <w:tcPr>
            <w:tcW w:w="14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Accounts</w:t>
            </w:r>
          </w:p>
        </w:tc>
        <w:tc>
          <w:tcPr>
            <w:tcW w:w="18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7"/>
              </w:rPr>
              <w:t>Year</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September 2, 2021</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790"/>
              <w:spacing w:after="0"/>
              <w:rPr>
                <w:sz w:val="20"/>
                <w:szCs w:val="20"/>
                <w:color w:val="auto"/>
              </w:rPr>
            </w:pPr>
            <w:r>
              <w:rPr>
                <w:rFonts w:ascii="Arial" w:cs="Arial" w:eastAsia="Arial" w:hAnsi="Arial"/>
                <w:sz w:val="18"/>
                <w:szCs w:val="18"/>
                <w:color w:val="auto"/>
                <w:w w:val="99"/>
              </w:rPr>
              <w:t>(54)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890"/>
              <w:spacing w:after="0"/>
              <w:rPr>
                <w:sz w:val="20"/>
                <w:szCs w:val="20"/>
                <w:color w:val="auto"/>
              </w:rPr>
            </w:pPr>
            <w:r>
              <w:rPr>
                <w:rFonts w:ascii="Arial" w:cs="Arial" w:eastAsia="Arial" w:hAnsi="Arial"/>
                <w:sz w:val="18"/>
                <w:szCs w:val="18"/>
                <w:color w:val="auto"/>
                <w:w w:val="99"/>
              </w:rPr>
              <w:t>(7)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44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Year ended September 3, 2020</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jc w:val="center"/>
              <w:ind w:left="790"/>
              <w:spacing w:after="0"/>
              <w:rPr>
                <w:sz w:val="20"/>
                <w:szCs w:val="20"/>
                <w:color w:val="auto"/>
              </w:rPr>
            </w:pPr>
            <w:r>
              <w:rPr>
                <w:rFonts w:ascii="Arial" w:cs="Arial" w:eastAsia="Arial" w:hAnsi="Arial"/>
                <w:sz w:val="18"/>
                <w:szCs w:val="18"/>
                <w:color w:val="auto"/>
                <w:w w:val="99"/>
              </w:rPr>
              <w:t>20</w:t>
            </w: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jc w:val="center"/>
              <w:ind w:left="890"/>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August 29, 2019</w:t>
            </w:r>
          </w:p>
        </w:tc>
        <w:tc>
          <w:tcPr>
            <w:tcW w:w="1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Arial" w:cs="Arial" w:eastAsia="Arial" w:hAnsi="Arial"/>
                <w:sz w:val="18"/>
                <w:szCs w:val="18"/>
                <w:color w:val="auto"/>
                <w:w w:val="99"/>
              </w:rPr>
              <w:t>40</w:t>
            </w:r>
          </w:p>
        </w:tc>
        <w:tc>
          <w:tcPr>
            <w:tcW w:w="140" w:type="dxa"/>
            <w:vAlign w:val="bottom"/>
          </w:tcPr>
          <w:p>
            <w:pPr>
              <w:spacing w:after="0"/>
              <w:rPr>
                <w:sz w:val="19"/>
                <w:szCs w:val="19"/>
                <w:color w:val="auto"/>
              </w:rPr>
            </w:pPr>
          </w:p>
        </w:tc>
        <w:tc>
          <w:tcPr>
            <w:tcW w:w="1240" w:type="dxa"/>
            <w:vAlign w:val="bottom"/>
          </w:tcPr>
          <w:p>
            <w:pPr>
              <w:jc w:val="center"/>
              <w:ind w:left="890"/>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Index to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20" w:type="dxa"/>
            <w:vAlign w:val="bottom"/>
            <w:gridSpan w:val="30"/>
            <w:vMerge w:val="restart"/>
          </w:tcPr>
          <w:p>
            <w:pPr>
              <w:ind w:left="160"/>
              <w:spacing w:after="0"/>
              <w:rPr>
                <w:sz w:val="20"/>
                <w:szCs w:val="20"/>
                <w:color w:val="auto"/>
              </w:rPr>
            </w:pPr>
            <w:r>
              <w:rPr>
                <w:rFonts w:ascii="Arial" w:cs="Arial" w:eastAsia="Arial" w:hAnsi="Arial"/>
                <w:sz w:val="18"/>
                <w:szCs w:val="18"/>
                <w:b w:val="1"/>
                <w:bCs w:val="1"/>
                <w:color w:val="auto"/>
              </w:rPr>
              <w:t>Description of Exhibit</w:t>
            </w:r>
          </w:p>
        </w:tc>
        <w:tc>
          <w:tcPr>
            <w:tcW w:w="1760" w:type="dxa"/>
            <w:vAlign w:val="bottom"/>
          </w:tcPr>
          <w:p>
            <w:pPr>
              <w:ind w:left="260"/>
              <w:spacing w:after="0"/>
              <w:rPr>
                <w:sz w:val="20"/>
                <w:szCs w:val="20"/>
                <w:color w:val="auto"/>
              </w:rPr>
            </w:pPr>
            <w:r>
              <w:rPr>
                <w:rFonts w:ascii="Arial" w:cs="Arial" w:eastAsia="Arial" w:hAnsi="Arial"/>
                <w:sz w:val="18"/>
                <w:szCs w:val="18"/>
                <w:b w:val="1"/>
                <w:bCs w:val="1"/>
                <w:color w:val="auto"/>
              </w:rPr>
              <w:t>Filed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29"/>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30"/>
            <w:vMerge w:val="continue"/>
          </w:tcPr>
          <w:p>
            <w:pPr>
              <w:spacing w:after="0"/>
              <w:rPr>
                <w:sz w:val="19"/>
                <w:szCs w:val="19"/>
                <w:color w:val="auto"/>
              </w:rPr>
            </w:pPr>
          </w:p>
        </w:tc>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Herewith   Form</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tcBorders>
              <w:bottom w:val="single" w:sz="8" w:color="0000FF"/>
            </w:tcBorders>
            <w:gridSpan w:val="16"/>
            <w:shd w:val="clear" w:color="auto" w:fill="D1D2D4"/>
          </w:tcPr>
          <w:p>
            <w:pPr>
              <w:spacing w:after="0" w:line="182" w:lineRule="exact"/>
              <w:rPr>
                <w:rFonts w:ascii="Arial" w:cs="Arial" w:eastAsia="Arial" w:hAnsi="Arial"/>
                <w:sz w:val="18"/>
                <w:szCs w:val="18"/>
                <w:color w:val="0000FF"/>
                <w:w w:val="99"/>
              </w:rPr>
            </w:pPr>
            <w:hyperlink r:id="rId161">
              <w:r>
                <w:rPr>
                  <w:rFonts w:ascii="Arial" w:cs="Arial" w:eastAsia="Arial" w:hAnsi="Arial"/>
                  <w:sz w:val="18"/>
                  <w:szCs w:val="18"/>
                  <w:color w:val="0000FF"/>
                  <w:w w:val="99"/>
                </w:rPr>
                <w:t>Restated Certificate of Incorporation of the Registrant</w:t>
              </w:r>
            </w:hyperlink>
          </w:p>
        </w:tc>
        <w:tc>
          <w:tcPr>
            <w:tcW w:w="1340" w:type="dxa"/>
            <w:vAlign w:val="bottom"/>
            <w:tcBorders>
              <w:bottom w:val="single" w:sz="8" w:color="D1D2D4"/>
            </w:tcBorders>
            <w:gridSpan w:val="18"/>
            <w:shd w:val="clear" w:color="auto" w:fill="D1D2D4"/>
          </w:tcPr>
          <w:p>
            <w:pPr>
              <w:spacing w:after="0"/>
              <w:rPr>
                <w:sz w:val="17"/>
                <w:szCs w:val="17"/>
                <w:color w:val="auto"/>
              </w:rPr>
            </w:pPr>
          </w:p>
        </w:tc>
        <w:tc>
          <w:tcPr>
            <w:tcW w:w="1760" w:type="dxa"/>
            <w:vAlign w:val="bottom"/>
            <w:tcBorders>
              <w:bottom w:val="single" w:sz="8" w:color="D1D2D4"/>
            </w:tcBorders>
            <w:shd w:val="clear" w:color="auto" w:fill="D1D2D4"/>
          </w:tcPr>
          <w:p>
            <w:pPr>
              <w:ind w:left="1000"/>
              <w:spacing w:after="0" w:line="18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99.2</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5600" w:type="dxa"/>
            <w:vAlign w:val="bottom"/>
            <w:gridSpan w:val="34"/>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Bylaws of the Registrant, Amended and Restated</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3.1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2/16/21</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63">
              <w:r>
                <w:rPr>
                  <w:rFonts w:ascii="Arial" w:cs="Arial" w:eastAsia="Arial" w:hAnsi="Arial"/>
                  <w:sz w:val="18"/>
                  <w:szCs w:val="18"/>
                  <w:color w:val="0000FF"/>
                </w:rPr>
                <w:t>Indenture, dated as of February 6, 2019, by and between Micron</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140" w:type="dxa"/>
            <w:vAlign w:val="bottom"/>
            <w:tcBorders>
              <w:top w:val="single" w:sz="8" w:color="0000FF"/>
            </w:tcBorders>
            <w:gridSpan w:val="23"/>
            <w:shd w:val="clear" w:color="auto" w:fill="D1D2D4"/>
          </w:tcPr>
          <w:p>
            <w:pPr>
              <w:spacing w:after="0" w:line="156"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Technology, Inc. and U.S. Bank National Association, as Trustee</w:t>
              </w:r>
            </w:hyperlink>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48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0000FF"/>
            </w:tcBorders>
            <w:shd w:val="clear" w:color="auto" w:fill="D1D2D4"/>
          </w:tcPr>
          <w:p>
            <w:pPr>
              <w:spacing w:after="0" w:line="20" w:lineRule="exact"/>
              <w:rPr>
                <w:sz w:val="1"/>
                <w:szCs w:val="1"/>
                <w:color w:val="auto"/>
              </w:rPr>
            </w:pPr>
          </w:p>
        </w:tc>
        <w:tc>
          <w:tcPr>
            <w:tcW w:w="400" w:type="dxa"/>
            <w:vAlign w:val="bottom"/>
            <w:tcBorders>
              <w:top w:val="single" w:sz="8" w:color="0000FF"/>
            </w:tcBorders>
            <w:shd w:val="clear" w:color="auto" w:fill="D1D2D4"/>
          </w:tcPr>
          <w:p>
            <w:pPr>
              <w:spacing w:after="0" w:line="20" w:lineRule="exact"/>
              <w:rPr>
                <w:sz w:val="1"/>
                <w:szCs w:val="1"/>
                <w:color w:val="auto"/>
              </w:rPr>
            </w:pPr>
          </w:p>
        </w:tc>
        <w:tc>
          <w:tcPr>
            <w:tcW w:w="200" w:type="dxa"/>
            <w:vAlign w:val="bottom"/>
            <w:tcBorders>
              <w:top w:val="single" w:sz="8" w:color="0000FF"/>
            </w:tcBorders>
            <w:shd w:val="clear" w:color="auto" w:fill="D1D2D4"/>
          </w:tcPr>
          <w:p>
            <w:pPr>
              <w:spacing w:after="0" w:line="20" w:lineRule="exact"/>
              <w:rPr>
                <w:sz w:val="1"/>
                <w:szCs w:val="1"/>
                <w:color w:val="auto"/>
              </w:rPr>
            </w:pPr>
          </w:p>
        </w:tc>
        <w:tc>
          <w:tcPr>
            <w:tcW w:w="32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80" w:type="dxa"/>
            <w:vAlign w:val="bottom"/>
            <w:tcBorders>
              <w:top w:val="single" w:sz="8" w:color="0000FF"/>
            </w:tcBorders>
            <w:shd w:val="clear" w:color="auto" w:fill="D1D2D4"/>
          </w:tcPr>
          <w:p>
            <w:pPr>
              <w:spacing w:after="0" w:line="20" w:lineRule="exact"/>
              <w:rPr>
                <w:sz w:val="1"/>
                <w:szCs w:val="1"/>
                <w:color w:val="auto"/>
              </w:rPr>
            </w:pPr>
          </w:p>
        </w:tc>
        <w:tc>
          <w:tcPr>
            <w:tcW w:w="100" w:type="dxa"/>
            <w:vAlign w:val="bottom"/>
            <w:tcBorders>
              <w:top w:val="single" w:sz="8" w:color="0000FF"/>
            </w:tcBorders>
            <w:shd w:val="clear" w:color="auto" w:fill="D1D2D4"/>
          </w:tcPr>
          <w:p>
            <w:pPr>
              <w:spacing w:after="0" w:line="20" w:lineRule="exact"/>
              <w:rPr>
                <w:sz w:val="1"/>
                <w:szCs w:val="1"/>
                <w:color w:val="auto"/>
              </w:rPr>
            </w:pPr>
          </w:p>
        </w:tc>
        <w:tc>
          <w:tcPr>
            <w:tcW w:w="26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0000FF"/>
            </w:tcBorders>
            <w:shd w:val="clear" w:color="auto" w:fill="D1D2D4"/>
          </w:tcPr>
          <w:p>
            <w:pPr>
              <w:spacing w:after="0" w:line="20" w:lineRule="exact"/>
              <w:rPr>
                <w:sz w:val="1"/>
                <w:szCs w:val="1"/>
                <w:color w:val="auto"/>
              </w:rPr>
            </w:pPr>
          </w:p>
        </w:tc>
        <w:tc>
          <w:tcPr>
            <w:tcW w:w="40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600" w:type="dxa"/>
            <w:vAlign w:val="bottom"/>
            <w:gridSpan w:val="34"/>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First Supplemental Indenture, dated as of February 6, 2019, by and</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3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between Micron Technology, Inc. and U.S. Bank National</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Association, as Trustee</w:t>
              </w:r>
            </w:hyperlink>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Form of Note for Micron Technology, Inc.’s 4.640%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460" w:type="dxa"/>
            <w:vAlign w:val="bottom"/>
            <w:tcBorders>
              <w:top w:val="single" w:sz="8" w:color="0000FF"/>
            </w:tcBorders>
            <w:gridSpan w:val="32"/>
            <w:shd w:val="clear" w:color="auto" w:fill="D1D2D4"/>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2024 (included in Exhibit 4.2)</w:t>
              </w:r>
            </w:hyperlink>
          </w:p>
        </w:tc>
        <w:tc>
          <w:tcPr>
            <w:tcW w:w="6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4.4</w:t>
            </w:r>
          </w:p>
        </w:tc>
        <w:tc>
          <w:tcPr>
            <w:tcW w:w="5600" w:type="dxa"/>
            <w:vAlign w:val="bottom"/>
            <w:gridSpan w:val="34"/>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Form of Note for Micron Technology, Inc.’s 4.975%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2026 (included in Exhibit 4.2)</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4.5</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Form of Note for Micron Technology, Inc.’s 5.327%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460" w:type="dxa"/>
            <w:vAlign w:val="bottom"/>
            <w:tcBorders>
              <w:top w:val="single" w:sz="8" w:color="0000FF"/>
            </w:tcBorders>
            <w:gridSpan w:val="32"/>
            <w:shd w:val="clear" w:color="auto" w:fill="D1D2D4"/>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2029 (included in Exhibit 4.2)</w:t>
              </w:r>
            </w:hyperlink>
          </w:p>
        </w:tc>
        <w:tc>
          <w:tcPr>
            <w:tcW w:w="6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4.6</w:t>
            </w:r>
          </w:p>
        </w:tc>
        <w:tc>
          <w:tcPr>
            <w:tcW w:w="5600" w:type="dxa"/>
            <w:vAlign w:val="bottom"/>
            <w:gridSpan w:val="34"/>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Second Supplemental Indenture, dated as of July 12, 2019, by and</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3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between Micron Technology, Inc. and U.S.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Association, as Trustee</w:t>
              </w:r>
            </w:hyperlink>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4.7</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Form of Note for Micron Technology, Inc.’s 4.185% Senior Notes due</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55"/>
        </w:trPr>
        <w:tc>
          <w:tcPr>
            <w:tcW w:w="980" w:type="dxa"/>
            <w:vAlign w:val="bottom"/>
            <w:tcBorders>
              <w:top w:val="single" w:sz="8" w:color="D1D2D4"/>
            </w:tcBorders>
            <w:shd w:val="clear" w:color="auto" w:fill="D1D2D4"/>
          </w:tcPr>
          <w:p>
            <w:pPr>
              <w:spacing w:after="0"/>
              <w:rPr>
                <w:sz w:val="13"/>
                <w:szCs w:val="13"/>
                <w:color w:val="auto"/>
              </w:rPr>
            </w:pPr>
          </w:p>
        </w:tc>
        <w:tc>
          <w:tcPr>
            <w:tcW w:w="5460" w:type="dxa"/>
            <w:vAlign w:val="bottom"/>
            <w:tcBorders>
              <w:top w:val="single" w:sz="8" w:color="0000FF"/>
            </w:tcBorders>
            <w:gridSpan w:val="32"/>
            <w:shd w:val="clear" w:color="auto" w:fill="D1D2D4"/>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2027 (included in Exhibit 4.6)</w:t>
              </w:r>
            </w:hyperlink>
          </w:p>
        </w:tc>
        <w:tc>
          <w:tcPr>
            <w:tcW w:w="6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4.8</w:t>
            </w:r>
          </w:p>
        </w:tc>
        <w:tc>
          <w:tcPr>
            <w:tcW w:w="5600" w:type="dxa"/>
            <w:vAlign w:val="bottom"/>
            <w:gridSpan w:val="34"/>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Form of Note for Micron Technology, Inc.’s 4.663%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4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2030 (included in Exhibit 4.6)</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4.9</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Third Supplemental Indenture, dated as of April 24, 2020, by and</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4/24/20</w:t>
            </w:r>
          </w:p>
        </w:tc>
        <w:tc>
          <w:tcPr>
            <w:tcW w:w="0" w:type="dxa"/>
            <w:vAlign w:val="bottom"/>
          </w:tcPr>
          <w:p>
            <w:pPr>
              <w:spacing w:after="0"/>
              <w:rPr>
                <w:sz w:val="1"/>
                <w:szCs w:val="1"/>
                <w:color w:val="auto"/>
              </w:rPr>
            </w:pPr>
          </w:p>
        </w:tc>
      </w:tr>
      <w:tr>
        <w:trPr>
          <w:trHeight w:val="155"/>
        </w:trPr>
        <w:tc>
          <w:tcPr>
            <w:tcW w:w="980" w:type="dxa"/>
            <w:vAlign w:val="bottom"/>
            <w:tcBorders>
              <w:top w:val="single" w:sz="8" w:color="D1D2D4"/>
            </w:tcBorders>
            <w:shd w:val="clear" w:color="auto" w:fill="D1D2D4"/>
          </w:tcPr>
          <w:p>
            <w:pPr>
              <w:spacing w:after="0"/>
              <w:rPr>
                <w:sz w:val="13"/>
                <w:szCs w:val="13"/>
                <w:color w:val="auto"/>
              </w:rPr>
            </w:pPr>
          </w:p>
        </w:tc>
        <w:tc>
          <w:tcPr>
            <w:tcW w:w="5180" w:type="dxa"/>
            <w:vAlign w:val="bottom"/>
            <w:tcBorders>
              <w:top w:val="single" w:sz="8" w:color="0000FF"/>
            </w:tcBorders>
            <w:gridSpan w:val="25"/>
            <w:shd w:val="clear" w:color="auto" w:fill="D1D2D4"/>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between Micron Technology, Inc. and U.S. Bank National</w:t>
              </w:r>
            </w:hyperlink>
          </w:p>
        </w:tc>
        <w:tc>
          <w:tcPr>
            <w:tcW w:w="1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120" w:type="dxa"/>
            <w:vAlign w:val="bottom"/>
            <w:tcBorders>
              <w:top w:val="single" w:sz="8" w:color="D1D2D4"/>
            </w:tcBorders>
            <w:gridSpan w:val="2"/>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4540" w:type="dxa"/>
            <w:vAlign w:val="bottom"/>
            <w:tcBorders>
              <w:top w:val="single" w:sz="8" w:color="0000FF"/>
            </w:tcBorders>
            <w:gridSpan w:val="18"/>
            <w:shd w:val="clear" w:color="auto" w:fill="D1D2D4"/>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Association, as Trustee</w:t>
              </w:r>
            </w:hyperlink>
          </w:p>
        </w:tc>
        <w:tc>
          <w:tcPr>
            <w:tcW w:w="400" w:type="dxa"/>
            <w:vAlign w:val="bottom"/>
            <w:tcBorders>
              <w:top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100" w:type="dxa"/>
            <w:vAlign w:val="bottom"/>
            <w:tcBorders>
              <w:top w:val="single" w:sz="8" w:color="D1D2D4"/>
            </w:tcBorders>
            <w:gridSpan w:val="3"/>
            <w:shd w:val="clear" w:color="auto" w:fill="D1D2D4"/>
          </w:tcPr>
          <w:p>
            <w:pPr>
              <w:spacing w:after="0"/>
              <w:rPr>
                <w:sz w:val="13"/>
                <w:szCs w:val="13"/>
                <w:color w:val="auto"/>
              </w:rPr>
            </w:pPr>
          </w:p>
        </w:tc>
        <w:tc>
          <w:tcPr>
            <w:tcW w:w="140" w:type="dxa"/>
            <w:vAlign w:val="bottom"/>
            <w:tcBorders>
              <w:top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120" w:type="dxa"/>
            <w:vAlign w:val="bottom"/>
            <w:tcBorders>
              <w:top w:val="single" w:sz="8" w:color="D1D2D4"/>
            </w:tcBorders>
            <w:gridSpan w:val="2"/>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176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4.10</w:t>
            </w:r>
          </w:p>
        </w:tc>
        <w:tc>
          <w:tcPr>
            <w:tcW w:w="5600" w:type="dxa"/>
            <w:vAlign w:val="bottom"/>
            <w:gridSpan w:val="34"/>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Form of Note for Micron Technology, Inc.’s 2.497% Senior Notes due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4/24/20</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2023 (included in Exhibit 4.9)</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4.11</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67">
              <w:r>
                <w:rPr>
                  <w:rFonts w:ascii="Arial" w:cs="Arial" w:eastAsia="Arial" w:hAnsi="Arial"/>
                  <w:sz w:val="18"/>
                  <w:szCs w:val="18"/>
                  <w:color w:val="0000FF"/>
                </w:rPr>
                <w:t>Description of Registrant’s Securities</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10-K</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9/3/20</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4.13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10/19/20</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48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5600" w:type="dxa"/>
            <w:vAlign w:val="bottom"/>
            <w:gridSpan w:val="34"/>
          </w:tcPr>
          <w:p>
            <w:pPr>
              <w:spacing w:after="0" w:line="189" w:lineRule="exact"/>
              <w:rPr>
                <w:rFonts w:ascii="Arial" w:cs="Arial" w:eastAsia="Arial" w:hAnsi="Arial"/>
                <w:sz w:val="18"/>
                <w:szCs w:val="18"/>
                <w:color w:val="0000FF"/>
              </w:rPr>
            </w:pPr>
            <w:hyperlink r:id="rId168">
              <w:r>
                <w:rPr>
                  <w:rFonts w:ascii="Arial" w:cs="Arial" w:eastAsia="Arial" w:hAnsi="Arial"/>
                  <w:sz w:val="18"/>
                  <w:szCs w:val="18"/>
                  <w:color w:val="0000FF"/>
                </w:rPr>
                <w:t>Micron Technology, Inc. Executive Officer Performance Incentive</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DEF 14A</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B</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12/7/17</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1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Plan</w:t>
              </w:r>
            </w:hyperlink>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10.2**</w:t>
            </w:r>
          </w:p>
        </w:tc>
        <w:tc>
          <w:tcPr>
            <w:tcW w:w="4080" w:type="dxa"/>
            <w:vAlign w:val="bottom"/>
            <w:tcBorders>
              <w:bottom w:val="single" w:sz="8" w:color="0000FF"/>
            </w:tcBorders>
            <w:gridSpan w:val="14"/>
            <w:shd w:val="clear" w:color="auto" w:fill="D1D2D4"/>
          </w:tcPr>
          <w:p>
            <w:pPr>
              <w:spacing w:after="0" w:line="189"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Amended and Restated 2004 Equity Incentive Plan</w:t>
              </w:r>
            </w:hyperlink>
          </w:p>
        </w:tc>
        <w:tc>
          <w:tcPr>
            <w:tcW w:w="1520" w:type="dxa"/>
            <w:vAlign w:val="bottom"/>
            <w:tcBorders>
              <w:bottom w:val="single" w:sz="8" w:color="D1D2D4"/>
            </w:tcBorders>
            <w:gridSpan w:val="20"/>
            <w:shd w:val="clear" w:color="auto" w:fill="D1D2D4"/>
          </w:tcPr>
          <w:p>
            <w:pPr>
              <w:spacing w:after="0"/>
              <w:rPr>
                <w:sz w:val="18"/>
                <w:szCs w:val="18"/>
                <w:color w:val="auto"/>
              </w:rPr>
            </w:pPr>
          </w:p>
        </w:tc>
        <w:tc>
          <w:tcPr>
            <w:tcW w:w="1760" w:type="dxa"/>
            <w:vAlign w:val="bottom"/>
            <w:tcBorders>
              <w:bottom w:val="single" w:sz="8" w:color="D1D2D4"/>
            </w:tcBorders>
            <w:shd w:val="clear" w:color="auto" w:fill="D1D2D4"/>
          </w:tcPr>
          <w:p>
            <w:pPr>
              <w:ind w:left="1000"/>
              <w:spacing w:after="0" w:line="189" w:lineRule="exact"/>
              <w:rPr>
                <w:sz w:val="20"/>
                <w:szCs w:val="20"/>
                <w:color w:val="auto"/>
              </w:rPr>
            </w:pPr>
            <w:r>
              <w:rPr>
                <w:rFonts w:ascii="Arial" w:cs="Arial" w:eastAsia="Arial" w:hAnsi="Arial"/>
                <w:sz w:val="18"/>
                <w:szCs w:val="18"/>
                <w:color w:val="auto"/>
              </w:rPr>
              <w:t>10-K</w:t>
            </w:r>
          </w:p>
        </w:tc>
        <w:tc>
          <w:tcPr>
            <w:tcW w:w="86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10.6</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10.3**</w:t>
            </w:r>
          </w:p>
        </w:tc>
        <w:tc>
          <w:tcPr>
            <w:tcW w:w="5600" w:type="dxa"/>
            <w:vAlign w:val="bottom"/>
            <w:gridSpan w:val="34"/>
          </w:tcPr>
          <w:p>
            <w:pPr>
              <w:spacing w:after="0" w:line="189" w:lineRule="exact"/>
              <w:rPr>
                <w:rFonts w:ascii="Arial" w:cs="Arial" w:eastAsia="Arial" w:hAnsi="Arial"/>
                <w:sz w:val="18"/>
                <w:szCs w:val="18"/>
                <w:color w:val="0000FF"/>
              </w:rPr>
            </w:pPr>
            <w:hyperlink r:id="rId170">
              <w:r>
                <w:rPr>
                  <w:rFonts w:ascii="Arial" w:cs="Arial" w:eastAsia="Arial" w:hAnsi="Arial"/>
                  <w:sz w:val="18"/>
                  <w:szCs w:val="18"/>
                  <w:color w:val="0000FF"/>
                </w:rPr>
                <w:t>2004 Equity Incentive Plan Forms of Agreement and Terms and</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10.7</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Conditions</w:t>
              </w:r>
            </w:hyperlink>
          </w:p>
        </w:tc>
        <w:tc>
          <w:tcPr>
            <w:tcW w:w="2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10.4**</w:t>
            </w:r>
          </w:p>
        </w:tc>
        <w:tc>
          <w:tcPr>
            <w:tcW w:w="4080" w:type="dxa"/>
            <w:vAlign w:val="bottom"/>
            <w:tcBorders>
              <w:bottom w:val="single" w:sz="8" w:color="0000FF"/>
            </w:tcBorders>
            <w:gridSpan w:val="14"/>
            <w:shd w:val="clear" w:color="auto" w:fill="D1D2D4"/>
          </w:tcPr>
          <w:p>
            <w:pPr>
              <w:spacing w:after="0" w:line="189"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Amended and Restated 2007 Equity Incentive Plan</w:t>
              </w:r>
            </w:hyperlink>
          </w:p>
        </w:tc>
        <w:tc>
          <w:tcPr>
            <w:tcW w:w="1520" w:type="dxa"/>
            <w:vAlign w:val="bottom"/>
            <w:tcBorders>
              <w:bottom w:val="single" w:sz="8" w:color="D1D2D4"/>
            </w:tcBorders>
            <w:gridSpan w:val="20"/>
            <w:shd w:val="clear" w:color="auto" w:fill="D1D2D4"/>
          </w:tcPr>
          <w:p>
            <w:pPr>
              <w:spacing w:after="0"/>
              <w:rPr>
                <w:sz w:val="18"/>
                <w:szCs w:val="18"/>
                <w:color w:val="auto"/>
              </w:rPr>
            </w:pPr>
          </w:p>
        </w:tc>
        <w:tc>
          <w:tcPr>
            <w:tcW w:w="1760" w:type="dxa"/>
            <w:vAlign w:val="bottom"/>
            <w:tcBorders>
              <w:bottom w:val="single" w:sz="8" w:color="D1D2D4"/>
            </w:tcBorders>
            <w:shd w:val="clear" w:color="auto" w:fill="D1D2D4"/>
          </w:tcPr>
          <w:p>
            <w:pPr>
              <w:ind w:left="1000"/>
              <w:spacing w:after="0" w:line="189" w:lineRule="exact"/>
              <w:rPr>
                <w:sz w:val="20"/>
                <w:szCs w:val="20"/>
                <w:color w:val="auto"/>
              </w:rPr>
            </w:pPr>
            <w:r>
              <w:rPr>
                <w:rFonts w:ascii="Arial" w:cs="Arial" w:eastAsia="Arial" w:hAnsi="Arial"/>
                <w:sz w:val="18"/>
                <w:szCs w:val="18"/>
                <w:color w:val="auto"/>
              </w:rPr>
              <w:t>DEF 14A</w:t>
            </w:r>
          </w:p>
        </w:tc>
        <w:tc>
          <w:tcPr>
            <w:tcW w:w="86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A</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10.5**</w:t>
            </w:r>
          </w:p>
        </w:tc>
        <w:tc>
          <w:tcPr>
            <w:tcW w:w="5600" w:type="dxa"/>
            <w:vAlign w:val="bottom"/>
            <w:gridSpan w:val="34"/>
          </w:tcPr>
          <w:p>
            <w:pPr>
              <w:spacing w:after="0" w:line="189" w:lineRule="exact"/>
              <w:rPr>
                <w:rFonts w:ascii="Arial" w:cs="Arial" w:eastAsia="Arial" w:hAnsi="Arial"/>
                <w:sz w:val="18"/>
                <w:szCs w:val="18"/>
                <w:color w:val="0000FF"/>
              </w:rPr>
            </w:pPr>
            <w:hyperlink r:id="rId172">
              <w:r>
                <w:rPr>
                  <w:rFonts w:ascii="Arial" w:cs="Arial" w:eastAsia="Arial" w:hAnsi="Arial"/>
                  <w:sz w:val="18"/>
                  <w:szCs w:val="18"/>
                  <w:color w:val="0000FF"/>
                </w:rPr>
                <w:t>2007 Equity Incentive Plan Forms of Agreement and Terms and</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10.9</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Conditions</w:t>
              </w:r>
            </w:hyperlink>
          </w:p>
        </w:tc>
        <w:tc>
          <w:tcPr>
            <w:tcW w:w="2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10.6**</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73">
              <w:r>
                <w:rPr>
                  <w:rFonts w:ascii="Arial" w:cs="Arial" w:eastAsia="Arial" w:hAnsi="Arial"/>
                  <w:sz w:val="18"/>
                  <w:szCs w:val="18"/>
                  <w:color w:val="0000FF"/>
                </w:rPr>
                <w:t>Nonstatutory Stock Option Plan, as Amended</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10-K</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10.10</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48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0000FF"/>
            </w:tcBorders>
            <w:shd w:val="clear" w:color="auto" w:fill="D1D2D4"/>
          </w:tcPr>
          <w:p>
            <w:pPr>
              <w:spacing w:after="0" w:line="20" w:lineRule="exact"/>
              <w:rPr>
                <w:sz w:val="1"/>
                <w:szCs w:val="1"/>
                <w:color w:val="auto"/>
              </w:rPr>
            </w:pPr>
          </w:p>
        </w:tc>
        <w:tc>
          <w:tcPr>
            <w:tcW w:w="400" w:type="dxa"/>
            <w:vAlign w:val="bottom"/>
            <w:tcBorders>
              <w:top w:val="single" w:sz="8" w:color="0000FF"/>
            </w:tcBorders>
            <w:shd w:val="clear" w:color="auto" w:fill="D1D2D4"/>
          </w:tcPr>
          <w:p>
            <w:pPr>
              <w:spacing w:after="0" w:line="20" w:lineRule="exact"/>
              <w:rPr>
                <w:sz w:val="1"/>
                <w:szCs w:val="1"/>
                <w:color w:val="auto"/>
              </w:rPr>
            </w:pPr>
          </w:p>
        </w:tc>
        <w:tc>
          <w:tcPr>
            <w:tcW w:w="200" w:type="dxa"/>
            <w:vAlign w:val="bottom"/>
            <w:tcBorders>
              <w:top w:val="single" w:sz="8" w:color="0000FF"/>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10.7**</w:t>
            </w:r>
          </w:p>
        </w:tc>
        <w:tc>
          <w:tcPr>
            <w:tcW w:w="5600" w:type="dxa"/>
            <w:vAlign w:val="bottom"/>
            <w:gridSpan w:val="34"/>
          </w:tcPr>
          <w:p>
            <w:pPr>
              <w:spacing w:after="0" w:line="189" w:lineRule="exact"/>
              <w:rPr>
                <w:rFonts w:ascii="Arial" w:cs="Arial" w:eastAsia="Arial" w:hAnsi="Arial"/>
                <w:sz w:val="18"/>
                <w:szCs w:val="18"/>
                <w:color w:val="0000FF"/>
              </w:rPr>
            </w:pPr>
            <w:hyperlink r:id="rId174">
              <w:r>
                <w:rPr>
                  <w:rFonts w:ascii="Arial" w:cs="Arial" w:eastAsia="Arial" w:hAnsi="Arial"/>
                  <w:sz w:val="18"/>
                  <w:szCs w:val="18"/>
                  <w:color w:val="0000FF"/>
                </w:rPr>
                <w:t>Nonstatutory Stock Option Plan Form of Agreement and Terms and</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3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Conditions</w:t>
              </w:r>
            </w:hyperlink>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10.8*</w:t>
            </w:r>
          </w:p>
        </w:tc>
        <w:tc>
          <w:tcPr>
            <w:tcW w:w="5000" w:type="dxa"/>
            <w:vAlign w:val="bottom"/>
            <w:tcBorders>
              <w:bottom w:val="single" w:sz="8" w:color="0000FF"/>
            </w:tcBorders>
            <w:gridSpan w:val="20"/>
            <w:shd w:val="clear" w:color="auto" w:fill="D1D2D4"/>
          </w:tcPr>
          <w:p>
            <w:pPr>
              <w:spacing w:after="0" w:line="189" w:lineRule="exact"/>
              <w:rPr>
                <w:rFonts w:ascii="Arial" w:cs="Arial" w:eastAsia="Arial" w:hAnsi="Arial"/>
                <w:sz w:val="18"/>
                <w:szCs w:val="18"/>
                <w:color w:val="0000FF"/>
                <w:w w:val="99"/>
              </w:rPr>
            </w:pPr>
            <w:hyperlink r:id="rId175">
              <w:r>
                <w:rPr>
                  <w:rFonts w:ascii="Arial" w:cs="Arial" w:eastAsia="Arial" w:hAnsi="Arial"/>
                  <w:sz w:val="18"/>
                  <w:szCs w:val="18"/>
                  <w:color w:val="0000FF"/>
                  <w:w w:val="99"/>
                </w:rPr>
                <w:t>Patent License Agreement, dated September 15, 2006, by and</w:t>
              </w:r>
            </w:hyperlink>
          </w:p>
        </w:tc>
        <w:tc>
          <w:tcPr>
            <w:tcW w:w="600" w:type="dxa"/>
            <w:vAlign w:val="bottom"/>
            <w:tcBorders>
              <w:bottom w:val="single" w:sz="8" w:color="D1D2D4"/>
            </w:tcBorders>
            <w:gridSpan w:val="14"/>
            <w:shd w:val="clear" w:color="auto" w:fill="D1D2D4"/>
          </w:tcPr>
          <w:p>
            <w:pPr>
              <w:spacing w:after="0"/>
              <w:rPr>
                <w:sz w:val="16"/>
                <w:szCs w:val="16"/>
                <w:color w:val="auto"/>
              </w:rPr>
            </w:pPr>
          </w:p>
        </w:tc>
        <w:tc>
          <w:tcPr>
            <w:tcW w:w="1760" w:type="dxa"/>
            <w:vAlign w:val="bottom"/>
            <w:tcBorders>
              <w:bottom w:val="single" w:sz="8" w:color="D1D2D4"/>
            </w:tcBorders>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11/30/06</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10.66</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155"/>
        </w:trPr>
        <w:tc>
          <w:tcPr>
            <w:tcW w:w="980" w:type="dxa"/>
            <w:vAlign w:val="bottom"/>
            <w:shd w:val="clear" w:color="auto" w:fill="D1D2D4"/>
          </w:tcPr>
          <w:p>
            <w:pPr>
              <w:spacing w:after="0"/>
              <w:rPr>
                <w:sz w:val="13"/>
                <w:szCs w:val="13"/>
                <w:color w:val="auto"/>
              </w:rPr>
            </w:pPr>
          </w:p>
        </w:tc>
        <w:tc>
          <w:tcPr>
            <w:tcW w:w="5600" w:type="dxa"/>
            <w:vAlign w:val="bottom"/>
            <w:gridSpan w:val="34"/>
            <w:shd w:val="clear" w:color="auto" w:fill="D1D2D4"/>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among Toshiba Corporation, Acclaim Innovations, LLC, and Micron</w:t>
              </w:r>
            </w:hyperlink>
          </w:p>
        </w:tc>
        <w:tc>
          <w:tcPr>
            <w:tcW w:w="176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1300" w:type="dxa"/>
            <w:vAlign w:val="bottom"/>
            <w:tcBorders>
              <w:top w:val="single" w:sz="8" w:color="0000FF"/>
              <w:bottom w:val="single" w:sz="8" w:color="0000FF"/>
            </w:tcBorders>
            <w:gridSpan w:val="3"/>
            <w:shd w:val="clear" w:color="auto" w:fill="D1D2D4"/>
          </w:tcPr>
          <w:p>
            <w:pPr>
              <w:spacing w:after="0" w:line="156" w:lineRule="exact"/>
              <w:rPr>
                <w:rFonts w:ascii="Arial" w:cs="Arial" w:eastAsia="Arial" w:hAnsi="Arial"/>
                <w:sz w:val="18"/>
                <w:szCs w:val="18"/>
                <w:color w:val="0000FF"/>
                <w:w w:val="96"/>
              </w:rPr>
            </w:pPr>
            <w:hyperlink r:id="rId175">
              <w:r>
                <w:rPr>
                  <w:rFonts w:ascii="Arial" w:cs="Arial" w:eastAsia="Arial" w:hAnsi="Arial"/>
                  <w:sz w:val="18"/>
                  <w:szCs w:val="18"/>
                  <w:color w:val="0000FF"/>
                  <w:w w:val="96"/>
                </w:rPr>
                <w:t>Technology, Inc.</w:t>
              </w:r>
            </w:hyperlink>
          </w:p>
        </w:tc>
        <w:tc>
          <w:tcPr>
            <w:tcW w:w="4040" w:type="dxa"/>
            <w:vAlign w:val="bottom"/>
            <w:tcBorders>
              <w:top w:val="single" w:sz="8" w:color="0000FF"/>
              <w:bottom w:val="single" w:sz="8" w:color="D1D2D4"/>
            </w:tcBorders>
            <w:gridSpan w:val="25"/>
            <w:shd w:val="clear" w:color="auto" w:fill="D1D2D4"/>
          </w:tcPr>
          <w:p>
            <w:pPr>
              <w:spacing w:after="0"/>
              <w:rPr>
                <w:sz w:val="15"/>
                <w:szCs w:val="15"/>
                <w:color w:val="auto"/>
              </w:rPr>
            </w:pPr>
          </w:p>
        </w:tc>
        <w:tc>
          <w:tcPr>
            <w:tcW w:w="6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12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80" w:type="dxa"/>
            <w:vAlign w:val="bottom"/>
            <w:tcBorders>
              <w:top w:val="single" w:sz="8" w:color="D1D2D4"/>
              <w:bottom w:val="single" w:sz="8" w:color="D1D2D4"/>
            </w:tcBorders>
            <w:shd w:val="clear" w:color="auto" w:fill="D1D2D4"/>
          </w:tcPr>
          <w:p>
            <w:pPr>
              <w:spacing w:after="0"/>
              <w:rPr>
                <w:sz w:val="15"/>
                <w:szCs w:val="15"/>
                <w:color w:val="auto"/>
              </w:rPr>
            </w:pPr>
          </w:p>
        </w:tc>
        <w:tc>
          <w:tcPr>
            <w:tcW w:w="176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10.9**</w:t>
            </w:r>
          </w:p>
        </w:tc>
        <w:tc>
          <w:tcPr>
            <w:tcW w:w="5600" w:type="dxa"/>
            <w:vAlign w:val="bottom"/>
            <w:gridSpan w:val="34"/>
          </w:tcPr>
          <w:p>
            <w:pPr>
              <w:spacing w:after="0" w:line="189" w:lineRule="exact"/>
              <w:rPr>
                <w:rFonts w:ascii="Arial" w:cs="Arial" w:eastAsia="Arial" w:hAnsi="Arial"/>
                <w:sz w:val="18"/>
                <w:szCs w:val="18"/>
                <w:color w:val="0000FF"/>
              </w:rPr>
            </w:pPr>
            <w:hyperlink r:id="rId176">
              <w:r>
                <w:rPr>
                  <w:rFonts w:ascii="Arial" w:cs="Arial" w:eastAsia="Arial" w:hAnsi="Arial"/>
                  <w:sz w:val="18"/>
                  <w:szCs w:val="18"/>
                  <w:color w:val="0000FF"/>
                </w:rPr>
                <w:t>Form of Indemnification Agreement between the Registrant and its</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2/27/14</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3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officers and directors</w:t>
              </w:r>
            </w:hyperlink>
          </w:p>
        </w:tc>
        <w:tc>
          <w:tcPr>
            <w:tcW w:w="10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10.10**</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77">
              <w:r>
                <w:rPr>
                  <w:rFonts w:ascii="Arial" w:cs="Arial" w:eastAsia="Arial" w:hAnsi="Arial"/>
                  <w:sz w:val="18"/>
                  <w:szCs w:val="18"/>
                  <w:color w:val="0000FF"/>
                </w:rPr>
                <w:t>Form of Severance Agreement</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99.2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10.11*</w:t>
            </w:r>
          </w:p>
        </w:tc>
        <w:tc>
          <w:tcPr>
            <w:tcW w:w="5600" w:type="dxa"/>
            <w:vAlign w:val="bottom"/>
            <w:gridSpan w:val="34"/>
          </w:tcPr>
          <w:p>
            <w:pPr>
              <w:spacing w:after="0" w:line="189" w:lineRule="exact"/>
              <w:rPr>
                <w:rFonts w:ascii="Arial" w:cs="Arial" w:eastAsia="Arial" w:hAnsi="Arial"/>
                <w:sz w:val="18"/>
                <w:szCs w:val="18"/>
                <w:color w:val="0000FF"/>
              </w:rPr>
            </w:pPr>
            <w:hyperlink r:id="rId178">
              <w:r>
                <w:rPr>
                  <w:rFonts w:ascii="Arial" w:cs="Arial" w:eastAsia="Arial" w:hAnsi="Arial"/>
                  <w:sz w:val="18"/>
                  <w:szCs w:val="18"/>
                  <w:color w:val="0000FF"/>
                </w:rPr>
                <w:t>Technology Transfer and License Option Agreement for 20NM</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10-Q/A</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2/28/13</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10.126</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940" w:type="dxa"/>
            <w:vAlign w:val="bottom"/>
            <w:tcBorders>
              <w:top w:val="single" w:sz="8" w:color="0000FF"/>
            </w:tcBorders>
            <w:gridSpan w:val="19"/>
          </w:tcPr>
          <w:p>
            <w:pPr>
              <w:spacing w:after="0" w:line="157"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Process Node, dated as of January 17, 2013, by and between</w:t>
              </w:r>
            </w:hyperlink>
          </w:p>
        </w:tc>
        <w:tc>
          <w:tcPr>
            <w:tcW w:w="660" w:type="dxa"/>
            <w:vAlign w:val="bottom"/>
            <w:gridSpan w:val="15"/>
          </w:tcPr>
          <w:p>
            <w:pPr>
              <w:ind w:left="40"/>
              <w:spacing w:after="0" w:line="157" w:lineRule="exact"/>
              <w:rPr>
                <w:rFonts w:ascii="Arial" w:cs="Arial" w:eastAsia="Arial" w:hAnsi="Arial"/>
                <w:sz w:val="18"/>
                <w:szCs w:val="18"/>
                <w:color w:val="0000FF"/>
              </w:rPr>
            </w:pPr>
            <w:hyperlink r:id="rId178">
              <w:r>
                <w:rPr>
                  <w:rFonts w:ascii="Arial" w:cs="Arial" w:eastAsia="Arial" w:hAnsi="Arial"/>
                  <w:sz w:val="18"/>
                  <w:szCs w:val="18"/>
                  <w:color w:val="0000FF"/>
                </w:rPr>
                <w:t>Micron</w:t>
              </w:r>
            </w:hyperlink>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5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Technology, Inc. and Nanya Technology Corporation</w:t>
              </w:r>
            </w:hyperlink>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10.12**</w:t>
            </w:r>
          </w:p>
        </w:tc>
        <w:tc>
          <w:tcPr>
            <w:tcW w:w="3420" w:type="dxa"/>
            <w:vAlign w:val="bottom"/>
            <w:tcBorders>
              <w:bottom w:val="single" w:sz="8" w:color="0000FF"/>
            </w:tcBorders>
            <w:gridSpan w:val="11"/>
            <w:shd w:val="clear" w:color="auto" w:fill="D1D2D4"/>
          </w:tcPr>
          <w:p>
            <w:pPr>
              <w:spacing w:after="0" w:line="189"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Deferred Compensation Plan, as amended</w:t>
              </w:r>
            </w:hyperlink>
          </w:p>
        </w:tc>
        <w:tc>
          <w:tcPr>
            <w:tcW w:w="2180" w:type="dxa"/>
            <w:vAlign w:val="bottom"/>
            <w:tcBorders>
              <w:bottom w:val="single" w:sz="8" w:color="D1D2D4"/>
            </w:tcBorders>
            <w:gridSpan w:val="23"/>
            <w:shd w:val="clear" w:color="auto" w:fill="D1D2D4"/>
          </w:tcPr>
          <w:p>
            <w:pPr>
              <w:spacing w:after="0"/>
              <w:rPr>
                <w:sz w:val="18"/>
                <w:szCs w:val="18"/>
                <w:color w:val="auto"/>
              </w:rPr>
            </w:pPr>
          </w:p>
        </w:tc>
        <w:tc>
          <w:tcPr>
            <w:tcW w:w="1760" w:type="dxa"/>
            <w:vAlign w:val="bottom"/>
            <w:tcBorders>
              <w:bottom w:val="single" w:sz="8" w:color="D1D2D4"/>
            </w:tcBorders>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3/4/21</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10.15</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10.13**</w:t>
            </w:r>
          </w:p>
        </w:tc>
        <w:tc>
          <w:tcPr>
            <w:tcW w:w="5600" w:type="dxa"/>
            <w:vAlign w:val="bottom"/>
            <w:gridSpan w:val="34"/>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Executive Agreement, dated April 26, 2017, by and between Micron</w:t>
              </w:r>
            </w:hyperlink>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6/1/17</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10.67</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6/30/17</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4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Technology, Inc. and Sanjay Mehrotra</w:t>
              </w:r>
            </w:hyperlink>
          </w:p>
        </w:tc>
        <w:tc>
          <w:tcPr>
            <w:tcW w:w="200" w:type="dxa"/>
            <w:vAlign w:val="bottom"/>
            <w:gridSpan w:val="3"/>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10.14**</w:t>
            </w:r>
          </w:p>
        </w:tc>
        <w:tc>
          <w:tcPr>
            <w:tcW w:w="5600" w:type="dxa"/>
            <w:vAlign w:val="bottom"/>
            <w:gridSpan w:val="34"/>
            <w:shd w:val="clear" w:color="auto" w:fill="D1D2D4"/>
          </w:tcPr>
          <w:p>
            <w:pPr>
              <w:spacing w:after="0" w:line="189" w:lineRule="exact"/>
              <w:rPr>
                <w:rFonts w:ascii="Arial" w:cs="Arial" w:eastAsia="Arial" w:hAnsi="Arial"/>
                <w:sz w:val="18"/>
                <w:szCs w:val="18"/>
                <w:color w:val="0000FF"/>
              </w:rPr>
            </w:pPr>
            <w:hyperlink r:id="rId181">
              <w:r>
                <w:rPr>
                  <w:rFonts w:ascii="Arial" w:cs="Arial" w:eastAsia="Arial" w:hAnsi="Arial"/>
                  <w:sz w:val="18"/>
                  <w:szCs w:val="18"/>
                  <w:color w:val="0000FF"/>
                </w:rPr>
                <w:t>Severance Benefits for Sumit Sadana</w:t>
              </w:r>
            </w:hyperlink>
          </w:p>
        </w:tc>
        <w:tc>
          <w:tcPr>
            <w:tcW w:w="176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11/30/17</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10.70</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0000FF"/>
            </w:tcBorders>
            <w:shd w:val="clear" w:color="auto" w:fill="D1D2D4"/>
          </w:tcPr>
          <w:p>
            <w:pPr>
              <w:spacing w:after="0" w:line="20" w:lineRule="exact"/>
              <w:rPr>
                <w:sz w:val="1"/>
                <w:szCs w:val="1"/>
                <w:color w:val="auto"/>
              </w:rPr>
            </w:pPr>
          </w:p>
        </w:tc>
        <w:tc>
          <w:tcPr>
            <w:tcW w:w="500" w:type="dxa"/>
            <w:vAlign w:val="bottom"/>
            <w:tcBorders>
              <w:top w:val="single" w:sz="8" w:color="0000FF"/>
            </w:tcBorders>
            <w:shd w:val="clear" w:color="auto" w:fill="D1D2D4"/>
          </w:tcPr>
          <w:p>
            <w:pPr>
              <w:spacing w:after="0" w:line="20" w:lineRule="exact"/>
              <w:rPr>
                <w:sz w:val="1"/>
                <w:szCs w:val="1"/>
                <w:color w:val="auto"/>
              </w:rPr>
            </w:pPr>
          </w:p>
        </w:tc>
        <w:tc>
          <w:tcPr>
            <w:tcW w:w="440" w:type="dxa"/>
            <w:vAlign w:val="bottom"/>
            <w:tcBorders>
              <w:top w:val="single" w:sz="8" w:color="0000FF"/>
            </w:tcBorders>
            <w:shd w:val="clear" w:color="auto" w:fill="D1D2D4"/>
          </w:tcPr>
          <w:p>
            <w:pPr>
              <w:spacing w:after="0" w:line="20" w:lineRule="exact"/>
              <w:rPr>
                <w:sz w:val="1"/>
                <w:szCs w:val="1"/>
                <w:color w:val="auto"/>
              </w:rPr>
            </w:pPr>
          </w:p>
        </w:tc>
        <w:tc>
          <w:tcPr>
            <w:tcW w:w="38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48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6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10.15**</w:t>
            </w:r>
          </w:p>
        </w:tc>
        <w:tc>
          <w:tcPr>
            <w:tcW w:w="4520" w:type="dxa"/>
            <w:vAlign w:val="bottom"/>
            <w:tcBorders>
              <w:bottom w:val="single" w:sz="8" w:color="0000FF"/>
            </w:tcBorders>
            <w:gridSpan w:val="17"/>
          </w:tcPr>
          <w:p>
            <w:pPr>
              <w:spacing w:after="0" w:line="189"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Form of Amendment to Executive/Severance Agreement</w:t>
              </w:r>
            </w:hyperlink>
          </w:p>
        </w:tc>
        <w:tc>
          <w:tcPr>
            <w:tcW w:w="1080" w:type="dxa"/>
            <w:vAlign w:val="bottom"/>
            <w:gridSpan w:val="17"/>
          </w:tcPr>
          <w:p>
            <w:pPr>
              <w:spacing w:after="0"/>
              <w:rPr>
                <w:sz w:val="16"/>
                <w:szCs w:val="16"/>
                <w:color w:val="auto"/>
              </w:rPr>
            </w:pPr>
          </w:p>
        </w:tc>
        <w:tc>
          <w:tcPr>
            <w:tcW w:w="176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99.1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5500" w:type="dxa"/>
            <w:vAlign w:val="bottom"/>
            <w:gridSpan w:val="17"/>
            <w:vMerge w:val="restart"/>
          </w:tcPr>
          <w:p>
            <w:pPr>
              <w:ind w:left="1840"/>
              <w:spacing w:after="0"/>
              <w:rPr>
                <w:sz w:val="20"/>
                <w:szCs w:val="20"/>
                <w:color w:val="auto"/>
              </w:rPr>
            </w:pPr>
            <w:r>
              <w:rPr>
                <w:rFonts w:ascii="Arial" w:cs="Arial" w:eastAsia="Arial" w:hAnsi="Arial"/>
                <w:sz w:val="18"/>
                <w:szCs w:val="18"/>
                <w:b w:val="1"/>
                <w:bCs w:val="1"/>
                <w:color w:val="auto"/>
              </w:rPr>
              <w:t>Description of Exhibit</w:t>
            </w:r>
          </w:p>
        </w:tc>
        <w:tc>
          <w:tcPr>
            <w:tcW w:w="1800" w:type="dxa"/>
            <w:vAlign w:val="bottom"/>
          </w:tcPr>
          <w:p>
            <w:pPr>
              <w:ind w:left="360"/>
              <w:spacing w:after="0"/>
              <w:rPr>
                <w:sz w:val="20"/>
                <w:szCs w:val="20"/>
                <w:color w:val="auto"/>
              </w:rPr>
            </w:pPr>
            <w:r>
              <w:rPr>
                <w:rFonts w:ascii="Arial" w:cs="Arial" w:eastAsia="Arial" w:hAnsi="Arial"/>
                <w:sz w:val="18"/>
                <w:szCs w:val="18"/>
                <w:b w:val="1"/>
                <w:bCs w:val="1"/>
                <w:color w:val="auto"/>
              </w:rPr>
              <w:t>Filed</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29"/>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5500" w:type="dxa"/>
            <w:vAlign w:val="bottom"/>
            <w:tcBorders>
              <w:bottom w:val="single" w:sz="8" w:color="auto"/>
            </w:tcBorders>
            <w:gridSpan w:val="17"/>
            <w:vMerge w:val="continue"/>
          </w:tcPr>
          <w:p>
            <w:pPr>
              <w:spacing w:after="0"/>
              <w:rPr>
                <w:sz w:val="19"/>
                <w:szCs w:val="19"/>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Herewith   Form</w:t>
            </w: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10.16**</w:t>
            </w:r>
          </w:p>
        </w:tc>
        <w:tc>
          <w:tcPr>
            <w:tcW w:w="3020" w:type="dxa"/>
            <w:vAlign w:val="bottom"/>
            <w:tcBorders>
              <w:bottom w:val="single" w:sz="8" w:color="0000FF"/>
            </w:tcBorders>
            <w:gridSpan w:val="2"/>
            <w:shd w:val="clear" w:color="auto" w:fill="D1D2D4"/>
          </w:tcPr>
          <w:p>
            <w:pPr>
              <w:spacing w:after="0" w:line="182"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Severance Benefits for Manish Bhatia</w:t>
              </w:r>
            </w:hyperlink>
          </w:p>
        </w:tc>
        <w:tc>
          <w:tcPr>
            <w:tcW w:w="2480" w:type="dxa"/>
            <w:vAlign w:val="bottom"/>
            <w:tcBorders>
              <w:bottom w:val="single" w:sz="8" w:color="D1D2D4"/>
            </w:tcBorders>
            <w:gridSpan w:val="15"/>
            <w:shd w:val="clear" w:color="auto" w:fill="D1D2D4"/>
          </w:tcPr>
          <w:p>
            <w:pPr>
              <w:spacing w:after="0"/>
              <w:rPr>
                <w:sz w:val="17"/>
                <w:szCs w:val="17"/>
                <w:color w:val="auto"/>
              </w:rPr>
            </w:pPr>
          </w:p>
        </w:tc>
        <w:tc>
          <w:tcPr>
            <w:tcW w:w="1800" w:type="dxa"/>
            <w:vAlign w:val="bottom"/>
            <w:tcBorders>
              <w:bottom w:val="single" w:sz="8" w:color="D1D2D4"/>
            </w:tcBorders>
            <w:shd w:val="clear" w:color="auto" w:fill="D1D2D4"/>
          </w:tcPr>
          <w:p>
            <w:pPr>
              <w:ind w:left="1100"/>
              <w:spacing w:after="0" w:line="182"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11/30/17</w:t>
            </w:r>
          </w:p>
        </w:tc>
        <w:tc>
          <w:tcPr>
            <w:tcW w:w="1080" w:type="dxa"/>
            <w:vAlign w:val="bottom"/>
            <w:tcBorders>
              <w:bottom w:val="single" w:sz="8" w:color="D1D2D4"/>
            </w:tcBorders>
            <w:shd w:val="clear" w:color="auto" w:fill="D1D2D4"/>
          </w:tcPr>
          <w:p>
            <w:pPr>
              <w:jc w:val="right"/>
              <w:ind w:right="450"/>
              <w:spacing w:after="0" w:line="182" w:lineRule="exact"/>
              <w:rPr>
                <w:sz w:val="20"/>
                <w:szCs w:val="20"/>
                <w:color w:val="auto"/>
              </w:rPr>
            </w:pPr>
            <w:r>
              <w:rPr>
                <w:rFonts w:ascii="Arial" w:cs="Arial" w:eastAsia="Arial" w:hAnsi="Arial"/>
                <w:sz w:val="18"/>
                <w:szCs w:val="18"/>
                <w:color w:val="auto"/>
              </w:rPr>
              <w:t>10.74</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10.17**</w:t>
            </w:r>
          </w:p>
        </w:tc>
        <w:tc>
          <w:tcPr>
            <w:tcW w:w="5500" w:type="dxa"/>
            <w:vAlign w:val="bottom"/>
            <w:gridSpan w:val="17"/>
          </w:tcPr>
          <w:p>
            <w:pPr>
              <w:spacing w:after="0" w:line="189" w:lineRule="exact"/>
              <w:rPr>
                <w:rFonts w:ascii="Arial" w:cs="Arial" w:eastAsia="Arial" w:hAnsi="Arial"/>
                <w:sz w:val="18"/>
                <w:szCs w:val="18"/>
                <w:color w:val="0000FF"/>
              </w:rPr>
            </w:pPr>
            <w:hyperlink w:anchor="page95">
              <w:r>
                <w:rPr>
                  <w:rFonts w:ascii="Arial" w:cs="Arial" w:eastAsia="Arial" w:hAnsi="Arial"/>
                  <w:sz w:val="18"/>
                  <w:szCs w:val="18"/>
                  <w:color w:val="0000FF"/>
                </w:rPr>
                <w:t>Micron Technology, Inc. Employee Stock Purchase Plan</w:t>
              </w:r>
            </w:hyperlink>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10.18**</w:t>
            </w:r>
          </w:p>
        </w:tc>
        <w:tc>
          <w:tcPr>
            <w:tcW w:w="5500" w:type="dxa"/>
            <w:vAlign w:val="bottom"/>
            <w:gridSpan w:val="17"/>
            <w:shd w:val="clear" w:color="auto" w:fill="D1D2D4"/>
          </w:tcPr>
          <w:p>
            <w:pPr>
              <w:spacing w:after="0" w:line="189" w:lineRule="exact"/>
              <w:rPr>
                <w:rFonts w:ascii="Arial" w:cs="Arial" w:eastAsia="Arial" w:hAnsi="Arial"/>
                <w:sz w:val="18"/>
                <w:szCs w:val="18"/>
                <w:color w:val="0000FF"/>
              </w:rPr>
            </w:pPr>
            <w:hyperlink r:id="rId186">
              <w:r>
                <w:rPr>
                  <w:rFonts w:ascii="Arial" w:cs="Arial" w:eastAsia="Arial" w:hAnsi="Arial"/>
                  <w:sz w:val="18"/>
                  <w:szCs w:val="18"/>
                  <w:color w:val="0000FF"/>
                </w:rPr>
                <w:t>Severance Benefits for David A. Zinsner</w:t>
              </w:r>
            </w:hyperlink>
          </w:p>
        </w:tc>
        <w:tc>
          <w:tcPr>
            <w:tcW w:w="1800" w:type="dxa"/>
            <w:vAlign w:val="bottom"/>
            <w:shd w:val="clear" w:color="auto" w:fill="D1D2D4"/>
          </w:tcPr>
          <w:p>
            <w:pPr>
              <w:ind w:left="11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3/1/18</w:t>
            </w:r>
          </w:p>
        </w:tc>
        <w:tc>
          <w:tcPr>
            <w:tcW w:w="1080" w:type="dxa"/>
            <w:vAlign w:val="bottom"/>
            <w:shd w:val="clear" w:color="auto" w:fill="D1D2D4"/>
          </w:tcPr>
          <w:p>
            <w:pPr>
              <w:jc w:val="right"/>
              <w:ind w:right="450"/>
              <w:spacing w:after="0" w:line="189" w:lineRule="exact"/>
              <w:rPr>
                <w:sz w:val="20"/>
                <w:szCs w:val="20"/>
                <w:color w:val="auto"/>
              </w:rPr>
            </w:pPr>
            <w:r>
              <w:rPr>
                <w:rFonts w:ascii="Arial" w:cs="Arial" w:eastAsia="Arial" w:hAnsi="Arial"/>
                <w:sz w:val="18"/>
                <w:szCs w:val="18"/>
                <w:color w:val="auto"/>
              </w:rPr>
              <w:t>10.76</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3/23/18</w:t>
            </w: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2360" w:type="dxa"/>
            <w:vAlign w:val="bottom"/>
            <w:tcBorders>
              <w:top w:val="single" w:sz="8" w:color="0000FF"/>
            </w:tcBorders>
            <w:shd w:val="clear" w:color="auto" w:fill="D1D2D4"/>
          </w:tcPr>
          <w:p>
            <w:pPr>
              <w:spacing w:after="0" w:line="20" w:lineRule="exact"/>
              <w:rPr>
                <w:sz w:val="1"/>
                <w:szCs w:val="1"/>
                <w:color w:val="auto"/>
              </w:rPr>
            </w:pPr>
          </w:p>
        </w:tc>
        <w:tc>
          <w:tcPr>
            <w:tcW w:w="66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10.19</w:t>
            </w:r>
          </w:p>
        </w:tc>
        <w:tc>
          <w:tcPr>
            <w:tcW w:w="5500" w:type="dxa"/>
            <w:vAlign w:val="bottom"/>
            <w:gridSpan w:val="17"/>
          </w:tcPr>
          <w:p>
            <w:pPr>
              <w:spacing w:after="0" w:line="189" w:lineRule="exact"/>
              <w:rPr>
                <w:rFonts w:ascii="Arial" w:cs="Arial" w:eastAsia="Arial" w:hAnsi="Arial"/>
                <w:sz w:val="18"/>
                <w:szCs w:val="18"/>
                <w:color w:val="0000FF"/>
              </w:rPr>
            </w:pPr>
            <w:hyperlink r:id="rId187">
              <w:r>
                <w:rPr>
                  <w:rFonts w:ascii="Arial" w:cs="Arial" w:eastAsia="Arial" w:hAnsi="Arial"/>
                  <w:sz w:val="18"/>
                  <w:szCs w:val="18"/>
                  <w:color w:val="0000FF"/>
                </w:rPr>
                <w:t>Credit Agreement, dated as of May 14, 2021, by and among Micron</w:t>
              </w:r>
            </w:hyperlink>
          </w:p>
        </w:tc>
        <w:tc>
          <w:tcPr>
            <w:tcW w:w="1800" w:type="dxa"/>
            <w:vAlign w:val="bottom"/>
          </w:tcPr>
          <w:p>
            <w:pPr>
              <w:ind w:left="11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6/3/21</w:t>
            </w:r>
          </w:p>
        </w:tc>
        <w:tc>
          <w:tcPr>
            <w:tcW w:w="108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10.22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r:id="rId187">
              <w:r>
                <w:rPr>
                  <w:rFonts w:ascii="Arial" w:cs="Arial" w:eastAsia="Arial" w:hAnsi="Arial"/>
                  <w:sz w:val="18"/>
                  <w:szCs w:val="18"/>
                  <w:color w:val="0000FF"/>
                  <w:w w:val="98"/>
                </w:rPr>
                <w:t>Technology, Inc., as borrower, HSBC Bank USA, National</w:t>
              </w:r>
            </w:hyperlink>
          </w:p>
        </w:tc>
        <w:tc>
          <w:tcPr>
            <w:tcW w:w="8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500" w:type="dxa"/>
            <w:vAlign w:val="bottom"/>
            <w:gridSpan w:val="17"/>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Association, as administrative agent, the other agents party thereto,</w:t>
              </w:r>
            </w:hyperlink>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and each financial institution party from time to time thereto</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10.20</w:t>
            </w:r>
          </w:p>
        </w:tc>
        <w:tc>
          <w:tcPr>
            <w:tcW w:w="5500" w:type="dxa"/>
            <w:vAlign w:val="bottom"/>
            <w:gridSpan w:val="17"/>
            <w:shd w:val="clear" w:color="auto" w:fill="D1D2D4"/>
          </w:tcPr>
          <w:p>
            <w:pPr>
              <w:spacing w:after="0" w:line="189" w:lineRule="exact"/>
              <w:rPr>
                <w:rFonts w:ascii="Arial" w:cs="Arial" w:eastAsia="Arial" w:hAnsi="Arial"/>
                <w:sz w:val="18"/>
                <w:szCs w:val="18"/>
                <w:color w:val="0000FF"/>
              </w:rPr>
            </w:pPr>
            <w:hyperlink r:id="rId188">
              <w:r>
                <w:rPr>
                  <w:rFonts w:ascii="Arial" w:cs="Arial" w:eastAsia="Arial" w:hAnsi="Arial"/>
                  <w:sz w:val="18"/>
                  <w:szCs w:val="18"/>
                  <w:color w:val="0000FF"/>
                </w:rPr>
                <w:t>Term Loan Credit Agreement, dated as of May 14, 2021, by and</w:t>
              </w:r>
            </w:hyperlink>
          </w:p>
        </w:tc>
        <w:tc>
          <w:tcPr>
            <w:tcW w:w="1800" w:type="dxa"/>
            <w:vAlign w:val="bottom"/>
            <w:shd w:val="clear" w:color="auto" w:fill="D1D2D4"/>
          </w:tcPr>
          <w:p>
            <w:pPr>
              <w:ind w:left="11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6/3/21</w:t>
            </w:r>
          </w:p>
        </w:tc>
        <w:tc>
          <w:tcPr>
            <w:tcW w:w="1080" w:type="dxa"/>
            <w:vAlign w:val="bottom"/>
            <w:shd w:val="clear" w:color="auto" w:fill="D1D2D4"/>
          </w:tcPr>
          <w:p>
            <w:pPr>
              <w:jc w:val="right"/>
              <w:ind w:right="450"/>
              <w:spacing w:after="0" w:line="189" w:lineRule="exact"/>
              <w:rPr>
                <w:sz w:val="20"/>
                <w:szCs w:val="20"/>
                <w:color w:val="auto"/>
              </w:rPr>
            </w:pPr>
            <w:r>
              <w:rPr>
                <w:rFonts w:ascii="Arial" w:cs="Arial" w:eastAsia="Arial" w:hAnsi="Arial"/>
                <w:sz w:val="18"/>
                <w:szCs w:val="18"/>
                <w:color w:val="auto"/>
              </w:rPr>
              <w:t>10.23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5080" w:type="dxa"/>
            <w:vAlign w:val="bottom"/>
            <w:tcBorders>
              <w:top w:val="single" w:sz="8" w:color="0000FF"/>
              <w:bottom w:val="single" w:sz="8" w:color="0000FF"/>
            </w:tcBorders>
            <w:gridSpan w:val="10"/>
            <w:shd w:val="clear" w:color="auto" w:fill="D1D2D4"/>
          </w:tcPr>
          <w:p>
            <w:pPr>
              <w:spacing w:after="0" w:line="156" w:lineRule="exact"/>
              <w:rPr>
                <w:rFonts w:ascii="Arial" w:cs="Arial" w:eastAsia="Arial" w:hAnsi="Arial"/>
                <w:sz w:val="18"/>
                <w:szCs w:val="18"/>
                <w:color w:val="0000FF"/>
                <w:w w:val="98"/>
              </w:rPr>
            </w:pPr>
            <w:hyperlink r:id="rId188">
              <w:r>
                <w:rPr>
                  <w:rFonts w:ascii="Arial" w:cs="Arial" w:eastAsia="Arial" w:hAnsi="Arial"/>
                  <w:sz w:val="18"/>
                  <w:szCs w:val="18"/>
                  <w:color w:val="0000FF"/>
                  <w:w w:val="98"/>
                </w:rPr>
                <w:t>among Micron Technology, Inc., as borrower, Wells Fargo Bank,</w:t>
              </w:r>
            </w:hyperlink>
          </w:p>
        </w:tc>
        <w:tc>
          <w:tcPr>
            <w:tcW w:w="20" w:type="dxa"/>
            <w:vAlign w:val="bottom"/>
            <w:tcBorders>
              <w:top w:val="single" w:sz="8" w:color="D1D2D4"/>
              <w:bottom w:val="single" w:sz="8" w:color="0000FF"/>
            </w:tcBorders>
            <w:shd w:val="clear" w:color="auto" w:fill="D1D2D4"/>
          </w:tcPr>
          <w:p>
            <w:pPr>
              <w:spacing w:after="0"/>
              <w:rPr>
                <w:sz w:val="13"/>
                <w:szCs w:val="13"/>
                <w:color w:val="auto"/>
              </w:rPr>
            </w:pPr>
          </w:p>
        </w:tc>
        <w:tc>
          <w:tcPr>
            <w:tcW w:w="400" w:type="dxa"/>
            <w:vAlign w:val="bottom"/>
            <w:tcBorders>
              <w:top w:val="single" w:sz="8" w:color="D1D2D4"/>
              <w:bottom w:val="single" w:sz="8" w:color="D1D2D4"/>
            </w:tcBorders>
            <w:gridSpan w:val="6"/>
            <w:vMerge w:val="restart"/>
            <w:shd w:val="clear" w:color="auto" w:fill="D1D2D4"/>
          </w:tcPr>
          <w:p>
            <w:pPr>
              <w:spacing w:after="0"/>
              <w:rPr>
                <w:rFonts w:ascii="Arial" w:cs="Arial" w:eastAsia="Arial" w:hAnsi="Arial"/>
                <w:sz w:val="18"/>
                <w:szCs w:val="18"/>
                <w:color w:val="0000FF"/>
                <w:w w:val="94"/>
              </w:rPr>
            </w:pPr>
            <w:hyperlink r:id="rId188">
              <w:r>
                <w:rPr>
                  <w:rFonts w:ascii="Arial" w:cs="Arial" w:eastAsia="Arial" w:hAnsi="Arial"/>
                  <w:sz w:val="18"/>
                  <w:szCs w:val="18"/>
                  <w:color w:val="0000FF"/>
                  <w:w w:val="94"/>
                </w:rPr>
                <w:t>party</w:t>
              </w:r>
            </w:hyperlink>
          </w:p>
        </w:tc>
        <w:tc>
          <w:tcPr>
            <w:tcW w:w="18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96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shd w:val="clear" w:color="auto" w:fill="D1D2D4"/>
          </w:tcPr>
          <w:p>
            <w:pPr>
              <w:spacing w:after="0"/>
              <w:rPr>
                <w:sz w:val="13"/>
                <w:szCs w:val="13"/>
                <w:color w:val="auto"/>
              </w:rPr>
            </w:pPr>
          </w:p>
        </w:tc>
        <w:tc>
          <w:tcPr>
            <w:tcW w:w="5100" w:type="dxa"/>
            <w:vAlign w:val="bottom"/>
            <w:gridSpan w:val="11"/>
            <w:shd w:val="clear" w:color="auto" w:fill="D1D2D4"/>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National Association, as administrative agent, the other agents</w:t>
              </w:r>
            </w:hyperlink>
          </w:p>
        </w:tc>
        <w:tc>
          <w:tcPr>
            <w:tcW w:w="400" w:type="dxa"/>
            <w:vAlign w:val="bottom"/>
            <w:gridSpan w:val="6"/>
            <w:vMerge w:val="continue"/>
            <w:shd w:val="clear" w:color="auto" w:fill="D1D2D4"/>
          </w:tcPr>
          <w:p>
            <w:pPr>
              <w:spacing w:after="0"/>
              <w:rPr>
                <w:sz w:val="13"/>
                <w:szCs w:val="13"/>
                <w:color w:val="auto"/>
              </w:rPr>
            </w:pPr>
          </w:p>
        </w:tc>
        <w:tc>
          <w:tcPr>
            <w:tcW w:w="1800" w:type="dxa"/>
            <w:vAlign w:val="bottom"/>
            <w:shd w:val="clear" w:color="auto" w:fill="D1D2D4"/>
          </w:tcPr>
          <w:p>
            <w:pPr>
              <w:spacing w:after="0"/>
              <w:rPr>
                <w:sz w:val="13"/>
                <w:szCs w:val="13"/>
                <w:color w:val="auto"/>
              </w:rPr>
            </w:pPr>
          </w:p>
        </w:tc>
        <w:tc>
          <w:tcPr>
            <w:tcW w:w="92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5380" w:type="dxa"/>
            <w:vAlign w:val="bottom"/>
            <w:tcBorders>
              <w:top w:val="single" w:sz="8" w:color="0000FF"/>
              <w:bottom w:val="single" w:sz="8" w:color="0000FF"/>
            </w:tcBorders>
            <w:gridSpan w:val="14"/>
            <w:shd w:val="clear" w:color="auto" w:fill="D1D2D4"/>
          </w:tcPr>
          <w:p>
            <w:pPr>
              <w:spacing w:after="0" w:line="156"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thereto, and each financial institution party from time to time thereto</w:t>
              </w:r>
            </w:hyperlink>
          </w:p>
        </w:tc>
        <w:tc>
          <w:tcPr>
            <w:tcW w:w="60" w:type="dxa"/>
            <w:vAlign w:val="bottom"/>
            <w:tcBorders>
              <w:top w:val="single" w:sz="8" w:color="0000FF"/>
              <w:bottom w:val="single" w:sz="8" w:color="D1D2D4"/>
            </w:tcBorders>
            <w:gridSpan w:val="2"/>
            <w:shd w:val="clear" w:color="auto" w:fill="D1D2D4"/>
          </w:tcPr>
          <w:p>
            <w:pPr>
              <w:spacing w:after="0"/>
              <w:rPr>
                <w:sz w:val="15"/>
                <w:szCs w:val="15"/>
                <w:color w:val="auto"/>
              </w:rPr>
            </w:pPr>
          </w:p>
        </w:tc>
        <w:tc>
          <w:tcPr>
            <w:tcW w:w="60" w:type="dxa"/>
            <w:vAlign w:val="bottom"/>
            <w:tcBorders>
              <w:top w:val="single" w:sz="8" w:color="D1D2D4"/>
              <w:bottom w:val="single" w:sz="8" w:color="D1D2D4"/>
            </w:tcBorders>
            <w:shd w:val="clear" w:color="auto" w:fill="D1D2D4"/>
          </w:tcPr>
          <w:p>
            <w:pPr>
              <w:spacing w:after="0"/>
              <w:rPr>
                <w:sz w:val="15"/>
                <w:szCs w:val="15"/>
                <w:color w:val="auto"/>
              </w:rPr>
            </w:pPr>
          </w:p>
        </w:tc>
        <w:tc>
          <w:tcPr>
            <w:tcW w:w="1800" w:type="dxa"/>
            <w:vAlign w:val="bottom"/>
            <w:tcBorders>
              <w:top w:val="single" w:sz="8" w:color="D1D2D4"/>
              <w:bottom w:val="single" w:sz="8" w:color="D1D2D4"/>
            </w:tcBorders>
            <w:shd w:val="clear" w:color="auto" w:fill="D1D2D4"/>
          </w:tcPr>
          <w:p>
            <w:pPr>
              <w:spacing w:after="0"/>
              <w:rPr>
                <w:sz w:val="15"/>
                <w:szCs w:val="15"/>
                <w:color w:val="auto"/>
              </w:rPr>
            </w:pPr>
          </w:p>
        </w:tc>
        <w:tc>
          <w:tcPr>
            <w:tcW w:w="92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21.1</w:t>
            </w:r>
          </w:p>
        </w:tc>
        <w:tc>
          <w:tcPr>
            <w:tcW w:w="5500" w:type="dxa"/>
            <w:vAlign w:val="bottom"/>
            <w:gridSpan w:val="17"/>
          </w:tcPr>
          <w:p>
            <w:pPr>
              <w:spacing w:after="0" w:line="189" w:lineRule="exact"/>
              <w:rPr>
                <w:rFonts w:ascii="Arial" w:cs="Arial" w:eastAsia="Arial" w:hAnsi="Arial"/>
                <w:sz w:val="18"/>
                <w:szCs w:val="18"/>
                <w:color w:val="0000FF"/>
              </w:rPr>
            </w:pPr>
            <w:hyperlink w:anchor="page109">
              <w:r>
                <w:rPr>
                  <w:rFonts w:ascii="Arial" w:cs="Arial" w:eastAsia="Arial" w:hAnsi="Arial"/>
                  <w:sz w:val="18"/>
                  <w:szCs w:val="18"/>
                  <w:color w:val="0000FF"/>
                </w:rPr>
                <w:t>Subsidiaries of the Registrant</w:t>
              </w:r>
            </w:hyperlink>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23.1</w:t>
            </w:r>
          </w:p>
        </w:tc>
        <w:tc>
          <w:tcPr>
            <w:tcW w:w="4740" w:type="dxa"/>
            <w:vAlign w:val="bottom"/>
            <w:tcBorders>
              <w:bottom w:val="single" w:sz="8" w:color="0000FF"/>
            </w:tcBorders>
            <w:gridSpan w:val="9"/>
            <w:shd w:val="clear" w:color="auto" w:fill="D1D2D4"/>
          </w:tcPr>
          <w:p>
            <w:pPr>
              <w:spacing w:after="0" w:line="189" w:lineRule="exact"/>
              <w:rPr>
                <w:rFonts w:ascii="Arial" w:cs="Arial" w:eastAsia="Arial" w:hAnsi="Arial"/>
                <w:sz w:val="18"/>
                <w:szCs w:val="18"/>
                <w:color w:val="0000FF"/>
                <w:w w:val="99"/>
              </w:rPr>
            </w:pPr>
            <w:hyperlink w:anchor="page110">
              <w:r>
                <w:rPr>
                  <w:rFonts w:ascii="Arial" w:cs="Arial" w:eastAsia="Arial" w:hAnsi="Arial"/>
                  <w:sz w:val="18"/>
                  <w:szCs w:val="18"/>
                  <w:color w:val="0000FF"/>
                  <w:w w:val="99"/>
                </w:rPr>
                <w:t>Consent of Independent Registered Public Accounting Firm</w:t>
              </w:r>
            </w:hyperlink>
          </w:p>
        </w:tc>
        <w:tc>
          <w:tcPr>
            <w:tcW w:w="760" w:type="dxa"/>
            <w:vAlign w:val="bottom"/>
            <w:tcBorders>
              <w:bottom w:val="single" w:sz="8" w:color="D1D2D4"/>
            </w:tcBorders>
            <w:gridSpan w:val="8"/>
            <w:shd w:val="clear" w:color="auto" w:fill="D1D2D4"/>
          </w:tcPr>
          <w:p>
            <w:pPr>
              <w:spacing w:after="0"/>
              <w:rPr>
                <w:sz w:val="18"/>
                <w:szCs w:val="18"/>
                <w:color w:val="auto"/>
              </w:rPr>
            </w:pPr>
          </w:p>
        </w:tc>
        <w:tc>
          <w:tcPr>
            <w:tcW w:w="180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96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5500" w:type="dxa"/>
            <w:vAlign w:val="bottom"/>
            <w:gridSpan w:val="17"/>
          </w:tcPr>
          <w:p>
            <w:pPr>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Rule 13a-14(a) Certification of Chief Executive Officer</w:t>
              </w:r>
            </w:hyperlink>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31.2</w:t>
            </w:r>
          </w:p>
        </w:tc>
        <w:tc>
          <w:tcPr>
            <w:tcW w:w="5500" w:type="dxa"/>
            <w:vAlign w:val="bottom"/>
            <w:gridSpan w:val="17"/>
            <w:shd w:val="clear" w:color="auto" w:fill="D1D2D4"/>
          </w:tcPr>
          <w:p>
            <w:pPr>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Rule 13a-14(a) Certification of Chief Financial Officer</w:t>
              </w:r>
            </w:hyperlink>
          </w:p>
        </w:tc>
        <w:tc>
          <w:tcPr>
            <w:tcW w:w="180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2360" w:type="dxa"/>
            <w:vAlign w:val="bottom"/>
            <w:tcBorders>
              <w:top w:val="single" w:sz="8" w:color="0000FF"/>
            </w:tcBorders>
            <w:shd w:val="clear" w:color="auto" w:fill="D1D2D4"/>
          </w:tcPr>
          <w:p>
            <w:pPr>
              <w:spacing w:after="0" w:line="20" w:lineRule="exact"/>
              <w:rPr>
                <w:sz w:val="1"/>
                <w:szCs w:val="1"/>
                <w:color w:val="auto"/>
              </w:rPr>
            </w:pPr>
          </w:p>
        </w:tc>
        <w:tc>
          <w:tcPr>
            <w:tcW w:w="66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102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5500" w:type="dxa"/>
            <w:vAlign w:val="bottom"/>
            <w:gridSpan w:val="17"/>
          </w:tcPr>
          <w:p>
            <w:pPr>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Certification of Chief Executive Officer Pursuant to 18 U.S.C. 1350</w:t>
              </w:r>
            </w:hyperlink>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32.2</w:t>
            </w:r>
          </w:p>
        </w:tc>
        <w:tc>
          <w:tcPr>
            <w:tcW w:w="5500" w:type="dxa"/>
            <w:vAlign w:val="bottom"/>
            <w:gridSpan w:val="17"/>
            <w:shd w:val="clear" w:color="auto" w:fill="D1D2D4"/>
          </w:tcPr>
          <w:p>
            <w:pPr>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Certification of Chief Financial Officer Pursuant to 18 U.S.C. 1350</w:t>
              </w:r>
            </w:hyperlink>
          </w:p>
        </w:tc>
        <w:tc>
          <w:tcPr>
            <w:tcW w:w="180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2360" w:type="dxa"/>
            <w:vAlign w:val="bottom"/>
            <w:tcBorders>
              <w:top w:val="single" w:sz="8" w:color="0000FF"/>
            </w:tcBorders>
            <w:shd w:val="clear" w:color="auto" w:fill="D1D2D4"/>
          </w:tcPr>
          <w:p>
            <w:pPr>
              <w:spacing w:after="0" w:line="20" w:lineRule="exact"/>
              <w:rPr>
                <w:sz w:val="1"/>
                <w:szCs w:val="1"/>
                <w:color w:val="auto"/>
              </w:rPr>
            </w:pPr>
          </w:p>
        </w:tc>
        <w:tc>
          <w:tcPr>
            <w:tcW w:w="66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102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180" w:type="dxa"/>
            <w:vAlign w:val="bottom"/>
            <w:tcBorders>
              <w:top w:val="single" w:sz="8" w:color="0000FF"/>
            </w:tcBorders>
            <w:shd w:val="clear" w:color="auto" w:fill="D1D2D4"/>
          </w:tcPr>
          <w:p>
            <w:pPr>
              <w:spacing w:after="0" w:line="20" w:lineRule="exact"/>
              <w:rPr>
                <w:sz w:val="1"/>
                <w:szCs w:val="1"/>
                <w:color w:val="auto"/>
              </w:rPr>
            </w:pPr>
          </w:p>
        </w:tc>
        <w:tc>
          <w:tcPr>
            <w:tcW w:w="12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0000FF"/>
            </w:tcBorders>
            <w:shd w:val="clear" w:color="auto" w:fill="D1D2D4"/>
          </w:tcPr>
          <w:p>
            <w:pPr>
              <w:spacing w:after="0" w:line="20" w:lineRule="exact"/>
              <w:rPr>
                <w:sz w:val="1"/>
                <w:szCs w:val="1"/>
                <w:color w:val="auto"/>
              </w:rPr>
            </w:pPr>
          </w:p>
        </w:tc>
        <w:tc>
          <w:tcPr>
            <w:tcW w:w="34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0000FF"/>
            </w:tcBorders>
            <w:shd w:val="clear" w:color="auto" w:fill="D1D2D4"/>
          </w:tcPr>
          <w:p>
            <w:pPr>
              <w:spacing w:after="0" w:line="20" w:lineRule="exact"/>
              <w:rPr>
                <w:sz w:val="1"/>
                <w:szCs w:val="1"/>
                <w:color w:val="auto"/>
              </w:rPr>
            </w:pPr>
          </w:p>
        </w:tc>
        <w:tc>
          <w:tcPr>
            <w:tcW w:w="12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101.INS</w:t>
            </w:r>
          </w:p>
        </w:tc>
        <w:tc>
          <w:tcPr>
            <w:tcW w:w="5500" w:type="dxa"/>
            <w:vAlign w:val="bottom"/>
            <w:gridSpan w:val="17"/>
          </w:tcPr>
          <w:p>
            <w:pPr>
              <w:spacing w:after="0" w:line="189" w:lineRule="exact"/>
              <w:rPr>
                <w:sz w:val="20"/>
                <w:szCs w:val="20"/>
                <w:color w:val="auto"/>
              </w:rPr>
            </w:pPr>
            <w:r>
              <w:rPr>
                <w:rFonts w:ascii="Arial" w:cs="Arial" w:eastAsia="Arial" w:hAnsi="Arial"/>
                <w:sz w:val="18"/>
                <w:szCs w:val="18"/>
                <w:color w:val="auto"/>
              </w:rPr>
              <w:t>Inline XBRL Instance Document - the instance document does not</w:t>
            </w:r>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5500" w:type="dxa"/>
            <w:vAlign w:val="bottom"/>
            <w:gridSpan w:val="17"/>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0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101.SCH</w:t>
            </w:r>
          </w:p>
        </w:tc>
        <w:tc>
          <w:tcPr>
            <w:tcW w:w="550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Schema Document</w:t>
            </w:r>
          </w:p>
        </w:tc>
        <w:tc>
          <w:tcPr>
            <w:tcW w:w="1800" w:type="dxa"/>
            <w:vAlign w:val="bottom"/>
            <w:shd w:val="clear" w:color="auto" w:fill="D1D2D4"/>
          </w:tcPr>
          <w:p>
            <w:pPr>
              <w:ind w:lef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550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800" w:type="dxa"/>
            <w:vAlign w:val="bottom"/>
          </w:tcPr>
          <w:p>
            <w:pPr>
              <w:ind w:left="8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101.DEF</w:t>
            </w:r>
          </w:p>
        </w:tc>
        <w:tc>
          <w:tcPr>
            <w:tcW w:w="550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800" w:type="dxa"/>
            <w:vAlign w:val="bottom"/>
            <w:shd w:val="clear" w:color="auto" w:fill="D1D2D4"/>
          </w:tcPr>
          <w:p>
            <w:pPr>
              <w:ind w:lef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550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800" w:type="dxa"/>
            <w:vAlign w:val="bottom"/>
          </w:tcPr>
          <w:p>
            <w:pPr>
              <w:ind w:left="8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101.PRE</w:t>
            </w:r>
          </w:p>
        </w:tc>
        <w:tc>
          <w:tcPr>
            <w:tcW w:w="550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800" w:type="dxa"/>
            <w:vAlign w:val="bottom"/>
            <w:shd w:val="clear" w:color="auto" w:fill="D1D2D4"/>
          </w:tcPr>
          <w:p>
            <w:pPr>
              <w:ind w:lef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500" w:type="dxa"/>
            <w:vAlign w:val="bottom"/>
            <w:gridSpan w:val="17"/>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00" w:type="dxa"/>
            <w:vAlign w:val="bottom"/>
            <w:gridSpan w:val="17"/>
          </w:tcPr>
          <w:p>
            <w:pPr>
              <w:spacing w:after="0"/>
              <w:rPr>
                <w:sz w:val="20"/>
                <w:szCs w:val="20"/>
                <w:color w:val="auto"/>
              </w:rPr>
            </w:pPr>
            <w:r>
              <w:rPr>
                <w:rFonts w:ascii="Arial" w:cs="Arial" w:eastAsia="Arial" w:hAnsi="Arial"/>
                <w:sz w:val="18"/>
                <w:szCs w:val="18"/>
                <w:color w:val="auto"/>
              </w:rPr>
              <w:t>contained in Exhibit 101)</w:t>
            </w: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900" w:firstLine="8"/>
        <w:spacing w:after="0" w:line="387" w:lineRule="auto"/>
        <w:tabs>
          <w:tab w:leader="none" w:pos="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 ** Indicates management contract or compensatory plan or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Micron Technology, Inc.</w:t>
      </w:r>
    </w:p>
    <w:p>
      <w:pPr>
        <w:spacing w:after="0" w:line="10" w:lineRule="exact"/>
        <w:rPr>
          <w:sz w:val="20"/>
          <w:szCs w:val="20"/>
          <w:color w:val="auto"/>
        </w:rPr>
      </w:pPr>
    </w:p>
    <w:p>
      <w:pPr>
        <w:ind w:left="20"/>
        <w:spacing w:after="0"/>
        <w:tabs>
          <w:tab w:leader="none" w:pos="5600" w:val="left"/>
          <w:tab w:leader="none" w:pos="7840" w:val="left"/>
        </w:tabs>
        <w:rPr>
          <w:sz w:val="20"/>
          <w:szCs w:val="20"/>
          <w:color w:val="auto"/>
        </w:rPr>
      </w:pPr>
      <w:r>
        <w:rPr>
          <w:rFonts w:ascii="Arial" w:cs="Arial" w:eastAsia="Arial" w:hAnsi="Arial"/>
          <w:sz w:val="18"/>
          <w:szCs w:val="18"/>
          <w:color w:val="auto"/>
        </w:rPr>
        <w:t>Date  October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8"/>
          <w:szCs w:val="18"/>
          <w:b w:val="1"/>
          <w:bCs w:val="1"/>
          <w:color w:val="auto"/>
        </w:rPr>
        <w:t>David A. Zinsner</w:t>
      </w:r>
    </w:p>
    <w:p>
      <w:pPr>
        <w:jc w:val="cente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9"/>
        </w:trPr>
        <w:tc>
          <w:tcPr>
            <w:tcW w:w="2740" w:type="dxa"/>
            <w:vAlign w:val="bottom"/>
          </w:tcPr>
          <w:p>
            <w:pPr>
              <w:spacing w:after="0"/>
              <w:rPr>
                <w:sz w:val="17"/>
                <w:szCs w:val="17"/>
                <w:color w:val="auto"/>
              </w:rPr>
            </w:pPr>
          </w:p>
        </w:tc>
        <w:tc>
          <w:tcPr>
            <w:tcW w:w="84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rPr>
              <w:t>Signature</w:t>
            </w:r>
          </w:p>
        </w:tc>
        <w:tc>
          <w:tcPr>
            <w:tcW w:w="2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800"/>
              <w:spacing w:after="0" w:line="199" w:lineRule="exact"/>
              <w:rPr>
                <w:sz w:val="20"/>
                <w:szCs w:val="20"/>
                <w:color w:val="auto"/>
              </w:rPr>
            </w:pPr>
            <w:r>
              <w:rPr>
                <w:rFonts w:ascii="Arial" w:cs="Arial" w:eastAsia="Arial" w:hAnsi="Arial"/>
                <w:sz w:val="18"/>
                <w:szCs w:val="18"/>
                <w:b w:val="1"/>
                <w:bCs w:val="1"/>
                <w:color w:val="auto"/>
              </w:rPr>
              <w:t>Date</w:t>
            </w:r>
          </w:p>
        </w:tc>
      </w:tr>
      <w:tr>
        <w:trPr>
          <w:trHeight w:val="20"/>
        </w:trPr>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0"/>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5"/>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David A. Zinsner</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(David A. Zinsner)</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0"/>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5"/>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Accounting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0"/>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5"/>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Richard M. Beyer</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(Richard M. Beyer)</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Lynn Dugle</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(Lynn Dugle)</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Steve Gomo</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(Steve Gomo)</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Linnie Haynesworth</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(Linnie Haynesworth)</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77"/>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 Pat McCarthy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(Mary Pat McCarthy)</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Chair of the Board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MaryAnn Wright</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8, 2021</w:t>
            </w:r>
          </w:p>
        </w:tc>
      </w:tr>
      <w:tr>
        <w:trPr>
          <w:trHeight w:val="232"/>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(MaryAnn Wright)</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91</w:t>
      </w:r>
    </w:p>
    <w:p>
      <w:pPr>
        <w:sectPr>
          <w:pgSz w:w="11900" w:h="16838" w:orient="portrait"/>
          <w:cols w:equalWidth="0" w:num="1">
            <w:col w:w="11240"/>
          </w:cols>
          <w:pgMar w:left="320" w:top="931" w:right="339" w:bottom="1440" w:gutter="0" w:footer="0" w:header="0"/>
        </w:sectPr>
      </w:pPr>
    </w:p>
    <w:bookmarkStart w:id="94" w:name="page95"/>
    <w:bookmarkEnd w:id="94"/>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AUGUST 1, 2021)</w:t>
      </w:r>
    </w:p>
    <w:p>
      <w:pPr>
        <w:spacing w:after="0" w:line="249" w:lineRule="exact"/>
        <w:rPr>
          <w:sz w:val="20"/>
          <w:szCs w:val="20"/>
          <w:color w:val="auto"/>
        </w:rPr>
      </w:pPr>
    </w:p>
    <w:p>
      <w:pPr>
        <w:jc w:val="both"/>
        <w:ind w:firstLine="656"/>
        <w:spacing w:after="0"/>
        <w:tabs>
          <w:tab w:leader="none" w:pos="1087"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Introduction; Purpose</w:t>
      </w:r>
      <w:r>
        <w:rPr>
          <w:rFonts w:ascii="Arial" w:cs="Arial" w:eastAsia="Arial" w:hAnsi="Arial"/>
          <w:sz w:val="20"/>
          <w:szCs w:val="20"/>
          <w:color w:val="auto"/>
        </w:rPr>
        <w:t>. On July 6, 2021 the Board adopted this amended and restated Plan, which shall govern all grants of purchase rights on or after August 1, 2021. For the terms and conditions of the Plan applicable to purchase rights granted prior to August 1, 2021, refer to the version of the Plan in effect as of the date such purchase rights were granted. The purpose of the Plan is to provide employees of the Company and its Designated Subsidiaries and Designated Affiliates with an opportunity to purchase shares of Common Stock through accumulated Contributions. This Plan includes two components: a Code Section 423 Component (the "423 Component") and a non-Code Section 423 Component (the "Non-423 Component"). It is the intention of the Company to have the 423 Component qualify as an "employee stock purchase plan" under Section 423 of the Code. The provisions of the 423 Component, accordingly, shall be construed so as to extend and limit participation in a uniform and nondiscriminatory basis consistent with the requirements of Section 423 of the Code. In addition, this Plan authorizes the grant of options under the Non-423 Component that does not qualify as an "employee stock purchase plan" under Section 423 of the Code; such options shall be granted pursuant to rules, procedures or subplans adopted by the Committee designed to achieve tax, securities laws or other objectives for Eligible Employees and the Company. Except as otherwise provided herein, the Non-423 Component will be operated and administered in the same manner as the 423 Component.</w:t>
      </w:r>
    </w:p>
    <w:p>
      <w:pPr>
        <w:spacing w:after="0" w:line="236" w:lineRule="exact"/>
        <w:rPr>
          <w:rFonts w:ascii="Arial" w:cs="Arial" w:eastAsia="Arial" w:hAnsi="Arial"/>
          <w:sz w:val="20"/>
          <w:szCs w:val="20"/>
          <w:color w:val="auto"/>
        </w:rPr>
      </w:pPr>
    </w:p>
    <w:p>
      <w:pPr>
        <w:ind w:left="1040" w:hanging="384"/>
        <w:spacing w:after="0"/>
        <w:tabs>
          <w:tab w:leader="none" w:pos="104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firstLine="1292"/>
        <w:spacing w:after="0" w:line="272" w:lineRule="auto"/>
        <w:tabs>
          <w:tab w:leader="none" w:pos="2431" w:val="left"/>
        </w:tabs>
        <w:numPr>
          <w:ilvl w:val="1"/>
          <w:numId w:val="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Committee or, subject to Applicable Laws, one or more of the Company’s officers or management team appointed by the Board or Committee to administer the day-to-day operations of the Plan.</w:t>
      </w:r>
    </w:p>
    <w:p>
      <w:pPr>
        <w:spacing w:after="0" w:line="206" w:lineRule="exact"/>
        <w:rPr>
          <w:rFonts w:ascii="Arial" w:cs="Arial" w:eastAsia="Arial" w:hAnsi="Arial"/>
          <w:sz w:val="19"/>
          <w:szCs w:val="19"/>
          <w:color w:val="auto"/>
        </w:rPr>
      </w:pPr>
    </w:p>
    <w:p>
      <w:pPr>
        <w:jc w:val="both"/>
        <w:ind w:left="660" w:firstLine="1292"/>
        <w:spacing w:after="0" w:line="243" w:lineRule="auto"/>
        <w:tabs>
          <w:tab w:leader="none" w:pos="25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spacing w:after="0" w:line="232" w:lineRule="exact"/>
        <w:rPr>
          <w:rFonts w:ascii="Arial" w:cs="Arial" w:eastAsia="Arial" w:hAnsi="Arial"/>
          <w:sz w:val="20"/>
          <w:szCs w:val="20"/>
          <w:color w:val="auto"/>
        </w:rPr>
      </w:pPr>
    </w:p>
    <w:p>
      <w:pPr>
        <w:jc w:val="both"/>
        <w:ind w:left="660" w:firstLine="1292"/>
        <w:spacing w:after="0" w:line="241" w:lineRule="auto"/>
        <w:tabs>
          <w:tab w:leader="none" w:pos="2407"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Laws</w:t>
      </w:r>
      <w:r>
        <w:rPr>
          <w:rFonts w:ascii="Arial" w:cs="Arial" w:eastAsia="Arial" w:hAnsi="Arial"/>
          <w:sz w:val="20"/>
          <w:szCs w:val="20"/>
          <w:color w:val="auto"/>
        </w:rPr>
        <w:t>" means the requirements relating to the administration of equity-based awards and the related issuance of shares of Common Stock under U.S. state corporate laws, U.S. federal and state securities laws, the Code, the rules of any Exchange or quotation system on which the Common Stock is listed or quoted and the applicable laws of any non-U.S. jurisdiction where options to purchase shares of Common Stock are, or will be, granted under the Plan.</w:t>
      </w:r>
    </w:p>
    <w:p>
      <w:pPr>
        <w:spacing w:after="0" w:line="235" w:lineRule="exact"/>
        <w:rPr>
          <w:rFonts w:ascii="Arial" w:cs="Arial" w:eastAsia="Arial" w:hAnsi="Arial"/>
          <w:sz w:val="20"/>
          <w:szCs w:val="20"/>
          <w:color w:val="auto"/>
        </w:rPr>
      </w:pPr>
    </w:p>
    <w:p>
      <w:pPr>
        <w:ind w:left="2420" w:hanging="468"/>
        <w:spacing w:after="0"/>
        <w:tabs>
          <w:tab w:leader="none" w:pos="2420"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42" w:lineRule="exact"/>
        <w:rPr>
          <w:rFonts w:ascii="Arial" w:cs="Arial" w:eastAsia="Arial" w:hAnsi="Arial"/>
          <w:sz w:val="20"/>
          <w:szCs w:val="20"/>
          <w:color w:val="auto"/>
        </w:rPr>
      </w:pPr>
    </w:p>
    <w:p>
      <w:pPr>
        <w:jc w:val="both"/>
        <w:ind w:left="660" w:firstLine="1292"/>
        <w:spacing w:after="0" w:line="243" w:lineRule="auto"/>
        <w:tabs>
          <w:tab w:leader="none" w:pos="2553"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 Reference to a specific section of the Code or U.S. Treasury Regulation thereunder will include such section or regulation, any valid regulation or other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46" w:lineRule="auto"/>
        <w:rPr>
          <w:sz w:val="20"/>
          <w:szCs w:val="20"/>
          <w:color w:val="auto"/>
        </w:rPr>
      </w:pPr>
      <w:r>
        <w:rPr>
          <w:rFonts w:ascii="Arial" w:cs="Arial" w:eastAsia="Arial" w:hAnsi="Arial"/>
          <w:sz w:val="20"/>
          <w:szCs w:val="20"/>
          <w:color w:val="auto"/>
        </w:rPr>
        <w:t>applicable guidance promulgated under such section, and any comparable provision of any future legislation or regulation amending, supplementing or superseding such section or regulation.</w:t>
      </w:r>
    </w:p>
    <w:p>
      <w:pPr>
        <w:spacing w:after="0" w:line="230" w:lineRule="exact"/>
        <w:rPr>
          <w:sz w:val="20"/>
          <w:szCs w:val="20"/>
          <w:color w:val="auto"/>
        </w:rPr>
      </w:pPr>
    </w:p>
    <w:p>
      <w:pPr>
        <w:ind w:left="1740" w:hanging="448"/>
        <w:spacing w:after="0"/>
        <w:tabs>
          <w:tab w:leader="none" w:pos="17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 or any subcommittee referred to in</w:t>
      </w:r>
    </w:p>
    <w:p>
      <w:pPr>
        <w:spacing w:after="0"/>
        <w:rPr>
          <w:sz w:val="20"/>
          <w:szCs w:val="20"/>
          <w:color w:val="auto"/>
        </w:rPr>
      </w:pPr>
      <w:r>
        <w:rPr>
          <w:rFonts w:ascii="Arial" w:cs="Arial" w:eastAsia="Arial" w:hAnsi="Arial"/>
          <w:sz w:val="20"/>
          <w:szCs w:val="20"/>
          <w:color w:val="auto"/>
        </w:rPr>
        <w:t>Section 14(d).</w:t>
      </w:r>
    </w:p>
    <w:p>
      <w:pPr>
        <w:spacing w:after="0" w:line="243" w:lineRule="exact"/>
        <w:rPr>
          <w:sz w:val="20"/>
          <w:szCs w:val="20"/>
          <w:color w:val="auto"/>
        </w:rPr>
      </w:pPr>
    </w:p>
    <w:p>
      <w:pPr>
        <w:ind w:left="1760" w:hanging="468"/>
        <w:spacing w:after="0"/>
        <w:tabs>
          <w:tab w:leader="none" w:pos="17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of the Company.</w:t>
      </w:r>
    </w:p>
    <w:p>
      <w:pPr>
        <w:spacing w:after="0" w:line="242" w:lineRule="exact"/>
        <w:rPr>
          <w:rFonts w:ascii="Arial" w:cs="Arial" w:eastAsia="Arial" w:hAnsi="Arial"/>
          <w:sz w:val="20"/>
          <w:szCs w:val="20"/>
          <w:color w:val="auto"/>
        </w:rPr>
      </w:pPr>
    </w:p>
    <w:p>
      <w:pPr>
        <w:ind w:left="1760" w:hanging="468"/>
        <w:spacing w:after="0"/>
        <w:tabs>
          <w:tab w:leader="none" w:pos="17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Micron Technology, Inc., a Delaware corporation, or any successor thereto.</w:t>
      </w:r>
    </w:p>
    <w:p>
      <w:pPr>
        <w:spacing w:after="0" w:line="242" w:lineRule="exact"/>
        <w:rPr>
          <w:rFonts w:ascii="Arial" w:cs="Arial" w:eastAsia="Arial" w:hAnsi="Arial"/>
          <w:sz w:val="20"/>
          <w:szCs w:val="20"/>
          <w:color w:val="auto"/>
        </w:rPr>
      </w:pPr>
    </w:p>
    <w:p>
      <w:pPr>
        <w:jc w:val="both"/>
        <w:ind w:firstLine="1292"/>
        <w:spacing w:after="0"/>
        <w:tabs>
          <w:tab w:leader="none" w:pos="1692"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Compensation</w:t>
      </w:r>
      <w:r>
        <w:rPr>
          <w:rFonts w:ascii="Arial" w:cs="Arial" w:eastAsia="Arial" w:hAnsi="Arial"/>
          <w:sz w:val="20"/>
          <w:szCs w:val="20"/>
          <w:color w:val="auto"/>
        </w:rPr>
        <w:t>" shall be defined from time to time by the Committee in its sole discretion with respect to any Offering Period. Except as otherwise defined by the Committee from time to time in its sole discretion, "Compensation" means wages and salary. Except as otherwise determined by the Committee, "Compensation" does not include: (1) any bonuses or commissions, (2) overtime pay and regularly paid wage premiums (such as evening or shift premiums), (3) any amounts contributed by the Company or a Designated Subsidiary or Designated Affiliate to any pension plan, (4) any automobile or relocation allowances (or reimbursement for any such expenses), (5) any amounts realized from the exercise of any stock options or other equity incentive awards, (6) any amounts paid by the Company or a Designated Subsidiary or Designated Affiliate for other fringe benefits, such as health and welfare, hospitalization and group life insurance benefits, or perquisites, or paid in lieu of such benefits, or (7) other similar forms of extraordinary compensation. The Administrator shall have the discretion to determine the application of this definition to employees outside the United States.</w:t>
      </w:r>
    </w:p>
    <w:p>
      <w:pPr>
        <w:spacing w:after="0" w:line="237" w:lineRule="exact"/>
        <w:rPr>
          <w:rFonts w:ascii="Arial" w:cs="Arial" w:eastAsia="Arial" w:hAnsi="Arial"/>
          <w:sz w:val="20"/>
          <w:szCs w:val="20"/>
          <w:color w:val="auto"/>
        </w:rPr>
      </w:pPr>
    </w:p>
    <w:p>
      <w:pPr>
        <w:jc w:val="both"/>
        <w:ind w:firstLine="1292"/>
        <w:spacing w:after="0" w:line="243" w:lineRule="auto"/>
        <w:tabs>
          <w:tab w:leader="none" w:pos="1705"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Contributions</w:t>
      </w:r>
      <w:r>
        <w:rPr>
          <w:rFonts w:ascii="Arial" w:cs="Arial" w:eastAsia="Arial" w:hAnsi="Arial"/>
          <w:sz w:val="20"/>
          <w:szCs w:val="20"/>
          <w:color w:val="auto"/>
        </w:rPr>
        <w:t>" means the payroll deductions or, if permitted by the Administrator to comply with non-U.S. requirements, amounts contributed to the Plan via cash, check or other means, used to fund the exercise of options granted pursuant to the Plan.</w:t>
      </w:r>
    </w:p>
    <w:p>
      <w:pPr>
        <w:spacing w:after="0" w:line="232" w:lineRule="exact"/>
        <w:rPr>
          <w:rFonts w:ascii="Arial" w:cs="Arial" w:eastAsia="Arial" w:hAnsi="Arial"/>
          <w:sz w:val="20"/>
          <w:szCs w:val="20"/>
          <w:color w:val="auto"/>
        </w:rPr>
      </w:pPr>
    </w:p>
    <w:p>
      <w:pPr>
        <w:ind w:firstLine="1292"/>
        <w:spacing w:after="0" w:line="246" w:lineRule="auto"/>
        <w:tabs>
          <w:tab w:leader="none" w:pos="17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Affiliate</w:t>
      </w:r>
      <w:r>
        <w:rPr>
          <w:rFonts w:ascii="Arial" w:cs="Arial" w:eastAsia="Arial" w:hAnsi="Arial"/>
          <w:sz w:val="20"/>
          <w:szCs w:val="20"/>
          <w:color w:val="auto"/>
        </w:rPr>
        <w:t>" means any Affiliate that has been designated by the Administrator from time to time in its sole discretion as eligible to participate in the Non-423 Component.</w:t>
      </w:r>
    </w:p>
    <w:p>
      <w:pPr>
        <w:spacing w:after="0" w:line="230" w:lineRule="exact"/>
        <w:rPr>
          <w:rFonts w:ascii="Arial" w:cs="Arial" w:eastAsia="Arial" w:hAnsi="Arial"/>
          <w:sz w:val="20"/>
          <w:szCs w:val="20"/>
          <w:color w:val="auto"/>
        </w:rPr>
      </w:pPr>
    </w:p>
    <w:p>
      <w:pPr>
        <w:ind w:right="20" w:firstLine="1292"/>
        <w:spacing w:after="0" w:line="246" w:lineRule="auto"/>
        <w:tabs>
          <w:tab w:leader="none" w:pos="1746"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Subsidiary</w:t>
      </w:r>
      <w:r>
        <w:rPr>
          <w:rFonts w:ascii="Arial" w:cs="Arial" w:eastAsia="Arial" w:hAnsi="Arial"/>
          <w:sz w:val="20"/>
          <w:szCs w:val="20"/>
          <w:color w:val="auto"/>
        </w:rPr>
        <w:t>" means any Subsidiary that has been designated by the Administrator from time to time in its sole discretion as eligible to participate in the 423 Component.</w:t>
      </w:r>
    </w:p>
    <w:p>
      <w:pPr>
        <w:spacing w:after="0" w:line="230" w:lineRule="exact"/>
        <w:rPr>
          <w:rFonts w:ascii="Arial" w:cs="Arial" w:eastAsia="Arial" w:hAnsi="Arial"/>
          <w:sz w:val="20"/>
          <w:szCs w:val="20"/>
          <w:color w:val="auto"/>
        </w:rPr>
      </w:pPr>
    </w:p>
    <w:p>
      <w:pPr>
        <w:ind w:right="20" w:firstLine="1292"/>
        <w:spacing w:after="0" w:line="246" w:lineRule="auto"/>
        <w:tabs>
          <w:tab w:leader="none" w:pos="1853"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Percent</w:t>
      </w:r>
      <w:r>
        <w:rPr>
          <w:rFonts w:ascii="Arial" w:cs="Arial" w:eastAsia="Arial" w:hAnsi="Arial"/>
          <w:sz w:val="20"/>
          <w:szCs w:val="20"/>
          <w:color w:val="auto"/>
        </w:rPr>
        <w:t>" means the percentage of Fair Market Value determined by the Administrator for purposes of determining the Purchase Price.</w:t>
      </w:r>
    </w:p>
    <w:p>
      <w:pPr>
        <w:spacing w:after="0" w:line="230" w:lineRule="exact"/>
        <w:rPr>
          <w:rFonts w:ascii="Arial" w:cs="Arial" w:eastAsia="Arial" w:hAnsi="Arial"/>
          <w:sz w:val="20"/>
          <w:szCs w:val="20"/>
          <w:color w:val="auto"/>
        </w:rPr>
      </w:pPr>
    </w:p>
    <w:p>
      <w:pPr>
        <w:ind w:left="1820" w:hanging="528"/>
        <w:spacing w:after="0"/>
        <w:tabs>
          <w:tab w:leader="none" w:pos="18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the date that the Company’s stockholders approved the Plan, January 17,</w:t>
      </w:r>
    </w:p>
    <w:p>
      <w:pPr>
        <w:spacing w:after="0"/>
        <w:rPr>
          <w:rFonts w:ascii="Arial" w:cs="Arial" w:eastAsia="Arial" w:hAnsi="Arial"/>
          <w:sz w:val="20"/>
          <w:szCs w:val="20"/>
          <w:color w:val="auto"/>
        </w:rPr>
      </w:pPr>
      <w:r>
        <w:rPr>
          <w:rFonts w:ascii="Arial" w:cs="Arial" w:eastAsia="Arial" w:hAnsi="Arial"/>
          <w:sz w:val="20"/>
          <w:szCs w:val="20"/>
          <w:color w:val="auto"/>
        </w:rPr>
        <w:t>2018.</w:t>
      </w:r>
    </w:p>
    <w:p>
      <w:pPr>
        <w:spacing w:after="0" w:line="242" w:lineRule="exact"/>
        <w:rPr>
          <w:rFonts w:ascii="Arial" w:cs="Arial" w:eastAsia="Arial" w:hAnsi="Arial"/>
          <w:sz w:val="20"/>
          <w:szCs w:val="20"/>
          <w:color w:val="auto"/>
        </w:rPr>
      </w:pPr>
    </w:p>
    <w:p>
      <w:pPr>
        <w:ind w:firstLine="1292"/>
        <w:spacing w:after="0" w:line="246" w:lineRule="auto"/>
        <w:tabs>
          <w:tab w:leader="none" w:pos="1771" w:val="left"/>
        </w:tabs>
        <w:numPr>
          <w:ilvl w:val="0"/>
          <w:numId w:val="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Employee</w:t>
      </w:r>
      <w:r>
        <w:rPr>
          <w:rFonts w:ascii="Arial" w:cs="Arial" w:eastAsia="Arial" w:hAnsi="Arial"/>
          <w:sz w:val="20"/>
          <w:szCs w:val="20"/>
          <w:color w:val="auto"/>
        </w:rPr>
        <w:t>" means (i) any individual who is an employee providing services to the Company or a Designated Subsidiary, or (ii) any individual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80"/>
          </w:cols>
          <w:pgMar w:left="980" w:top="1432" w:right="339" w:bottom="1440" w:gutter="0" w:footer="0" w:header="0"/>
        </w:sectPr>
      </w:pPr>
    </w:p>
    <w:bookmarkStart w:id="96" w:name="page97"/>
    <w:bookmarkEnd w:id="96"/>
    <w:p>
      <w:pPr>
        <w:jc w:val="both"/>
        <w:spacing w:after="0" w:line="239" w:lineRule="auto"/>
        <w:rPr>
          <w:sz w:val="20"/>
          <w:szCs w:val="20"/>
          <w:color w:val="auto"/>
        </w:rPr>
      </w:pPr>
      <w:r>
        <w:rPr>
          <w:rFonts w:ascii="Arial" w:cs="Arial" w:eastAsia="Arial" w:hAnsi="Arial"/>
          <w:sz w:val="20"/>
          <w:szCs w:val="20"/>
          <w:color w:val="auto"/>
        </w:rPr>
        <w:t>is an employee providing services to the Company or any Designated Affiliate, unless any such employee is specifically excluded by the Administrator from participation. The Administrator, in its discretion, from time to time may, prior to an Offering Date for all options to be granted on such Offering Date in an Offering, determine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or (iv) is a highly compensated employee within the meaning of Section 414(q) of the Code, provided that any such exclusion is applied with respect to each Offering in a uniform manner to all similarly-situated employees who otherwise would be Eligible Employees for that Offering. For purposes of the 423 Component, the employment relationship shall be treated as continuing intact while the individual is on military or sick leave or other bona fide leave of absence approved by the Company or the Designated Subsidiary so long as the leave does not exceed three (3) months or if longer than three (3) months, the individual’s right to reemployment is provided by statute or has been agreed to by contract or in a written policy of the Company which provides for a right of reemployment following the leave of absence. The employment relationship shall be treated as continuing intact where an Eligible Employee transfers employment between the Company, Designated Subsidiaries and/or Designated Affiliates; provided, however, that an individual who is not employed by the Company or a Designated Subsidiary on the Offering Date and through a date that is no more than three (3) months prior to the Exercise Date will participate only in the Non-423 Component unless the individual continues to have a right to reemployment with the Company or a Designated Subsidiary provided by statute or contract or in a written policy of the Company which provides for a right of reemployment following the leave of absence. The Administrator shall establish rules to govern other transfers into the 423 Component, and between any separate Offerings established thereunder, consistent with the applicable requirements of Section 423 of the Code.</w:t>
      </w:r>
    </w:p>
    <w:p>
      <w:pPr>
        <w:spacing w:after="0" w:line="254" w:lineRule="exact"/>
        <w:rPr>
          <w:sz w:val="20"/>
          <w:szCs w:val="20"/>
          <w:color w:val="auto"/>
        </w:rPr>
      </w:pPr>
    </w:p>
    <w:p>
      <w:pPr>
        <w:ind w:firstLine="1292"/>
        <w:spacing w:after="0" w:line="246" w:lineRule="auto"/>
        <w:tabs>
          <w:tab w:leader="none" w:pos="1798"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w:t>
      </w:r>
      <w:r>
        <w:rPr>
          <w:rFonts w:ascii="Arial" w:cs="Arial" w:eastAsia="Arial" w:hAnsi="Arial"/>
          <w:sz w:val="20"/>
          <w:szCs w:val="20"/>
          <w:color w:val="auto"/>
        </w:rPr>
        <w:t>" means any national securities exchange or national market system on which the Stock may from time to time be listed or traded.</w:t>
      </w:r>
    </w:p>
    <w:p>
      <w:pPr>
        <w:spacing w:after="0" w:line="230" w:lineRule="exact"/>
        <w:rPr>
          <w:rFonts w:ascii="Arial" w:cs="Arial" w:eastAsia="Arial" w:hAnsi="Arial"/>
          <w:sz w:val="20"/>
          <w:szCs w:val="20"/>
          <w:color w:val="auto"/>
        </w:rPr>
      </w:pPr>
    </w:p>
    <w:p>
      <w:pPr>
        <w:ind w:right="20" w:firstLine="1292"/>
        <w:spacing w:after="0" w:line="246" w:lineRule="auto"/>
        <w:tabs>
          <w:tab w:leader="none" w:pos="1798"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U.S. Securities Exchange Act of 1934, as amended, including the rules and regulations promulgated thereunder.</w:t>
      </w:r>
    </w:p>
    <w:p>
      <w:pPr>
        <w:spacing w:after="0" w:line="230" w:lineRule="exact"/>
        <w:rPr>
          <w:rFonts w:ascii="Arial" w:cs="Arial" w:eastAsia="Arial" w:hAnsi="Arial"/>
          <w:sz w:val="20"/>
          <w:szCs w:val="20"/>
          <w:color w:val="auto"/>
        </w:rPr>
      </w:pPr>
    </w:p>
    <w:p>
      <w:pPr>
        <w:ind w:left="1700" w:hanging="408"/>
        <w:spacing w:after="0"/>
        <w:tabs>
          <w:tab w:leader="none" w:pos="17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Date</w:t>
      </w:r>
      <w:r>
        <w:rPr>
          <w:rFonts w:ascii="Arial" w:cs="Arial" w:eastAsia="Arial" w:hAnsi="Arial"/>
          <w:sz w:val="20"/>
          <w:szCs w:val="20"/>
          <w:color w:val="auto"/>
        </w:rPr>
        <w:t>" means the last Trading Day of the Offering Period.</w:t>
      </w:r>
    </w:p>
    <w:p>
      <w:pPr>
        <w:spacing w:after="0" w:line="242" w:lineRule="exact"/>
        <w:rPr>
          <w:rFonts w:ascii="Arial" w:cs="Arial" w:eastAsia="Arial" w:hAnsi="Arial"/>
          <w:sz w:val="20"/>
          <w:szCs w:val="20"/>
          <w:color w:val="auto"/>
        </w:rPr>
      </w:pPr>
    </w:p>
    <w:p>
      <w:pPr>
        <w:jc w:val="both"/>
        <w:ind w:firstLine="1292"/>
        <w:spacing w:after="0"/>
        <w:tabs>
          <w:tab w:leader="none" w:pos="1787"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date and unless the Administrator determines otherwise, (i) if the Common Stock is listed or traded on any Exchange, the closing price for such Common Stock (or the closing bid, if no sales were reported) as quoted on such Exchange (or the Exchange with the greatest volume of trading in the Common Stock) for the last market trading day prior to the day of determination, as reported by Bloomberg L.P. or such other source as the Administrator deems reliable; (ii) if the Common Stock is quoted on the over-the-counter market or is regularly quoted by a recognized securities dealer, but selling prices are not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0"/>
          </w:cols>
          <w:pgMar w:left="980" w:top="1432" w:right="339" w:bottom="1440" w:gutter="0" w:footer="0" w:header="0"/>
        </w:sectPr>
      </w:pPr>
    </w:p>
    <w:bookmarkStart w:id="97" w:name="page98"/>
    <w:bookmarkEnd w:id="97"/>
    <w:p>
      <w:pPr>
        <w:jc w:val="both"/>
        <w:spacing w:after="0" w:line="241" w:lineRule="auto"/>
        <w:rPr>
          <w:sz w:val="20"/>
          <w:szCs w:val="20"/>
          <w:color w:val="auto"/>
        </w:rPr>
      </w:pPr>
      <w:r>
        <w:rPr>
          <w:rFonts w:ascii="Arial" w:cs="Arial" w:eastAsia="Arial" w:hAnsi="Arial"/>
          <w:sz w:val="20"/>
          <w:szCs w:val="20"/>
          <w:color w:val="auto"/>
        </w:rPr>
        <w:t>the Fair Market Value of the Common Stock shall be the mean between the high bid and low asked prices for the Common Stock on the last market trading day prior to the day of determination, as reported by Bloomberg L.P. or such other source as the Administrator deems reliable, or (iii) in the absence of an established market for the Common Stock, the Fair Market Value shall be determined by such other method as the Administrator determines in good faith to be reasonable.</w:t>
      </w:r>
    </w:p>
    <w:p>
      <w:pPr>
        <w:spacing w:after="0" w:line="236" w:lineRule="exact"/>
        <w:rPr>
          <w:sz w:val="20"/>
          <w:szCs w:val="20"/>
          <w:color w:val="auto"/>
        </w:rPr>
      </w:pPr>
    </w:p>
    <w:p>
      <w:pPr>
        <w:jc w:val="both"/>
        <w:ind w:firstLine="1292"/>
        <w:spacing w:after="0" w:line="243" w:lineRule="auto"/>
        <w:tabs>
          <w:tab w:leader="none" w:pos="1905"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Share Amount</w:t>
      </w:r>
      <w:r>
        <w:rPr>
          <w:rFonts w:ascii="Arial" w:cs="Arial" w:eastAsia="Arial" w:hAnsi="Arial"/>
          <w:sz w:val="20"/>
          <w:szCs w:val="20"/>
          <w:color w:val="auto"/>
        </w:rPr>
        <w:t>" means the maximum number of shares of Common Stock that a Participant may purchase on any given Exercise Date, as determined by the Committee in its sole discretion prior to the commencement of the Offering Period.</w:t>
      </w:r>
    </w:p>
    <w:p>
      <w:pPr>
        <w:spacing w:after="0" w:line="232" w:lineRule="exact"/>
        <w:rPr>
          <w:rFonts w:ascii="Arial" w:cs="Arial" w:eastAsia="Arial" w:hAnsi="Arial"/>
          <w:sz w:val="20"/>
          <w:szCs w:val="20"/>
          <w:color w:val="auto"/>
        </w:rPr>
      </w:pPr>
    </w:p>
    <w:p>
      <w:pPr>
        <w:ind w:left="1800" w:hanging="508"/>
        <w:spacing w:after="0"/>
        <w:tabs>
          <w:tab w:leader="none" w:pos="1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Exercise Date</w:t>
      </w:r>
      <w:r>
        <w:rPr>
          <w:rFonts w:ascii="Arial" w:cs="Arial" w:eastAsia="Arial" w:hAnsi="Arial"/>
          <w:sz w:val="20"/>
          <w:szCs w:val="20"/>
          <w:color w:val="auto"/>
        </w:rPr>
        <w:t>" means a new Exercise Date if the Administrator shortens any Offering Period</w:t>
      </w:r>
    </w:p>
    <w:p>
      <w:pPr>
        <w:spacing w:after="0"/>
        <w:rPr>
          <w:rFonts w:ascii="Arial" w:cs="Arial" w:eastAsia="Arial" w:hAnsi="Arial"/>
          <w:sz w:val="20"/>
          <w:szCs w:val="20"/>
          <w:color w:val="auto"/>
        </w:rPr>
      </w:pPr>
      <w:r>
        <w:rPr>
          <w:rFonts w:ascii="Arial" w:cs="Arial" w:eastAsia="Arial" w:hAnsi="Arial"/>
          <w:sz w:val="20"/>
          <w:szCs w:val="20"/>
          <w:color w:val="auto"/>
        </w:rPr>
        <w:t>then in progress.</w:t>
      </w:r>
    </w:p>
    <w:p>
      <w:pPr>
        <w:spacing w:after="0" w:line="242" w:lineRule="exact"/>
        <w:rPr>
          <w:rFonts w:ascii="Arial" w:cs="Arial" w:eastAsia="Arial" w:hAnsi="Arial"/>
          <w:sz w:val="20"/>
          <w:szCs w:val="20"/>
          <w:color w:val="auto"/>
        </w:rPr>
      </w:pPr>
    </w:p>
    <w:p>
      <w:pPr>
        <w:jc w:val="both"/>
        <w:ind w:firstLine="1292"/>
        <w:spacing w:after="0" w:line="241" w:lineRule="auto"/>
        <w:tabs>
          <w:tab w:leader="none" w:pos="1855"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Offering</w:t>
      </w:r>
      <w:r>
        <w:rPr>
          <w:rFonts w:ascii="Arial" w:cs="Arial" w:eastAsia="Arial" w:hAnsi="Arial"/>
          <w:sz w:val="20"/>
          <w:szCs w:val="20"/>
          <w:color w:val="auto"/>
        </w:rPr>
        <w:t>" means an offer under the Plan of an option that may be exercised during an Offering Period. For purposes of this Plan, the Committee may designate separate Offerings under the Plan (the terms of which need not be identical) in which Eligible Employees of one or more Designated Subsidiaries or Designated Affiliates will participate, even if the dates of the applicable Offering Periods of each such Offering are identical.</w:t>
      </w:r>
    </w:p>
    <w:p>
      <w:pPr>
        <w:spacing w:after="0" w:line="237" w:lineRule="exact"/>
        <w:rPr>
          <w:rFonts w:ascii="Arial" w:cs="Arial" w:eastAsia="Arial" w:hAnsi="Arial"/>
          <w:sz w:val="20"/>
          <w:szCs w:val="20"/>
          <w:color w:val="auto"/>
        </w:rPr>
      </w:pPr>
    </w:p>
    <w:p>
      <w:pPr>
        <w:ind w:left="1780" w:hanging="488"/>
        <w:spacing w:after="0"/>
        <w:tabs>
          <w:tab w:leader="none" w:pos="17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Offering Date</w:t>
      </w:r>
      <w:r>
        <w:rPr>
          <w:rFonts w:ascii="Arial" w:cs="Arial" w:eastAsia="Arial" w:hAnsi="Arial"/>
          <w:sz w:val="20"/>
          <w:szCs w:val="20"/>
          <w:color w:val="auto"/>
        </w:rPr>
        <w:t>" means the first Trading Day of each Offering Period.</w:t>
      </w:r>
    </w:p>
    <w:p>
      <w:pPr>
        <w:spacing w:after="0" w:line="242" w:lineRule="exact"/>
        <w:rPr>
          <w:rFonts w:ascii="Arial" w:cs="Arial" w:eastAsia="Arial" w:hAnsi="Arial"/>
          <w:sz w:val="20"/>
          <w:szCs w:val="20"/>
          <w:color w:val="auto"/>
        </w:rPr>
      </w:pPr>
    </w:p>
    <w:p>
      <w:pPr>
        <w:jc w:val="both"/>
        <w:ind w:firstLine="1292"/>
        <w:spacing w:after="0" w:line="241" w:lineRule="auto"/>
        <w:tabs>
          <w:tab w:leader="none" w:pos="1855"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Offering Periods</w:t>
      </w:r>
      <w:r>
        <w:rPr>
          <w:rFonts w:ascii="Arial" w:cs="Arial" w:eastAsia="Arial" w:hAnsi="Arial"/>
          <w:sz w:val="20"/>
          <w:szCs w:val="20"/>
          <w:color w:val="auto"/>
        </w:rPr>
        <w:t>" means the period of time during which offers to purchase shares of Common Stock are outstanding under the Plan. The Committee shall determine the length of each Offering Period, which need not be uniform; provided that no Offering Period shall exceed twenty-seven (27) months in length. No voluntary payroll deductions shall be solicited until after the effective date of a registration statement on Form S-8 filed under the Securities Act of 1933, as amended, covering the shares to be issued under the Plan.</w:t>
      </w:r>
    </w:p>
    <w:p>
      <w:pPr>
        <w:spacing w:after="0" w:line="235" w:lineRule="exact"/>
        <w:rPr>
          <w:rFonts w:ascii="Arial" w:cs="Arial" w:eastAsia="Arial" w:hAnsi="Arial"/>
          <w:sz w:val="20"/>
          <w:szCs w:val="20"/>
          <w:color w:val="auto"/>
        </w:rPr>
      </w:pPr>
    </w:p>
    <w:p>
      <w:pPr>
        <w:ind w:left="1860" w:hanging="568"/>
        <w:spacing w:after="0"/>
        <w:tabs>
          <w:tab w:leader="none" w:pos="18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a "parent corporation," whether now or hereafter existing, as defined in Section</w:t>
      </w:r>
    </w:p>
    <w:p>
      <w:pPr>
        <w:spacing w:after="0"/>
        <w:rPr>
          <w:rFonts w:ascii="Arial" w:cs="Arial" w:eastAsia="Arial" w:hAnsi="Arial"/>
          <w:sz w:val="20"/>
          <w:szCs w:val="20"/>
          <w:color w:val="auto"/>
        </w:rPr>
      </w:pPr>
      <w:r>
        <w:rPr>
          <w:rFonts w:ascii="Arial" w:cs="Arial" w:eastAsia="Arial" w:hAnsi="Arial"/>
          <w:sz w:val="20"/>
          <w:szCs w:val="20"/>
          <w:color w:val="auto"/>
        </w:rPr>
        <w:t>424(e) of the Code.</w:t>
      </w:r>
    </w:p>
    <w:p>
      <w:pPr>
        <w:spacing w:after="0" w:line="242" w:lineRule="exact"/>
        <w:rPr>
          <w:rFonts w:ascii="Arial" w:cs="Arial" w:eastAsia="Arial" w:hAnsi="Arial"/>
          <w:sz w:val="20"/>
          <w:szCs w:val="20"/>
          <w:color w:val="auto"/>
        </w:rPr>
      </w:pPr>
    </w:p>
    <w:p>
      <w:pPr>
        <w:ind w:left="1740" w:hanging="448"/>
        <w:spacing w:after="0"/>
        <w:tabs>
          <w:tab w:leader="none" w:pos="17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Eligible Employee that participates in the Plan.</w:t>
      </w:r>
    </w:p>
    <w:p>
      <w:pPr>
        <w:spacing w:after="0" w:line="243" w:lineRule="exact"/>
        <w:rPr>
          <w:sz w:val="20"/>
          <w:szCs w:val="20"/>
          <w:color w:val="auto"/>
        </w:rPr>
      </w:pPr>
    </w:p>
    <w:p>
      <w:pPr>
        <w:ind w:firstLine="1292"/>
        <w:spacing w:after="0" w:line="246" w:lineRule="auto"/>
        <w:tabs>
          <w:tab w:leader="none" w:pos="1908"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Micron Technology, Inc. Employee Stock Purchase Plan, including both the 423 Component and the Non-423 Component.</w:t>
      </w:r>
    </w:p>
    <w:p>
      <w:pPr>
        <w:spacing w:after="0" w:line="230" w:lineRule="exact"/>
        <w:rPr>
          <w:rFonts w:ascii="Arial" w:cs="Arial" w:eastAsia="Arial" w:hAnsi="Arial"/>
          <w:sz w:val="20"/>
          <w:szCs w:val="20"/>
          <w:color w:val="auto"/>
        </w:rPr>
      </w:pPr>
    </w:p>
    <w:p>
      <w:pPr>
        <w:jc w:val="both"/>
        <w:ind w:firstLine="1292"/>
        <w:spacing w:after="0"/>
        <w:tabs>
          <w:tab w:leader="none" w:pos="1922"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means the Designated Percent of the Fair Market Value of a share of Common Stock on the Offering Date or on the Exercise Date, whichever is lower. Unless otherwise determined by the Administrator, the Designated Percent for purposes of the foregoing sentence is eighty-five percent (85%). The Administrator may change the Designated Percent for any Offering Period but in no event shall the Designated Percent be less than eighty-five percent (85%). Such Purchase Price may be established by the Committee by any manner or method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0"/>
          </w:cols>
          <w:pgMar w:left="980" w:top="1432" w:right="339" w:bottom="1440" w:gutter="0" w:footer="0" w:header="0"/>
        </w:sectPr>
      </w:pPr>
    </w:p>
    <w:bookmarkStart w:id="98" w:name="page99"/>
    <w:bookmarkEnd w:id="98"/>
    <w:p>
      <w:pPr>
        <w:ind w:left="4"/>
        <w:spacing w:after="0" w:line="239" w:lineRule="auto"/>
        <w:rPr>
          <w:sz w:val="20"/>
          <w:szCs w:val="20"/>
          <w:color w:val="auto"/>
        </w:rPr>
      </w:pPr>
      <w:r>
        <w:rPr>
          <w:rFonts w:ascii="Arial" w:cs="Arial" w:eastAsia="Arial" w:hAnsi="Arial"/>
          <w:sz w:val="20"/>
          <w:szCs w:val="20"/>
          <w:color w:val="auto"/>
        </w:rPr>
        <w:t>Committee determines, pursuant to Section 14, and subject to (i) with respect to the 423 Component, compliance with Section 423 of the Code (or any successor rule or provision or any other applicable law, regulation or Exchange rule) or</w:t>
      </w:r>
    </w:p>
    <w:p>
      <w:pPr>
        <w:spacing w:after="0" w:line="1" w:lineRule="exact"/>
        <w:rPr>
          <w:sz w:val="20"/>
          <w:szCs w:val="20"/>
          <w:color w:val="auto"/>
        </w:rPr>
      </w:pPr>
    </w:p>
    <w:p>
      <w:pPr>
        <w:ind w:left="4" w:hanging="4"/>
        <w:spacing w:after="0" w:line="246" w:lineRule="auto"/>
        <w:tabs>
          <w:tab w:leader="none" w:pos="303" w:val="left"/>
        </w:tabs>
        <w:numPr>
          <w:ilvl w:val="0"/>
          <w:numId w:val="52"/>
        </w:numPr>
        <w:rPr>
          <w:rFonts w:ascii="Arial" w:cs="Arial" w:eastAsia="Arial" w:hAnsi="Arial"/>
          <w:sz w:val="20"/>
          <w:szCs w:val="20"/>
          <w:color w:val="auto"/>
        </w:rPr>
      </w:pPr>
      <w:r>
        <w:rPr>
          <w:rFonts w:ascii="Arial" w:cs="Arial" w:eastAsia="Arial" w:hAnsi="Arial"/>
          <w:sz w:val="20"/>
          <w:szCs w:val="20"/>
          <w:color w:val="auto"/>
        </w:rPr>
        <w:t>with respect to the Non-423 Component, pursuant to such manner or method as determined by the Committee to comply with applicable local law.</w:t>
      </w:r>
    </w:p>
    <w:p>
      <w:pPr>
        <w:spacing w:after="0" w:line="230" w:lineRule="exact"/>
        <w:rPr>
          <w:rFonts w:ascii="Arial" w:cs="Arial" w:eastAsia="Arial" w:hAnsi="Arial"/>
          <w:sz w:val="20"/>
          <w:szCs w:val="20"/>
          <w:color w:val="auto"/>
        </w:rPr>
      </w:pPr>
    </w:p>
    <w:p>
      <w:pPr>
        <w:ind w:left="1844" w:hanging="548"/>
        <w:spacing w:after="0"/>
        <w:tabs>
          <w:tab w:leader="none" w:pos="18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from time to time.</w:t>
      </w:r>
    </w:p>
    <w:p>
      <w:pPr>
        <w:spacing w:after="0" w:line="242" w:lineRule="exact"/>
        <w:rPr>
          <w:rFonts w:ascii="Arial" w:cs="Arial" w:eastAsia="Arial" w:hAnsi="Arial"/>
          <w:sz w:val="20"/>
          <w:szCs w:val="20"/>
          <w:color w:val="auto"/>
        </w:rPr>
      </w:pPr>
    </w:p>
    <w:p>
      <w:pPr>
        <w:ind w:left="4" w:firstLine="1292"/>
        <w:spacing w:after="0" w:line="246" w:lineRule="auto"/>
        <w:tabs>
          <w:tab w:leader="none" w:pos="19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 "subsidiary corporation," whether now or hereafter existing, as defined in Section 424(f) of the Code.</w:t>
      </w:r>
    </w:p>
    <w:p>
      <w:pPr>
        <w:spacing w:after="0" w:line="230" w:lineRule="exact"/>
        <w:rPr>
          <w:rFonts w:ascii="Arial" w:cs="Arial" w:eastAsia="Arial" w:hAnsi="Arial"/>
          <w:sz w:val="20"/>
          <w:szCs w:val="20"/>
          <w:color w:val="auto"/>
        </w:rPr>
      </w:pPr>
    </w:p>
    <w:p>
      <w:pPr>
        <w:ind w:left="1864" w:hanging="568"/>
        <w:spacing w:after="0"/>
        <w:tabs>
          <w:tab w:leader="none" w:pos="1864"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means a day on which Nasdaq is open for trading.</w:t>
      </w:r>
    </w:p>
    <w:p>
      <w:pPr>
        <w:spacing w:after="0" w:line="242" w:lineRule="exact"/>
        <w:rPr>
          <w:rFonts w:ascii="Arial" w:cs="Arial" w:eastAsia="Arial" w:hAnsi="Arial"/>
          <w:sz w:val="20"/>
          <w:szCs w:val="20"/>
          <w:color w:val="auto"/>
        </w:rPr>
      </w:pPr>
    </w:p>
    <w:p>
      <w:pPr>
        <w:ind w:left="1764" w:hanging="468"/>
        <w:spacing w:after="0"/>
        <w:tabs>
          <w:tab w:leader="none" w:pos="1764"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w:t>
      </w:r>
      <w:r>
        <w:rPr>
          <w:rFonts w:ascii="Arial" w:cs="Arial" w:eastAsia="Arial" w:hAnsi="Arial"/>
          <w:sz w:val="20"/>
          <w:szCs w:val="20"/>
          <w:color w:val="auto"/>
        </w:rPr>
        <w:t>" means United States.</w:t>
      </w:r>
    </w:p>
    <w:p>
      <w:pPr>
        <w:spacing w:after="0" w:line="242" w:lineRule="exact"/>
        <w:rPr>
          <w:rFonts w:ascii="Arial" w:cs="Arial" w:eastAsia="Arial" w:hAnsi="Arial"/>
          <w:sz w:val="20"/>
          <w:szCs w:val="20"/>
          <w:color w:val="auto"/>
        </w:rPr>
      </w:pPr>
    </w:p>
    <w:p>
      <w:pPr>
        <w:jc w:val="both"/>
        <w:ind w:left="4" w:firstLine="1292"/>
        <w:spacing w:after="0" w:line="241" w:lineRule="auto"/>
        <w:tabs>
          <w:tab w:leader="none" w:pos="1926"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Treasury Regulations</w:t>
      </w:r>
      <w:r>
        <w:rPr>
          <w:rFonts w:ascii="Arial" w:cs="Arial" w:eastAsia="Arial" w:hAnsi="Arial"/>
          <w:sz w:val="20"/>
          <w:szCs w:val="20"/>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237" w:lineRule="exact"/>
        <w:rPr>
          <w:sz w:val="20"/>
          <w:szCs w:val="20"/>
          <w:color w:val="auto"/>
        </w:rPr>
      </w:pPr>
    </w:p>
    <w:p>
      <w:pPr>
        <w:ind w:left="384" w:hanging="384"/>
        <w:spacing w:after="0"/>
        <w:tabs>
          <w:tab w:leader="none" w:pos="384"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Eligibility</w:t>
      </w:r>
      <w:r>
        <w:rPr>
          <w:rFonts w:ascii="Arial" w:cs="Arial" w:eastAsia="Arial" w:hAnsi="Arial"/>
          <w:sz w:val="20"/>
          <w:szCs w:val="20"/>
          <w:color w:val="auto"/>
        </w:rPr>
        <w:t>.</w:t>
      </w:r>
    </w:p>
    <w:p>
      <w:pPr>
        <w:spacing w:after="0" w:line="243" w:lineRule="exact"/>
        <w:rPr>
          <w:sz w:val="20"/>
          <w:szCs w:val="20"/>
          <w:color w:val="auto"/>
        </w:rPr>
      </w:pPr>
    </w:p>
    <w:p>
      <w:pPr>
        <w:jc w:val="both"/>
        <w:ind w:left="4" w:firstLine="1292"/>
        <w:spacing w:after="0" w:line="241" w:lineRule="auto"/>
        <w:tabs>
          <w:tab w:leader="none" w:pos="177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Offering Periods</w:t>
      </w:r>
      <w:r>
        <w:rPr>
          <w:rFonts w:ascii="Arial" w:cs="Arial" w:eastAsia="Arial" w:hAnsi="Arial"/>
          <w:sz w:val="20"/>
          <w:szCs w:val="20"/>
          <w:color w:val="auto"/>
        </w:rPr>
        <w:t>. Any Eligible Employee on a given Offering Date will be eligible to participate in the Plan, subject to the requirements of Section 5, provided, however, that employees who are citizens or residents of a non-U.S. jurisdiction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w:t>
      </w:r>
    </w:p>
    <w:p>
      <w:pPr>
        <w:spacing w:after="0" w:line="235" w:lineRule="exact"/>
        <w:rPr>
          <w:rFonts w:ascii="Arial" w:cs="Arial" w:eastAsia="Arial" w:hAnsi="Arial"/>
          <w:sz w:val="20"/>
          <w:szCs w:val="20"/>
          <w:color w:val="auto"/>
        </w:rPr>
      </w:pPr>
    </w:p>
    <w:p>
      <w:pPr>
        <w:jc w:val="both"/>
        <w:ind w:left="4" w:firstLine="1292"/>
        <w:spacing w:after="0"/>
        <w:tabs>
          <w:tab w:leader="none" w:pos="178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Any provisions of the Plan to the contrary notwithstanding, no Eligible Employee will be granted an option under the 423 Component of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U.S. dollars (USD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4"/>
          </w:cols>
          <w:pgMar w:left="976" w:top="1432" w:right="339" w:bottom="1440" w:gutter="0" w:footer="0" w:header="0"/>
        </w:sectPr>
      </w:pPr>
    </w:p>
    <w:bookmarkStart w:id="99" w:name="page100"/>
    <w:bookmarkEnd w:id="99"/>
    <w:p>
      <w:pPr>
        <w:jc w:val="both"/>
        <w:ind w:firstLine="656"/>
        <w:spacing w:after="0" w:line="243" w:lineRule="auto"/>
        <w:tabs>
          <w:tab w:leader="none" w:pos="104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Offering Periods</w:t>
      </w:r>
      <w:r>
        <w:rPr>
          <w:rFonts w:ascii="Arial" w:cs="Arial" w:eastAsia="Arial" w:hAnsi="Arial"/>
          <w:sz w:val="20"/>
          <w:szCs w:val="20"/>
          <w:color w:val="auto"/>
        </w:rPr>
        <w:t>. Within the limitations set forth in Section 2(w), the Administrator will have the power to change the duration of Offering Periods (including the commencement dates thereof) without stockholder approval. Any such change shall be announced prior to the scheduled beginning of the first Offering Period to be affected thereafter.</w:t>
      </w:r>
    </w:p>
    <w:p>
      <w:pPr>
        <w:spacing w:after="0" w:line="232" w:lineRule="exact"/>
        <w:rPr>
          <w:rFonts w:ascii="Arial" w:cs="Arial" w:eastAsia="Arial" w:hAnsi="Arial"/>
          <w:sz w:val="20"/>
          <w:szCs w:val="20"/>
          <w:color w:val="auto"/>
        </w:rPr>
      </w:pPr>
    </w:p>
    <w:p>
      <w:pPr>
        <w:ind w:firstLine="656"/>
        <w:spacing w:after="0" w:line="246" w:lineRule="auto"/>
        <w:tabs>
          <w:tab w:leader="none" w:pos="1195"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Participation</w:t>
      </w:r>
      <w:r>
        <w:rPr>
          <w:rFonts w:ascii="Arial" w:cs="Arial" w:eastAsia="Arial" w:hAnsi="Arial"/>
          <w:sz w:val="20"/>
          <w:szCs w:val="20"/>
          <w:color w:val="auto"/>
        </w:rPr>
        <w:t>. An Eligible Employee may become a participant in the Plan by following an electronic or other enrollment procedure as may be established by the Administrator from time to time.</w:t>
      </w:r>
    </w:p>
    <w:p>
      <w:pPr>
        <w:spacing w:after="0" w:line="230" w:lineRule="exact"/>
        <w:rPr>
          <w:rFonts w:ascii="Arial" w:cs="Arial" w:eastAsia="Arial" w:hAnsi="Arial"/>
          <w:sz w:val="20"/>
          <w:szCs w:val="20"/>
          <w:color w:val="auto"/>
        </w:rPr>
      </w:pPr>
    </w:p>
    <w:p>
      <w:pPr>
        <w:ind w:left="1040" w:hanging="384"/>
        <w:spacing w:after="0"/>
        <w:tabs>
          <w:tab w:leader="none" w:pos="104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Contributions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36" w:val="left"/>
        </w:tabs>
        <w:numPr>
          <w:ilvl w:val="1"/>
          <w:numId w:val="55"/>
        </w:numPr>
        <w:rPr>
          <w:rFonts w:ascii="Arial" w:cs="Arial" w:eastAsia="Arial" w:hAnsi="Arial"/>
          <w:sz w:val="20"/>
          <w:szCs w:val="20"/>
          <w:color w:val="auto"/>
        </w:rPr>
      </w:pPr>
      <w:r>
        <w:rPr>
          <w:rFonts w:ascii="Arial" w:cs="Arial" w:eastAsia="Arial" w:hAnsi="Arial"/>
          <w:sz w:val="20"/>
          <w:szCs w:val="20"/>
          <w:color w:val="auto"/>
        </w:rPr>
        <w:t>At the time a Participant enrolls in the Plan pursuant to Section 5, he or she will elect to have Contributions made on each pay day during the Offering Period in an amount not exceeding fifteen percent (15%) of the Compensation which he or she receives on each pay day during the Offering Period. The Administrator may permit Eligible Employees participating in a specified Offering to contribute amounts to the Plan through payment by cash, check or other means to comply with non-U.S. requirements, provided, that such contributions shall not exceed fifteen percent (15%) of the Compensation received each pay period, during the Offering Period. A Participant’s subscription agreement will remain in effect for successive Offering Periods unless terminated as provided in Section 10 hereof.</w:t>
      </w:r>
    </w:p>
    <w:p>
      <w:pPr>
        <w:spacing w:after="0" w:line="239" w:lineRule="exact"/>
        <w:rPr>
          <w:rFonts w:ascii="Arial" w:cs="Arial" w:eastAsia="Arial" w:hAnsi="Arial"/>
          <w:sz w:val="20"/>
          <w:szCs w:val="20"/>
          <w:color w:val="auto"/>
        </w:rPr>
      </w:pPr>
    </w:p>
    <w:p>
      <w:pPr>
        <w:jc w:val="both"/>
        <w:ind w:left="660" w:right="20" w:firstLine="1292"/>
        <w:spacing w:after="0" w:line="243" w:lineRule="auto"/>
        <w:tabs>
          <w:tab w:leader="none" w:pos="2490" w:val="left"/>
        </w:tabs>
        <w:numPr>
          <w:ilvl w:val="1"/>
          <w:numId w:val="55"/>
        </w:numPr>
        <w:rPr>
          <w:rFonts w:ascii="Arial" w:cs="Arial" w:eastAsia="Arial" w:hAnsi="Arial"/>
          <w:sz w:val="20"/>
          <w:szCs w:val="20"/>
          <w:color w:val="auto"/>
        </w:rPr>
      </w:pPr>
      <w:r>
        <w:rPr>
          <w:rFonts w:ascii="Arial" w:cs="Arial" w:eastAsia="Arial" w:hAnsi="Arial"/>
          <w:sz w:val="20"/>
          <w:szCs w:val="20"/>
          <w:color w:val="auto"/>
        </w:rPr>
        <w:t>Payroll deductions or contributions, as applicable,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232" w:lineRule="exact"/>
        <w:rPr>
          <w:rFonts w:ascii="Arial" w:cs="Arial" w:eastAsia="Arial" w:hAnsi="Arial"/>
          <w:sz w:val="20"/>
          <w:szCs w:val="20"/>
          <w:color w:val="auto"/>
        </w:rPr>
      </w:pPr>
    </w:p>
    <w:p>
      <w:pPr>
        <w:ind w:left="660" w:firstLine="1292"/>
        <w:spacing w:after="0" w:line="246" w:lineRule="auto"/>
        <w:tabs>
          <w:tab w:leader="none" w:pos="2486" w:val="left"/>
        </w:tabs>
        <w:numPr>
          <w:ilvl w:val="1"/>
          <w:numId w:val="55"/>
        </w:numPr>
        <w:rPr>
          <w:rFonts w:ascii="Arial" w:cs="Arial" w:eastAsia="Arial" w:hAnsi="Arial"/>
          <w:sz w:val="20"/>
          <w:szCs w:val="20"/>
          <w:color w:val="auto"/>
        </w:rPr>
      </w:pPr>
      <w:r>
        <w:rPr>
          <w:rFonts w:ascii="Arial" w:cs="Arial" w:eastAsia="Arial" w:hAnsi="Arial"/>
          <w:sz w:val="20"/>
          <w:szCs w:val="20"/>
          <w:color w:val="auto"/>
        </w:rPr>
        <w:t>All Contributions made for a Participant will be credited to his or her account under the Plan and Contributions will be made in whole percentages only.</w:t>
      </w:r>
    </w:p>
    <w:p>
      <w:pPr>
        <w:spacing w:after="0" w:line="230" w:lineRule="exact"/>
        <w:rPr>
          <w:rFonts w:ascii="Arial" w:cs="Arial" w:eastAsia="Arial" w:hAnsi="Arial"/>
          <w:sz w:val="20"/>
          <w:szCs w:val="20"/>
          <w:color w:val="auto"/>
        </w:rPr>
      </w:pPr>
    </w:p>
    <w:p>
      <w:pPr>
        <w:jc w:val="both"/>
        <w:ind w:left="660" w:firstLine="1292"/>
        <w:spacing w:after="0" w:line="241" w:lineRule="auto"/>
        <w:tabs>
          <w:tab w:leader="none" w:pos="2523" w:val="left"/>
        </w:tabs>
        <w:numPr>
          <w:ilvl w:val="1"/>
          <w:numId w:val="55"/>
        </w:numPr>
        <w:rPr>
          <w:rFonts w:ascii="Arial" w:cs="Arial" w:eastAsia="Arial" w:hAnsi="Arial"/>
          <w:sz w:val="20"/>
          <w:szCs w:val="20"/>
          <w:color w:val="auto"/>
        </w:rPr>
      </w:pPr>
      <w:r>
        <w:rPr>
          <w:rFonts w:ascii="Arial" w:cs="Arial" w:eastAsia="Arial" w:hAnsi="Arial"/>
          <w:sz w:val="20"/>
          <w:szCs w:val="20"/>
          <w:color w:val="auto"/>
        </w:rPr>
        <w:t>Subject to Applicable Laws, a Participant may discontinue his or her participation in the Plan as provided in Section 10 by completing any forms and following any procedures (including specified deadlines) established by the Administrator or its designee. The change will become effective as soon as administratively practicable after receipt.</w:t>
      </w:r>
    </w:p>
    <w:p>
      <w:pPr>
        <w:spacing w:after="0" w:line="237" w:lineRule="exact"/>
        <w:rPr>
          <w:rFonts w:ascii="Arial" w:cs="Arial" w:eastAsia="Arial" w:hAnsi="Arial"/>
          <w:sz w:val="20"/>
          <w:szCs w:val="20"/>
          <w:color w:val="auto"/>
        </w:rPr>
      </w:pPr>
    </w:p>
    <w:p>
      <w:pPr>
        <w:jc w:val="both"/>
        <w:ind w:left="660" w:firstLine="1292"/>
        <w:spacing w:after="0" w:line="241" w:lineRule="auto"/>
        <w:tabs>
          <w:tab w:leader="none" w:pos="2436" w:val="left"/>
        </w:tabs>
        <w:numPr>
          <w:ilvl w:val="1"/>
          <w:numId w:val="55"/>
        </w:numPr>
        <w:rPr>
          <w:rFonts w:ascii="Arial" w:cs="Arial" w:eastAsia="Arial" w:hAnsi="Arial"/>
          <w:sz w:val="20"/>
          <w:szCs w:val="20"/>
          <w:color w:val="auto"/>
        </w:rPr>
      </w:pPr>
      <w:r>
        <w:rPr>
          <w:rFonts w:ascii="Arial" w:cs="Arial" w:eastAsia="Arial" w:hAnsi="Arial"/>
          <w:sz w:val="20"/>
          <w:szCs w:val="20"/>
          <w:color w:val="auto"/>
        </w:rPr>
        <w:t>Notwithstanding the foregoing, to the extent necessary to comply with Section 423(b)(8) of the Code and Section 3(b), a Participant’s Contributions may be decreased to zero percent (0%) at any time during an Offering Period. Subject to Section 423(b)(8) of the Code, Contributions will recommence at the rate originally elected by the Participant effective as of the beginning of the first Offering Period scheduled to end in the following calendar year, unless terminated by the Participant as provided in Section 10.</w:t>
      </w:r>
    </w:p>
    <w:p>
      <w:pPr>
        <w:spacing w:after="0" w:line="235" w:lineRule="exact"/>
        <w:rPr>
          <w:rFonts w:ascii="Arial" w:cs="Arial" w:eastAsia="Arial" w:hAnsi="Arial"/>
          <w:sz w:val="20"/>
          <w:szCs w:val="20"/>
          <w:color w:val="auto"/>
        </w:rPr>
      </w:pPr>
    </w:p>
    <w:p>
      <w:pPr>
        <w:jc w:val="both"/>
        <w:ind w:left="660" w:firstLine="1292"/>
        <w:spacing w:after="0" w:line="241" w:lineRule="auto"/>
        <w:tabs>
          <w:tab w:leader="none" w:pos="2352" w:val="left"/>
        </w:tabs>
        <w:numPr>
          <w:ilvl w:val="1"/>
          <w:numId w:val="55"/>
        </w:numPr>
        <w:rPr>
          <w:rFonts w:ascii="Arial" w:cs="Arial" w:eastAsia="Arial" w:hAnsi="Arial"/>
          <w:sz w:val="20"/>
          <w:szCs w:val="20"/>
          <w:color w:val="auto"/>
        </w:rPr>
      </w:pPr>
      <w:r>
        <w:rPr>
          <w:rFonts w:ascii="Arial" w:cs="Arial" w:eastAsia="Arial" w:hAnsi="Arial"/>
          <w:sz w:val="20"/>
          <w:szCs w:val="20"/>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its Subsidiary’s or Affiliate’s federal, state, local or any other tax liability payable to any authority, national insurance, social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32" w:right="339" w:bottom="1440" w:gutter="0" w:footer="0" w:header="0"/>
        </w:sectPr>
      </w:pPr>
    </w:p>
    <w:bookmarkStart w:id="100" w:name="page101"/>
    <w:bookmarkEnd w:id="100"/>
    <w:p>
      <w:pPr>
        <w:jc w:val="both"/>
        <w:ind w:left="660"/>
        <w:spacing w:after="0"/>
        <w:rPr>
          <w:sz w:val="20"/>
          <w:szCs w:val="20"/>
          <w:color w:val="auto"/>
        </w:rPr>
      </w:pPr>
      <w:r>
        <w:rPr>
          <w:rFonts w:ascii="Arial" w:cs="Arial" w:eastAsia="Arial" w:hAnsi="Arial"/>
          <w:sz w:val="20"/>
          <w:szCs w:val="20"/>
          <w:color w:val="auto"/>
        </w:rPr>
        <w:t>payment-on-account or other tax obligations, if any, which arise upon the exercise of the option or the disposition of the Common Stock (or any other time that a taxable event related to the Plan occurs), including, for the avoidance of doubt, any liability of the Participant to pay an employer tax or social insurance contribution obligation, which liability has been shifted to the Participant as a matter of law or contract. At any time, the Company or its Subsidiary or Affiliate, as applicable, may, but will not be obligated to, withhold from the Participant’s compensation the amount necessary for the Company or its Subsidiary or Affiliate, as applicable, to meet applicable withholding obligations, including any withholding required to make available to the Company or its Subsidiary or Affiliate, as applicable, any tax deductions or benefits attributable to sale or early disposition of Common Stock by the Eligible Employee. In addition, the Company or its Subsidiary or Affiliate, as applicable, may (i) withhold from the proceeds of the sale of Common Stock, (ii) withhold a sufficient whole number of shares of Common Stock otherwise issuable following purchase having an aggregate fair market value sufficient to pay applicable withholding obligations, or (iii) may withhold by any other means set forth in the applicable subscription agreement.</w:t>
      </w:r>
    </w:p>
    <w:p>
      <w:pPr>
        <w:spacing w:after="0" w:line="237" w:lineRule="exact"/>
        <w:rPr>
          <w:sz w:val="20"/>
          <w:szCs w:val="20"/>
          <w:color w:val="auto"/>
        </w:rPr>
      </w:pPr>
    </w:p>
    <w:p>
      <w:pPr>
        <w:jc w:val="both"/>
        <w:ind w:firstLine="656"/>
        <w:spacing w:after="0"/>
        <w:tabs>
          <w:tab w:leader="none" w:pos="1046"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during such Offering Period prior to such Exercise Date and retained in the Eligible Employee’s account as of the Exercise Date by the applicable Purchase Price; provided that in no event will an Eligible Employee be permitted to purchase during each Offering Period more than the Maximum Share Amount, subject to adjustment pursuant to Section 19(a), and provided further that such purchase will be subject to the limitations set forth in Sections 3(b)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Offering Period. Exercise of the option will occur as provided in Section 8, unless the Participant has withdrawn pursuant to Section 10. The option will expire on the last day of the Offering Period.</w:t>
      </w:r>
    </w:p>
    <w:p>
      <w:pPr>
        <w:spacing w:after="0" w:line="237" w:lineRule="exact"/>
        <w:rPr>
          <w:rFonts w:ascii="Arial" w:cs="Arial" w:eastAsia="Arial" w:hAnsi="Arial"/>
          <w:sz w:val="20"/>
          <w:szCs w:val="20"/>
          <w:color w:val="auto"/>
        </w:rPr>
      </w:pPr>
    </w:p>
    <w:p>
      <w:pPr>
        <w:ind w:left="1040" w:hanging="384"/>
        <w:spacing w:after="0"/>
        <w:tabs>
          <w:tab w:leader="none" w:pos="104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08" w:val="left"/>
        </w:tabs>
        <w:numPr>
          <w:ilvl w:val="1"/>
          <w:numId w:val="56"/>
        </w:numPr>
        <w:rPr>
          <w:rFonts w:ascii="Arial" w:cs="Arial" w:eastAsia="Arial" w:hAnsi="Arial"/>
          <w:sz w:val="20"/>
          <w:szCs w:val="20"/>
          <w:color w:val="auto"/>
        </w:rPr>
      </w:pPr>
      <w:r>
        <w:rPr>
          <w:rFonts w:ascii="Arial" w:cs="Arial" w:eastAsia="Arial" w:hAnsi="Arial"/>
          <w:sz w:val="20"/>
          <w:szCs w:val="20"/>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provided that in no event will an Eligible Employee be permitted to purchase during each Offering Period more than the Maximum Share Amount, subject to adjustment pursuant to Section 19(a), and provided further that such purchase will be subject to the limitations set forth in Sections 3(b) and 13. No fractional shares of Common Stock will be purchased. Any Contributions accumulated in a Participant’s account which are not sufficient to purchase a full share will, at the discretion of the Administrator, be refunded to the Participant, without interest, or be retained in the Participant’s account for the subsequent Offering Period. During a Participant’s lifetime, a Participant’s option to purchase shares hereunder is exercisable only by him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32" w:right="339" w:bottom="1440" w:gutter="0" w:footer="0" w:header="0"/>
        </w:sectPr>
      </w:pPr>
    </w:p>
    <w:bookmarkStart w:id="101" w:name="page102"/>
    <w:bookmarkEnd w:id="101"/>
    <w:p>
      <w:pPr>
        <w:spacing w:after="0" w:line="235" w:lineRule="exact"/>
        <w:rPr>
          <w:sz w:val="20"/>
          <w:szCs w:val="20"/>
          <w:color w:val="auto"/>
        </w:rPr>
      </w:pPr>
    </w:p>
    <w:p>
      <w:pPr>
        <w:jc w:val="both"/>
        <w:ind w:left="660" w:firstLine="1292"/>
        <w:spacing w:after="0" w:line="241" w:lineRule="auto"/>
        <w:tabs>
          <w:tab w:leader="none" w:pos="2452" w:val="left"/>
        </w:tabs>
        <w:numPr>
          <w:ilvl w:val="1"/>
          <w:numId w:val="57"/>
        </w:numPr>
        <w:rPr>
          <w:rFonts w:ascii="Arial" w:cs="Arial" w:eastAsia="Arial" w:hAnsi="Arial"/>
          <w:sz w:val="20"/>
          <w:szCs w:val="20"/>
          <w:color w:val="auto"/>
        </w:rPr>
      </w:pPr>
      <w:r>
        <w:rPr>
          <w:rFonts w:ascii="Arial" w:cs="Arial" w:eastAsia="Arial" w:hAnsi="Arial"/>
          <w:sz w:val="20"/>
          <w:szCs w:val="20"/>
          <w:color w:val="auto"/>
        </w:rPr>
        <w:t>In the event that the number of shares of Common Stock to be purchased by all Participants in any Offering Period exceeds the number of shares of Common Stock then available for issuance under the Plan, (i) the Company shall make a pro rata allocation of the remaining shares of Common Stock in as uniform a manner as shall be practicable and as the Committee shall, in its sole discretion, determine to be equitable and (ii) all funds not used to purchase shares of Common Stock on the Exercise Date shall be returned, without interest to the Participants.</w:t>
      </w:r>
    </w:p>
    <w:p>
      <w:pPr>
        <w:spacing w:after="0" w:line="235" w:lineRule="exact"/>
        <w:rPr>
          <w:rFonts w:ascii="Arial" w:cs="Arial" w:eastAsia="Arial" w:hAnsi="Arial"/>
          <w:sz w:val="20"/>
          <w:szCs w:val="20"/>
          <w:color w:val="auto"/>
        </w:rPr>
      </w:pPr>
    </w:p>
    <w:p>
      <w:pPr>
        <w:jc w:val="both"/>
        <w:ind w:firstLine="656"/>
        <w:spacing w:after="0"/>
        <w:tabs>
          <w:tab w:leader="none" w:pos="115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Delivery</w:t>
      </w:r>
      <w:r>
        <w:rPr>
          <w:rFonts w:ascii="Arial" w:cs="Arial" w:eastAsia="Arial" w:hAnsi="Arial"/>
          <w:sz w:val="20"/>
          <w:szCs w:val="20"/>
          <w:color w:val="auto"/>
        </w:rPr>
        <w:t>. By enrolling in the Plan, each Participant shall be deemed to have authorized the establishment of a brokerage account on his or her behalf at a securities brokerage firm selected by the Company. As soon as reasonably practicable after each Exercise Date on which a purchase of shares of Common Stock occurs, the Company shall arrange for the delivery to each Participant of the shares of Common Stock purchased upon exercise of his or her option to the Participant’s brokerage or Plan share account in a form determined by the Company. Notwithstanding any other provision of the Plan, unless otherwise determined by the Administrator or required by any applicable law, rule or regulation, the Company shall not deliver to any Participant certificates evidencing shares of Common Stock issued in connection with any purchase under the Plan, and instead such shares of Common Stock shall be recorded in the books of the brokerage firm or, as applicable, the Company, its transfer agent, stock plan administrator or such other outside entity which is not a brokerage firm.</w:t>
      </w:r>
    </w:p>
    <w:p>
      <w:pPr>
        <w:spacing w:after="0" w:line="238" w:lineRule="exact"/>
        <w:rPr>
          <w:rFonts w:ascii="Arial" w:cs="Arial" w:eastAsia="Arial" w:hAnsi="Arial"/>
          <w:sz w:val="20"/>
          <w:szCs w:val="20"/>
          <w:color w:val="auto"/>
        </w:rPr>
      </w:pPr>
    </w:p>
    <w:p>
      <w:pPr>
        <w:ind w:left="1160" w:hanging="504"/>
        <w:spacing w:after="0"/>
        <w:tabs>
          <w:tab w:leader="none" w:pos="11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Withdrawal</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458" w:val="left"/>
        </w:tabs>
        <w:numPr>
          <w:ilvl w:val="1"/>
          <w:numId w:val="58"/>
        </w:numPr>
        <w:rPr>
          <w:rFonts w:ascii="Arial" w:cs="Arial" w:eastAsia="Arial" w:hAnsi="Arial"/>
          <w:sz w:val="20"/>
          <w:szCs w:val="20"/>
          <w:color w:val="auto"/>
        </w:rPr>
      </w:pPr>
      <w:r>
        <w:rPr>
          <w:rFonts w:ascii="Arial" w:cs="Arial" w:eastAsia="Arial" w:hAnsi="Arial"/>
          <w:sz w:val="20"/>
          <w:szCs w:val="20"/>
          <w:color w:val="auto"/>
        </w:rPr>
        <w:t>A Participant may withdraw all but not less than all the Contributions credited to his or her account and not yet used to exercise his or her option under the Plan at any time by following an electronic or other withdrawal procedure determined by the Administrator from time to time. All of the Participant’s Contributions credited to his or her account will, at the discretion of the Administrator, (i) be retained in Participant’s account and used to purchase shares of Common Stock at the next Exercise Date, or (ii) be paid to such Participant as soon as reasonably practicable after receipt of notice of withdrawal and such Participant’s options for the Offering Period shall be terminated automatically, and no further payroll deductions or contributions for the purchase of shares of Common Stock shall be made for such Offering Period. If a Participant withdraws from an Offering Period, Contributions will not resume at the beginning of the succeeding Offering Period, unless the Participant re-enrolls in the Plan as prescribed by the Administrator from time to time.</w:t>
      </w:r>
    </w:p>
    <w:p>
      <w:pPr>
        <w:spacing w:after="0" w:line="238" w:lineRule="exact"/>
        <w:rPr>
          <w:rFonts w:ascii="Arial" w:cs="Arial" w:eastAsia="Arial" w:hAnsi="Arial"/>
          <w:sz w:val="20"/>
          <w:szCs w:val="20"/>
          <w:color w:val="auto"/>
        </w:rPr>
      </w:pPr>
    </w:p>
    <w:p>
      <w:pPr>
        <w:jc w:val="both"/>
        <w:ind w:left="660" w:firstLine="1292"/>
        <w:spacing w:after="0" w:line="243" w:lineRule="auto"/>
        <w:tabs>
          <w:tab w:leader="none" w:pos="2412" w:val="left"/>
        </w:tabs>
        <w:numPr>
          <w:ilvl w:val="1"/>
          <w:numId w:val="58"/>
        </w:numPr>
        <w:rPr>
          <w:rFonts w:ascii="Arial" w:cs="Arial" w:eastAsia="Arial" w:hAnsi="Arial"/>
          <w:sz w:val="20"/>
          <w:szCs w:val="20"/>
          <w:color w:val="auto"/>
        </w:rPr>
      </w:pPr>
      <w:r>
        <w:rPr>
          <w:rFonts w:ascii="Arial" w:cs="Arial" w:eastAsia="Arial" w:hAnsi="Arial"/>
          <w:sz w:val="20"/>
          <w:szCs w:val="20"/>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232" w:lineRule="exact"/>
        <w:rPr>
          <w:rFonts w:ascii="Arial" w:cs="Arial" w:eastAsia="Arial" w:hAnsi="Arial"/>
          <w:sz w:val="20"/>
          <w:szCs w:val="20"/>
          <w:color w:val="auto"/>
        </w:rPr>
      </w:pPr>
    </w:p>
    <w:p>
      <w:pPr>
        <w:jc w:val="both"/>
        <w:ind w:firstLine="656"/>
        <w:spacing w:after="0" w:line="241" w:lineRule="auto"/>
        <w:tabs>
          <w:tab w:leader="none" w:pos="117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Unless otherwise determined by the Administrator,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41" w:lineRule="auto"/>
        <w:rPr>
          <w:sz w:val="20"/>
          <w:szCs w:val="20"/>
          <w:color w:val="auto"/>
        </w:rPr>
      </w:pPr>
      <w:r>
        <w:rPr>
          <w:rFonts w:ascii="Arial" w:cs="Arial" w:eastAsia="Arial" w:hAnsi="Arial"/>
          <w:sz w:val="20"/>
          <w:szCs w:val="20"/>
          <w:color w:val="auto"/>
        </w:rPr>
        <w:t>automatically terminated. Unless determined otherwise by the Administrator in a manner that is permitted by, and compliant with, Section 423 of the Code, a Participant whose employment transfers between entities through a termination with an immediate rehire (with no break in service) by the Company or a Designated Subsidiary or Designated Affiliate shall not be treated as terminated under the Plan.</w:t>
      </w:r>
    </w:p>
    <w:p>
      <w:pPr>
        <w:spacing w:after="0" w:line="237" w:lineRule="exact"/>
        <w:rPr>
          <w:sz w:val="20"/>
          <w:szCs w:val="20"/>
          <w:color w:val="auto"/>
        </w:rPr>
      </w:pPr>
    </w:p>
    <w:p>
      <w:pPr>
        <w:ind w:firstLine="656"/>
        <w:spacing w:after="0" w:line="246" w:lineRule="auto"/>
        <w:tabs>
          <w:tab w:leader="none" w:pos="1224"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No interest will accrue on the Contributions of a Participant in the Plan, except as may be required by applicable law, as determined by the Administrator.</w:t>
      </w:r>
    </w:p>
    <w:p>
      <w:pPr>
        <w:spacing w:after="0" w:line="230" w:lineRule="exact"/>
        <w:rPr>
          <w:rFonts w:ascii="Arial" w:cs="Arial" w:eastAsia="Arial" w:hAnsi="Arial"/>
          <w:sz w:val="20"/>
          <w:szCs w:val="20"/>
          <w:color w:val="auto"/>
        </w:rPr>
      </w:pPr>
    </w:p>
    <w:p>
      <w:pPr>
        <w:jc w:val="both"/>
        <w:ind w:firstLine="656"/>
        <w:spacing w:after="0" w:line="241" w:lineRule="auto"/>
        <w:tabs>
          <w:tab w:leader="none" w:pos="117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Stock</w:t>
      </w:r>
      <w:r>
        <w:rPr>
          <w:rFonts w:ascii="Arial" w:cs="Arial" w:eastAsia="Arial" w:hAnsi="Arial"/>
          <w:sz w:val="20"/>
          <w:szCs w:val="20"/>
          <w:color w:val="auto"/>
        </w:rPr>
        <w:t>. Subject to adjustment as provided in Section 19 hereof, the maximum number of shares of Common Stock that will be made available for sale under the Plan will be 33,000,000 shares of Common Stock. The limitation set forth in this section may be used to satisfy purchases of shares of Common Stock under either the 423 Component or the Non-423 Component of the Plan.</w:t>
      </w:r>
    </w:p>
    <w:p>
      <w:pPr>
        <w:spacing w:after="0" w:line="237" w:lineRule="exact"/>
        <w:rPr>
          <w:rFonts w:ascii="Arial" w:cs="Arial" w:eastAsia="Arial" w:hAnsi="Arial"/>
          <w:sz w:val="20"/>
          <w:szCs w:val="20"/>
          <w:color w:val="auto"/>
        </w:rPr>
      </w:pPr>
    </w:p>
    <w:p>
      <w:pPr>
        <w:ind w:left="1160" w:hanging="504"/>
        <w:spacing w:after="0"/>
        <w:tabs>
          <w:tab w:leader="none" w:pos="11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26" w:val="left"/>
        </w:tabs>
        <w:numPr>
          <w:ilvl w:val="1"/>
          <w:numId w:val="59"/>
        </w:numPr>
        <w:rPr>
          <w:rFonts w:ascii="Arial" w:cs="Arial" w:eastAsia="Arial" w:hAnsi="Arial"/>
          <w:sz w:val="20"/>
          <w:szCs w:val="20"/>
          <w:color w:val="auto"/>
        </w:rPr>
      </w:pPr>
      <w:r>
        <w:rPr>
          <w:rFonts w:ascii="Arial" w:cs="Arial" w:eastAsia="Arial" w:hAnsi="Arial"/>
          <w:sz w:val="20"/>
          <w:szCs w:val="20"/>
          <w:color w:val="auto"/>
        </w:rPr>
        <w:t>Unless otherwise designated by the Board, the Committee shall serve as the Administrator. The Administrator will have full and exclusive discretionary authority to construe, interpret and apply the terms of the Plan, to designate separate Offerings under the Plan, to designate Subsidiaries or Affiliates as participating in the Plan, to determine eligibility and adjudicate all disputed claims filed under the Plan, including whether Eligible Employees shall participate in the 423 Component or the Non-423 Component and which entities shall be Designated Subsidiaries or Designated Affiliates, and to establish such procedures that it deems necessary for the administration of the Plan. Notwithstanding any provision to the contrary in this Plan, the Administrator may adopt rules or procedures relating to the operation and administration of the Plan to accommodate the specific requirements of local laws and procedures for jurisdictions outside of the United States. Without limiting the generality of the foregoing, the Committee is specifically authorized to adopt rules, procedures and subplans, which, for purposes of the Non-423 Component, may be outside the scope of Section 423 of the Code, regarding, without limitation,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w:t>
      </w:r>
    </w:p>
    <w:p>
      <w:pPr>
        <w:spacing w:after="0" w:line="235" w:lineRule="exact"/>
        <w:rPr>
          <w:rFonts w:ascii="Arial" w:cs="Arial" w:eastAsia="Arial" w:hAnsi="Arial"/>
          <w:sz w:val="20"/>
          <w:szCs w:val="20"/>
          <w:color w:val="auto"/>
        </w:rPr>
      </w:pPr>
    </w:p>
    <w:p>
      <w:pPr>
        <w:jc w:val="both"/>
        <w:ind w:left="660" w:firstLine="1292"/>
        <w:spacing w:after="0" w:line="243" w:lineRule="auto"/>
        <w:tabs>
          <w:tab w:leader="none" w:pos="2445" w:val="left"/>
        </w:tabs>
        <w:numPr>
          <w:ilvl w:val="1"/>
          <w:numId w:val="59"/>
        </w:numPr>
        <w:rPr>
          <w:rFonts w:ascii="Arial" w:cs="Arial" w:eastAsia="Arial" w:hAnsi="Arial"/>
          <w:sz w:val="20"/>
          <w:szCs w:val="20"/>
          <w:color w:val="auto"/>
        </w:rPr>
      </w:pPr>
      <w:r>
        <w:rPr>
          <w:rFonts w:ascii="Arial" w:cs="Arial" w:eastAsia="Arial" w:hAnsi="Arial"/>
          <w:sz w:val="20"/>
          <w:szCs w:val="20"/>
          <w:color w:val="auto"/>
        </w:rPr>
        <w:t>Every finding, decision and determination made by the Administrator will, to the full extent permitted by law, be final and binding upon all parties, including the Company, Designated Subsidiary, Designated Affiliate, Participant, Eligible Employee, or any beneficiary of such person, as applicable.</w:t>
      </w:r>
    </w:p>
    <w:p>
      <w:pPr>
        <w:spacing w:after="0" w:line="232" w:lineRule="exact"/>
        <w:rPr>
          <w:rFonts w:ascii="Arial" w:cs="Arial" w:eastAsia="Arial" w:hAnsi="Arial"/>
          <w:sz w:val="20"/>
          <w:szCs w:val="20"/>
          <w:color w:val="auto"/>
        </w:rPr>
      </w:pPr>
    </w:p>
    <w:p>
      <w:pPr>
        <w:jc w:val="both"/>
        <w:ind w:left="660" w:firstLine="1292"/>
        <w:spacing w:after="0" w:line="241" w:lineRule="auto"/>
        <w:tabs>
          <w:tab w:leader="none" w:pos="2457" w:val="left"/>
        </w:tabs>
        <w:numPr>
          <w:ilvl w:val="1"/>
          <w:numId w:val="59"/>
        </w:numPr>
        <w:rPr>
          <w:rFonts w:ascii="Arial" w:cs="Arial" w:eastAsia="Arial" w:hAnsi="Arial"/>
          <w:sz w:val="20"/>
          <w:szCs w:val="20"/>
          <w:color w:val="auto"/>
        </w:rPr>
      </w:pPr>
      <w:r>
        <w:rPr>
          <w:rFonts w:ascii="Arial" w:cs="Arial" w:eastAsia="Arial" w:hAnsi="Arial"/>
          <w:sz w:val="20"/>
          <w:szCs w:val="20"/>
          <w:color w:val="auto"/>
        </w:rPr>
        <w:t>To the extent allowable pursuant to applicable law, each member of the Board, the Committee, the Administrator or any employee of the Company, a Designated Subsidiary, or a Designated Affiliate (each such person, a "Covered Person") shall be indemnified and held harmless by the Company from any loss, cost, liability, or expense that may be imposed upon or reasonably incurred by such Covered Person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32" w:right="339" w:bottom="1440" w:gutter="0" w:footer="0" w:header="0"/>
        </w:sectPr>
      </w:pPr>
    </w:p>
    <w:bookmarkStart w:id="103" w:name="page104"/>
    <w:bookmarkEnd w:id="103"/>
    <w:p>
      <w:pPr>
        <w:jc w:val="both"/>
        <w:ind w:left="4"/>
        <w:spacing w:after="0"/>
        <w:rPr>
          <w:sz w:val="20"/>
          <w:szCs w:val="20"/>
          <w:color w:val="auto"/>
        </w:rPr>
      </w:pPr>
      <w:r>
        <w:rPr>
          <w:rFonts w:ascii="Arial" w:cs="Arial" w:eastAsia="Arial" w:hAnsi="Arial"/>
          <w:sz w:val="20"/>
          <w:szCs w:val="20"/>
          <w:color w:val="auto"/>
        </w:rPr>
        <w:t>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has acted in accordance with his or her duties and responsibilities to the Company under applicable law, and provided that he or she gives the Company an opportunity, at its own expense, to handle and defend any claim, action, suit, or proceeding to which he or she is a party before he or she undertakes to handle and defend it on his or her own behalf. The foregoing right of indemnification shall not be exclusive of any other rights of indemnification to which such Covered Persons may be entitled pursuant to the Company’s Certificate of Incorporation or Bylaws, as a matter of law, or otherwise, or any power that the Company may have to indemnify them or hold them harmless.</w:t>
      </w:r>
    </w:p>
    <w:p>
      <w:pPr>
        <w:spacing w:after="0" w:line="238" w:lineRule="exact"/>
        <w:rPr>
          <w:sz w:val="20"/>
          <w:szCs w:val="20"/>
          <w:color w:val="auto"/>
        </w:rPr>
      </w:pPr>
    </w:p>
    <w:p>
      <w:pPr>
        <w:jc w:val="both"/>
        <w:ind w:left="4" w:firstLine="1292"/>
        <w:spacing w:after="0"/>
        <w:tabs>
          <w:tab w:leader="none" w:pos="1758" w:val="left"/>
        </w:tabs>
        <w:numPr>
          <w:ilvl w:val="1"/>
          <w:numId w:val="60"/>
        </w:numPr>
        <w:rPr>
          <w:rFonts w:ascii="Arial" w:cs="Arial" w:eastAsia="Arial" w:hAnsi="Arial"/>
          <w:sz w:val="20"/>
          <w:szCs w:val="20"/>
          <w:color w:val="auto"/>
        </w:rPr>
      </w:pPr>
      <w:r>
        <w:rPr>
          <w:rFonts w:ascii="Arial" w:cs="Arial" w:eastAsia="Arial" w:hAnsi="Arial"/>
          <w:sz w:val="20"/>
          <w:szCs w:val="20"/>
          <w:color w:val="auto"/>
        </w:rPr>
        <w:t>To the extent not prohibited by Applicable Law, the Committee may, from time to time, delegate some or all of its authority under the Plan to a subcommittee or subcommittees of the Committee, the Administrator or other persons or groups of persons as it deems necessary, appropriate or advisable under conditions or limitations that it may set at or after the time of the delegation. For purposes of the Plan, reference to the Committee will be deemed to refer to any subcommittee, subcommittees, or other persons or groups of persons to whom the Committee delegates authority pursuant to this Section 14(d).</w:t>
      </w:r>
    </w:p>
    <w:p>
      <w:pPr>
        <w:spacing w:after="0" w:line="240" w:lineRule="exact"/>
        <w:rPr>
          <w:rFonts w:ascii="Arial" w:cs="Arial" w:eastAsia="Arial" w:hAnsi="Arial"/>
          <w:sz w:val="20"/>
          <w:szCs w:val="20"/>
          <w:color w:val="auto"/>
        </w:rPr>
      </w:pPr>
    </w:p>
    <w:p>
      <w:pPr>
        <w:ind w:left="504" w:hanging="504"/>
        <w:spacing w:after="0"/>
        <w:tabs>
          <w:tab w:leader="none" w:pos="50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Designation of Beneficiary</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4" w:firstLine="1292"/>
        <w:spacing w:after="0"/>
        <w:tabs>
          <w:tab w:leader="none" w:pos="1886" w:val="left"/>
        </w:tabs>
        <w:numPr>
          <w:ilvl w:val="1"/>
          <w:numId w:val="61"/>
        </w:numPr>
        <w:rPr>
          <w:rFonts w:ascii="Arial" w:cs="Arial" w:eastAsia="Arial" w:hAnsi="Arial"/>
          <w:sz w:val="20"/>
          <w:szCs w:val="20"/>
          <w:color w:val="auto"/>
        </w:rPr>
      </w:pPr>
      <w:r>
        <w:rPr>
          <w:rFonts w:ascii="Arial" w:cs="Arial" w:eastAsia="Arial" w:hAnsi="Arial"/>
          <w:sz w:val="20"/>
          <w:szCs w:val="20"/>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239" w:lineRule="exact"/>
        <w:rPr>
          <w:rFonts w:ascii="Arial" w:cs="Arial" w:eastAsia="Arial" w:hAnsi="Arial"/>
          <w:sz w:val="20"/>
          <w:szCs w:val="20"/>
          <w:color w:val="auto"/>
        </w:rPr>
      </w:pPr>
    </w:p>
    <w:p>
      <w:pPr>
        <w:jc w:val="both"/>
        <w:ind w:left="4" w:firstLine="1292"/>
        <w:spacing w:after="0"/>
        <w:tabs>
          <w:tab w:leader="none" w:pos="1878" w:val="left"/>
        </w:tabs>
        <w:numPr>
          <w:ilvl w:val="1"/>
          <w:numId w:val="61"/>
        </w:numPr>
        <w:rPr>
          <w:rFonts w:ascii="Arial" w:cs="Arial" w:eastAsia="Arial" w:hAnsi="Arial"/>
          <w:sz w:val="20"/>
          <w:szCs w:val="20"/>
          <w:color w:val="auto"/>
        </w:rPr>
      </w:pPr>
      <w:r>
        <w:rPr>
          <w:rFonts w:ascii="Arial" w:cs="Arial" w:eastAsia="Arial" w:hAnsi="Arial"/>
          <w:sz w:val="20"/>
          <w:szCs w:val="20"/>
          <w:color w:val="auto"/>
        </w:rPr>
        <w:t>Such designation of beneficiary, if permitted,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39" w:lineRule="exact"/>
        <w:rPr>
          <w:rFonts w:ascii="Arial" w:cs="Arial" w:eastAsia="Arial" w:hAnsi="Arial"/>
          <w:sz w:val="20"/>
          <w:szCs w:val="20"/>
          <w:color w:val="auto"/>
        </w:rPr>
      </w:pPr>
    </w:p>
    <w:p>
      <w:pPr>
        <w:ind w:left="1844" w:hanging="548"/>
        <w:spacing w:after="0"/>
        <w:tabs>
          <w:tab w:leader="none" w:pos="1844" w:val="left"/>
        </w:tabs>
        <w:numPr>
          <w:ilvl w:val="1"/>
          <w:numId w:val="61"/>
        </w:numPr>
        <w:rPr>
          <w:rFonts w:ascii="Arial" w:cs="Arial" w:eastAsia="Arial" w:hAnsi="Arial"/>
          <w:sz w:val="20"/>
          <w:szCs w:val="20"/>
          <w:color w:val="auto"/>
        </w:rPr>
      </w:pPr>
      <w:r>
        <w:rPr>
          <w:rFonts w:ascii="Arial" w:cs="Arial" w:eastAsia="Arial" w:hAnsi="Arial"/>
          <w:sz w:val="20"/>
          <w:szCs w:val="20"/>
          <w:color w:val="auto"/>
        </w:rPr>
        <w:t>All beneficiary designations will be in such form and manner as the Administrator may designate</w:t>
      </w:r>
    </w:p>
    <w:p>
      <w:pPr>
        <w:ind w:left="4"/>
        <w:spacing w:after="0"/>
        <w:rPr>
          <w:rFonts w:ascii="Arial" w:cs="Arial" w:eastAsia="Arial" w:hAnsi="Arial"/>
          <w:sz w:val="20"/>
          <w:szCs w:val="20"/>
          <w:color w:val="auto"/>
        </w:rPr>
      </w:pPr>
      <w:r>
        <w:rPr>
          <w:rFonts w:ascii="Arial" w:cs="Arial" w:eastAsia="Arial" w:hAnsi="Arial"/>
          <w:sz w:val="20"/>
          <w:szCs w:val="20"/>
          <w:color w:val="auto"/>
        </w:rPr>
        <w:t>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4"/>
          </w:cols>
          <w:pgMar w:left="976" w:top="1432" w:right="339" w:bottom="1440" w:gutter="0" w:footer="0" w:header="0"/>
        </w:sectPr>
      </w:pPr>
    </w:p>
    <w:bookmarkStart w:id="104" w:name="page105"/>
    <w:bookmarkEnd w:id="104"/>
    <w:p>
      <w:pPr>
        <w:spacing w:after="0" w:line="235" w:lineRule="exact"/>
        <w:rPr>
          <w:sz w:val="20"/>
          <w:szCs w:val="20"/>
          <w:color w:val="auto"/>
        </w:rPr>
      </w:pPr>
    </w:p>
    <w:p>
      <w:pPr>
        <w:jc w:val="both"/>
        <w:ind w:firstLine="656"/>
        <w:spacing w:after="0" w:line="241" w:lineRule="auto"/>
        <w:tabs>
          <w:tab w:leader="none" w:pos="1143"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235" w:lineRule="exact"/>
        <w:rPr>
          <w:rFonts w:ascii="Arial" w:cs="Arial" w:eastAsia="Arial" w:hAnsi="Arial"/>
          <w:sz w:val="20"/>
          <w:szCs w:val="20"/>
          <w:color w:val="auto"/>
        </w:rPr>
      </w:pPr>
    </w:p>
    <w:p>
      <w:pPr>
        <w:jc w:val="both"/>
        <w:ind w:firstLine="656"/>
        <w:spacing w:after="0" w:line="241" w:lineRule="auto"/>
        <w:tabs>
          <w:tab w:leader="none" w:pos="1224"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Use of Funds</w:t>
      </w:r>
      <w:r>
        <w:rPr>
          <w:rFonts w:ascii="Arial" w:cs="Arial" w:eastAsia="Arial" w:hAnsi="Arial"/>
          <w:sz w:val="20"/>
          <w:szCs w:val="20"/>
          <w:color w:val="auto"/>
        </w:rPr>
        <w:t>. The Company may use all Contributions received or held by it under the Plan for any corporate purpose, and the Company will not be obligated to segregate such Contributions, except as may be required by applicable local law, as determined by the Administrator. Until shares of Common Stock are issued, Participants will only have the rights of an unsecured creditor with respect to the Plan, although Participants in specified Offerings may have additional rights where required under local law, as determined by the Administrator.</w:t>
      </w:r>
    </w:p>
    <w:p>
      <w:pPr>
        <w:spacing w:after="0" w:line="235" w:lineRule="exact"/>
        <w:rPr>
          <w:rFonts w:ascii="Arial" w:cs="Arial" w:eastAsia="Arial" w:hAnsi="Arial"/>
          <w:sz w:val="20"/>
          <w:szCs w:val="20"/>
          <w:color w:val="auto"/>
        </w:rPr>
      </w:pPr>
    </w:p>
    <w:p>
      <w:pPr>
        <w:jc w:val="both"/>
        <w:ind w:firstLine="656"/>
        <w:spacing w:after="0" w:line="243" w:lineRule="auto"/>
        <w:tabs>
          <w:tab w:leader="none" w:pos="1143"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Reports</w:t>
      </w:r>
      <w:r>
        <w:rPr>
          <w:rFonts w:ascii="Arial" w:cs="Arial" w:eastAsia="Arial" w:hAnsi="Arial"/>
          <w:sz w:val="20"/>
          <w:szCs w:val="20"/>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32" w:lineRule="exact"/>
        <w:rPr>
          <w:rFonts w:ascii="Arial" w:cs="Arial" w:eastAsia="Arial" w:hAnsi="Arial"/>
          <w:sz w:val="20"/>
          <w:szCs w:val="20"/>
          <w:color w:val="auto"/>
        </w:rPr>
      </w:pPr>
    </w:p>
    <w:p>
      <w:pPr>
        <w:ind w:left="1160" w:hanging="504"/>
        <w:spacing w:after="0"/>
        <w:tabs>
          <w:tab w:leader="none" w:pos="116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Adjustments; Dissolution or Liquidation; Corporate Transactions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26"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Subject to any required action by the shareholders of the Company, the maximum number of shares of Common Stock that shall be made available for sale under the Plan, the maximum number of shares of Common Stock that each Participant may purchase during the Offering Period pursuant to the Maximum Share Amount or over a calendar year under the USD 25,000 limitation (pursuant to Section 3(b)) and the per share price used to determine the Purchase Price shall be proportionately adjusted for any increase or decrease in the number of issued shares of Common Stock resulting from any nonreciprocal transaction between the Company and its shareholders, (such as a stock dividend, stock split, spin-off, rights offering or recapitalization through a large, nonrecurring cash dividend), that affects the Common Stock (or other securities of the Company) or the price of shares of Common Stock (or other securities) and causes a change in the per share value of the Common Stock underlying outstanding options.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36" w:lineRule="exact"/>
        <w:rPr>
          <w:rFonts w:ascii="Arial" w:cs="Arial" w:eastAsia="Arial" w:hAnsi="Arial"/>
          <w:sz w:val="20"/>
          <w:szCs w:val="20"/>
          <w:color w:val="auto"/>
        </w:rPr>
      </w:pPr>
    </w:p>
    <w:p>
      <w:pPr>
        <w:jc w:val="both"/>
        <w:ind w:left="660" w:firstLine="1292"/>
        <w:spacing w:after="0" w:line="241" w:lineRule="auto"/>
        <w:tabs>
          <w:tab w:leader="none" w:pos="2418"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Dissolution or Liquidation</w:t>
      </w:r>
      <w:r>
        <w:rPr>
          <w:rFonts w:ascii="Arial" w:cs="Arial" w:eastAsia="Arial" w:hAnsi="Arial"/>
          <w:sz w:val="20"/>
          <w:szCs w:val="20"/>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05" w:name="page106"/>
    <w:bookmarkEnd w:id="105"/>
    <w:p>
      <w:pPr>
        <w:jc w:val="both"/>
        <w:ind w:left="4"/>
        <w:spacing w:after="0" w:line="243" w:lineRule="auto"/>
        <w:rPr>
          <w:sz w:val="20"/>
          <w:szCs w:val="20"/>
          <w:color w:val="auto"/>
        </w:rPr>
      </w:pPr>
      <w:r>
        <w:rPr>
          <w:rFonts w:ascii="Arial" w:cs="Arial" w:eastAsia="Arial" w:hAnsi="Arial"/>
          <w:sz w:val="20"/>
          <w:szCs w:val="20"/>
          <w:color w:val="auto"/>
        </w:rPr>
        <w:t>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33" w:lineRule="exact"/>
        <w:rPr>
          <w:sz w:val="20"/>
          <w:szCs w:val="20"/>
          <w:color w:val="auto"/>
        </w:rPr>
      </w:pPr>
    </w:p>
    <w:p>
      <w:pPr>
        <w:jc w:val="both"/>
        <w:ind w:left="4" w:firstLine="1292"/>
        <w:spacing w:after="0"/>
        <w:tabs>
          <w:tab w:leader="none" w:pos="1859"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Certain Corporate Transactions</w:t>
      </w:r>
      <w:r>
        <w:rPr>
          <w:rFonts w:ascii="Arial" w:cs="Arial" w:eastAsia="Arial" w:hAnsi="Arial"/>
          <w:sz w:val="20"/>
          <w:szCs w:val="20"/>
          <w:color w:val="auto"/>
        </w:rPr>
        <w:t>. In the event of a reorganization, merger, or consolidation of the Company with one or more corporations in which the Company is not the surviving corporation (or survives as a direct or indirect subsidiary of such other constituent corporation or its parent), or upon a sale of substantially all of the property or stock of the Company to another corporation,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37" w:lineRule="exact"/>
        <w:rPr>
          <w:rFonts w:ascii="Arial" w:cs="Arial" w:eastAsia="Arial" w:hAnsi="Arial"/>
          <w:sz w:val="20"/>
          <w:szCs w:val="20"/>
          <w:color w:val="auto"/>
        </w:rPr>
      </w:pPr>
    </w:p>
    <w:p>
      <w:pPr>
        <w:ind w:left="504" w:hanging="504"/>
        <w:spacing w:after="0"/>
        <w:tabs>
          <w:tab w:leader="none" w:pos="504"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Amendment or Termination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4" w:firstLine="1292"/>
        <w:spacing w:after="0"/>
        <w:tabs>
          <w:tab w:leader="none" w:pos="1938" w:val="left"/>
        </w:tabs>
        <w:numPr>
          <w:ilvl w:val="1"/>
          <w:numId w:val="64"/>
        </w:numPr>
        <w:rPr>
          <w:rFonts w:ascii="Arial" w:cs="Arial" w:eastAsia="Arial" w:hAnsi="Arial"/>
          <w:sz w:val="20"/>
          <w:szCs w:val="20"/>
          <w:color w:val="auto"/>
        </w:rPr>
      </w:pPr>
      <w:r>
        <w:rPr>
          <w:rFonts w:ascii="Arial" w:cs="Arial" w:eastAsia="Arial" w:hAnsi="Arial"/>
          <w:sz w:val="20"/>
          <w:szCs w:val="20"/>
          <w:color w:val="auto"/>
        </w:rPr>
        <w:t>Subject to any applicable law or government regulation and to the rules of any Exchange or quotation system on which the shares of Common Stock may be listed or quoted, the Plan may be amended, modified, suspended or terminated by the Board without the approval of the shareholders of the Company. Except as provided in Section 19, no amendment may make any change in any option previously granted which adversely affects the rights of any Participant or any beneficiary (as applicable) without the consent of the affected Participant or beneficiary. To the extent necessary to comply with Section 423 of the Code (or any successor rule or provision or any other applicable law, regulation or Exchange rule), the Company shall obtain shareholder approval of any amendment in such a manner and to such a degree as required.</w:t>
      </w:r>
    </w:p>
    <w:p>
      <w:pPr>
        <w:spacing w:after="0" w:line="239" w:lineRule="exact"/>
        <w:rPr>
          <w:rFonts w:ascii="Arial" w:cs="Arial" w:eastAsia="Arial" w:hAnsi="Arial"/>
          <w:sz w:val="20"/>
          <w:szCs w:val="20"/>
          <w:color w:val="auto"/>
        </w:rPr>
      </w:pPr>
    </w:p>
    <w:p>
      <w:pPr>
        <w:jc w:val="both"/>
        <w:ind w:left="4" w:firstLine="1292"/>
        <w:spacing w:after="0"/>
        <w:tabs>
          <w:tab w:leader="none" w:pos="2001" w:val="left"/>
        </w:tabs>
        <w:numPr>
          <w:ilvl w:val="1"/>
          <w:numId w:val="64"/>
        </w:numPr>
        <w:rPr>
          <w:rFonts w:ascii="Arial" w:cs="Arial" w:eastAsia="Arial" w:hAnsi="Arial"/>
          <w:sz w:val="20"/>
          <w:szCs w:val="20"/>
          <w:color w:val="auto"/>
        </w:rPr>
      </w:pPr>
      <w:r>
        <w:rPr>
          <w:rFonts w:ascii="Arial" w:cs="Arial" w:eastAsia="Arial" w:hAnsi="Arial"/>
          <w:sz w:val="20"/>
          <w:szCs w:val="20"/>
          <w:color w:val="auto"/>
        </w:rPr>
        <w:t>Without shareholder approval and without regard to whether any Participant rights may be considered to have been "adversely affected," the Administrator or its delegate, to the extent permitted under the terms of the Plan, applicable law, the Bylaws of the Company and under the Committee charter, may change the Offering Periods, limit the frequency or number of changes in the amount withheld during an Offering Period, establish the exchange rate applicable to amounts withheld in a currency other than U.S. dollars, permit payroll withholding in excess of the amount designated by a Participant to adjust for delays or mistakes in the Company’s processing of properly completed Contribution elections, establish reasonable waiting and adjustment periods and/or accounting and crediting procedures to ensure that amounts applied toward the purchase of shares of Common Stock for each Participant properly correspond with amounts withheld from the Participant’s Compensation, and establish such other limitations or procedures as the Committee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4"/>
          </w:cols>
          <w:pgMar w:left="976" w:top="1432" w:right="339" w:bottom="1440" w:gutter="0" w:footer="0" w:header="0"/>
        </w:sectPr>
      </w:pPr>
    </w:p>
    <w:bookmarkStart w:id="106" w:name="page107"/>
    <w:bookmarkEnd w:id="106"/>
    <w:p>
      <w:pPr>
        <w:jc w:val="both"/>
        <w:ind w:firstLine="656"/>
        <w:spacing w:after="0" w:line="243" w:lineRule="auto"/>
        <w:tabs>
          <w:tab w:leader="none" w:pos="115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232" w:lineRule="exact"/>
        <w:rPr>
          <w:rFonts w:ascii="Arial" w:cs="Arial" w:eastAsia="Arial" w:hAnsi="Arial"/>
          <w:sz w:val="20"/>
          <w:szCs w:val="20"/>
          <w:color w:val="auto"/>
        </w:rPr>
      </w:pPr>
    </w:p>
    <w:p>
      <w:pPr>
        <w:jc w:val="both"/>
        <w:ind w:firstLine="656"/>
        <w:spacing w:after="0"/>
        <w:tabs>
          <w:tab w:leader="none" w:pos="115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 Shares of Common Stock will not be issued with respect to an option unless the exercise of such option and the issuance and delivery of such shares pursuant thereto will comply with all applicable provisions of U.S. and non-U.S. law, including, without limitation, the Securities Act, the Exchange Act, the rules and regulations promulgated thereunder, and the requirements of any Exchange, and will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39" w:lineRule="exact"/>
        <w:rPr>
          <w:rFonts w:ascii="Arial" w:cs="Arial" w:eastAsia="Arial" w:hAnsi="Arial"/>
          <w:sz w:val="20"/>
          <w:szCs w:val="20"/>
          <w:color w:val="auto"/>
        </w:rPr>
      </w:pPr>
    </w:p>
    <w:p>
      <w:pPr>
        <w:jc w:val="both"/>
        <w:ind w:firstLine="656"/>
        <w:spacing w:after="0"/>
        <w:tabs>
          <w:tab w:leader="none" w:pos="115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Notification of Sale of Shares of Common Stock</w:t>
      </w:r>
      <w:r>
        <w:rPr>
          <w:rFonts w:ascii="Arial" w:cs="Arial" w:eastAsia="Arial" w:hAnsi="Arial"/>
          <w:sz w:val="20"/>
          <w:szCs w:val="20"/>
          <w:color w:val="auto"/>
        </w:rPr>
        <w:t>. Each Participant shall give the Administrator prompt notice of any disposition of Common Stock acquired pursuant to the option granted under the Plan in accordance with such procedures as may be established by the Administrator. The Administrator may require that until such time as a Participant disposes of shares of Common Stock acquired pursuant to the option granted under the Plan, the Participant shall hold all such shares of Common Stock in the Participant's name and with a third-party broker/administrator designated by the Company until the lapse of any time period(s) established by the Administrator.</w:t>
      </w:r>
    </w:p>
    <w:p>
      <w:pPr>
        <w:spacing w:after="0" w:line="240" w:lineRule="exact"/>
        <w:rPr>
          <w:rFonts w:ascii="Arial" w:cs="Arial" w:eastAsia="Arial" w:hAnsi="Arial"/>
          <w:sz w:val="20"/>
          <w:szCs w:val="20"/>
          <w:color w:val="auto"/>
        </w:rPr>
      </w:pPr>
    </w:p>
    <w:p>
      <w:pPr>
        <w:jc w:val="both"/>
        <w:ind w:firstLine="656"/>
        <w:spacing w:after="0" w:line="241" w:lineRule="auto"/>
        <w:tabs>
          <w:tab w:leader="none" w:pos="121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Clawback/Recoupment Policy</w:t>
      </w:r>
      <w:r>
        <w:rPr>
          <w:rFonts w:ascii="Arial" w:cs="Arial" w:eastAsia="Arial" w:hAnsi="Arial"/>
          <w:sz w:val="20"/>
          <w:szCs w:val="20"/>
          <w:color w:val="auto"/>
        </w:rPr>
        <w:t>. Notwithstanding anything contained herein to the contrary, all shares of Common Stock acquired pursuant to the Plan shall be and remain subject to any incentive compensation clawback or recoupment policy currently in effect or as may be adopted by the Board and, in each case, as may be amended from time to time. No such policy adoption or amendment shall in any event require the prior consent of any Participant.</w:t>
      </w:r>
    </w:p>
    <w:p>
      <w:pPr>
        <w:spacing w:after="0" w:line="237" w:lineRule="exact"/>
        <w:rPr>
          <w:rFonts w:ascii="Arial" w:cs="Arial" w:eastAsia="Arial" w:hAnsi="Arial"/>
          <w:sz w:val="20"/>
          <w:szCs w:val="20"/>
          <w:color w:val="auto"/>
        </w:rPr>
      </w:pPr>
    </w:p>
    <w:p>
      <w:pPr>
        <w:ind w:left="1160" w:hanging="504"/>
        <w:spacing w:after="0"/>
        <w:tabs>
          <w:tab w:leader="none" w:pos="116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Code Section 409A; Tax Qualification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466" w:val="left"/>
        </w:tabs>
        <w:numPr>
          <w:ilvl w:val="1"/>
          <w:numId w:val="65"/>
        </w:numPr>
        <w:rPr>
          <w:rFonts w:ascii="Arial" w:cs="Arial" w:eastAsia="Arial" w:hAnsi="Arial"/>
          <w:sz w:val="20"/>
          <w:szCs w:val="20"/>
          <w:color w:val="auto"/>
        </w:rPr>
      </w:pPr>
      <w:r>
        <w:rPr>
          <w:rFonts w:ascii="Arial" w:cs="Arial" w:eastAsia="Arial" w:hAnsi="Arial"/>
          <w:sz w:val="20"/>
          <w:szCs w:val="20"/>
          <w:color w:val="auto"/>
        </w:rPr>
        <w:t>Options granted under the 423 Component are exempt from the application of Section 409A of the Code. Options granted under the Non-423 Component to U.S. taxpayers are intended to be exempt from the application of Section 409A under the short-term deferral exception and any ambiguities shall be construed and interpreted in accordance with such intent. Subject to Section 23(b), options granted to U.S. taxpayers under the Non-423 Component are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Section 23(b), in the case of a Participant who would otherwise be subject to Section 409A of the Code, to the extent the Company determines that an option or the exercise, payment, settlement or deferral is subject to Section 409A of the Code, the option shall be granted, exercised, paid, settled or deferred in a manner that will comply with Section 409A of the Code, including Department of Treasury regulations and other interpretive guidance issued thereunder, including without limitation any such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32" w:right="339" w:bottom="1440" w:gutter="0" w:footer="0" w:header="0"/>
        </w:sectPr>
      </w:pPr>
    </w:p>
    <w:bookmarkStart w:id="107" w:name="page108"/>
    <w:bookmarkEnd w:id="107"/>
    <w:p>
      <w:pPr>
        <w:jc w:val="both"/>
        <w:ind w:left="660"/>
        <w:spacing w:after="0" w:line="241" w:lineRule="auto"/>
        <w:rPr>
          <w:sz w:val="20"/>
          <w:szCs w:val="20"/>
          <w:color w:val="auto"/>
        </w:rPr>
      </w:pPr>
      <w:r>
        <w:rPr>
          <w:rFonts w:ascii="Arial" w:cs="Arial" w:eastAsia="Arial" w:hAnsi="Arial"/>
          <w:sz w:val="20"/>
          <w:szCs w:val="20"/>
          <w:color w:val="auto"/>
        </w:rPr>
        <w:t>or other guidance that may be issued after the Effective Date. Anything in the foregoing to the contrary notwithstanding, the Company shall have no liability to a Participant or any other party if the option that is intended to be exempt from, or compliant with Section 409A of the Code is not so exempt or compliant or for any action taken by the Company with respect thereto.</w:t>
      </w:r>
    </w:p>
    <w:p>
      <w:pPr>
        <w:spacing w:after="0" w:line="237" w:lineRule="exact"/>
        <w:rPr>
          <w:sz w:val="20"/>
          <w:szCs w:val="20"/>
          <w:color w:val="auto"/>
        </w:rPr>
      </w:pPr>
    </w:p>
    <w:p>
      <w:pPr>
        <w:jc w:val="both"/>
        <w:ind w:left="660" w:firstLine="1292"/>
        <w:spacing w:after="0" w:line="257" w:lineRule="auto"/>
        <w:tabs>
          <w:tab w:leader="none" w:pos="2472" w:val="left"/>
        </w:tabs>
        <w:numPr>
          <w:ilvl w:val="1"/>
          <w:numId w:val="66"/>
        </w:numPr>
        <w:rPr>
          <w:rFonts w:ascii="Arial" w:cs="Arial" w:eastAsia="Arial" w:hAnsi="Arial"/>
          <w:sz w:val="19"/>
          <w:szCs w:val="19"/>
          <w:color w:val="auto"/>
        </w:rPr>
      </w:pPr>
      <w:r>
        <w:rPr>
          <w:rFonts w:ascii="Arial" w:cs="Arial" w:eastAsia="Arial" w:hAnsi="Arial"/>
          <w:sz w:val="19"/>
          <w:szCs w:val="19"/>
          <w:color w:val="auto"/>
        </w:rPr>
        <w:t>Although the Company may endeavor to (i) qualify an option for favorable tax treatment under the laws of the U.S. or jurisdictions outside of the U.S. or (ii) avoid adverse tax treatment (e.g., under Section 409A of the Code), the Company makes no representation to that effect and expressly disavows any covenant to maintain favorable or avoid unfavorable tax treatment, notwithstanding anything to the contrary in this Plan, including Section 26(a). The Company is not constrained in its corporate activities by any potential negative tax impact on Participants under the Plan.</w:t>
      </w:r>
    </w:p>
    <w:p>
      <w:pPr>
        <w:spacing w:after="0" w:line="220" w:lineRule="exact"/>
        <w:rPr>
          <w:rFonts w:ascii="Arial" w:cs="Arial" w:eastAsia="Arial" w:hAnsi="Arial"/>
          <w:sz w:val="19"/>
          <w:szCs w:val="19"/>
          <w:color w:val="auto"/>
        </w:rPr>
      </w:pPr>
    </w:p>
    <w:p>
      <w:pPr>
        <w:ind w:firstLine="656"/>
        <w:spacing w:after="0" w:line="246" w:lineRule="auto"/>
        <w:tabs>
          <w:tab w:leader="none" w:pos="1143"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Term of Plan</w:t>
      </w:r>
      <w:r>
        <w:rPr>
          <w:rFonts w:ascii="Arial" w:cs="Arial" w:eastAsia="Arial" w:hAnsi="Arial"/>
          <w:sz w:val="20"/>
          <w:szCs w:val="20"/>
          <w:color w:val="auto"/>
        </w:rPr>
        <w:t>. The Plan became effective as of the Effective Date and will continue in effect through the tenth (10th) anniversary thereof, unless sooner terminated under Section 20.</w:t>
      </w:r>
    </w:p>
    <w:p>
      <w:pPr>
        <w:spacing w:after="0" w:line="230" w:lineRule="exact"/>
        <w:rPr>
          <w:rFonts w:ascii="Arial" w:cs="Arial" w:eastAsia="Arial" w:hAnsi="Arial"/>
          <w:sz w:val="20"/>
          <w:szCs w:val="20"/>
          <w:color w:val="auto"/>
        </w:rPr>
      </w:pPr>
    </w:p>
    <w:p>
      <w:pPr>
        <w:ind w:left="1160" w:hanging="504"/>
        <w:spacing w:after="0"/>
        <w:tabs>
          <w:tab w:leader="none" w:pos="116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Plan was approved by the stockholders of the Company on January 17, 2018.</w:t>
      </w:r>
    </w:p>
    <w:p>
      <w:pPr>
        <w:spacing w:after="0" w:line="242" w:lineRule="exact"/>
        <w:rPr>
          <w:rFonts w:ascii="Arial" w:cs="Arial" w:eastAsia="Arial" w:hAnsi="Arial"/>
          <w:sz w:val="20"/>
          <w:szCs w:val="20"/>
          <w:color w:val="auto"/>
        </w:rPr>
      </w:pPr>
    </w:p>
    <w:p>
      <w:pPr>
        <w:jc w:val="both"/>
        <w:ind w:firstLine="656"/>
        <w:spacing w:after="0" w:line="241" w:lineRule="auto"/>
        <w:tabs>
          <w:tab w:leader="none" w:pos="1156"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Governing Law and Jurisdiction</w:t>
      </w:r>
      <w:r>
        <w:rPr>
          <w:rFonts w:ascii="Arial" w:cs="Arial" w:eastAsia="Arial" w:hAnsi="Arial"/>
          <w:sz w:val="20"/>
          <w:szCs w:val="20"/>
          <w:color w:val="auto"/>
        </w:rPr>
        <w:t>. The Plan shall be governed by, and construed in accordance with, the laws of the U.S. State of Delaware (except its choice-of-law provisions). The jurisdiction and venue for any disputes arising under, or any action brought to enforce (or otherwise relating to) this Plan shall be exclusively in the courts in the U.S. State of Idaho, County of Ada including the U.S. federal courts located therein (should federal jurisdiction exist).</w:t>
      </w:r>
    </w:p>
    <w:p>
      <w:pPr>
        <w:spacing w:after="0" w:line="237" w:lineRule="exact"/>
        <w:rPr>
          <w:rFonts w:ascii="Arial" w:cs="Arial" w:eastAsia="Arial" w:hAnsi="Arial"/>
          <w:sz w:val="20"/>
          <w:szCs w:val="20"/>
          <w:color w:val="auto"/>
        </w:rPr>
      </w:pPr>
    </w:p>
    <w:p>
      <w:pPr>
        <w:jc w:val="both"/>
        <w:ind w:firstLine="656"/>
        <w:spacing w:after="0" w:line="241" w:lineRule="auto"/>
        <w:tabs>
          <w:tab w:leader="none" w:pos="1143"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Participation in the Plan by a Participant shall not be construed as giving a Participant the right to be retained as an employee of the Company, a Subsidiary or an Affiliate, as applicable. Furthermore, the Company, a Subsidiary or an Affiliate may dismiss a Participant from employment at any time, free from any liability or any claim under the Plan.</w:t>
      </w:r>
    </w:p>
    <w:p>
      <w:pPr>
        <w:spacing w:after="0" w:line="237" w:lineRule="exact"/>
        <w:rPr>
          <w:rFonts w:ascii="Arial" w:cs="Arial" w:eastAsia="Arial" w:hAnsi="Arial"/>
          <w:sz w:val="20"/>
          <w:szCs w:val="20"/>
          <w:color w:val="auto"/>
        </w:rPr>
      </w:pPr>
    </w:p>
    <w:p>
      <w:pPr>
        <w:jc w:val="both"/>
        <w:ind w:firstLine="656"/>
        <w:spacing w:after="0" w:line="241" w:lineRule="auto"/>
        <w:tabs>
          <w:tab w:leader="none" w:pos="1156"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237" w:lineRule="exact"/>
        <w:rPr>
          <w:rFonts w:ascii="Arial" w:cs="Arial" w:eastAsia="Arial" w:hAnsi="Arial"/>
          <w:sz w:val="20"/>
          <w:szCs w:val="20"/>
          <w:color w:val="auto"/>
        </w:rPr>
      </w:pPr>
    </w:p>
    <w:p>
      <w:pPr>
        <w:ind w:firstLine="656"/>
        <w:spacing w:after="0" w:line="246" w:lineRule="auto"/>
        <w:tabs>
          <w:tab w:leader="none" w:pos="117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Compliance with Applicable Laws</w:t>
      </w:r>
      <w:r>
        <w:rPr>
          <w:rFonts w:ascii="Arial" w:cs="Arial" w:eastAsia="Arial" w:hAnsi="Arial"/>
          <w:sz w:val="20"/>
          <w:szCs w:val="20"/>
          <w:color w:val="auto"/>
        </w:rPr>
        <w:t>. The terms of this Plan are intended to comply with all Applicable Laws and will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32"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85"/>
        </w:trPr>
        <w:tc>
          <w:tcPr>
            <w:tcW w:w="7960" w:type="dxa"/>
            <w:vAlign w:val="bottom"/>
          </w:tcPr>
          <w:p>
            <w:pPr>
              <w:spacing w:after="0"/>
              <w:rPr>
                <w:sz w:val="24"/>
                <w:szCs w:val="24"/>
                <w:color w:val="auto"/>
              </w:rPr>
            </w:pPr>
          </w:p>
        </w:tc>
        <w:tc>
          <w:tcPr>
            <w:tcW w:w="3280" w:type="dxa"/>
            <w:vAlign w:val="bottom"/>
          </w:tcPr>
          <w:p>
            <w:pPr>
              <w:ind w:left="1940"/>
              <w:spacing w:after="0"/>
              <w:rPr>
                <w:sz w:val="20"/>
                <w:szCs w:val="20"/>
                <w:color w:val="auto"/>
              </w:rPr>
            </w:pPr>
            <w:r>
              <w:rPr>
                <w:rFonts w:ascii="Arial" w:cs="Arial" w:eastAsia="Arial" w:hAnsi="Arial"/>
                <w:sz w:val="22"/>
                <w:szCs w:val="22"/>
                <w:b w:val="1"/>
                <w:bCs w:val="1"/>
                <w:color w:val="auto"/>
                <w:w w:val="97"/>
              </w:rPr>
              <w:t>EXHIBIT 21.1</w:t>
            </w:r>
          </w:p>
        </w:tc>
        <w:tc>
          <w:tcPr>
            <w:tcW w:w="0" w:type="dxa"/>
            <w:vAlign w:val="bottom"/>
          </w:tcPr>
          <w:p>
            <w:pPr>
              <w:spacing w:after="0"/>
              <w:rPr>
                <w:sz w:val="1"/>
                <w:szCs w:val="1"/>
                <w:color w:val="auto"/>
              </w:rPr>
            </w:pPr>
          </w:p>
        </w:tc>
      </w:tr>
      <w:tr>
        <w:trPr>
          <w:trHeight w:val="675"/>
        </w:trPr>
        <w:tc>
          <w:tcPr>
            <w:tcW w:w="79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960" w:type="dxa"/>
            <w:vAlign w:val="bottom"/>
          </w:tcPr>
          <w:p>
            <w:pPr>
              <w:spacing w:after="0"/>
              <w:rPr>
                <w:sz w:val="20"/>
                <w:szCs w:val="20"/>
                <w:color w:val="auto"/>
              </w:rPr>
            </w:pPr>
            <w:r>
              <w:rPr>
                <w:rFonts w:ascii="Arial" w:cs="Arial" w:eastAsia="Arial" w:hAnsi="Arial"/>
                <w:sz w:val="40"/>
                <w:szCs w:val="40"/>
                <w:b w:val="1"/>
                <w:bCs w:val="1"/>
                <w:color w:val="auto"/>
              </w:rPr>
              <w:t>SUBSIDIARIES OF THE REGISTRANT*</w:t>
            </w:r>
          </w:p>
        </w:tc>
        <w:tc>
          <w:tcPr>
            <w:tcW w:w="328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State (or Jurisdiction) in</w:t>
            </w:r>
          </w:p>
        </w:tc>
        <w:tc>
          <w:tcPr>
            <w:tcW w:w="0" w:type="dxa"/>
            <w:vAlign w:val="bottom"/>
          </w:tcPr>
          <w:p>
            <w:pPr>
              <w:spacing w:after="0"/>
              <w:rPr>
                <w:sz w:val="1"/>
                <w:szCs w:val="1"/>
                <w:color w:val="auto"/>
              </w:rPr>
            </w:pPr>
          </w:p>
        </w:tc>
      </w:tr>
      <w:tr>
        <w:trPr>
          <w:trHeight w:val="179"/>
        </w:trPr>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60" w:type="dxa"/>
            <w:vAlign w:val="bottom"/>
            <w:tcBorders>
              <w:bottom w:val="single" w:sz="8" w:color="0090DA"/>
            </w:tcBorders>
            <w:vMerge w:val="continue"/>
          </w:tcPr>
          <w:p>
            <w:pPr>
              <w:spacing w:after="0"/>
              <w:rPr>
                <w:sz w:val="19"/>
                <w:szCs w:val="19"/>
                <w:color w:val="auto"/>
              </w:rPr>
            </w:pPr>
          </w:p>
        </w:tc>
        <w:tc>
          <w:tcPr>
            <w:tcW w:w="3280" w:type="dxa"/>
            <w:vAlign w:val="bottom"/>
            <w:tcBorders>
              <w:bottom w:val="single" w:sz="8" w:color="0090DA"/>
            </w:tcBorders>
          </w:tcPr>
          <w:p>
            <w:pPr>
              <w:ind w:left="1280"/>
              <w:spacing w:after="0"/>
              <w:rPr>
                <w:sz w:val="20"/>
                <w:szCs w:val="20"/>
                <w:color w:val="auto"/>
              </w:rPr>
            </w:pPr>
            <w:r>
              <w:rPr>
                <w:rFonts w:ascii="Arial" w:cs="Arial" w:eastAsia="Arial" w:hAnsi="Arial"/>
                <w:sz w:val="18"/>
                <w:szCs w:val="18"/>
                <w:b w:val="1"/>
                <w:bCs w:val="1"/>
                <w:color w:val="auto"/>
              </w:rPr>
              <w:t>which Organized</w:t>
            </w:r>
          </w:p>
        </w:tc>
        <w:tc>
          <w:tcPr>
            <w:tcW w:w="0" w:type="dxa"/>
            <w:vAlign w:val="bottom"/>
          </w:tcPr>
          <w:p>
            <w:pPr>
              <w:spacing w:after="0"/>
              <w:rPr>
                <w:sz w:val="1"/>
                <w:szCs w:val="1"/>
                <w:color w:val="auto"/>
              </w:rPr>
            </w:pPr>
          </w:p>
        </w:tc>
      </w:tr>
      <w:tr>
        <w:trPr>
          <w:trHeight w:val="34"/>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Asia Pacific LLC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Europe Limited</w:t>
            </w:r>
          </w:p>
        </w:tc>
        <w:tc>
          <w:tcPr>
            <w:tcW w:w="3280" w:type="dxa"/>
            <w:vAlign w:val="bottom"/>
          </w:tcPr>
          <w:p>
            <w:pPr>
              <w:ind w:left="7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International LLC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Japan, Ltd.</w:t>
            </w:r>
          </w:p>
        </w:tc>
        <w:tc>
          <w:tcPr>
            <w:tcW w:w="3280" w:type="dxa"/>
            <w:vAlign w:val="bottom"/>
          </w:tcPr>
          <w:p>
            <w:pPr>
              <w:ind w:left="7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Japan, G.K.</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Memory Malaysia SD</w:t>
            </w:r>
          </w:p>
        </w:tc>
        <w:tc>
          <w:tcPr>
            <w:tcW w:w="3280" w:type="dxa"/>
            <w:vAlign w:val="bottom"/>
          </w:tcPr>
          <w:p>
            <w:pPr>
              <w:ind w:left="74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Taiwan Co.,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Asia Operations Pte.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Pte. Ltd.</w:t>
            </w:r>
          </w:p>
        </w:tc>
        <w:tc>
          <w:tcPr>
            <w:tcW w:w="3280" w:type="dxa"/>
            <w:vAlign w:val="bottom"/>
          </w:tcPr>
          <w:p>
            <w:pPr>
              <w:ind w:left="7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Products,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Taiwan Co., Ltd.</w:t>
            </w:r>
          </w:p>
        </w:tc>
        <w:tc>
          <w:tcPr>
            <w:tcW w:w="3280" w:type="dxa"/>
            <w:vAlign w:val="bottom"/>
          </w:tcPr>
          <w:p>
            <w:pPr>
              <w:ind w:left="74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(Xi’an) Co.,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Technology B.V.</w:t>
            </w:r>
          </w:p>
        </w:tc>
        <w:tc>
          <w:tcPr>
            <w:tcW w:w="3280" w:type="dxa"/>
            <w:vAlign w:val="bottom"/>
          </w:tcPr>
          <w:p>
            <w:pPr>
              <w:ind w:left="7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Taiwan,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Technology Utah,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0" w:firstLine="8"/>
        <w:spacing w:after="0" w:line="220" w:lineRule="auto"/>
        <w:tabs>
          <w:tab w:leader="none" w:pos="95"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38" w:orient="portrait"/>
          <w:cols w:equalWidth="0" w:num="1">
            <w:col w:w="11240"/>
          </w:cols>
          <w:pgMar w:left="320" w:top="1133" w:right="339" w:bottom="1440" w:gutter="0" w:footer="0" w:header="0"/>
        </w:sectPr>
      </w:pPr>
    </w:p>
    <w:bookmarkStart w:id="109" w:name="page110"/>
    <w:bookmarkEnd w:id="109"/>
    <w:p>
      <w:pPr>
        <w:ind w:left="9900"/>
        <w:spacing w:after="0"/>
        <w:rPr>
          <w:sz w:val="20"/>
          <w:szCs w:val="20"/>
          <w:color w:val="auto"/>
        </w:rPr>
      </w:pPr>
      <w:r>
        <w:rPr>
          <w:rFonts w:ascii="Arial" w:cs="Arial" w:eastAsia="Arial" w:hAnsi="Arial"/>
          <w:sz w:val="21"/>
          <w:szCs w:val="21"/>
          <w:b w:val="1"/>
          <w:bCs w:val="1"/>
          <w:color w:val="auto"/>
        </w:rPr>
        <w:t>EXHIBIT 23.1</w:t>
      </w:r>
    </w:p>
    <w:p>
      <w:pPr>
        <w:spacing w:after="0" w:line="24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CONSENT OF INDEPENDENT REGISTERED PUBLIC ACCOUNTING FIRM</w:t>
      </w:r>
    </w:p>
    <w:p>
      <w:pPr>
        <w:spacing w:after="0" w:line="2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 333-249838) and Form S-8 (File Nos. 333-17073, 333-50353, 333-103341, 333-120620, 333-133667, 333-140091, 333-148357, 333-159711, 333-171717, 333-179592, 333-190010, 333-196293, 333-203467, 333-217314, 333-223874, 333-234359, 333-255794) of Micron Technology, Inc. of our report dated October 8, 2021 relating to the financial statements and financial statement schedule and the effectiveness of internal control over financial reporting, which appears in this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8, 2021</w:t>
      </w:r>
    </w:p>
    <w:p>
      <w:pPr>
        <w:sectPr>
          <w:pgSz w:w="11900" w:h="16838" w:orient="portrait"/>
          <w:cols w:equalWidth="0" w:num="1">
            <w:col w:w="11240"/>
          </w:cols>
          <w:pgMar w:left="320" w:top="89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31.1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8,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6350</wp:posOffset>
            </wp:positionV>
            <wp:extent cx="33261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October 8,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572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98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Annual Report of Micron Technology, Inc. on Form 10-K for the period ended September 2, 2021,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90"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October 8,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6350</wp:posOffset>
            </wp:positionV>
            <wp:extent cx="3557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Annual Report of Micron Technology, Inc. on Form 10-K for the period ended September 2, 2021,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90"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October 8,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6350</wp:posOffset>
            </wp:positionV>
            <wp:extent cx="35572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9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lvl w:ilvl="1">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upperLetter"/>
      <w:start w:val="35"/>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endash "/>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3"/>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bullet"/>
      <w:start w:val="1"/>
    </w:lvl>
  </w:abstractNum>
  <w:abstractNum w:abstractNumId="42">
    <w:nsid w:val="39386575"/>
    <w:multiLevelType w:val="hybridMultilevel"/>
    <w:lvl w:ilvl="0">
      <w:lvlJc w:val="left"/>
      <w:lvlText w:val="2"/>
      <w:numFmt w:val="bullet"/>
      <w:start w:val="1"/>
    </w:lvl>
  </w:abstractNum>
  <w:abstractNum w:abstractNumId="43">
    <w:nsid w:val="1CF10FD8"/>
    <w:multiLevelType w:val="hybridMultilevel"/>
    <w:lvl w:ilvl="0">
      <w:lvlJc w:val="left"/>
      <w:lvlText w:val="3"/>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decimal"/>
      <w:start w:val="1"/>
    </w:lvl>
    <w:lvl w:ilvl="1">
      <w:lvlJc w:val="left"/>
      <w:lvlText w:val="(%2)"/>
      <w:numFmt w:val="lowerLetter"/>
      <w:start w:val="1"/>
    </w:lvl>
  </w:abstractNum>
  <w:abstractNum w:abstractNumId="46">
    <w:nsid w:val="47398C89"/>
    <w:multiLevelType w:val="hybridMultilevel"/>
    <w:lvl w:ilvl="0">
      <w:lvlJc w:val="left"/>
      <w:lvlText w:val="(%1)"/>
      <w:numFmt w:val="lowerLetter"/>
      <w:start w:val="6"/>
    </w:lvl>
  </w:abstractNum>
  <w:abstractNum w:abstractNumId="47">
    <w:nsid w:val="354FE9F9"/>
    <w:multiLevelType w:val="hybridMultilevel"/>
    <w:lvl w:ilvl="0">
      <w:lvlJc w:val="left"/>
      <w:lvlText w:val="(%1)"/>
      <w:numFmt w:val="lowerLetter"/>
      <w:start w:val="7"/>
    </w:lvl>
  </w:abstractNum>
  <w:abstractNum w:abstractNumId="48">
    <w:nsid w:val="15B5AF5C"/>
    <w:multiLevelType w:val="hybridMultilevel"/>
    <w:lvl w:ilvl="0">
      <w:lvlJc w:val="left"/>
      <w:lvlText w:val="(%1)"/>
      <w:numFmt w:val="lowerLetter"/>
      <w:start w:val="16"/>
    </w:lvl>
  </w:abstractNum>
  <w:abstractNum w:abstractNumId="49">
    <w:nsid w:val="741226BB"/>
    <w:multiLevelType w:val="hybridMultilevel"/>
    <w:lvl w:ilvl="0">
      <w:lvlJc w:val="left"/>
      <w:lvlText w:val="(%1)"/>
      <w:numFmt w:val="lowerLetter"/>
      <w:start w:val="20"/>
    </w:lvl>
  </w:abstractNum>
  <w:abstractNum w:abstractNumId="50">
    <w:nsid w:val="D34B6A8"/>
    <w:multiLevelType w:val="hybridMultilevel"/>
    <w:lvl w:ilvl="0">
      <w:lvlJc w:val="left"/>
      <w:lvlText w:val="(%1)"/>
      <w:numFmt w:val="lowerLetter"/>
      <w:start w:val="27"/>
    </w:lvl>
  </w:abstractNum>
  <w:abstractNum w:abstractNumId="51">
    <w:nsid w:val="10233C99"/>
    <w:multiLevelType w:val="hybridMultilevel"/>
    <w:lvl w:ilvl="0">
      <w:lvlJc w:val="left"/>
      <w:lvlText w:val="(%1)"/>
      <w:numFmt w:val="lowerLetter"/>
      <w:start w:val="35"/>
    </w:lvl>
    <w:lvl w:ilvl="1">
      <w:lvlJc w:val="left"/>
      <w:lvlText w:val="(%2)"/>
      <w:numFmt w:val="lowerLetter"/>
      <w:start w:val="29"/>
    </w:lvl>
  </w:abstractNum>
  <w:abstractNum w:abstractNumId="52">
    <w:nsid w:val="3F6AB60F"/>
    <w:multiLevelType w:val="hybridMultilevel"/>
    <w:lvl w:ilvl="0">
      <w:lvlJc w:val="left"/>
      <w:lvlText w:val="%1."/>
      <w:numFmt w:val="decimal"/>
      <w:start w:val="3"/>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decimal"/>
      <w:start w:val="4"/>
    </w:lvl>
    <w:lvl w:ilvl="1">
      <w:lvlJc w:val="left"/>
      <w:lvlText w:val="(%2)"/>
      <w:numFmt w:val="lowerLetter"/>
      <w:start w:val="1"/>
    </w:lvl>
  </w:abstractNum>
  <w:abstractNum w:abstractNumId="55">
    <w:nsid w:val="77AE35EB"/>
    <w:multiLevelType w:val="hybridMultilevel"/>
    <w:lvl w:ilvl="0">
      <w:lvlJc w:val="left"/>
      <w:lvlText w:val="%1."/>
      <w:numFmt w:val="decimal"/>
      <w:start w:val="7"/>
    </w:lvl>
    <w:lvl w:ilvl="1">
      <w:lvlJc w:val="left"/>
      <w:lvlText w:val="(%2)"/>
      <w:numFmt w:val="lowerLetter"/>
      <w:start w:val="1"/>
    </w:lvl>
  </w:abstractNum>
  <w:abstractNum w:abstractNumId="56">
    <w:nsid w:val="579BE4F1"/>
    <w:multiLevelType w:val="hybridMultilevel"/>
    <w:lvl w:ilvl="0">
      <w:lvlJc w:val="left"/>
      <w:lvlText w:val="%1"/>
      <w:numFmt w:val="decimal"/>
      <w:start w:val="1"/>
    </w:lvl>
    <w:lvl w:ilvl="1">
      <w:lvlJc w:val="left"/>
      <w:lvlText w:val="(%2)"/>
      <w:numFmt w:val="lowerLetter"/>
      <w:start w:val="2"/>
    </w:lvl>
  </w:abstractNum>
  <w:abstractNum w:abstractNumId="57">
    <w:nsid w:val="310C50B3"/>
    <w:multiLevelType w:val="hybridMultilevel"/>
    <w:lvl w:ilvl="0">
      <w:lvlJc w:val="left"/>
      <w:lvlText w:val="%1."/>
      <w:numFmt w:val="decimal"/>
      <w:start w:val="9"/>
    </w:lvl>
    <w:lvl w:ilvl="1">
      <w:lvlJc w:val="left"/>
      <w:lvlText w:val="(%2)"/>
      <w:numFmt w:val="lowerLetter"/>
      <w:start w:val="1"/>
    </w:lvl>
  </w:abstractNum>
  <w:abstractNum w:abstractNumId="58">
    <w:nsid w:val="5FF87E05"/>
    <w:multiLevelType w:val="hybridMultilevel"/>
    <w:lvl w:ilvl="0">
      <w:lvlJc w:val="left"/>
      <w:lvlText w:val="%1."/>
      <w:numFmt w:val="decimal"/>
      <w:start w:val="12"/>
    </w:lvl>
    <w:lvl w:ilvl="1">
      <w:lvlJc w:val="left"/>
      <w:lvlText w:val="(%2)"/>
      <w:numFmt w:val="lowerLetter"/>
      <w:start w:val="1"/>
    </w:lvl>
  </w:abstractNum>
  <w:abstractNum w:abstractNumId="59">
    <w:nsid w:val="2F305DEF"/>
    <w:multiLevelType w:val="hybridMultilevel"/>
    <w:lvl w:ilvl="0">
      <w:lvlJc w:val="left"/>
      <w:lvlText w:val="%1"/>
      <w:numFmt w:val="decimal"/>
      <w:start w:val="1"/>
    </w:lvl>
    <w:lvl w:ilvl="1">
      <w:lvlJc w:val="left"/>
      <w:lvlText w:val="(%2)"/>
      <w:numFmt w:val="lowerLetter"/>
      <w:start w:val="4"/>
    </w:lvl>
  </w:abstractNum>
  <w:abstractNum w:abstractNumId="60">
    <w:nsid w:val="25A70BF7"/>
    <w:multiLevelType w:val="hybridMultilevel"/>
    <w:lvl w:ilvl="0">
      <w:lvlJc w:val="left"/>
      <w:lvlText w:val="%1."/>
      <w:numFmt w:val="decimal"/>
      <w:start w:val="15"/>
    </w:lvl>
    <w:lvl w:ilvl="1">
      <w:lvlJc w:val="left"/>
      <w:lvlText w:val="(%2)"/>
      <w:numFmt w:val="lowerLetter"/>
      <w:start w:val="1"/>
    </w:lvl>
  </w:abstractNum>
  <w:abstractNum w:abstractNumId="61">
    <w:nsid w:val="1DBABF00"/>
    <w:multiLevelType w:val="hybridMultilevel"/>
    <w:lvl w:ilvl="0">
      <w:lvlJc w:val="left"/>
      <w:lvlText w:val="%1."/>
      <w:numFmt w:val="decimal"/>
      <w:start w:val="16"/>
    </w:lvl>
    <w:lvl w:ilvl="1">
      <w:lvlJc w:val="left"/>
      <w:lvlText w:val="(%2)"/>
      <w:numFmt w:val="lowerLetter"/>
      <w:start w:val="1"/>
    </w:lvl>
  </w:abstractNum>
  <w:abstractNum w:abstractNumId="62">
    <w:nsid w:val="4AD084E9"/>
    <w:multiLevelType w:val="hybridMultilevel"/>
    <w:lvl w:ilvl="0">
      <w:lvlJc w:val="left"/>
      <w:lvlText w:val="%1"/>
      <w:numFmt w:val="decimal"/>
      <w:start w:val="1"/>
    </w:lvl>
    <w:lvl w:ilvl="1">
      <w:lvlJc w:val="left"/>
      <w:lvlText w:val="(%2)"/>
      <w:numFmt w:val="lowerLetter"/>
      <w:start w:val="3"/>
    </w:lvl>
  </w:abstractNum>
  <w:abstractNum w:abstractNumId="63">
    <w:nsid w:val="1F48EAA1"/>
    <w:multiLevelType w:val="hybridMultilevel"/>
    <w:lvl w:ilvl="0">
      <w:lvlJc w:val="left"/>
      <w:lvlText w:val="%1."/>
      <w:numFmt w:val="decimal"/>
      <w:start w:val="20"/>
    </w:lvl>
    <w:lvl w:ilvl="1">
      <w:lvlJc w:val="left"/>
      <w:lvlText w:val="(%2)"/>
      <w:numFmt w:val="lowerLetter"/>
      <w:start w:val="1"/>
    </w:lvl>
  </w:abstractNum>
  <w:abstractNum w:abstractNumId="64">
    <w:nsid w:val="1381823A"/>
    <w:multiLevelType w:val="hybridMultilevel"/>
    <w:lvl w:ilvl="0">
      <w:lvlJc w:val="left"/>
      <w:lvlText w:val="%1."/>
      <w:numFmt w:val="decimal"/>
      <w:start w:val="21"/>
    </w:lvl>
    <w:lvl w:ilvl="1">
      <w:lvlJc w:val="left"/>
      <w:lvlText w:val="(%2)"/>
      <w:numFmt w:val="lowerLetter"/>
      <w:start w:val="1"/>
    </w:lvl>
  </w:abstractNum>
  <w:abstractNum w:abstractNumId="65">
    <w:nsid w:val="5DB70AE5"/>
    <w:multiLevelType w:val="hybridMultilevel"/>
    <w:lvl w:ilvl="0">
      <w:lvlJc w:val="left"/>
      <w:lvlText w:val="%1"/>
      <w:numFmt w:val="decimal"/>
      <w:start w:val="1"/>
    </w:lvl>
    <w:lvl w:ilvl="1">
      <w:lvlJc w:val="left"/>
      <w:lvlText w:val="(%2)"/>
      <w:numFmt w:val="lowerLetter"/>
      <w:start w:val="2"/>
    </w:lvl>
  </w:abstractNum>
  <w:abstractNum w:abstractNumId="66">
    <w:nsid w:val="100F8FCA"/>
    <w:multiLevelType w:val="hybridMultilevel"/>
    <w:lvl w:ilvl="0">
      <w:lvlJc w:val="left"/>
      <w:lvlText w:val="%1."/>
      <w:numFmt w:val="decimal"/>
      <w:start w:val="26"/>
    </w:lvl>
    <w:lvl w:ilvl="1">
      <w:lvlJc w:val="left"/>
      <w:lvlText w:val="%2"/>
      <w:numFmt w:val="lowerLetter"/>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83" Type="http://schemas.openxmlformats.org/officeDocument/2006/relationships/image" Target="media/image154.jpeg"/><Relationship Id="rId184"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jpe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61" Type="http://schemas.openxmlformats.org/officeDocument/2006/relationships/hyperlink" Target="https://www.sec.gov/Archives/edgar/data/723125/000110465915004447/a15-3005_2ex99d2.htm" TargetMode="External"/><Relationship Id="rId162" Type="http://schemas.openxmlformats.org/officeDocument/2006/relationships/hyperlink" Target="https://www.sec.gov/Archives/edgar/data/723125/000072312521000018/exhibit31-amendedandrestat.htm" TargetMode="External"/><Relationship Id="rId163" Type="http://schemas.openxmlformats.org/officeDocument/2006/relationships/hyperlink" Target="https://www.sec.gov/Archives/edgar/data/723125/000110465919006069/a18-36862_4ex4d1.htm" TargetMode="External"/><Relationship Id="rId164" Type="http://schemas.openxmlformats.org/officeDocument/2006/relationships/hyperlink" Target="https://www.sec.gov/Archives/edgar/data/723125/000110465919006069/a18-36862_4ex4d2.htm" TargetMode="External"/><Relationship Id="rId165" Type="http://schemas.openxmlformats.org/officeDocument/2006/relationships/hyperlink" Target="https://www.sec.gov/Archives/edgar/data/723125/000110465919040167/a19-12548_4ex4d2.htm" TargetMode="External"/><Relationship Id="rId166" Type="http://schemas.openxmlformats.org/officeDocument/2006/relationships/hyperlink" Target="http://www.sec.gov/Archives/edgar/data/723125/000110465920050965/tm2016033d4_ex4-2.htm" TargetMode="External"/><Relationship Id="rId167" Type="http://schemas.openxmlformats.org/officeDocument/2006/relationships/hyperlink" Target="https://www.sec.gov/Archives/edgar/data/723125/000072312520000082/a202010-kxdescriptiono.htm" TargetMode="External"/><Relationship Id="rId168" Type="http://schemas.openxmlformats.org/officeDocument/2006/relationships/hyperlink" Target="https://www.sec.gov/Archives/edgar/data/723125/000072312517000155/a2017definitiveproxy.htm" TargetMode="External"/><Relationship Id="rId169" Type="http://schemas.openxmlformats.org/officeDocument/2006/relationships/hyperlink" Target="https://www.sec.gov/Archives/edgar/data/723125/000072312516000269/a2016q4ex1062004equityince.htm" TargetMode="External"/><Relationship Id="rId170" Type="http://schemas.openxmlformats.org/officeDocument/2006/relationships/hyperlink" Target="https://www.sec.gov/Archives/edgar/data/723125/000072312516000269/a2016q4ex1072004termsandco.htm" TargetMode="External"/><Relationship Id="rId171" Type="http://schemas.openxmlformats.org/officeDocument/2006/relationships/hyperlink" Target="https://www.sec.gov/Archives/edgar/data/723125/000072312520000091/a2020definitiveproxy.htm#i9efa54f8cda348dca7e1a84d2a2067d2_917" TargetMode="External"/><Relationship Id="rId172" Type="http://schemas.openxmlformats.org/officeDocument/2006/relationships/hyperlink" Target="https://www.sec.gov/Archives/edgar/data/723125/000072312516000269/a2016q4ex1092007termsandco.htm" TargetMode="External"/><Relationship Id="rId173" Type="http://schemas.openxmlformats.org/officeDocument/2006/relationships/hyperlink" Target="https://www.sec.gov/Archives/edgar/data/723125/000072312516000269/a2016q4ex1010nonstatutorys.htm" TargetMode="External"/><Relationship Id="rId174" Type="http://schemas.openxmlformats.org/officeDocument/2006/relationships/hyperlink" Target="https://www.sec.gov/Archives/edgar/data/723125/000072312516000269/a2016q4ex1011stockplanterm.htm" TargetMode="External"/><Relationship Id="rId175" Type="http://schemas.openxmlformats.org/officeDocument/2006/relationships/hyperlink" Target="https://www.sec.gov/Archives/edgar/data/723125/000110465907002662/a07-1385_1ex10d66.htm" TargetMode="External"/><Relationship Id="rId176" Type="http://schemas.openxmlformats.org/officeDocument/2006/relationships/hyperlink" Target="https://www.sec.gov/Archives/edgar/data/723125/000072312514000068/a2014q2ex10-3.htm" TargetMode="External"/><Relationship Id="rId177" Type="http://schemas.openxmlformats.org/officeDocument/2006/relationships/hyperlink" Target="https://www.sec.gov/Archives/edgar/data/723125/000072312507000113/exhibit_99-2.htm" TargetMode="External"/><Relationship Id="rId178" Type="http://schemas.openxmlformats.org/officeDocument/2006/relationships/hyperlink" Target="https://www.sec.gov/Archives/edgar/data/723125/000072312513000138/a2013q3a2ex10-126.htm" TargetMode="External"/><Relationship Id="rId179" Type="http://schemas.openxmlformats.org/officeDocument/2006/relationships/hyperlink" Target="https://www.sec.gov/Archives/edgar/data/723125/000072312521000032/exhibit1015-deferredcompen.htm" TargetMode="External"/><Relationship Id="rId180" Type="http://schemas.openxmlformats.org/officeDocument/2006/relationships/hyperlink" Target="https://www.sec.gov/Archives/edgar/data/723125/000072312517000085/a2017q3ex10-67executiveagr.htm" TargetMode="External"/><Relationship Id="rId181" Type="http://schemas.openxmlformats.org/officeDocument/2006/relationships/hyperlink" Target="https://www.sec.gov/Archives/edgar/data/723125/000072312517000166/a2018q1ex10-70xssseverance.htm" TargetMode="External"/><Relationship Id="rId182" Type="http://schemas.openxmlformats.org/officeDocument/2006/relationships/hyperlink" Target="https://www.sec.gov/Archives/edgar/data/723125/000072312517000148/exhibit991formofamendmentt.htm" TargetMode="External"/><Relationship Id="rId185" Type="http://schemas.openxmlformats.org/officeDocument/2006/relationships/hyperlink" Target="https://www.sec.gov/Archives/edgar/data/723125/000072312517000166/a2018q1ex10-74xmbseverance.htm" TargetMode="External"/><Relationship Id="rId186" Type="http://schemas.openxmlformats.org/officeDocument/2006/relationships/hyperlink" Target="https://www.sec.gov/Archives/edgar/data/723125/000072312518000036/a2018q2ex10-76.htm" TargetMode="External"/><Relationship Id="rId187" Type="http://schemas.openxmlformats.org/officeDocument/2006/relationships/hyperlink" Target="https://www.sec.gov/Archives/edgar/data/723125/000072312521000052/revolvingcreditagreementmi.htm" TargetMode="External"/><Relationship Id="rId188" Type="http://schemas.openxmlformats.org/officeDocument/2006/relationships/hyperlink" Target="https://www.sec.gov/Archives/edgar/data/723125/000072312521000052/termloancreditagreementm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2021-10-08T12:28:43Z</dcterms:created>
  <dcterms:modified xsi:type="dcterms:W3CDTF">2021-10-08T12:28:43Z</dcterms:modified>
</cp:coreProperties>
</file>