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301625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9, 2006</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314" w:right="239" w:bottom="0" w:gutter="0" w:footer="0" w:header="0"/>
        </w:sectPr>
      </w:pPr>
    </w:p>
    <w:p>
      <w:pPr>
        <w:spacing w:after="0" w:line="20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40" w:space="720"/>
            <w:col w:w="2480"/>
          </w:cols>
          <w:pgMar w:left="240" w:top="314"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314" w:right="239" w:bottom="0" w:gutter="0" w:footer="0" w:header="0"/>
          <w:type w:val="continuous"/>
        </w:sectPr>
      </w:pPr>
    </w:p>
    <w:p>
      <w:pPr>
        <w:spacing w:after="0" w:line="234" w:lineRule="exact"/>
        <w:rPr>
          <w:sz w:val="24"/>
          <w:szCs w:val="24"/>
          <w:color w:val="auto"/>
        </w:rPr>
      </w:pPr>
    </w:p>
    <w:p>
      <w:pPr>
        <w:ind w:right="440"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9" w:lineRule="exact"/>
        <w:rPr>
          <w:sz w:val="24"/>
          <w:szCs w:val="24"/>
          <w:color w:val="auto"/>
        </w:rPr>
      </w:pPr>
    </w:p>
    <w:p>
      <w:pPr>
        <w:ind w:firstLine="360"/>
        <w:spacing w:after="0" w:line="257" w:lineRule="auto"/>
        <w:rPr>
          <w:sz w:val="20"/>
          <w:szCs w:val="20"/>
          <w:color w:val="auto"/>
        </w:rPr>
      </w:pPr>
      <w:r>
        <w:rPr>
          <w:rFonts w:ascii="Arial" w:cs="Arial" w:eastAsia="Arial" w:hAnsi="Arial"/>
          <w:sz w:val="18"/>
          <w:szCs w:val="18"/>
          <w:color w:val="auto"/>
        </w:rPr>
        <w:t>On June 9, 2006, Micron Technology, Inc. (“Micron”) and Lexar Media, Inc (“Lexar”) issued a joint press release announcing that the Securities and Exchange Commission has declared effective Micron’s registration statement on Form S-4 (File No. 333-134799), as amended, covering additional Micron stock to be issued to Lexar’s stockholders as consideration upon completion of the proposed merger between Lexar and March 2006 Merger Corp., a wholly owned subsidiary of Micron, arising from an increase in the exchange ratio that each share of Lexar common stock would receive in the merger. A copy of the press release is filed as Exhibit 99.1 and is incorporated herein by reference.</w:t>
      </w:r>
    </w:p>
    <w:p>
      <w:pPr>
        <w:spacing w:after="0" w:line="184" w:lineRule="exact"/>
        <w:rPr>
          <w:sz w:val="24"/>
          <w:szCs w:val="24"/>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29" w:lineRule="exact"/>
        <w:rPr>
          <w:sz w:val="24"/>
          <w:szCs w:val="24"/>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The following exhibit is furnished with this report on Form 8-K:</w:t>
      </w:r>
    </w:p>
    <w:p>
      <w:pPr>
        <w:spacing w:after="0" w:line="225" w:lineRule="exact"/>
        <w:rPr>
          <w:sz w:val="24"/>
          <w:szCs w:val="24"/>
          <w:color w:val="auto"/>
        </w:rPr>
      </w:pPr>
    </w:p>
    <w:p>
      <w:pPr>
        <w:ind w:left="116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June 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7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31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00"/>
              <w:spacing w:after="0"/>
              <w:rPr>
                <w:sz w:val="20"/>
                <w:szCs w:val="20"/>
                <w:color w:val="auto"/>
              </w:rPr>
            </w:pPr>
            <w:r>
              <w:rPr>
                <w:rFonts w:ascii="Arial" w:cs="Arial" w:eastAsia="Arial" w:hAnsi="Arial"/>
                <w:sz w:val="18"/>
                <w:szCs w:val="18"/>
                <w:color w:val="auto"/>
              </w:rPr>
              <w:t>MICRON TECHNOLOGY, INC.</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June 12, 2006</w:t>
            </w:r>
          </w:p>
        </w:tc>
        <w:tc>
          <w:tcPr>
            <w:tcW w:w="2880" w:type="dxa"/>
            <w:vAlign w:val="bottom"/>
          </w:tcPr>
          <w:p>
            <w:pPr>
              <w:ind w:left="210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 STOVER, JR.</w:t>
            </w:r>
          </w:p>
        </w:tc>
      </w:tr>
      <w:tr>
        <w:trPr>
          <w:trHeight w:val="195"/>
        </w:trPr>
        <w:tc>
          <w:tcPr>
            <w:tcW w:w="3560" w:type="dxa"/>
            <w:vAlign w:val="bottom"/>
          </w:tcPr>
          <w:p>
            <w:pPr>
              <w:spacing w:after="0"/>
              <w:rPr>
                <w:sz w:val="16"/>
                <w:szCs w:val="16"/>
                <w:color w:val="auto"/>
              </w:rPr>
            </w:pPr>
          </w:p>
        </w:tc>
        <w:tc>
          <w:tcPr>
            <w:tcW w:w="288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W.G. Stover, Jr.</w:t>
            </w:r>
          </w:p>
        </w:tc>
      </w:tr>
      <w:tr>
        <w:trPr>
          <w:trHeight w:val="230"/>
        </w:trPr>
        <w:tc>
          <w:tcPr>
            <w:tcW w:w="3560" w:type="dxa"/>
            <w:vAlign w:val="bottom"/>
          </w:tcPr>
          <w:p>
            <w:pPr>
              <w:spacing w:after="0"/>
              <w:rPr>
                <w:sz w:val="20"/>
                <w:szCs w:val="20"/>
                <w:color w:val="auto"/>
              </w:rPr>
            </w:pPr>
          </w:p>
        </w:tc>
        <w:tc>
          <w:tcPr>
            <w:tcW w:w="2880" w:type="dxa"/>
            <w:vAlign w:val="bottom"/>
          </w:tcPr>
          <w:p>
            <w:pPr>
              <w:ind w:left="210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Micron Technology, Inc.</w:t>
            </w:r>
          </w:p>
        </w:tc>
        <w:tc>
          <w:tcPr>
            <w:tcW w:w="4760" w:type="dxa"/>
            <w:vAlign w:val="bottom"/>
            <w:gridSpan w:val="4"/>
          </w:tcPr>
          <w:p>
            <w:pPr>
              <w:ind w:left="1800"/>
              <w:spacing w:after="0"/>
              <w:rPr>
                <w:sz w:val="20"/>
                <w:szCs w:val="20"/>
                <w:color w:val="auto"/>
              </w:rPr>
            </w:pPr>
            <w:r>
              <w:rPr>
                <w:rFonts w:ascii="Arial" w:cs="Arial" w:eastAsia="Arial" w:hAnsi="Arial"/>
                <w:sz w:val="18"/>
                <w:szCs w:val="18"/>
                <w:b w:val="1"/>
                <w:bCs w:val="1"/>
                <w:color w:val="auto"/>
              </w:rPr>
              <w:t>Lexar Media, Inc.</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Kipp A. Bedard</w:t>
            </w:r>
          </w:p>
        </w:tc>
        <w:tc>
          <w:tcPr>
            <w:tcW w:w="4760" w:type="dxa"/>
            <w:vAlign w:val="bottom"/>
            <w:gridSpan w:val="4"/>
          </w:tcPr>
          <w:p>
            <w:pPr>
              <w:ind w:left="1800"/>
              <w:spacing w:after="0"/>
              <w:rPr>
                <w:sz w:val="20"/>
                <w:szCs w:val="20"/>
                <w:color w:val="auto"/>
              </w:rPr>
            </w:pPr>
            <w:r>
              <w:rPr>
                <w:rFonts w:ascii="Arial" w:cs="Arial" w:eastAsia="Arial" w:hAnsi="Arial"/>
                <w:sz w:val="18"/>
                <w:szCs w:val="18"/>
                <w:color w:val="auto"/>
              </w:rPr>
              <w:t>Michael P. Scarpelli</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Investor Relations</w:t>
            </w:r>
          </w:p>
        </w:tc>
        <w:tc>
          <w:tcPr>
            <w:tcW w:w="4760" w:type="dxa"/>
            <w:vAlign w:val="bottom"/>
            <w:gridSpan w:val="4"/>
          </w:tcPr>
          <w:p>
            <w:pPr>
              <w:ind w:left="1800"/>
              <w:spacing w:after="0"/>
              <w:rPr>
                <w:sz w:val="20"/>
                <w:szCs w:val="20"/>
                <w:color w:val="auto"/>
              </w:rPr>
            </w:pPr>
            <w:r>
              <w:rPr>
                <w:rFonts w:ascii="Arial" w:cs="Arial" w:eastAsia="Arial" w:hAnsi="Arial"/>
                <w:sz w:val="18"/>
                <w:szCs w:val="18"/>
                <w:color w:val="auto"/>
              </w:rPr>
              <w:t>Chief Financial Officer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(208) 368-4400</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20" w:type="dxa"/>
            <w:vAlign w:val="bottom"/>
            <w:gridSpan w:val="2"/>
          </w:tcPr>
          <w:p>
            <w:pPr>
              <w:ind w:left="1800"/>
              <w:spacing w:after="0"/>
              <w:rPr>
                <w:sz w:val="20"/>
                <w:szCs w:val="20"/>
                <w:color w:val="auto"/>
              </w:rPr>
            </w:pPr>
            <w:r>
              <w:rPr>
                <w:rFonts w:ascii="Arial" w:cs="Arial" w:eastAsia="Arial" w:hAnsi="Arial"/>
                <w:sz w:val="18"/>
                <w:szCs w:val="18"/>
                <w:color w:val="auto"/>
              </w:rPr>
              <w:t>(510) 580-8730</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0"/>
        </w:trPr>
        <w:tc>
          <w:tcPr>
            <w:tcW w:w="1620" w:type="dxa"/>
            <w:vAlign w:val="bottom"/>
          </w:tcPr>
          <w:p>
            <w:pPr>
              <w:spacing w:after="0" w:line="190" w:lineRule="exact"/>
              <w:rPr>
                <w:sz w:val="20"/>
                <w:szCs w:val="20"/>
                <w:color w:val="auto"/>
              </w:rPr>
            </w:pPr>
            <w:r>
              <w:rPr>
                <w:rFonts w:ascii="Arial" w:cs="Arial" w:eastAsia="Arial" w:hAnsi="Arial"/>
                <w:sz w:val="18"/>
                <w:szCs w:val="18"/>
                <w:color w:val="auto"/>
                <w:w w:val="90"/>
              </w:rPr>
              <w:t>kbedard@micron.com</w:t>
            </w:r>
          </w:p>
        </w:tc>
        <w:tc>
          <w:tcPr>
            <w:tcW w:w="2040" w:type="dxa"/>
            <w:vAlign w:val="bottom"/>
            <w:gridSpan w:val="2"/>
          </w:tcPr>
          <w:p>
            <w:pPr>
              <w:spacing w:after="0"/>
              <w:rPr>
                <w:sz w:val="16"/>
                <w:szCs w:val="16"/>
                <w:color w:val="auto"/>
              </w:rPr>
            </w:pPr>
          </w:p>
        </w:tc>
        <w:tc>
          <w:tcPr>
            <w:tcW w:w="4760" w:type="dxa"/>
            <w:vAlign w:val="bottom"/>
            <w:gridSpan w:val="4"/>
          </w:tcPr>
          <w:p>
            <w:pPr>
              <w:ind w:left="1800"/>
              <w:spacing w:after="0" w:line="190" w:lineRule="exact"/>
              <w:rPr>
                <w:sz w:val="20"/>
                <w:szCs w:val="20"/>
                <w:color w:val="auto"/>
              </w:rPr>
            </w:pPr>
            <w:r>
              <w:rPr>
                <w:rFonts w:ascii="Arial" w:cs="Arial" w:eastAsia="Arial" w:hAnsi="Arial"/>
                <w:sz w:val="18"/>
                <w:szCs w:val="18"/>
                <w:color w:val="auto"/>
              </w:rPr>
              <w:t>mscarpelli@lexar.com</w:t>
            </w:r>
          </w:p>
        </w:tc>
      </w:tr>
      <w:tr>
        <w:trPr>
          <w:trHeight w:val="20"/>
        </w:trPr>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30"/>
        </w:trPr>
        <w:tc>
          <w:tcPr>
            <w:tcW w:w="1620" w:type="dxa"/>
            <w:vAlign w:val="bottom"/>
          </w:tcPr>
          <w:p>
            <w:pPr>
              <w:spacing w:after="0"/>
              <w:rPr>
                <w:sz w:val="20"/>
                <w:szCs w:val="20"/>
                <w:color w:val="auto"/>
              </w:rPr>
            </w:pPr>
            <w:r>
              <w:rPr>
                <w:rFonts w:ascii="Arial" w:cs="Arial" w:eastAsia="Arial" w:hAnsi="Arial"/>
                <w:sz w:val="18"/>
                <w:szCs w:val="18"/>
                <w:color w:val="auto"/>
              </w:rPr>
              <w:t>Daniel Francisco</w:t>
            </w:r>
          </w:p>
        </w:tc>
        <w:tc>
          <w:tcPr>
            <w:tcW w:w="2040" w:type="dxa"/>
            <w:vAlign w:val="bottom"/>
            <w:gridSpan w:val="2"/>
          </w:tcPr>
          <w:p>
            <w:pPr>
              <w:spacing w:after="0"/>
              <w:rPr>
                <w:sz w:val="24"/>
                <w:szCs w:val="24"/>
                <w:color w:val="auto"/>
              </w:rPr>
            </w:pPr>
          </w:p>
        </w:tc>
        <w:tc>
          <w:tcPr>
            <w:tcW w:w="4760" w:type="dxa"/>
            <w:vAlign w:val="bottom"/>
            <w:gridSpan w:val="4"/>
          </w:tcPr>
          <w:p>
            <w:pPr>
              <w:ind w:left="1800"/>
              <w:spacing w:after="0"/>
              <w:rPr>
                <w:sz w:val="20"/>
                <w:szCs w:val="20"/>
                <w:color w:val="auto"/>
              </w:rPr>
            </w:pPr>
            <w:r>
              <w:rPr>
                <w:rFonts w:ascii="Arial" w:cs="Arial" w:eastAsia="Arial" w:hAnsi="Arial"/>
                <w:sz w:val="18"/>
                <w:szCs w:val="18"/>
                <w:color w:val="auto"/>
              </w:rPr>
              <w:t>Matthew Sherman</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Media Relations</w:t>
            </w:r>
          </w:p>
        </w:tc>
        <w:tc>
          <w:tcPr>
            <w:tcW w:w="4760" w:type="dxa"/>
            <w:vAlign w:val="bottom"/>
            <w:gridSpan w:val="4"/>
          </w:tcPr>
          <w:p>
            <w:pPr>
              <w:ind w:left="1800"/>
              <w:spacing w:after="0"/>
              <w:rPr>
                <w:sz w:val="20"/>
                <w:szCs w:val="20"/>
                <w:color w:val="auto"/>
              </w:rPr>
            </w:pPr>
            <w:r>
              <w:rPr>
                <w:rFonts w:ascii="Arial" w:cs="Arial" w:eastAsia="Arial" w:hAnsi="Arial"/>
                <w:sz w:val="18"/>
                <w:szCs w:val="18"/>
                <w:color w:val="auto"/>
                <w:w w:val="91"/>
              </w:rPr>
              <w:t>Joele Frank, Wilkinson Brimmer Katcher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(208) 368-5584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60" w:type="dxa"/>
            <w:vAlign w:val="bottom"/>
            <w:gridSpan w:val="4"/>
          </w:tcPr>
          <w:p>
            <w:pPr>
              <w:ind w:left="1800"/>
              <w:spacing w:after="0"/>
              <w:rPr>
                <w:sz w:val="20"/>
                <w:szCs w:val="20"/>
                <w:color w:val="auto"/>
              </w:rPr>
            </w:pPr>
            <w:r>
              <w:rPr>
                <w:rFonts w:ascii="Arial" w:cs="Arial" w:eastAsia="Arial" w:hAnsi="Arial"/>
                <w:sz w:val="18"/>
                <w:szCs w:val="18"/>
                <w:color w:val="auto"/>
              </w:rPr>
              <w:t>(212) 355-4449 x165</w:t>
            </w:r>
          </w:p>
        </w:tc>
      </w:tr>
      <w:tr>
        <w:trPr>
          <w:trHeight w:val="190"/>
        </w:trPr>
        <w:tc>
          <w:tcPr>
            <w:tcW w:w="3660" w:type="dxa"/>
            <w:vAlign w:val="bottom"/>
            <w:gridSpan w:val="3"/>
          </w:tcPr>
          <w:p>
            <w:pPr>
              <w:spacing w:after="0" w:line="190" w:lineRule="exact"/>
              <w:rPr>
                <w:sz w:val="20"/>
                <w:szCs w:val="20"/>
                <w:color w:val="auto"/>
              </w:rPr>
            </w:pPr>
            <w:r>
              <w:rPr>
                <w:rFonts w:ascii="Arial" w:cs="Arial" w:eastAsia="Arial" w:hAnsi="Arial"/>
                <w:sz w:val="18"/>
                <w:szCs w:val="18"/>
                <w:color w:val="auto"/>
              </w:rPr>
              <w:t>dfrancisco@micron.com</w:t>
            </w:r>
          </w:p>
        </w:tc>
        <w:tc>
          <w:tcPr>
            <w:tcW w:w="4760" w:type="dxa"/>
            <w:vAlign w:val="bottom"/>
            <w:gridSpan w:val="4"/>
          </w:tcPr>
          <w:p>
            <w:pPr>
              <w:ind w:left="1800"/>
              <w:spacing w:after="0" w:line="190" w:lineRule="exact"/>
              <w:rPr>
                <w:sz w:val="20"/>
                <w:szCs w:val="20"/>
                <w:color w:val="auto"/>
              </w:rPr>
            </w:pPr>
            <w:r>
              <w:rPr>
                <w:rFonts w:ascii="Arial" w:cs="Arial" w:eastAsia="Arial" w:hAnsi="Arial"/>
                <w:sz w:val="18"/>
                <w:szCs w:val="18"/>
                <w:color w:val="auto"/>
              </w:rPr>
              <w:t>msherman@joelefrank.com</w:t>
            </w:r>
          </w:p>
        </w:tc>
      </w:tr>
      <w:tr>
        <w:trPr>
          <w:trHeight w:val="20"/>
        </w:trPr>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Jennifer Jarman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ind w:left="5460" w:right="4480" w:hanging="9"/>
        <w:spacing w:after="0" w:line="323" w:lineRule="auto"/>
        <w:tabs>
          <w:tab w:leader="none" w:pos="589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443-3400 </w:t>
      </w:r>
      <w:r>
        <w:rPr>
          <w:rFonts w:ascii="Arial" w:cs="Arial" w:eastAsia="Arial" w:hAnsi="Arial"/>
          <w:sz w:val="16"/>
          <w:szCs w:val="16"/>
          <w:u w:val="single" w:color="auto"/>
          <w:color w:val="auto"/>
        </w:rPr>
        <w:t>investor@lexar.com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 AND LEXAR MEDIA,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MERGER REGISTRATION STATEMENT DECLARED EFFECTIVE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Lexar Stockholders To Vote On Merger As Scheduled For June 16, 2006</w:t>
      </w:r>
    </w:p>
    <w:p>
      <w:pPr>
        <w:spacing w:after="0" w:line="225" w:lineRule="exact"/>
        <w:rPr>
          <w:sz w:val="20"/>
          <w:szCs w:val="20"/>
          <w:color w:val="auto"/>
        </w:rPr>
      </w:pPr>
    </w:p>
    <w:p>
      <w:pPr>
        <w:ind w:right="200" w:firstLine="360"/>
        <w:spacing w:after="0" w:line="266" w:lineRule="auto"/>
        <w:rPr>
          <w:sz w:val="20"/>
          <w:szCs w:val="20"/>
          <w:color w:val="auto"/>
        </w:rPr>
      </w:pPr>
      <w:r>
        <w:rPr>
          <w:rFonts w:ascii="Arial" w:cs="Arial" w:eastAsia="Arial" w:hAnsi="Arial"/>
          <w:sz w:val="18"/>
          <w:szCs w:val="18"/>
          <w:b w:val="1"/>
          <w:bCs w:val="1"/>
          <w:color w:val="auto"/>
        </w:rPr>
        <w:t>BOISE, Idaho and FREMONT, Calif., June 8, 2006—</w:t>
      </w:r>
      <w:r>
        <w:rPr>
          <w:rFonts w:ascii="Arial" w:cs="Arial" w:eastAsia="Arial" w:hAnsi="Arial"/>
          <w:sz w:val="18"/>
          <w:szCs w:val="18"/>
          <w:color w:val="auto"/>
        </w:rPr>
        <w:t>Micron Technology, Inc. (NYSE: MU) and Lexar Media, Inc. (Nasdaq: LEXR)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the Securities and Exchange Commission (SEC) has declared effective the Registration Statement on Form S-4, as amended, relating to the proposed merger between Micron and Lexar.</w:t>
      </w:r>
    </w:p>
    <w:p>
      <w:pPr>
        <w:spacing w:after="0" w:line="18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previously announced, on June 5, 2006, the boards of directors of each of Micron and Lexar unanimously approved, and Micron and Lexar executed, an amendment to their merger agreement on June 4, 2006 providing for an increa se in the exchange ratio that each outstanding share of Lexar common stock would receive in the merger to 0.5925 shares of Micron common stock from 0.5625 shares of Micron common stock. Also as previously announced, the special meeting of Lexar’s stockholders called to approve the merger has been adjourned to June 16, 2006 at 2:00 p.m., local time, at Lexar’s corporate headquarters at 47300 Bayside Parkway, Fremont, California.</w:t>
      </w:r>
    </w:p>
    <w:p>
      <w:pPr>
        <w:spacing w:after="0" w:line="188" w:lineRule="exact"/>
        <w:rPr>
          <w:sz w:val="20"/>
          <w:szCs w:val="20"/>
          <w:color w:val="auto"/>
        </w:rPr>
      </w:pPr>
    </w:p>
    <w:p>
      <w:pPr>
        <w:ind w:right="320" w:firstLine="360"/>
        <w:spacing w:after="0" w:line="276" w:lineRule="auto"/>
        <w:rPr>
          <w:sz w:val="20"/>
          <w:szCs w:val="20"/>
          <w:color w:val="auto"/>
        </w:rPr>
      </w:pPr>
      <w:r>
        <w:rPr>
          <w:rFonts w:ascii="Arial" w:cs="Arial" w:eastAsia="Arial" w:hAnsi="Arial"/>
          <w:sz w:val="17"/>
          <w:szCs w:val="17"/>
          <w:color w:val="auto"/>
        </w:rPr>
        <w:t xml:space="preserve">Lexar stockholders of record as of the close of business on April 28, 2006 remain entitled to vote at the reconvened special meeting of Lexar stockholders and will be mailed supplementary materials describing the increase in the exchange ratio and the reconvened special meeting as soon as practicable. A copy of the proxy statement/prospectus and the supplementary materials is also available on the SEC’s website: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Lexar’s website: </w:t>
      </w:r>
      <w:r>
        <w:rPr>
          <w:rFonts w:ascii="Arial" w:cs="Arial" w:eastAsia="Arial" w:hAnsi="Arial"/>
          <w:sz w:val="17"/>
          <w:szCs w:val="17"/>
          <w:u w:val="single" w:color="auto"/>
          <w:color w:val="auto"/>
        </w:rPr>
        <w:t>www.lexar.com</w:t>
      </w:r>
      <w:r>
        <w:rPr>
          <w:rFonts w:ascii="Arial" w:cs="Arial" w:eastAsia="Arial" w:hAnsi="Arial"/>
          <w:sz w:val="17"/>
          <w:szCs w:val="17"/>
          <w:color w:val="auto"/>
        </w:rPr>
        <w:t>. Lexar noted that stockholders that have previously voted may change their vote, but need not vote again. Subject to stockholder approval, the transaction is expected to close as soon as practicable after the reconvened special meeting.</w:t>
      </w:r>
    </w:p>
    <w:p>
      <w:pPr>
        <w:spacing w:after="0" w:line="173"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previously announced, on April 25, 2006, the waiting period under the Hart-Scott-Rodino Antitrust Improvements Act of 1976, as amended, in connection with Micron’s proposed acquisition of Lexar, expired. The merger remains subject to other customary closing conditions, including approval by Lexar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firstLine="360"/>
        <w:spacing w:after="0" w:line="281" w:lineRule="auto"/>
        <w:rPr>
          <w:sz w:val="20"/>
          <w:szCs w:val="20"/>
          <w:color w:val="auto"/>
        </w:rPr>
      </w:pPr>
      <w:r>
        <w:rPr>
          <w:rFonts w:ascii="Arial" w:cs="Arial" w:eastAsia="Arial" w:hAnsi="Arial"/>
          <w:sz w:val="17"/>
          <w:szCs w:val="17"/>
          <w:b w:val="1"/>
          <w:bCs w:val="1"/>
          <w:color w:val="auto"/>
        </w:rPr>
        <w:t xml:space="preserve">Lexar stockholders are reminded that their vote is important. A failure to vote has the same effect as a vote against the adoption of the merger agreement, as amended. Any stockholder who has not yet voted is urged to vote FOR the adoption of the merger agreement, as amended. </w:t>
      </w:r>
      <w:r>
        <w:rPr>
          <w:rFonts w:ascii="Arial" w:cs="Arial" w:eastAsia="Arial" w:hAnsi="Arial"/>
          <w:sz w:val="17"/>
          <w:szCs w:val="17"/>
          <w:color w:val="auto"/>
        </w:rPr>
        <w:t>Stockholders may vote their shares by telephone or by the Internet, and are advised that if they have any questions or need any assistance in the last-minute voting of their shares, they should contact Lexar’s proxy solicitor, Innisfree M&amp;A Incorporated, toll-free at 877-456-3427.</w:t>
      </w:r>
    </w:p>
    <w:p>
      <w:pPr>
        <w:spacing w:after="0" w:line="169"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Lexar stockholders are encouraged to read the definitive proxy statement/prospectus and the supplementary materials related to the proposed merger with Micron, and any update or amendment thereto, in its entirety as it provides, among other things, a detailed discussion of the process that led to the proposed merger and any amendment to the terms thereof and the reasons behind Lexar’s Board of Directors’ unanimous recommendation that Lexar stockholders vote FOR the adoption of the merger agreement,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Lexar Media, Inc</w:t>
      </w:r>
    </w:p>
    <w:p>
      <w:pPr>
        <w:spacing w:after="0" w:line="22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Lexar holds over 98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California, Lexar has operations in countries around the world. More information is available at www.lexar.com.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 #</w:t>
      </w:r>
    </w:p>
    <w:p>
      <w:pPr>
        <w:sectPr>
          <w:pgSz w:w="11900" w:h="16838" w:orient="portrait"/>
          <w:cols w:equalWidth="0" w:num="1">
            <w:col w:w="11380"/>
          </w:cols>
          <w:pgMar w:left="240" w:top="553" w:right="279" w:bottom="19" w:gutter="0" w:footer="0" w:header="0"/>
        </w:sectPr>
      </w:pPr>
    </w:p>
    <w:bookmarkStart w:id="3" w:name="page4"/>
    <w:bookmarkEnd w:id="3"/>
    <w:p>
      <w:pPr>
        <w:ind w:right="300" w:firstLine="360"/>
        <w:spacing w:after="0" w:line="277" w:lineRule="auto"/>
        <w:rPr>
          <w:sz w:val="20"/>
          <w:szCs w:val="20"/>
          <w:color w:val="auto"/>
        </w:rPr>
      </w:pPr>
      <w:r>
        <w:rPr>
          <w:rFonts w:ascii="Arial" w:cs="Arial" w:eastAsia="Arial" w:hAnsi="Arial"/>
          <w:sz w:val="18"/>
          <w:szCs w:val="18"/>
          <w:color w:val="auto"/>
        </w:rPr>
        <w:t>Micron and the Micron orbit logo are trademarks of Micron Technology, Inc. Lexar and the Lexar logo are trademarks of Lexar Media, Inc. All other trademarks are the property of their respective owners.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 and the Lexar logo are trademarks of Lexar Media, Inc. All other trademarks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This press release contains forward-looking statements that involve risks and uncertainties concerning Micron’s proposed acquisition of Lexar Media, Inc., including the timing of the special meeting of Lexar stockholders and the closing of the merger. Actual events or results may differ materially from those described in this press release due to a number of risks and uncertainties. The potential risks and uncertainties include, among others, the possibility that the transaction will not close or that the closing may be delayed. In addition, please refer to the documents that Micron and Lexar file with the Securities and Exchange Commission on Forms S-4, 10-K, 10-Q and 8-K. The filings by each of Micron and Lexar identify and address other important factors that could cause actual results to differ materially from those contained in the forward-looking statements set forth in this press release. Micron and Lexar are under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duty to update any of the forward-looking statements after the date of this press release to conform to actual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Micron has filed registration statements on Form S-4 (Registration Nos. 333-132757 and 333-134799), each as amended, containing a definitive proxy statement/prospectus, a supplement thereto and other relevant materials in connection with the proposed acquisition of Lexar by Micron. On May 4, 2006, the definitive proxy statement/prospectus was mailed to Lexar stockholders of record as of the close of business on April 28, 2006. On or about June 9, 2006 supplementary materials describing the increase in the exchange ratio and the reconvened special meeting will be mailed to Lexar stockholders of record as of the close of business on April 28, 2006. Investors and security holders of Lexar are urged to read the definitive proxy statement/prospectus as updated and the other relevant materials because they contain important information about Micron, Lexar and the proposed merger. The definitive proxy statement/ prospectus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Chief Financial Officer, Michael Scarpelli, (510) 580-8730. Investors and security holders of Lexar are urged to read the definitive proxy statement/prospectus and the other relevant materials before making any voting or investment decision with respect to the proposed merger.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51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2019-12-13T13:00:48Z</dcterms:created>
  <dcterms:modified xsi:type="dcterms:W3CDTF">2019-12-13T13:00:48Z</dcterms:modified>
</cp:coreProperties>
</file>