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40" w:hanging="293"/>
        <w:spacing w:after="0"/>
        <w:tabs>
          <w:tab w:leader="none" w:pos="3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 (d) OF THE SECURITIES EXCHANGE ACT OF 1934</w:t>
      </w:r>
    </w:p>
    <w:p>
      <w:pPr>
        <w:spacing w:after="0" w:line="38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February 27, 2003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0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309880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1-10658</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State or other jurisdiction of incorporation or organization: </w:t>
      </w:r>
      <w:r>
        <w:rPr>
          <w:rFonts w:ascii="Arial" w:cs="Arial" w:eastAsia="Arial" w:hAnsi="Arial"/>
          <w:sz w:val="18"/>
          <w:szCs w:val="18"/>
          <w:b w:val="1"/>
          <w:bCs w:val="1"/>
          <w:color w:val="auto"/>
        </w:rPr>
        <w:t>Delaware</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Internal Revenue Service - Employer Identification No. </w:t>
      </w:r>
      <w:r>
        <w:rPr>
          <w:rFonts w:ascii="Arial" w:cs="Arial" w:eastAsia="Arial" w:hAnsi="Arial"/>
          <w:sz w:val="17"/>
          <w:szCs w:val="17"/>
          <w:b w:val="1"/>
          <w:bCs w:val="1"/>
          <w:color w:val="auto"/>
        </w:rPr>
        <w:t>75-1618004</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 Federal Way, P.O. Box 6, Boise, Idaho 83707-0006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Layout w:type="fixed"/>
        <w:tblInd w:w="0" w:type="dxa"/>
        <w:tblCellMar>
          <w:top w:w="0" w:type="dxa"/>
          <w:left w:w="0" w:type="dxa"/>
          <w:bottom w:w="0" w:type="dxa"/>
          <w:right w:w="0" w:type="dxa"/>
        </w:tblCellMar>
      </w:tblPr>
      <w:tr>
        <w:trPr>
          <w:trHeight w:val="283"/>
        </w:trPr>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840" w:type="dxa"/>
            <w:vAlign w:val="bottom"/>
          </w:tcPr>
          <w:p>
            <w:pPr>
              <w:ind w:left="440"/>
              <w:spacing w:after="0"/>
              <w:rPr>
                <w:sz w:val="20"/>
                <w:szCs w:val="20"/>
                <w:color w:val="auto"/>
              </w:rPr>
            </w:pPr>
            <w:r>
              <w:rPr>
                <w:rFonts w:ascii="Arial" w:cs="Arial" w:eastAsia="Arial" w:hAnsi="Arial"/>
                <w:sz w:val="18"/>
                <w:szCs w:val="18"/>
                <w:color w:val="auto"/>
              </w:rPr>
              <w:t>No 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840" w:type="dxa"/>
            <w:vAlign w:val="bottom"/>
          </w:tcPr>
          <w:p>
            <w:pPr>
              <w:ind w:left="8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10840" w:type="dxa"/>
            <w:vAlign w:val="bottom"/>
          </w:tcPr>
          <w:p>
            <w:pPr>
              <w:ind w:left="440"/>
              <w:spacing w:after="0"/>
              <w:rPr>
                <w:sz w:val="20"/>
                <w:szCs w:val="20"/>
                <w:color w:val="auto"/>
              </w:rPr>
            </w:pPr>
            <w:r>
              <w:rPr>
                <w:rFonts w:ascii="Arial" w:cs="Arial" w:eastAsia="Arial" w:hAnsi="Arial"/>
                <w:sz w:val="18"/>
                <w:szCs w:val="18"/>
                <w:color w:val="auto"/>
              </w:rPr>
              <w:t>No 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10840" w:type="dxa"/>
            <w:vAlign w:val="bottom"/>
          </w:tcPr>
          <w:p>
            <w:pPr>
              <w:ind w:left="80"/>
              <w:spacing w:after="0"/>
              <w:rPr>
                <w:sz w:val="20"/>
                <w:szCs w:val="20"/>
                <w:color w:val="auto"/>
              </w:rPr>
            </w:pPr>
            <w:r>
              <w:rPr>
                <w:rFonts w:ascii="Arial" w:cs="Arial" w:eastAsia="Arial" w:hAnsi="Arial"/>
                <w:sz w:val="18"/>
                <w:szCs w:val="18"/>
                <w:color w:val="auto"/>
              </w:rPr>
              <w:t>The number of outstanding shares of the registrant’s common stock as of April 8, 2003, was 608,643,469.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auto"/>
            </w:tcBorders>
          </w:tcPr>
          <w:p>
            <w:pPr>
              <w:spacing w:after="0"/>
              <w:rPr>
                <w:sz w:val="21"/>
                <w:szCs w:val="21"/>
                <w:color w:val="auto"/>
              </w:rPr>
            </w:pPr>
          </w:p>
        </w:tc>
        <w:tc>
          <w:tcPr>
            <w:tcW w:w="10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auto"/>
            </w:tcBorders>
          </w:tcPr>
          <w:p>
            <w:pPr>
              <w:spacing w:after="0"/>
              <w:rPr>
                <w:sz w:val="7"/>
                <w:szCs w:val="7"/>
                <w:color w:val="auto"/>
              </w:rPr>
            </w:pPr>
          </w:p>
        </w:tc>
        <w:tc>
          <w:tcPr>
            <w:tcW w:w="10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0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ind w:left="7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27,</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57"/>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February 27,</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bl>
    <w:p>
      <w:pPr>
        <w:sectPr>
          <w:pgSz w:w="11900" w:h="16843" w:orient="portrait"/>
          <w:cols w:equalWidth="0" w:num="1">
            <w:col w:w="11440"/>
          </w:cols>
          <w:pgMar w:left="240" w:top="585" w:right="2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328.6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4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loss</w:t>
            </w: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Loss before taxes</w:t>
            </w: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(896.1)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607.2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27,</w:t>
            </w:r>
          </w:p>
        </w:tc>
        <w:tc>
          <w:tcPr>
            <w:tcW w:w="2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8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915.1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482.6</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4,653.2</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185.3</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621.8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Equipment purchase contracts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865.5</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$0.10 par value, authorized 3.0 billion shares, issued and outstanding 607.6 million and 602.9</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 shares</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4,160.1</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27,</w:t>
            </w:r>
          </w:p>
        </w:tc>
        <w:tc>
          <w:tcPr>
            <w:tcW w:w="1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1"/>
        </w:trPr>
        <w:tc>
          <w:tcPr>
            <w:tcW w:w="8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11"/>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(935.1)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610.1</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Restructure and other charges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Provision to write down inventories to estimated market values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write-down or disposition of 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Loss (gain) from write-down or disposition of investments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capital tax effect of stock plans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receivables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Increase in inventories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accounts payable and accrued expenses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Purchase of available-for-sale securities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(319.7)</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667.5</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call spread options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499.4</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Net increase in cash and equivalents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516.9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7"/>
        </w:trPr>
        <w:tc>
          <w:tcPr>
            <w:tcW w:w="8580" w:type="dxa"/>
            <w:vAlign w:val="bottom"/>
            <w:gridSpan w:val="3"/>
          </w:tcPr>
          <w:p>
            <w:pPr>
              <w:spacing w:after="0"/>
              <w:rPr>
                <w:sz w:val="20"/>
                <w:szCs w:val="20"/>
                <w:color w:val="auto"/>
              </w:rPr>
            </w:pPr>
            <w:r>
              <w:rPr>
                <w:rFonts w:ascii="Arial" w:cs="Arial" w:eastAsia="Arial" w:hAnsi="Arial"/>
                <w:sz w:val="18"/>
                <w:szCs w:val="18"/>
                <w:color w:val="auto"/>
              </w:rPr>
              <w:t>Cash and equivalents at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915.1</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refunded,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Equipment acquisitions on contracts payable and capital leases</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5" w:lineRule="exact"/>
        <w:rPr>
          <w:sz w:val="20"/>
          <w:szCs w:val="20"/>
          <w:color w:val="auto"/>
        </w:rPr>
      </w:pPr>
    </w:p>
    <w:p>
      <w:pPr>
        <w:ind w:right="300" w:firstLine="648"/>
        <w:spacing w:after="0" w:line="30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principally design,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manufacture and market semiconductor products. All significant intercompany accounts and transactions have been eliminated. The Company’s fiscal year is the 52 or 53-week period ending on the Thursday closest to August 31. The Company’s second quarter of fiscal 2003 and 2002 ended on February 27, 2003, and February 28, 2002, respectively. The Company’s fiscal 2002 ended on August 29, 2002. In the opinion of management, the</w:t>
      </w:r>
    </w:p>
    <w:p>
      <w:pPr>
        <w:sectPr>
          <w:pgSz w:w="11900" w:h="16838" w:orient="portrait"/>
          <w:cols w:equalWidth="0" w:num="1">
            <w:col w:w="11420"/>
          </w:cols>
          <w:pgMar w:left="240" w:top="553" w:right="239" w:bottom="0" w:gutter="0" w:footer="0" w:header="0"/>
        </w:sectPr>
      </w:pPr>
    </w:p>
    <w:bookmarkStart w:id="3" w:name="page4"/>
    <w:bookmarkEnd w:id="3"/>
    <w:p>
      <w:pPr>
        <w:ind w:right="560"/>
        <w:spacing w:after="0" w:line="277" w:lineRule="auto"/>
        <w:rPr>
          <w:sz w:val="20"/>
          <w:szCs w:val="20"/>
          <w:color w:val="auto"/>
        </w:rPr>
      </w:pPr>
      <w:r>
        <w:rPr>
          <w:rFonts w:ascii="Arial" w:cs="Arial" w:eastAsia="Arial" w:hAnsi="Arial"/>
          <w:sz w:val="18"/>
          <w:szCs w:val="18"/>
          <w:color w:val="auto"/>
        </w:rPr>
        <w:t>accompanying unaudited consolidated financial statements contain all adjustments necessary to present fairly the consolidated financial position of the Company, and its consolidated results of operations and cash flows.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These interim financial statements should be read in conjunction with the consolidated financial statements and accompanying notes included in the Company’s Form 10-K for the year ended August 29, 2002.</w:t>
      </w:r>
    </w:p>
    <w:p>
      <w:pPr>
        <w:spacing w:after="0" w:line="166"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January 2003, the Financial Accounting Standards Board (“FASB”) issued Interpretation No. 46,</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Variable Interest Entities – 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 immediately for variable interest entities created after January 31, 2003, and to variable interest entities in which an enterprise obtains an interest after that date. The Company is required to adopt the interpretation in the first quarter of 2004 for variable interest entities acquired before February 1, 2003. The Company is currently assessing the impact of Interpretation No. 46 on its results of operations and financial position.</w:t>
      </w:r>
    </w:p>
    <w:p>
      <w:pPr>
        <w:spacing w:after="0" w:line="16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December 2002, the FASB issued Statement of Financial Accounting Standards (“SFAS”) No. 148, “Accounting for Stock-Based Compensation – Transition and Disclosure – an amendment of FASB Statement No. 123.” SFAS No. 148 amends SFAS No. 123, “Accounting for Stock-Based Compensation,” to provide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 SFAS No. 148 is effective for the Company in the third quarter of 2003. The Company does not expect to effect a voluntary change in accounting to the fair value based method, and, accordingly, does not expect the adoption of SFAS No. 148 to have a significant impact on the Company’s future results of operations or financial position.</w:t>
      </w:r>
    </w:p>
    <w:p>
      <w:pPr>
        <w:spacing w:after="0" w:line="188" w:lineRule="exact"/>
        <w:rPr>
          <w:sz w:val="20"/>
          <w:szCs w:val="20"/>
          <w:color w:val="auto"/>
        </w:rPr>
      </w:pPr>
    </w:p>
    <w:p>
      <w:pPr>
        <w:ind w:right="700" w:firstLine="648"/>
        <w:spacing w:after="0" w:line="313"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The Company has determined, based on the nature of its operations and products offered to customers, that its only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reportable segment is Semiconductor Operations. The Semiconductor Operations segment’s primary product is DRAM.</w:t>
      </w:r>
    </w:p>
    <w:p>
      <w:pPr>
        <w:spacing w:after="0" w:line="13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Product warranty</w:t>
      </w:r>
      <w:r>
        <w:rPr>
          <w:rFonts w:ascii="Arial" w:cs="Arial" w:eastAsia="Arial" w:hAnsi="Arial"/>
          <w:sz w:val="18"/>
          <w:szCs w:val="18"/>
          <w:color w:val="auto"/>
        </w:rPr>
        <w:t>: The Company generally provides a limited warranty that its products are in compliance with Company specifications existing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under certain circumstances, impose upon the Company more extensive liability than that provided under the Company’s general terms and conditions. The Company’s warranty obligations are not material.</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February 27,</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August 29,</w:t>
            </w:r>
          </w:p>
        </w:tc>
        <w:tc>
          <w:tcPr>
            <w:tcW w:w="0" w:type="dxa"/>
            <w:vAlign w:val="bottom"/>
          </w:tcPr>
          <w:p>
            <w:pPr>
              <w:spacing w:after="0"/>
              <w:rPr>
                <w:sz w:val="1"/>
                <w:szCs w:val="1"/>
                <w:color w:val="auto"/>
              </w:rPr>
            </w:pPr>
          </w:p>
        </w:tc>
      </w:tr>
      <w:tr>
        <w:trPr>
          <w:trHeight w:val="171"/>
        </w:trPr>
        <w:tc>
          <w:tcPr>
            <w:tcW w:w="8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Joint venture</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other than income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1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February 27,</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August 29,</w:t>
            </w:r>
          </w:p>
        </w:tc>
        <w:tc>
          <w:tcPr>
            <w:tcW w:w="0" w:type="dxa"/>
            <w:vAlign w:val="bottom"/>
          </w:tcPr>
          <w:p>
            <w:pPr>
              <w:spacing w:after="0"/>
              <w:rPr>
                <w:sz w:val="1"/>
                <w:szCs w:val="1"/>
                <w:color w:val="auto"/>
              </w:rPr>
            </w:pPr>
          </w:p>
        </w:tc>
      </w:tr>
      <w:tr>
        <w:trPr>
          <w:trHeight w:val="171"/>
        </w:trPr>
        <w:tc>
          <w:tcPr>
            <w:tcW w:w="8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132.1</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Allowance for obsolescence</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the second and first quarters of 2003, the Company recognized write-downs of $197.4 million and $90.8 million, respectively, to record work in process and finished goods inventories of semiconductor products at their estimated market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27,</w:t>
            </w:r>
          </w:p>
        </w:tc>
        <w:tc>
          <w:tcPr>
            <w:tcW w:w="20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8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2,287.3</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239.5</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9,179.4</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(4,526.2)</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4,653.2</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expense was $297.3 million and $584.4 million for the second quarter and first six months of 2003, respectively, and $278.5 million and $563.3 million in the second quarter and first six months of 2002, respectively.</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part of a restructure plan announced in the second quarter of 2003, the Company recorded an impairment charge of $53.9 million to write down the carrying value of certain assets consisting primarily of assets used in the Company’s 200 mm production line in Virginia. Prior to the charge, these assets</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had a carrying value of $77.3 million. These assets are classified as held for sale and are included in other assets in the accompanying consolidated balance sheet. (See “Restructure and Other Charges” note.)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Lehi, Utah facility, the construction of which was initiated in 1995, is at present only partially utilized by the Company for component test operations. Timing for completion of the Lehi facility is dependent upon market conditions, including, but not limited to, worldwide market supply of, and demand for, semiconductor products and the Company’s operations, cash flows and alternative capacity utilization opportunities. As of February 27, 2003, construction in progress included costs of $197.1 million related to certain assets in Lehi, which were not ready for their intended use and were not being depreciated. As of February 27, 2003, the Company had assets in Lehi with a net book value of approximately $179.9 million, which were not in use but were being depreciated.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February 27,</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August 29,</w:t>
            </w:r>
          </w:p>
        </w:tc>
        <w:tc>
          <w:tcPr>
            <w:tcW w:w="0" w:type="dxa"/>
            <w:vAlign w:val="bottom"/>
          </w:tcPr>
          <w:p>
            <w:pPr>
              <w:spacing w:after="0"/>
              <w:rPr>
                <w:sz w:val="1"/>
                <w:szCs w:val="1"/>
                <w:color w:val="auto"/>
              </w:rPr>
            </w:pPr>
          </w:p>
        </w:tc>
      </w:tr>
      <w:tr>
        <w:trPr>
          <w:trHeight w:val="171"/>
        </w:trPr>
        <w:tc>
          <w:tcPr>
            <w:tcW w:w="8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Restructure charge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February 27,</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August 29,</w:t>
            </w:r>
          </w:p>
        </w:tc>
        <w:tc>
          <w:tcPr>
            <w:tcW w:w="0" w:type="dxa"/>
            <w:vAlign w:val="bottom"/>
          </w:tcPr>
          <w:p>
            <w:pPr>
              <w:spacing w:after="0"/>
              <w:rPr>
                <w:sz w:val="1"/>
                <w:szCs w:val="1"/>
                <w:color w:val="auto"/>
              </w:rPr>
            </w:pPr>
          </w:p>
        </w:tc>
      </w:tr>
      <w:tr>
        <w:trPr>
          <w:trHeight w:val="171"/>
        </w:trPr>
        <w:tc>
          <w:tcPr>
            <w:tcW w:w="8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 xml:space="preserve">Notes payable in periodic installments through July 2015, weighted </w:t>
            </w:r>
            <w:r>
              <w:rPr>
                <w:rFonts w:ascii="Arial" w:cs="Arial" w:eastAsia="Arial" w:hAnsi="Arial"/>
                <w:sz w:val="17"/>
                <w:szCs w:val="17"/>
                <w:color w:val="auto"/>
              </w:rPr>
              <w:t>average interest rate of 2.4% and 2.3%</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237.3</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8"/>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 xml:space="preserve">Subordinated notes payable, face amount of $210.0 million and </w:t>
            </w:r>
            <w:r>
              <w:rPr>
                <w:rFonts w:ascii="Arial" w:cs="Arial" w:eastAsia="Arial" w:hAnsi="Arial"/>
                <w:sz w:val="17"/>
                <w:szCs w:val="17"/>
                <w:color w:val="auto"/>
                <w:w w:val="94"/>
              </w:rPr>
              <w:t>stated interest rate of 6.5%, due September 2005,</w:t>
            </w:r>
          </w:p>
        </w:tc>
        <w:tc>
          <w:tcPr>
            <w:tcW w:w="14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190.9</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4"/>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with an effective yield to maturity of 10.7%, net of unamortized discount of $19.1 million and $22.2 million</w:t>
            </w: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8"/>
              </w:rPr>
              <w:t xml:space="preserve">Capital lease obligations payable in monthly installments </w:t>
            </w:r>
            <w:r>
              <w:rPr>
                <w:rFonts w:ascii="Arial" w:cs="Arial" w:eastAsia="Arial" w:hAnsi="Arial"/>
                <w:sz w:val="17"/>
                <w:szCs w:val="17"/>
                <w:color w:val="auto"/>
                <w:w w:val="98"/>
              </w:rPr>
              <w:t>through December 2007, weighted average imputed</w:t>
            </w:r>
          </w:p>
        </w:tc>
        <w:tc>
          <w:tcPr>
            <w:tcW w:w="140" w:type="dxa"/>
            <w:vAlign w:val="bottom"/>
          </w:tcPr>
          <w:p>
            <w:pPr>
              <w:spacing w:after="0"/>
              <w:rPr>
                <w:sz w:val="18"/>
                <w:szCs w:val="18"/>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4"/>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interest rate of 5.6% and 2.4%</w:t>
            </w: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February 27, 2003, notes payable and capital lease obligations of $187.2 million and $18.6 million, respectively, were denominated in Japanese Yen and had weighted average interest rates of 1.5% and 1.8%, respectively.</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February 2003, the Company issued $632.5 million of 2.5% Convertible Subordinated Notes due February 1, 2010 (the “Notes”). The issuance costs associated with the Notes totaled approximately $16.5 million and the net proceeds to the Company from the offering of the Notes were $616.0 million.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The maximum benefit to the Company from the Call Spread Options is a cash amount of $343.4 million or 18.9 million shares. The Call Spread Options therefore have the potential of limiting the dilution associated with the conversion of the Notes from 53.7 million shares to as few as 34.8 million shares, depending upon market conditions. The Call Spread Option transactions, including fees and costs of $109.1 million, are accounted for as capital transactions.</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Call Spread Options are designed to mitigate dilution from conversion of the Notes in the event that the market price per share of the Company’s common stock upon exercise of the Call Spread Options is greater than $11.79. Settlement of the Call Spread Options in cash on January 29, 2008, the expiration date, would result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Company receiving an amount ranging from zero if the market price per share of the Company’s common stock is at or below $11.79 to a maximum of</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$343.4 million if the market price per share of the Company’s common stock were at or above $18.19. Settlement of the Call Spread Options in net shares on the expiration date would result in the Company receiving a number of shares, not to exceed 18.9 million shares, of the Company’s common stock with a value equal to the amount otherwise receivable on cash settlement. Should there be an early unwind of the Call Spread Options the amount of cash or net shares potentially received by the Company will be dependent upon then existing overall market conditions, and on the Company’s stock price, the volatility of the Company’s stock and the amount of time remaining on the Call Spread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February 27, 2003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August 29, 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gridSpan w:val="2"/>
            <w:shd w:val="clear" w:color="auto" w:fill="CCEEFF"/>
          </w:tcPr>
          <w:p>
            <w:pPr>
              <w:jc w:val="right"/>
              <w:ind w:right="5985"/>
              <w:spacing w:after="0"/>
              <w:rPr>
                <w:sz w:val="20"/>
                <w:szCs w:val="20"/>
                <w:color w:val="auto"/>
              </w:rPr>
            </w:pPr>
            <w:r>
              <w:rPr>
                <w:rFonts w:ascii="Arial" w:cs="Arial" w:eastAsia="Arial" w:hAnsi="Arial"/>
                <w:sz w:val="18"/>
                <w:szCs w:val="18"/>
                <w:color w:val="auto"/>
                <w:w w:val="88"/>
              </w:rPr>
              <w:t>Other</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6060" w:type="dxa"/>
            <w:vAlign w:val="bottom"/>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433.5</w:t>
            </w:r>
          </w:p>
        </w:tc>
        <w:tc>
          <w:tcPr>
            <w:tcW w:w="24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7"/>
        </w:trPr>
        <w:tc>
          <w:tcPr>
            <w:tcW w:w="6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During the first six months of 2003, the Company expended $17.8 million for product and process technology and $2.5 million for other intangible assets with weighted average useful lives of nine and three years, respectively. During the first six months of 2002, the Company expended $31.5 million for product and process technology and $3.8 million for other intangible assets with weighted average useful lives of nine and two years, respectively. As part of a restructure plan announced in the second quarter of 2003, the Company wrote off $16.1 million of product and process technology and $2.5 million of other intangible assets associated with discontinued products. (See “Restructure and Other Charges” note.)</w:t>
      </w:r>
    </w:p>
    <w:p>
      <w:pPr>
        <w:spacing w:after="0" w:line="17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Amortization expense for intangible assets was $13.0 million and $25.6 million for the second quarter and first six months of 2003, respectively, and $11.5 million and $22.5 million for the second quarter and first six months of 2002, respectively. Annual amortization expense for intangible assets held as of February 27, 2003, is estimated to be $49.7 million for 2003, $45.2 million in 2004, $42.0 million in 2005, $40.7 million in 2006, and $40.6 million in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its processes infringe their product or process technology rights.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24 purported class action lawsuits were filed against the Company and other DRAM suppliers in various federal and state courts alleging violations of the Federal Sherman Antitrust Act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There can be no assurance that the final resolution of these alleged violations of federal or state antitrust laws will not result in significant liability and will not have a material adverse effect on the Company’s results of operations and financial condition.</w:t>
      </w:r>
    </w:p>
    <w:p>
      <w:pPr>
        <w:spacing w:after="0" w:line="18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asserted and unasserted claims existing as of the balance sheet date. The Company is currently a party to various other legal actions arising out of the normal course of business, none of which is expected to have a material adverse effect on the Company’s financial position or results of operations.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a party to a variety of agreements pursuant to which it may be obligated to indemnify the other party with respect to certain matters. Typically, these obligations arise in the context of contracts entered into by the Company, under which the Company may agree to hold the other party harmless against losses arising from a breach of representations or under which the Company may have an indemnity obligation to the counterparty with respect to certain intellectual property matters or certain tax related matters. Customarily, payment by the Company with respect to such matters is conditioned on the other party making a claim pursuant to the procedures specified in the particular contract, which procedures typically allow the Company to challenge the other party’s claims. Further, the Company’s obligations under these agreements may be limited in terms of time and/or amount, and in some instances, the Company may have recourse against third parties for certain payments made by the Company. It is not possible to predict the maximum potential amount of future payments under these or similar agreements due to the conditional nature of the Company’s obligations and the unique facts and circumstances involved in each particular agreement. Historically, payments made by the Company under these agreements have not had a material effect on the Company’s financial position or results of operations. The Company believes if it were to incur a loss in any of these matters, such loss should not have a material effect on the Company’s financial position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issuance of the 1.5 million shares of common stock for the Toshiba DRAM Acquisition, the Company granted Toshiba Corporation (“Toshiba”) an option to require the Company to repurchase on October 21, 2003, all of these shares for $67.5 million in cash. The option expires if the closing price of the Company’s common stock is at or above $45.05 per share for 20 consecutive trading days. The carrying value of the redeemable common stock is accreted to its redemption amount of $67.5 million by a charge directly to retained earnings and is included in the computations of earning per share. Accretion of redeemable common stock was $1.6 million and $3.1 million in the second quarter and first six months of 2003. (See “Acquisition of Toshiba Corporation DRAM Assets” note.)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income tax provision for the second quarter and first six months of 2003 was $17.6 million and $39.0 million, respectively, which primarily reflects taxes on foreign operations. Income tax benefit for the second quarter and first six months of 2002 was $20.3 million and $197.5 million, respectively. The Company recognized no tax benefit on its domestic net operating losses in 2003. As of February 27, 2003, the Company had outstanding domestic net operating loss carryforwards of approximately $2.0 billion. Until the Company utilizes these operating loss carryforwards, the income tax provision will only reflect modest levels of taxes from the Company’s foreign operations.</w:t>
      </w:r>
    </w:p>
    <w:p>
      <w:pPr>
        <w:sectPr>
          <w:pgSz w:w="11900" w:h="16838" w:orient="portrait"/>
          <w:cols w:equalWidth="0" w:num="1">
            <w:col w:w="11420"/>
          </w:cols>
          <w:pgMar w:left="240" w:top="140"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Basic earnings per share is computed based on the weighted average number of common shares outstanding. Diluted earnings per share is computed based on the weighted average number of common shares outstanding plus the dilutive effects of stock options, warrants and convertible notes. The potential common shares that were antidilutive for the second quarter and first six months of 2003 amounted to 128.9 million shares and 124.8 million shares, respectively, and for the second quarter and first six months of 2002 amounted to 109.3 million shares and 107.1 million shares, respectively. Basic and diluted earnings per share computations reflect the effect of accretion of redeemable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February 27,</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February 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February 27,</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Comprehensive loss for the second quarter and first six months of 2003 was $620.2 million and $935.7 million, respectively, and included $1.0 million and $0.6 million net of tax, respectively, of unrealized losses on investments. Comprehensive loss for the second quarter and first six months of 2002 was $32.2 million and $292.6 million, respectively, and included $1.8 million of unrealized losses and $3.7 million of unrealized gains net of tax, respectively, on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As a result of the prolonged downturn in the semiconductor memory industry and the Company’s eight consecutive quarters of operating losses, in the second quarter of 2003 the Company announced a plan to restructure its operations. The restructure plan includes the shutdown of the Company’s 200</w:t>
      </w:r>
    </w:p>
    <w:p>
      <w:pPr>
        <w:ind w:right="60" w:firstLine="8"/>
        <w:spacing w:after="0" w:line="287" w:lineRule="auto"/>
        <w:tabs>
          <w:tab w:leader="none" w:pos="32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production line in Virginia, discontinuance of certain memory products, including SRAM and TCAM products, and a 10% reduction of the Company’s worldwide workforce. The Company expects the restructure to result in a lower overall cost structure, to provide better focus on products with greater potential for growth and profitability and to allow continuing investment in new technology. In connection with the plan, the Company recorded a restructure charge of $107.9 million in the second quarter of 2003. In addition, the Company recorded other restructure-related charges of $7.8 million, which are included in cost of goods sold in the accompanying consolidated statements of operation, to write-down the carrying value of raw materials and work-in-process inventories associated with discontinued products. The Company expects to substantially complete the restructure plan by the end of 2003 and estimates that it will incur additional restructure related charges of approximately $15 million in the second half of 2003, primarily for the redeployment of equipment from its Virginia site to Boise and to certain of its international facilities. The components of the restructure and other charges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760" w:type="dxa"/>
            <w:vAlign w:val="bottom"/>
          </w:tcPr>
          <w:p>
            <w:pPr>
              <w:jc w:val="right"/>
              <w:ind w:right="109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05"/>
        </w:trPr>
        <w:tc>
          <w:tcPr>
            <w:tcW w:w="5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r>
      <w:tr>
        <w:trPr>
          <w:trHeight w:val="636"/>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3"/>
          </w:tcPr>
          <w:p>
            <w:pPr>
              <w:jc w:val="center"/>
              <w:ind w:right="3120"/>
              <w:spacing w:after="0"/>
              <w:rPr>
                <w:sz w:val="20"/>
                <w:szCs w:val="20"/>
                <w:color w:val="auto"/>
              </w:rPr>
            </w:pPr>
            <w:r>
              <w:rPr>
                <w:rFonts w:ascii="Arial" w:cs="Arial" w:eastAsia="Arial" w:hAnsi="Arial"/>
                <w:sz w:val="14"/>
                <w:szCs w:val="14"/>
                <w:b w:val="1"/>
                <w:bCs w:val="1"/>
                <w:color w:val="auto"/>
                <w:w w:val="94"/>
              </w:rPr>
              <w:t>Quarter ended</w:t>
            </w:r>
          </w:p>
        </w:tc>
      </w:tr>
      <w:tr>
        <w:trPr>
          <w:trHeight w:val="171"/>
        </w:trPr>
        <w:tc>
          <w:tcPr>
            <w:tcW w:w="5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gridSpan w:val="3"/>
          </w:tcPr>
          <w:p>
            <w:pPr>
              <w:jc w:val="center"/>
              <w:ind w:right="3100"/>
              <w:spacing w:after="0"/>
              <w:rPr>
                <w:sz w:val="20"/>
                <w:szCs w:val="20"/>
                <w:color w:val="auto"/>
              </w:rPr>
            </w:pPr>
            <w:r>
              <w:rPr>
                <w:rFonts w:ascii="Arial" w:cs="Arial" w:eastAsia="Arial" w:hAnsi="Arial"/>
                <w:sz w:val="14"/>
                <w:szCs w:val="14"/>
                <w:b w:val="1"/>
                <w:bCs w:val="1"/>
                <w:color w:val="auto"/>
                <w:w w:val="94"/>
              </w:rPr>
              <w:t>February 27, 2003</w:t>
            </w:r>
          </w:p>
        </w:tc>
      </w:tr>
      <w:tr>
        <w:trPr>
          <w:trHeight w:val="210"/>
        </w:trPr>
        <w:tc>
          <w:tcPr>
            <w:tcW w:w="5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Restructure charge: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Write-down of equipment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288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 and other termination benefits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2880" w:type="dxa"/>
            <w:vAlign w:val="bottom"/>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Write-down of i</w:t>
            </w:r>
            <w:r>
              <w:rPr>
                <w:rFonts w:ascii="Arial" w:cs="Arial" w:eastAsia="Arial" w:hAnsi="Arial"/>
                <w:sz w:val="17"/>
                <w:szCs w:val="17"/>
                <w:color w:val="auto"/>
              </w:rPr>
              <w:t>ntangible assets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288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restructure charge</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Borders>
              <w:bottom w:val="single" w:sz="8" w:color="CCEEFF"/>
            </w:tcBorders>
          </w:tcPr>
          <w:p>
            <w:pPr>
              <w:spacing w:after="0"/>
              <w:rPr>
                <w:sz w:val="18"/>
                <w:szCs w:val="18"/>
                <w:color w:val="auto"/>
              </w:rPr>
            </w:pPr>
          </w:p>
        </w:tc>
        <w:tc>
          <w:tcPr>
            <w:tcW w:w="288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Write-down of r</w:t>
            </w:r>
            <w:r>
              <w:rPr>
                <w:rFonts w:ascii="Arial" w:cs="Arial" w:eastAsia="Arial" w:hAnsi="Arial"/>
                <w:sz w:val="17"/>
                <w:szCs w:val="17"/>
                <w:color w:val="auto"/>
              </w:rPr>
              <w:t>aw materials and work in process inventories</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23"/>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restructure and other charges</w:t>
            </w:r>
          </w:p>
        </w:tc>
        <w:tc>
          <w:tcPr>
            <w:tcW w:w="1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Borders>
              <w:bottom w:val="single" w:sz="8" w:color="CCEEFF"/>
            </w:tcBorders>
            <w:shd w:val="clear" w:color="auto" w:fill="CCEEFF"/>
          </w:tcPr>
          <w:p>
            <w:pPr>
              <w:spacing w:after="0"/>
              <w:rPr>
                <w:sz w:val="19"/>
                <w:szCs w:val="19"/>
                <w:color w:val="auto"/>
              </w:rPr>
            </w:pPr>
          </w:p>
        </w:tc>
        <w:tc>
          <w:tcPr>
            <w:tcW w:w="2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-2225040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-2225040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Through February 27, 2003, the Company had paid essentially none of the severance and other costs related to the restructure. As of February 27, 2003, the Company’s accounts payable and accrued expenses included $30.0 million for remaining costs accrued in connection with the restructure plan, consisting primarily of severance and other termination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Toshiba Corporation DRAM Assets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22, 2002, the Company acquired substantially all of the assets of Toshiba Corporation’s (“Toshiba”) DRAM business as conducted by Dominion Semiconductor L.L.C., a wholly-owned subsidiary of Toshiba located in Virginia (the “Toshiba DRAM Acquisition”). The total purchase price 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 equipment of $292.8 million and intangible assets of $7.8 million, and total liabilities of $35.4 million. (See “Redeemable Common Stock” note.)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ectPr>
          <w:pgSz w:w="11900" w:h="16838" w:orient="portrait"/>
          <w:cols w:equalWidth="0" w:num="1">
            <w:col w:w="11440"/>
          </w:cols>
          <w:pgMar w:left="240" w:top="553" w:right="219" w:bottom="0" w:gutter="0" w:footer="0" w:header="0"/>
        </w:sectPr>
      </w:pPr>
    </w:p>
    <w:bookmarkStart w:id="7" w:name="page8"/>
    <w:bookmarkEnd w:id="7"/>
    <w:p>
      <w:pPr>
        <w:ind w:firstLine="648"/>
        <w:spacing w:after="0" w:line="286" w:lineRule="auto"/>
        <w:rPr>
          <w:sz w:val="20"/>
          <w:szCs w:val="20"/>
          <w:color w:val="auto"/>
        </w:rPr>
      </w:pPr>
      <w:r>
        <w:rPr>
          <w:rFonts w:ascii="Arial" w:cs="Arial" w:eastAsia="Arial" w:hAnsi="Arial"/>
          <w:sz w:val="16"/>
          <w:szCs w:val="16"/>
          <w:color w:val="auto"/>
        </w:rPr>
        <w:t>TECH Semiconductor Singapore Pte. Ltd. (“TECH”) is a memory manufacturing joint venture in Singapore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$86.9 million and $147.5 million for the second quarter and first six months of 2003, respectively, and ($3.7) million and $22.3 million for the second quarter and first six months of 2002, respectively. In 2000, as part of an equity capital infusion by the majority of TECH’s shareholders, the Company funded TECH with $98.0 million as support for continuing the TECH supply arrangement. The Company amortizes the value of the TECH supply arrangement on a straight-line basis over the remaining contractual life of the TECH shareholders’ agreement. Amortization expense resulting from the TECH supply arrangement, included in the cost of product purchased from TECH, was $2.4 million and $4.8 million for the second quarter and first six months of 2003, respectively, and $2.5 million and $5.1 million for the second quarter and first six months of 2002, respectively. Receivables from TECH were $31.7 million and payables to TECH were $46.1 million as of February 27, 2003. Receivables from TECH were $10.5 million and payables to TECH were $52.8 million as of August 29, 2002.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February 27, 2003, the Company had pledged $50.0 million, which is included in other noncurrent assets in the accompanying consolidated balance sheet, as cash collateral for a fully-drawn revolving line of credit for TECH.</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November 2002, the FASB issued Interpretation No. 45, “Guarantor’s Accounting and Disclosure Requirements for Guarantees, Including Indirect Guarantees of Indebtedness of Others.” Interpretation No. 45 requires an entity, at the time it issues a guarantee, to recognize an initial liability for the fair value of obligations assumed under the guarantee and elaborates on existing disclosure requirements. The initial recognition requirements of Interpretation No. 45 are effective for guarantees issued or modified after December 31, 2002, and the disclosure requirements became effective for the Company in its second quarter of 2003. Subsequent to the end of the second quarter of 2003, on March 13, 2003, TECH entered into a new $250 million term loan credit facility, the proceeds of which were used to refinance amounts borrowed under its former facility. In connection therewith, the $50 million originally pledged by the Company as cash collateral with respect to TECH’s previous credit facility was re-pledged and supplemented by an additional $50 million by the Company. With respect to this $100 million in cash collateral, certain shareholders in TECH have agreed, in the event all or a portion of the cash collateral is required to be used to meet TECH’s principal loan payments, to indemnify the Company for approximately one-half of such amounts. Additionally, the Company and these indemnifying shareholders are entitled to proceed against TECH and its assets to the extent such cash collateral is required to be used to meet TECH’s principal loan payments. However, such rights are subordinated to the rights of the banks participating in the new credit facility.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“Critical Accounting Policies – Income Taxes” and “Income Taxes” regarding the modest levels of taxes from the Company foreign operations; in “Net Sales” regarding DDR SDRAM sales in future periods; in “Gross Margin” regarding the Company’s transition to .13µ technology, manufacturing costs in the remaining two quarters of 2003, the estimated amount of write-down remaining in inventory at the end of the third quarter of 2003 and relative gross margins on TECH products in the remainder of 2003; in “Research and Development” regarding the level of research and development expense in future periods; in “Restructure and Other Charges” regarding timing and additional costs to complete the restructure and the estimated cost savings in future periods and in “Liquidity and Capital Resources” regarding capital spending in 2003 and 2004.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29, 2002. All period references are to the Company’s fiscal periods unless otherwise indicated. All per share amounts are presented on a diluted basis. All tabular dollar amounts are in millions.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7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has recorded a valuation allowance against its deferred tax assets arising from net operating loss carryforwards of its</w:t>
      </w:r>
      <w:r>
        <w:rPr>
          <w:rFonts w:ascii="Arial" w:cs="Arial" w:eastAsia="Arial" w:hAnsi="Arial"/>
          <w:sz w:val="17"/>
          <w:szCs w:val="17"/>
          <w:b w:val="1"/>
          <w:bCs w:val="1"/>
          <w:color w:val="auto"/>
        </w:rPr>
        <w:t xml:space="preserve"> </w:t>
      </w:r>
      <w:r>
        <w:rPr>
          <w:rFonts w:ascii="Arial" w:cs="Arial" w:eastAsia="Arial" w:hAnsi="Arial"/>
          <w:sz w:val="17"/>
          <w:szCs w:val="17"/>
          <w:color w:val="auto"/>
        </w:rPr>
        <w:t>domestic operations. The Company expects that until it utilizes these operating loss carryforwards the consolidated income tax provision will only reflect modest levels of taxes from the Company’s foreign operations. The Company evaluates the realizability of its deferred tax assets on an ongoing basis in accordance with U.S. GAAP, which requires the assessment of the Company’s performance and other relevant factors when determining the need for a valuation allowance with respect to these deferred tax assets. The Company’s ability to realize deferred tax assets is dependent on its ability to generate future taxable income sufficient to utilize loss carryforwards or tax credits before their expiration. In the evaluation of realizability of deferred tax assets, factors such as recent losses are given substantially more weight than forecasted future profitability.</w:t>
      </w:r>
    </w:p>
    <w:p>
      <w:pPr>
        <w:sectPr>
          <w:pgSz w:w="11900" w:h="16838" w:orient="portrait"/>
          <w:cols w:equalWidth="0" w:num="1">
            <w:col w:w="11400"/>
          </w:cols>
          <w:pgMar w:left="240" w:top="341" w:right="259" w:bottom="132" w:gutter="0" w:footer="0" w:header="0"/>
        </w:sectPr>
      </w:pPr>
    </w:p>
    <w:bookmarkStart w:id="8" w:name="page9"/>
    <w:bookmarkEnd w:id="8"/>
    <w:p>
      <w:pPr>
        <w:spacing w:after="0" w:line="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is required to estimate its provision for income taxes and amounts ultimately payable or recoverable in numerous jurisdictions around the world. Such estimates involve interpretations of regulations and are inherently complex. Resolution of income tax treatments in individual jurisdictions may not be known for many years after completion of any fiscal year.</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average cost or market value. Cost includes labor, material and overhead costs, including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process technology costs. Determining market value of inventories involves judgment in that it requires the Company to project average selling prices, sales volumes for future periods and completion costs for products in work in process inventories. To project average selling prices and sales volumes for future periods, the Company reviews recent sales volumes, existing customer orders, current contract prices, industry analysis of supply and demand, seasonal factors, general economic trends and other information. When these analyses reflect market values that are below the Company’s costs, the Company records a charge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 For example, a 5% variance in the estimated average selling prices used to calculate the inventory write-down of $197 million in the second quarter of 2003 would have changed the recorded write-down by $28 million.</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A majority of the Company’s inventory has been categorized as volatile (DRAM and SRAM) or non-volatile (Flash). The major characteristics the Company considers in determining inventory categories are product type and markets.</w:t>
      </w:r>
    </w:p>
    <w:p>
      <w:pPr>
        <w:spacing w:after="0" w:line="183"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individual asset or groups of assets may not be recoverable from the estimated future cash flows expected to result from their use and/or eventual disposition. In cases where undiscounted expected future cash flows are less than the carrying value, an impairment loss would be recognized equal to an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sales and production volumes.</w:t>
      </w:r>
    </w:p>
    <w:p>
      <w:pPr>
        <w:spacing w:after="0" w:line="17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when incurred. Determining when product development is complete requires judgment by the Company. The Company deems development of a product complete once the product has been thoroughly reviewed and tested for performance and reliability and is internally qualified for sale to customers. Subsequent to product qualification, product costs are valued in inventory.</w:t>
      </w:r>
    </w:p>
    <w:p>
      <w:pPr>
        <w:spacing w:after="0" w:line="18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various loss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amounts of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 The Company regularly evaluates current information available to determine whether such accruals should be adjusted.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Second Quarter</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0"/>
                <w:szCs w:val="10"/>
                <w:color w:val="auto"/>
              </w:rPr>
            </w:pPr>
          </w:p>
        </w:tc>
        <w:tc>
          <w:tcPr>
            <w:tcW w:w="11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 of net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0"/>
                <w:szCs w:val="10"/>
                <w:color w:val="auto"/>
              </w:rPr>
            </w:pPr>
          </w:p>
        </w:tc>
        <w:tc>
          <w:tcPr>
            <w:tcW w:w="9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0"/>
                <w:szCs w:val="10"/>
                <w:color w:val="auto"/>
              </w:rPr>
            </w:pPr>
          </w:p>
        </w:tc>
        <w:tc>
          <w:tcPr>
            <w:tcW w:w="11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 of net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0"/>
                <w:szCs w:val="10"/>
                <w:color w:val="auto"/>
              </w:rPr>
            </w:pPr>
          </w:p>
        </w:tc>
        <w:tc>
          <w:tcPr>
            <w:tcW w:w="9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1,069.8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Gross margin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(223.9)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(261.2)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R&amp;D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135.9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328.6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290.4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(600.6)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(897.2)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February 18, 2003, the Company announced a series of cost-reduction initiatives including the shut-down of its 200 mm wafer fabrication line in Virginia, the discontinuance of certain product lines and a 10% reduction in its worldwide workforce. In connection therewith, the Company’s operating results for the second quarter and first six months of 2003 include a restructure charge of $108 million and a write-down of $8 million, included in cost of goods sold, of raw materials and work in process inventories associated with discontinued products. (See “Restructure and Other Charges” and “Item 1. Financial Statements – Notes to Consolidated Financial Statements – Restructure and Other Charges.”)</w:t>
      </w:r>
    </w:p>
    <w:p>
      <w:pPr>
        <w:spacing w:after="0" w:line="17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Results of operations include charges of $197 million and $288 million for the second quarter and first six months of 2003, respectively, and $4 million and $177 million for the second quarter and first six months of 2002, respectively, for write-downs of inventories to their estimated market values.</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Results of operations for the second quarter and first six months of 2002 do not reflect Toshiba Corporation’s (“Toshiba”) DRAM operations at Dominion Semiconductor L.L.C. in Virginia, the assets of which were acquired on April 22, 2002. The total purchase price of $328 million included cash and</w:t>
      </w:r>
    </w:p>
    <w:p>
      <w:pPr>
        <w:sectPr>
          <w:pgSz w:w="11900" w:h="16867" w:orient="portrait"/>
          <w:cols w:equalWidth="0" w:num="1">
            <w:col w:w="11420"/>
          </w:cols>
          <w:pgMar w:left="240" w:top="125" w:right="239" w:bottom="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1.5 million shares of the Company’s common stock. (See “Item 1. Financial Statements – Notes to Consolidated Financial Statements – Acquisition of Toshiba Corporation DRAM Assets.”)</w:t>
      </w:r>
    </w:p>
    <w:p>
      <w:pPr>
        <w:spacing w:after="0" w:line="170" w:lineRule="exact"/>
        <w:rPr>
          <w:sz w:val="20"/>
          <w:szCs w:val="20"/>
          <w:color w:val="auto"/>
        </w:rPr>
      </w:pPr>
    </w:p>
    <w:p>
      <w:pPr>
        <w:ind w:right="120" w:firstLine="648"/>
        <w:spacing w:after="0" w:line="304" w:lineRule="auto"/>
        <w:rPr>
          <w:sz w:val="20"/>
          <w:szCs w:val="20"/>
          <w:color w:val="auto"/>
        </w:rPr>
      </w:pPr>
      <w:r>
        <w:rPr>
          <w:rFonts w:ascii="Arial" w:cs="Arial" w:eastAsia="Arial" w:hAnsi="Arial"/>
          <w:sz w:val="16"/>
          <w:szCs w:val="16"/>
          <w:color w:val="auto"/>
        </w:rPr>
        <w:t xml:space="preserve">Absent the restructure and other charges of $116 million in the second quarter of 2003 and the aggregate effects of current and prior quarters’ inventory write-downs, which were unfavorable by $99 million and favorable by $48 million for the second and first quarters of 2003, respectively, the Company’s operating loss would have been $386 million and $345 million for the second and first quarters of 2003, respectively. </w:t>
      </w:r>
      <w:r>
        <w:rPr>
          <w:rFonts w:ascii="Arial" w:cs="Arial" w:eastAsia="Arial" w:hAnsi="Arial"/>
          <w:sz w:val="15"/>
          <w:szCs w:val="15"/>
          <w:color w:val="auto"/>
        </w:rPr>
        <w:t>These adjusted amounts</w:t>
      </w:r>
      <w:r>
        <w:rPr>
          <w:rFonts w:ascii="Arial" w:cs="Arial" w:eastAsia="Arial" w:hAnsi="Arial"/>
          <w:sz w:val="16"/>
          <w:szCs w:val="16"/>
          <w:color w:val="auto"/>
        </w:rPr>
        <w:t xml:space="preserve"> </w:t>
      </w:r>
      <w:r>
        <w:rPr>
          <w:rFonts w:ascii="Arial" w:cs="Arial" w:eastAsia="Arial" w:hAnsi="Arial"/>
          <w:sz w:val="15"/>
          <w:szCs w:val="15"/>
          <w:color w:val="auto"/>
        </w:rPr>
        <w:t>have not been prepared in accordance with generally accepted accounting principles, however the Company believes this information may be useful in assessing the effects of restructure and other charges and inventory write-downs on the Company’s operating loss and analyzing the Company’s operating cost trends.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Net sales for the second quarter of 2003 increased by 15% as compared to the first quarter of 2003 as a result of an 18% increase in megabits of memory sold. Average selling prices for the Company’s semiconductor memory products decreased 3% in the second quarter of 2003 compared to the immediately preceding quarter. This slight decrease reflects a significant decrease in the average selling prices for the Company’s DDR SDRAM products offset by a significant increase in the average selling prices for the Company’s SDRAM products. DDR SDRAM products constituted approximately 60% of the Company’s megabits sold in the second quarter of 2003 compared to approximately 40% in the first quarter of 2003.</w:t>
      </w:r>
    </w:p>
    <w:p>
      <w:pPr>
        <w:spacing w:after="0" w:line="15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Net sales for the second quarter of 2003 increased by 22% compared to the second quarter of 2002, primarily due to a 42% increase in total megabits of memory sold partially offset by a 15% decrease in average selling prices for the Company’s semiconductor memory products. Net sales for the first six months of 2003 increased by 37% compared to the first six months of 2002, primarily due to a 24% increase in total megabits of memory sold and an 11% increase in average selling prices for the Company’s semiconductor memory products. The Company’s primary product in the first six months of 2003 was DDR SDRAM, while SDRAM was the Company’s primary product in the first six months of 2002.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Company’s gross margin has been significantly affected by the timing of inventory write-downs. In recent periods, average selling prices for the Company’s semiconductor products have been below manufacturing costs, and accordingly the Company’s results of operations, cash flows and financial condition have been adversely affected. To the extent the estimated market values of products held in finished goods and work in process inventories at a quarter end date are below the cost of these products, the Company recognizes a charge to cost of goods sold to write down the carrying value of inventory to these estimated market values. In each of the last eight quarters, the Company recorded charges to cost of goods sold to write down the carrying value of its inventories to their estimated market values. As these charges are recorded in advance of when inventory subject to the write-down is sold, gross margins in the period of sale are higher than they would be absent the effect of the previous write-downs.</w:t>
      </w:r>
    </w:p>
    <w:p>
      <w:pPr>
        <w:spacing w:after="0" w:line="17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following table sets forth adjusted gross margins absent the inventory write-downs and the estimated aggregate effects of previous write-downs. These amounts have not been prepared in accordance with generally accepted accounting principles, however the Company believes this information may be useful in assessing the effects of inventory write-downs on the Company’s gross margin and analyzing the Company’s gross margin trends.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Second Quarter</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805"/>
              <w:spacing w:after="0"/>
              <w:rPr>
                <w:sz w:val="20"/>
                <w:szCs w:val="20"/>
                <w:color w:val="auto"/>
              </w:rPr>
            </w:pPr>
            <w:r>
              <w:rPr>
                <w:rFonts w:ascii="Arial" w:cs="Arial" w:eastAsia="Arial" w:hAnsi="Arial"/>
                <w:sz w:val="14"/>
                <w:szCs w:val="14"/>
                <w:b w:val="1"/>
                <w:bCs w:val="1"/>
                <w:color w:val="auto"/>
              </w:rPr>
              <w:t>First Quarter</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right"/>
              <w:ind w:right="450"/>
              <w:spacing w:after="0" w:line="119" w:lineRule="exact"/>
              <w:rPr>
                <w:sz w:val="20"/>
                <w:szCs w:val="20"/>
                <w:color w:val="auto"/>
              </w:rPr>
            </w:pPr>
            <w:r>
              <w:rPr>
                <w:rFonts w:ascii="Arial" w:cs="Arial" w:eastAsia="Arial" w:hAnsi="Arial"/>
                <w:sz w:val="13"/>
                <w:szCs w:val="13"/>
                <w:b w:val="1"/>
                <w:bCs w:val="1"/>
                <w:color w:val="auto"/>
              </w:rPr>
              <w:t>% of net</w:t>
            </w:r>
          </w:p>
        </w:tc>
        <w:tc>
          <w:tcPr>
            <w:tcW w:w="6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 of net</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right"/>
              <w:ind w:right="445"/>
              <w:spacing w:after="0" w:line="119" w:lineRule="exact"/>
              <w:rPr>
                <w:sz w:val="20"/>
                <w:szCs w:val="20"/>
                <w:color w:val="auto"/>
              </w:rPr>
            </w:pPr>
            <w:r>
              <w:rPr>
                <w:rFonts w:ascii="Arial" w:cs="Arial" w:eastAsia="Arial" w:hAnsi="Arial"/>
                <w:sz w:val="13"/>
                <w:szCs w:val="13"/>
                <w:b w:val="1"/>
                <w:bCs w:val="1"/>
                <w:color w:val="auto"/>
              </w:rPr>
              <w:t>% of net</w:t>
            </w:r>
          </w:p>
        </w:tc>
        <w:tc>
          <w:tcPr>
            <w:tcW w:w="58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0"/>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sales</w:t>
            </w: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sales</w:t>
            </w: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625"/>
              <w:spacing w:after="0"/>
              <w:rPr>
                <w:sz w:val="20"/>
                <w:szCs w:val="20"/>
                <w:color w:val="auto"/>
              </w:rPr>
            </w:pPr>
            <w:r>
              <w:rPr>
                <w:rFonts w:ascii="Arial" w:cs="Arial" w:eastAsia="Arial" w:hAnsi="Arial"/>
                <w:sz w:val="14"/>
                <w:szCs w:val="14"/>
                <w:b w:val="1"/>
                <w:bCs w:val="1"/>
                <w:color w:val="auto"/>
              </w:rPr>
              <w:t>sales</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sales</w:t>
            </w: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(28.5)% $</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22.1%  $</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1220" w:type="dxa"/>
            <w:vAlign w:val="bottom"/>
            <w:gridSpan w:val="3"/>
          </w:tcPr>
          <w:p>
            <w:pPr>
              <w:jc w:val="right"/>
              <w:ind w:right="25"/>
              <w:spacing w:after="0"/>
              <w:rPr>
                <w:sz w:val="20"/>
                <w:szCs w:val="20"/>
                <w:color w:val="auto"/>
              </w:rPr>
            </w:pPr>
            <w:r>
              <w:rPr>
                <w:rFonts w:ascii="Arial" w:cs="Arial" w:eastAsia="Arial" w:hAnsi="Arial"/>
                <w:sz w:val="18"/>
                <w:szCs w:val="18"/>
                <w:color w:val="auto"/>
              </w:rPr>
              <w:t>(5.4)%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(261.2)</w:t>
            </w:r>
          </w:p>
        </w:tc>
        <w:tc>
          <w:tcPr>
            <w:tcW w:w="1160" w:type="dxa"/>
            <w:vAlign w:val="bottom"/>
            <w:gridSpan w:val="3"/>
          </w:tcPr>
          <w:p>
            <w:pPr>
              <w:jc w:val="right"/>
              <w:ind w:right="5"/>
              <w:spacing w:after="0"/>
              <w:rPr>
                <w:sz w:val="20"/>
                <w:szCs w:val="20"/>
                <w:color w:val="auto"/>
              </w:rPr>
            </w:pPr>
            <w:r>
              <w:rPr>
                <w:rFonts w:ascii="Arial" w:cs="Arial" w:eastAsia="Arial" w:hAnsi="Arial"/>
                <w:sz w:val="18"/>
                <w:szCs w:val="18"/>
                <w:color w:val="auto"/>
              </w:rPr>
              <w:t>17.8%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Inventory write-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down</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197.4</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288.1</w:t>
            </w: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tcPr>
          <w:p>
            <w:pPr>
              <w:ind w:left="180"/>
              <w:spacing w:after="0" w:line="201" w:lineRule="exact"/>
              <w:rPr>
                <w:sz w:val="20"/>
                <w:szCs w:val="20"/>
                <w:color w:val="auto"/>
              </w:rPr>
            </w:pPr>
            <w:r>
              <w:rPr>
                <w:rFonts w:ascii="Arial" w:cs="Arial" w:eastAsia="Arial" w:hAnsi="Arial"/>
                <w:sz w:val="18"/>
                <w:szCs w:val="18"/>
                <w:color w:val="auto"/>
              </w:rPr>
              <w:t>Estimated effect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of previous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write-downs</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(98.6)</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(261.9)</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(138.8)</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(237.4)</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r>
              <w:rPr>
                <w:rFonts w:ascii="Arial" w:cs="Arial" w:eastAsia="Arial" w:hAnsi="Arial"/>
                <w:sz w:val="18"/>
                <w:szCs w:val="18"/>
                <w:u w:val="single" w:color="auto"/>
                <w:color w:val="auto"/>
              </w:rPr>
              <w:t>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r>
              <w:rPr>
                <w:rFonts w:ascii="Arial" w:cs="Arial" w:eastAsia="Arial" w:hAnsi="Arial"/>
                <w:sz w:val="18"/>
                <w:szCs w:val="18"/>
                <w:u w:val="single" w:color="auto"/>
                <w:color w:val="auto"/>
              </w:rPr>
              <w:t>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r>
              <w:rPr>
                <w:rFonts w:ascii="Arial" w:cs="Arial" w:eastAsia="Arial" w:hAnsi="Arial"/>
                <w:sz w:val="18"/>
                <w:szCs w:val="18"/>
                <w:u w:val="single" w:color="auto"/>
                <w:color w:val="auto"/>
              </w:rPr>
              <w:t>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Company’s reported gross margin for the second quarter of 2003 decreased as compared to the first quarter of 2003 primarily due to the aggregate effects of inventory write-downs. The $197 million write-down of inventories in the second quarter of 2003 includes $72 million related to products that were discontinued by the Company pursuant to its restructure plan. The Company’s per megabit manufacturing costs for the second quarter of 2003 remained relatively flat compared to the first quarter of 2003. During the second quarter of 2003, the Company continued to transition to its .13µ technology. The Company’s transition to .13µ technology is expected to be substantially completed in the third quarter of 2003. As a result, the Company expects manufacturing efficiencies to improve and per megabit manufacturing costs to be lower for the remaining two quarters of 2003.</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gross margin for the second quarter of 2003 decreased as compared to the second quarter of 2002, primarily due to the aggregate effects of inventory write-downs. Absent the effects of inventory write-downs, the gross margin percentage improved slightly for the second quarter of 2003 as compared to the second quarter of 2002, primarily due to a decrease in per megabit manufacturing costs due to manufacturing efficiency gains, partially offset by the 15% decrease in average selling prices.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gross margin for the first six months of 2003 decreased as compared to the first six months of 2002, primarily due to the aggregate effects of inventory write-downs. Absent the effects of inventory write-downs, the gross margin for the first six months of 2003 improved as compared to the first six months of 2002, primarily due to the 11% increase in average selling prices for the Company’s semiconductor memory products and a decrease in per megabit costs, partially offset by charges aggregating $20 million for write-downs of discontinued products and obsolescence charges for older EDO DRAM products.</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8"/>
          <w:szCs w:val="18"/>
          <w:color w:val="auto"/>
        </w:rPr>
        <w:t>O</w:t>
      </w:r>
      <w:r>
        <w:rPr>
          <w:rFonts w:ascii="Arial" w:cs="Arial" w:eastAsia="Arial" w:hAnsi="Arial"/>
          <w:sz w:val="17"/>
          <w:szCs w:val="17"/>
          <w:color w:val="auto"/>
        </w:rPr>
        <w:t>f the cumulative inventory write-downs recognized in the last eight quarters, the Company estimates that approximately $290 million is associated</w:t>
      </w:r>
      <w:r>
        <w:rPr>
          <w:rFonts w:ascii="Arial" w:cs="Arial" w:eastAsia="Arial" w:hAnsi="Arial"/>
          <w:sz w:val="18"/>
          <w:szCs w:val="18"/>
          <w:color w:val="auto"/>
        </w:rPr>
        <w:t xml:space="preserve"> </w:t>
      </w:r>
      <w:r>
        <w:rPr>
          <w:rFonts w:ascii="Arial" w:cs="Arial" w:eastAsia="Arial" w:hAnsi="Arial"/>
          <w:sz w:val="17"/>
          <w:szCs w:val="17"/>
          <w:color w:val="auto"/>
        </w:rPr>
        <w:t>with product remaining in inventory as of February 27, 2003. The Company estimates that approximately half of this amount will remain in inventory at the end of the third quarter of 2003.</w:t>
      </w:r>
    </w:p>
    <w:p>
      <w:pPr>
        <w:sectPr>
          <w:pgSz w:w="11900" w:h="16838" w:orient="portrait"/>
          <w:cols w:equalWidth="0" w:num="1">
            <w:col w:w="11420"/>
          </w:cols>
          <w:pgMar w:left="240" w:top="125" w:right="239" w:bottom="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ind w:firstLine="648"/>
        <w:spacing w:after="0" w:line="255" w:lineRule="auto"/>
        <w:rPr>
          <w:sz w:val="20"/>
          <w:szCs w:val="20"/>
          <w:color w:val="auto"/>
        </w:rPr>
      </w:pPr>
      <w:r>
        <w:rPr>
          <w:rFonts w:ascii="Arial" w:cs="Arial" w:eastAsia="Arial" w:hAnsi="Arial"/>
          <w:sz w:val="18"/>
          <w:szCs w:val="18"/>
          <w:color w:val="auto"/>
        </w:rPr>
        <w:t>Subject to specific terms and conditions, the Company has agreed to purchase all of the products manufactured by its joint venture memory manufacturing operation, TECH Semiconductor Singapore Pte. Ltd. (“TECH”). TECH supplied approximately 30% of the total megabits of memory produced by the Company in the second quarter and first six months of 2003 and supplied approximately 20% in the second quarter and first six months of 2002. The Company generally purchases semiconductor products from TECH at prices determined quarterly, based on a discount from average selling price realized by the Company for the immediately preceding quarter. The Company performs assembly and test services on products manufactured by TECH. The Company also provides certain technology, engineering, and training support to TECH. All of these transactions with TECH are recognized as part of the net cost of products purchased from TECH.</w:t>
      </w:r>
    </w:p>
    <w:p>
      <w:pPr>
        <w:spacing w:after="0" w:line="189" w:lineRule="exact"/>
        <w:rPr>
          <w:sz w:val="20"/>
          <w:szCs w:val="20"/>
          <w:color w:val="auto"/>
        </w:rPr>
      </w:pPr>
    </w:p>
    <w:p>
      <w:pPr>
        <w:jc w:val="both"/>
        <w:ind w:right="220" w:firstLine="648"/>
        <w:spacing w:after="0" w:line="257" w:lineRule="auto"/>
        <w:rPr>
          <w:sz w:val="20"/>
          <w:szCs w:val="20"/>
          <w:color w:val="auto"/>
        </w:rPr>
      </w:pPr>
      <w:r>
        <w:rPr>
          <w:rFonts w:ascii="Arial" w:cs="Arial" w:eastAsia="Arial" w:hAnsi="Arial"/>
          <w:sz w:val="18"/>
          <w:szCs w:val="18"/>
          <w:color w:val="auto"/>
        </w:rPr>
        <w:t>Depending on market conditions, the gross margin from the sale of TECH 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the second quarter and first six months of 2003 and 2002. The Company expects gross margins on sales of TECH products in the third quarter of 2003 to be higher than gross margins realized on products manufactured by the Company’s wholly-owned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Selling, general and administrative (“SG&amp;A”) expense was slightly lower for the second quarter of 2003 as compared to the first quarter of 2003. SG&amp;A expense increased in the second quarter and first six months of 2003 as compared to the corresponding periods of 2002, primarily due to increased costs associated with outstanding legal matters. (See “Notes to Financial Statements – Contingencies.”)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Research and development (“R&amp;D”) expenses vary primarily with the number of development wafers processed, the cost of advanced equipment dedicated to new product and process development, and personnel costs. Product development costs are recorded as R&amp;D expense. The Company deems development of a product complete once the product has been thoroughly reviewed and tested for performance and reliability and is internally qualified for sale to customers. R&amp;D expense for the second quarter of 2003 was $174 million, representing a 13% increase as compared to the first quarter of 2003. The Company expects R&amp;D expense to increase to approximately $195 million in the third quarter of 2003 due to the large volume of wafers dedicated to the development of .11µ devices and further investment in the Company’s 300 mm production line prior to its internal qualification.</w:t>
      </w:r>
    </w:p>
    <w:p>
      <w:pPr>
        <w:spacing w:after="0" w:line="165"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6"/>
          <w:szCs w:val="16"/>
          <w:color w:val="auto"/>
        </w:rPr>
        <w:t>The Company’s DRAM process technology research and development efforts are focused on its .11µ and ..095µ line-width process technologies, which are designed to facilitate the Company’s transition to next generation products. Additional process development work includes processes to support Flash, CMOS imagers, and new memory materials. In addition to its process technology efforts, the Company continues to emphasize product designs that utilize advanced process technology. Efforts towards the design and development of new products are concentrated on the Company’s 512 Meg and 1 Gig DDR SDRAMs, DDRII SDRAMs and GDDRIII SDRAMs, Flash memory products, CMOS imagers and certain advanced DRAM technology products.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Other operating expense in the second quarter and first six months of 2003 includes losses of $13 million and $9 million, respectively, from changes in currency exchange rates. Other operating income in the second quarter of 2003 includes $14 million in receipts from the U.S. government in connection with anti-dumping tariffs. Other operating expense in the first six months of 2003 also includes losses net of gains on write-downs and disposals of semiconductor equipment of $11 million. Other operating income in the second quarter and first six months of 2002 includes gains of $12 million and $17 million, respectively, from changes in currency exchange rates.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Restructure and Other Charges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As a result of the prolonged downturn in the semiconductor memory industry and the Company’s eight consecutive quarters of operating losses, in the second quarter of 2003 the Company announced a plan to restructure its operations. The restructure plan includes the shutdown of the Company’s 200</w:t>
      </w:r>
    </w:p>
    <w:p>
      <w:pPr>
        <w:ind w:right="140" w:firstLine="8"/>
        <w:spacing w:after="0" w:line="269" w:lineRule="auto"/>
        <w:tabs>
          <w:tab w:leader="none" w:pos="32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production line in Virginia, the discontinuance of certain memory products, including SRAM and TCAM products, and a 10% reduction of the Company’s worldwide workforce. In connection with the plan, the Company recorded a restructure charge of $108 million in the second quarter of 2003. In addition, the Company recorded other restructure-related charges of $8 million, which are included in cost of goods sold in the accompanying consolidated statements of operation, to write-down the carrying value of raw materials and work-in-process inventories associated with discontinued products. The Company expects to substantially complete the restructure plan by the end of 2003 and estimates that it will incur additional restructure related charges of approximately $15 million in the second half of 2003, primarily for the redeployment of equipment from its Virginia site to Boise and to certain of its international facilities. The components of the restructure and other charges are as follows:</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Write-down of equipment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and other termination benefits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Write-down of i</w:t>
            </w:r>
            <w:r>
              <w:rPr>
                <w:rFonts w:ascii="Arial" w:cs="Arial" w:eastAsia="Arial" w:hAnsi="Arial"/>
                <w:sz w:val="17"/>
                <w:szCs w:val="17"/>
                <w:color w:val="auto"/>
              </w:rPr>
              <w:t>ntangible assets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restructure charge</w:t>
            </w:r>
          </w:p>
        </w:tc>
        <w:tc>
          <w:tcPr>
            <w:tcW w:w="1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Write-down of r</w:t>
            </w:r>
            <w:r>
              <w:rPr>
                <w:rFonts w:ascii="Arial" w:cs="Arial" w:eastAsia="Arial" w:hAnsi="Arial"/>
                <w:sz w:val="17"/>
                <w:szCs w:val="17"/>
                <w:color w:val="auto"/>
              </w:rPr>
              <w:t>aw materials and work in process inventories</w:t>
            </w:r>
          </w:p>
        </w:tc>
        <w:tc>
          <w:tcPr>
            <w:tcW w:w="1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restructure and other charges</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Through February 27, 2003, the Company had paid essentially none of the severance and other costs related to the restructure. As of February 27, 2003, the Company’s accounts payable and accrued expenses included $30 million for remaining costs accrued in connection with the restructure plan, primarily consisting of severance and other termination benefits.</w:t>
      </w:r>
    </w:p>
    <w:p>
      <w:pPr>
        <w:sectPr>
          <w:pgSz w:w="11900" w:h="16838" w:orient="portrait"/>
          <w:cols w:equalWidth="0" w:num="1">
            <w:col w:w="11420"/>
          </w:cols>
          <w:pgMar w:left="240" w:top="557" w:right="239" w:bottom="0" w:gutter="0" w:footer="0" w:header="0"/>
        </w:sectPr>
      </w:pPr>
    </w:p>
    <w:bookmarkStart w:id="11" w:name="page12"/>
    <w:bookmarkEnd w:id="11"/>
    <w:p>
      <w:pPr>
        <w:jc w:val="both"/>
        <w:ind w:right="40" w:firstLine="648"/>
        <w:spacing w:after="0" w:line="264" w:lineRule="auto"/>
        <w:rPr>
          <w:sz w:val="20"/>
          <w:szCs w:val="20"/>
          <w:color w:val="auto"/>
        </w:rPr>
      </w:pPr>
      <w:r>
        <w:rPr>
          <w:rFonts w:ascii="Arial" w:cs="Arial" w:eastAsia="Arial" w:hAnsi="Arial"/>
          <w:sz w:val="18"/>
          <w:szCs w:val="18"/>
          <w:color w:val="auto"/>
        </w:rPr>
        <w:t>The Company expects the restructure to result in a lower overall cost structure, to provide better focus on products with greater potential for growth and profitability and to allow continuing investment in new technology. The Company expects to realize annualized cost savings in excess of $250 million as a result of this restructure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income tax provision for the second quarter and first six months of 2003 were $18 million and $39 million respectively, which primarily reflects taxes on foreign operations. Income tax benefit for the second quarter and first six months of 2002 was $20 million and $198 million, respectively. The Company recognized no tax benefit on its domestic net operating losses in 2003. As of February 27, 2003, the Company had outstanding domestic net operating loss carryforwards of approximately $2 billion. Until the Company utilizes these operating loss carryforwards, the income tax provision will only reflect modest levels of taxes from the Company’s foreign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January 2003, the Financial Accounting Standards Board (“FASB”) issued Interpretation No. 46, “Consolidation of Variable Interest Entities – 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effectively immediately to variable interest entities created after January 31, 2003, and to variable interest entities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which an enterprise obtains an interest after that date. The Company is required to adopt the interpretation in the first quarter of 2004 for variable interest entities acquired before February 1, 2003. The Company is currently assessing the impact of Interpretation No. 46 on its results of operations and financial position.</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December 2002, the FASB issued Statement of Financial Accounting Standards (“SFAS”) No. 148, “Accounting for Stock-Based Compensation – Transition and Disclosure – an amendment of FASB Statement No. 123.” SFAS No. 148 amends FASB Statement No. 123, “Accounting for Stock-Based Compensation,” to provide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 SFAS No. 148 is effective for the Company in the third quarter of 2003. The Company does not expect to effect a voluntary change in accounting to the fair value method, and, accordingly, does not expect the adoption of SFAS No. 148 to have a significant impact on the Company’s future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February 27, 2003, the Company had cash and short-term investments totaling $1,206 million. During the first six months of 2003, the Company received net financing proceeds of $602 million and spent $546 million for property, plant and equipment. In addition, the Company received income tax refunds of $109 million in the first quarter of 2003. The Company’s liquidity is highly dependent on overall industry demand for semiconductor memory and average selling prices for its semiconductor products.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Financing proceeds reflect $633 million of 2.5% seven-year convertible subordinated notes issued by the Company in the second quarter of 2003. In conjunction with the issuance of the notes, the Company spent $109 million to purchase call spread options. In addition to the convertible subordinated notes, the Company received $95 million in financing during the first six months of 2003.</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capital spending to approximate $1 billion in 2003 and has spent approximately $735 million to date. Note that $59 million of the amounts included in the consolidated statement of cash flows for 2003 as equipment acquisition on contracts payable and capital leases relate to assets sold and reacquired in equipment sale-leaseback transactions. The Company originally acquired the majority of these assets prior to 2003. The Company expects capital spending to approximate $1 billion in 2004. These capital spending estimates include expenditures for ongoing equipment upgrades and expenditures for the Company’s 300 mm production line. As of February 27, 2003, the Company had commitments extending into 2004 of approximately $180 million for the acquisition of property, plant and equipment. The Company anticipates cash expenditures of approximately $45 million in the second half of 2003 to complete its restructure plan.</w:t>
      </w:r>
    </w:p>
    <w:p>
      <w:pPr>
        <w:spacing w:after="0" w:line="18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Company has historically utilized external sources of financing to fund a portion of operations and since April 2000 has had a shelf registration statement in place pursuant to which the Company may from time to time issue debt or equity securities for up to $1 billion. The Company may also seek to raise funds through issuing securities not covered by the existing shelf registration statement, by increasing the size of the existing shelf registration statement or pursuing other external sources of financing.</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the acquisition of the Virginia facility, the Company issued 1.5 million shares of common stock. The Company granted Toshiba an option to require Micron to repurchase on October 21, 2003, all of these shares for $68 million cash. The option expires if the closing price of the Company’s common stock is at or above $45.05 per share for 20 consecutive trading days.</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Subsequent to the end of the second quarter of 2003, on March 13, 2003, TECH entered into a new $250 million term loan credit facility, the proceeds of which were used to refinance amounts borrowed under its former facility. In connection therewith, the $50 million originally pledged by the Company as cash collateral with respect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613" w:gutter="0" w:footer="0" w:header="0"/>
        </w:sectPr>
      </w:pPr>
    </w:p>
    <w:bookmarkStart w:id="12" w:name="page13"/>
    <w:bookmarkEnd w:id="12"/>
    <w:p>
      <w:pPr>
        <w:ind w:right="140"/>
        <w:spacing w:after="0" w:line="276" w:lineRule="auto"/>
        <w:rPr>
          <w:sz w:val="20"/>
          <w:szCs w:val="20"/>
          <w:color w:val="auto"/>
        </w:rPr>
      </w:pPr>
      <w:r>
        <w:rPr>
          <w:rFonts w:ascii="Arial" w:cs="Arial" w:eastAsia="Arial" w:hAnsi="Arial"/>
          <w:sz w:val="17"/>
          <w:szCs w:val="17"/>
          <w:color w:val="auto"/>
        </w:rPr>
        <w:t>to TECH’s previous credit facility was re-pledged and supplemented by an additional $50 million by the Company. With respect to this $100 million in cash collateral, certain shareholders in TECH have agreed, in the event all or a portion of the cash collateral is required to be used to meet TECH’s principal loan payments, to indemnify the Company for approximately one-half of such amounts. Additionally, the Company and these indemnifying shareholders are entitled to proceed against TECH and its assets to the extent such cash collateral is required to be used to meet TECH’s principal loan payments. However, such rights are subordinated to the rights of the banks participating in the new credit facility.</w:t>
      </w:r>
    </w:p>
    <w:p>
      <w:pPr>
        <w:spacing w:after="0" w:line="17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February 27, 2003, maturities of notes payable, future minimum lease payments under capital leases and minimum commitments under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3"/>
          </w:tcPr>
          <w:p>
            <w:pPr>
              <w:ind w:left="230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Capital leases</w:t>
            </w:r>
          </w:p>
        </w:tc>
        <w:tc>
          <w:tcPr>
            <w:tcW w:w="18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Operating leases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2008 and thereafter</w:t>
            </w: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30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Average selling prices for our semiconductor products decreased by 3% in the second quarter of 2003 as compared to the first quarter of 2003 and decreased by 12% in the first quarter of 2003 as compared to the fourth quarter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To the extent the estimated market value of products held in finished goods and work in process inventories at a quarter end date is below the cost of these products, we recognize a charge against operations to write down the carrying value of inventory to market value.</w:t>
      </w:r>
    </w:p>
    <w:p>
      <w:pPr>
        <w:spacing w:after="0" w:line="15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6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The transition to smaller geometries and 300 mm wafers in the industry (which is expected to occur within the next five years)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position could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inventory write-downs.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recorded inventory write-downs of $197 million and $91 million in the second and first quarter of 2003, respectively, and we recorded inventory write-downs totaling $376 million in 2002 and $727 million in 2001 as a result of the significant decreases in average selling prices for our semiconductor memory products. To the extent the estimated market value of products held in finished goods and work in process inventories at a quarter end date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is below the cost of these products, we recognize a charge to cost of goods sold to write down the carrying value of inventory to market value.</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ectPr>
          <w:pgSz w:w="11900" w:h="16838" w:orient="portrait"/>
          <w:cols w:equalWidth="0" w:num="1">
            <w:col w:w="11440"/>
          </w:cols>
          <w:pgMar w:left="240" w:top="125" w:right="219" w:bottom="0" w:gutter="0" w:footer="0" w:header="0"/>
        </w:sectPr>
      </w:pPr>
    </w:p>
    <w:bookmarkStart w:id="13" w:name="page14"/>
    <w:bookmarkEnd w:id="13"/>
    <w:p>
      <w:pPr>
        <w:ind w:right="160" w:firstLine="648"/>
        <w:spacing w:after="0" w:line="302" w:lineRule="auto"/>
        <w:rPr>
          <w:sz w:val="20"/>
          <w:szCs w:val="20"/>
          <w:color w:val="auto"/>
        </w:rPr>
      </w:pPr>
      <w:r>
        <w:rPr>
          <w:rFonts w:ascii="Arial" w:cs="Arial" w:eastAsia="Arial" w:hAnsi="Arial"/>
          <w:sz w:val="16"/>
          <w:szCs w:val="16"/>
          <w:color w:val="auto"/>
        </w:rPr>
        <w:t>We are dependent on the PC market as most of the semiconductor products we sell are used in PCs or peripheral products.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Approximately 85% of our sales of semiconductor products for the second quarter of 2003 was to the computer market. Aggregate sales to two of our PC customers approximated 29% of our net sales in the second quarter of 2003. If any one of our major PC customers significantly reduces its purchases of DRAM from us, our results of operations, cash flows and financial condition could be adversely affected.</w:t>
      </w:r>
    </w:p>
    <w:p>
      <w:pPr>
        <w:spacing w:after="0" w:line="17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TECH supplied approximately 30% of the total megabits of memory produced by the Company in the second quarter and first six months of 2003 and supplied approximately 20% in the second quarter and first six months of 2002. We have agreements to purchase all of the production from TECH subject to specific terms and conditions. Any reduction in supply could adversely affect our results of operations, cash flows and financial condition. Subsequent to the end of the second quarter of 2003, on March 13, 2003, TECH entered into a new $250 million term loan credit facility the proceeds of which were used to refinance amounts borrowed under its former facility. In connection therewith, the $50 million pledged by the Company as cash collateral with respect to TECH’s previous credit facility was re-pledged and supplemented by an additional $50 million by the Company. With respect to this $100 million in cash collateral, certain shareholders in TECH have agreed in the event all or a portion of the cash collateral is required to be used to meet TECH’s principal loan payments, to indemnify the Company for approximately one-half of such amounts. As of February 27, 2003, we had remaining unamortized costs of $73 million in intangible assets relating to the supply arrangement to purchase product from TECH. In the event that our supply of semiconductor products from TECH is reduced or eliminated, we may be required to write off part or all of these assets and our results of operations could be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197" w:lineRule="exact"/>
        <w:rPr>
          <w:sz w:val="20"/>
          <w:szCs w:val="20"/>
          <w:color w:val="auto"/>
        </w:rPr>
      </w:pPr>
    </w:p>
    <w:p>
      <w:pPr>
        <w:ind w:left="1940" w:hanging="635"/>
        <w:spacing w:after="0"/>
        <w:tabs>
          <w:tab w:leader="none" w:pos="1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ability to successfully implement product and process technology upgrades, specifically our ongoing transition to .13µ and</w:t>
      </w:r>
    </w:p>
    <w:p>
      <w:pPr>
        <w:spacing w:after="0" w:line="1"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18"/>
          <w:szCs w:val="18"/>
          <w:color w:val="auto"/>
        </w:rPr>
        <w:t>.11µ process technologies</w:t>
      </w:r>
    </w:p>
    <w:p>
      <w:pPr>
        <w:spacing w:after="0" w:line="236" w:lineRule="exact"/>
        <w:rPr>
          <w:rFonts w:ascii="Arial" w:cs="Arial" w:eastAsia="Arial" w:hAnsi="Arial"/>
          <w:sz w:val="21"/>
          <w:szCs w:val="21"/>
          <w:color w:val="auto"/>
        </w:rPr>
      </w:pPr>
    </w:p>
    <w:p>
      <w:pPr>
        <w:ind w:left="1960" w:right="600" w:hanging="655"/>
        <w:spacing w:after="0" w:line="232" w:lineRule="auto"/>
        <w:tabs>
          <w:tab w:leader="none" w:pos="19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208" w:lineRule="exact"/>
        <w:rPr>
          <w:rFonts w:ascii="Arial" w:cs="Arial" w:eastAsia="Arial" w:hAnsi="Arial"/>
          <w:sz w:val="22"/>
          <w:szCs w:val="22"/>
          <w:color w:val="auto"/>
        </w:rPr>
      </w:pPr>
    </w:p>
    <w:p>
      <w:pPr>
        <w:ind w:left="1940" w:hanging="635"/>
        <w:spacing w:after="0"/>
        <w:tabs>
          <w:tab w:leader="none" w:pos="194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ramp the latest reduced die size versions of existing devices or new generation devices.</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66"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and Flash. In addition, we are designing and developing other semiconductor products, including DDRII SDRAM, GDDRII SDRAM, reduced latency DRAM (“RLDRAM”), CellularRAM and CMOS imaging sensors.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ectPr>
          <w:pgSz w:w="11900" w:h="16838" w:orient="portrait"/>
          <w:cols w:equalWidth="0" w:num="1">
            <w:col w:w="11420"/>
          </w:cols>
          <w:pgMar w:left="240" w:top="125" w:right="239" w:bottom="0" w:gutter="0" w:footer="0" w:header="0"/>
        </w:sectPr>
      </w:pPr>
    </w:p>
    <w:bookmarkStart w:id="14" w:name="page15"/>
    <w:bookmarkEnd w:id="14"/>
    <w:p>
      <w:pPr>
        <w:ind w:right="380"/>
        <w:spacing w:after="0" w:line="282"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processes. Any of the foregoing results could have a material adverse effect on our business, results of operations or financial condition.</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24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results of operations, cash flows and financial condition could be adversely affected.</w:t>
      </w:r>
    </w:p>
    <w:p>
      <w:pPr>
        <w:spacing w:after="0" w:line="16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results of operations, cash flows and financial condition could be adversely affected.</w:t>
      </w:r>
    </w:p>
    <w:p>
      <w:pPr>
        <w:spacing w:after="0" w:line="16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6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Sales to customers outside the United States approximated 56% of our consolidated net sales in the second quarter of 2003. In addition, we have or support manufacturing operations in Italy, Japan, Scotland and Singapore. Our international sales and operations are subject to a variety of risks, including:</w:t>
      </w:r>
    </w:p>
    <w:p>
      <w:pPr>
        <w:spacing w:after="0" w:line="151" w:lineRule="exact"/>
        <w:rPr>
          <w:sz w:val="20"/>
          <w:szCs w:val="20"/>
          <w:color w:val="auto"/>
        </w:rPr>
      </w:pPr>
    </w:p>
    <w:p>
      <w:pPr>
        <w:ind w:left="5620" w:right="920" w:hanging="4315"/>
        <w:spacing w:after="0" w:line="474" w:lineRule="auto"/>
        <w:tabs>
          <w:tab w:leader="none" w:pos="1944"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fluctuations, export duties, changes to import and export regulations, and restrictions on the transfer of funds, 23</w:t>
      </w:r>
    </w:p>
    <w:p>
      <w:pPr>
        <w:spacing w:after="0" w:line="392" w:lineRule="exact"/>
        <w:rPr>
          <w:rFonts w:ascii="Arial" w:cs="Arial" w:eastAsia="Arial" w:hAnsi="Arial"/>
          <w:sz w:val="22"/>
          <w:szCs w:val="22"/>
          <w:color w:val="auto"/>
        </w:rPr>
      </w:pPr>
    </w:p>
    <w:p>
      <w:pPr>
        <w:ind w:left="1940" w:hanging="63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-1090295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5" w:name="page16"/>
    <w:bookmarkEnd w:id="15"/>
    <w:p>
      <w:pPr>
        <w:spacing w:after="0" w:line="66" w:lineRule="exact"/>
        <w:rPr>
          <w:sz w:val="20"/>
          <w:szCs w:val="20"/>
          <w:color w:val="auto"/>
        </w:rPr>
      </w:pPr>
    </w:p>
    <w:p>
      <w:pPr>
        <w:ind w:left="1940" w:hanging="63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of our restructure program.</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second quarter of 2003, we announced a series of cost-reduction initiatives including the shutdown of our 200 mm fabrication line in Virginia, the discontinuance of certain product lines and the 10% reduction in worldwide workforce. We expect to substantially complete the restructure plan by the end of 2003 and expect to realize annualized cost savings in excess of $250 million as a result of this restructure plan. However, we may not realize the expected benefits of our restructure program.</w:t>
      </w:r>
    </w:p>
    <w:p>
      <w:pPr>
        <w:spacing w:after="0" w:line="183"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position.</w:t>
      </w:r>
    </w:p>
    <w:p>
      <w:pPr>
        <w:spacing w:after="0" w:line="12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41" w:lineRule="exact"/>
        <w:rPr>
          <w:sz w:val="20"/>
          <w:szCs w:val="20"/>
          <w:color w:val="auto"/>
        </w:rPr>
      </w:pPr>
    </w:p>
    <w:p>
      <w:pPr>
        <w:ind w:left="1960" w:right="740" w:hanging="655"/>
        <w:spacing w:after="0" w:line="232" w:lineRule="auto"/>
        <w:tabs>
          <w:tab w:leader="none" w:pos="195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40" w:hanging="635"/>
        <w:spacing w:after="0"/>
        <w:tabs>
          <w:tab w:leader="none" w:pos="194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w:t>
      </w:r>
    </w:p>
    <w:p>
      <w:pPr>
        <w:spacing w:after="0" w:line="175" w:lineRule="exact"/>
        <w:rPr>
          <w:sz w:val="20"/>
          <w:szCs w:val="20"/>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0"/>
          <w:numId w:val="9"/>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Substantially all of the Company’s investments and debt are at fixed interest rates; therefore, the fair value of these instruments is affected by changes in market interest rates. The Company believes that the market risk arising from its holdings of investments is minimal as the Company’s investments generally mature within one year. The carrying value of the Company’s debt was $1,140 million at February 27, 2003, and $454 million at August 29, 2002. The functional currency for substantially all of the Company’s operations is the U.S. dollar. The Company held aggregate cash and other</w:t>
      </w:r>
    </w:p>
    <w:p>
      <w:pPr>
        <w:sectPr>
          <w:pgSz w:w="11900" w:h="16904" w:orient="portrait"/>
          <w:cols w:equalWidth="0" w:num="1">
            <w:col w:w="11420"/>
          </w:cols>
          <w:pgMar w:left="240" w:top="130" w:right="239" w:bottom="0" w:gutter="0" w:footer="0" w:header="0"/>
        </w:sectPr>
      </w:pPr>
    </w:p>
    <w:bookmarkStart w:id="16" w:name="page17"/>
    <w:bookmarkEnd w:id="16"/>
    <w:p>
      <w:pPr>
        <w:ind w:right="80"/>
        <w:spacing w:after="0" w:line="255" w:lineRule="auto"/>
        <w:rPr>
          <w:sz w:val="20"/>
          <w:szCs w:val="20"/>
          <w:color w:val="auto"/>
        </w:rPr>
      </w:pPr>
      <w:r>
        <w:rPr>
          <w:rFonts w:ascii="Arial" w:cs="Arial" w:eastAsia="Arial" w:hAnsi="Arial"/>
          <w:sz w:val="18"/>
          <w:szCs w:val="18"/>
          <w:color w:val="auto"/>
        </w:rPr>
        <w:t>assets in foreign currency valued at approximately U.S. $207 million as of February 27, 2003, and U.S. $220 million as of August 29, 2002 (including deferred tax assets denominated in Japanese Yen valued at approximately U.S. $138 million as of February 27, 2003, and U.S. $165 million as of August 29, 2002). The Company also held aggregate foreign currency liabilities valued at approximately U.S. $451 million as of February 27, 2003, and U.S. $434 million as of August 29, 2002 (including debt denominated in Japanese Yen valued at approximately U.S. $206 million as of February 27, 2003, and U.S. $233 million as of August 29, 2002). Foreign currency receivables and payables are comprised primarily of Japanese Yen, Euros, Singapore Dollars and British Pounds.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a date within the 90-day period prior to the filing date of this report, 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Based upon that evaluation, the Chief Executive Officer and Chief Financial Officer concluded that those disclosure controls and procedures were adequate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There were no significant changes in the Company’s internal controls or in other factors that could significantly affect these controls subsequent to the date of their evaluation. There were no significant deficiencies or material weaknesses noted during the evaluation, and therefore no corrective actions were taken.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and alleging infringement of eight Rambus patents subject to the Company’s declaratory judgment action.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3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individuals and entities who purchased DRAM directly from the various DRAM suppliers during a specified time period commencing on or after October 1, 2001. The complaints allege price-fixing in violation of the Sherman Act and seek treble damages in unspecified amounts, costs, attorneys’ fees, and an injunction against the allegedly unlawful conduct. On September 26, 2002, the Judicial Panel on Multi-District Litigation (“JPML”) held a hearing and subsequently ordered that the foregoing federal cases be transferred to the U.S. District Court for the Northern District of California (San Francisco) for coordinated or consolidated pretrial proceedings. Eight additional cases were filed between August 2, 2002, and March 11, 2003, in the following California state superior courts: five in San Francisco County, one in Santa Clara County, one in Los Angeles County, and one in Humbolt County. Each of the California state cases purports to be on behalf of a class of individuals and entities who indirectly purchased DRAM during a specified time period commencing December 1, 2001. The complaints allege violations of California’s Cartwright Act and Unfair Competition Law and unjust enrichment and</w:t>
      </w:r>
    </w:p>
    <w:p>
      <w:pPr>
        <w:sectPr>
          <w:pgSz w:w="11900" w:h="16838" w:orient="portrait"/>
          <w:cols w:equalWidth="0" w:num="1">
            <w:col w:w="11380"/>
          </w:cols>
          <w:pgMar w:left="240" w:top="125" w:right="279" w:bottom="0" w:gutter="0" w:footer="0" w:header="0"/>
        </w:sectPr>
      </w:pPr>
    </w:p>
    <w:bookmarkStart w:id="17" w:name="page18"/>
    <w:bookmarkEnd w:id="17"/>
    <w:p>
      <w:pPr>
        <w:ind w:right="60"/>
        <w:spacing w:after="0" w:line="272" w:lineRule="auto"/>
        <w:rPr>
          <w:sz w:val="20"/>
          <w:szCs w:val="20"/>
          <w:color w:val="auto"/>
        </w:rPr>
      </w:pPr>
      <w:r>
        <w:rPr>
          <w:rFonts w:ascii="Arial" w:cs="Arial" w:eastAsia="Arial" w:hAnsi="Arial"/>
          <w:sz w:val="17"/>
          <w:szCs w:val="17"/>
          <w:color w:val="auto"/>
        </w:rPr>
        <w:t>seek treble damages in unspecified amounts, restitution, costs, attorneys’ fees, and an injunction against the allegedly unlawful conduct. In response to a petition filed by one of the plaintiffs, a judge appointed by the Judicial Council of California subsequently ordered that the then-pending state cases be coordinated for pretrial purposes and recommended that they be transferred to San Francisco County Superior Court for coordinated or consolidated pretrial proceedings.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 and will not have a material adverse effect on the Company’s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22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February 2003, the Company issued $633 million of 2.5% Convertible Subordinated Notes due February 1, 2010 (the “Notes”) in a private placement to Qualified Institutional Buyers in reliance on Rule 144A of the Securities Act. The initial transaction fees associated with the Notes totaled approximately $17 million, and the net proceeds to the Company from the offering of the Notes were approximately $616 million. Holders of the Notes may convert all or some of their Notes at any time prior to maturity, unless previously redeemed or repurchased, into the Company’s Common Stock at</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 conversion rate of 84.8320 shares for each $1,000 principal amount of Notes. This conversion rate is equivalent to a conversion price of approximately $11.79 per share. The initial conversion rate is subject to adjustment under certain circumstances as specified in the indenture for the Notes. The Company may redeem the notes at any time after February 6, 2006 at declining premiums to par.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are filed as a part of this report: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120" w:type="dxa"/>
            <w:vAlign w:val="bottom"/>
            <w:vMerge w:val="restart"/>
          </w:tcPr>
          <w:p>
            <w:pPr>
              <w:ind w:left="33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4.12</w:t>
            </w:r>
          </w:p>
        </w:tc>
        <w:tc>
          <w:tcPr>
            <w:tcW w:w="240" w:type="dxa"/>
            <w:vAlign w:val="bottom"/>
          </w:tcPr>
          <w:p>
            <w:pPr>
              <w:spacing w:after="0"/>
              <w:rPr>
                <w:sz w:val="16"/>
                <w:szCs w:val="16"/>
                <w:color w:val="auto"/>
              </w:rPr>
            </w:pPr>
          </w:p>
        </w:tc>
        <w:tc>
          <w:tcPr>
            <w:tcW w:w="8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Indenture dated February 4, 2003, between the Company and Wells Fargo Bank for 2.5% Convertible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Subordinated Notes Due February 1, 2010</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6"/>
              </w:rPr>
              <w:t>Registration Rights Agreement dated February 4, 2003, among the Company, Goldman, Sachs &amp; Co.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Lehman Brothers Inc.</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2"/>
              </w:rPr>
              <w:t>Certifications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filed the following reports on Form 8-K during the fiscal quarter ended February 27, 2003: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ind w:left="2860"/>
              <w:spacing w:after="0"/>
              <w:rPr>
                <w:sz w:val="20"/>
                <w:szCs w:val="20"/>
                <w:color w:val="auto"/>
              </w:rPr>
            </w:pPr>
            <w:r>
              <w:rPr>
                <w:rFonts w:ascii="Arial" w:cs="Arial" w:eastAsia="Arial" w:hAnsi="Arial"/>
                <w:sz w:val="14"/>
                <w:szCs w:val="14"/>
                <w:b w:val="1"/>
                <w:bCs w:val="1"/>
                <w:color w:val="auto"/>
              </w:rPr>
              <w:t>Date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jc w:val="right"/>
              <w:ind w:right="1188"/>
              <w:spacing w:after="0"/>
              <w:rPr>
                <w:sz w:val="20"/>
                <w:szCs w:val="20"/>
                <w:color w:val="auto"/>
              </w:rPr>
            </w:pPr>
            <w:r>
              <w:rPr>
                <w:rFonts w:ascii="Arial" w:cs="Arial" w:eastAsia="Arial" w:hAnsi="Arial"/>
                <w:sz w:val="14"/>
                <w:szCs w:val="14"/>
                <w:b w:val="1"/>
                <w:bCs w:val="1"/>
                <w:color w:val="auto"/>
              </w:rPr>
              <w:t>Item</w:t>
            </w:r>
          </w:p>
        </w:tc>
        <w:tc>
          <w:tcPr>
            <w:tcW w:w="2860" w:type="dxa"/>
            <w:vAlign w:val="bottom"/>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11"/>
        </w:trPr>
        <w:tc>
          <w:tcPr>
            <w:tcW w:w="4900" w:type="dxa"/>
            <w:vAlign w:val="bottom"/>
            <w:gridSpan w:val="2"/>
          </w:tcPr>
          <w:p>
            <w:pPr>
              <w:ind w:left="2860"/>
              <w:spacing w:after="0"/>
              <w:rPr>
                <w:sz w:val="20"/>
                <w:szCs w:val="20"/>
                <w:color w:val="auto"/>
              </w:rPr>
            </w:pPr>
            <w:r>
              <w:rPr>
                <w:rFonts w:ascii="Arial" w:cs="Arial" w:eastAsia="Arial" w:hAnsi="Arial"/>
                <w:sz w:val="18"/>
                <w:szCs w:val="18"/>
                <w:color w:val="auto"/>
              </w:rPr>
              <w:t>January 29, 2003</w:t>
            </w:r>
          </w:p>
        </w:tc>
        <w:tc>
          <w:tcPr>
            <w:tcW w:w="760" w:type="dxa"/>
            <w:vAlign w:val="bottom"/>
          </w:tcPr>
          <w:p>
            <w:pPr>
              <w:spacing w:after="0"/>
              <w:rPr>
                <w:sz w:val="24"/>
                <w:szCs w:val="24"/>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Item 5, Other Events</w:t>
            </w:r>
          </w:p>
        </w:tc>
        <w:tc>
          <w:tcPr>
            <w:tcW w:w="2860" w:type="dxa"/>
            <w:vAlign w:val="bottom"/>
          </w:tcPr>
          <w:p>
            <w:pPr>
              <w:spacing w:after="0"/>
              <w:rPr>
                <w:sz w:val="24"/>
                <w:szCs w:val="24"/>
                <w:color w:val="auto"/>
              </w:rPr>
            </w:pPr>
          </w:p>
        </w:tc>
      </w:tr>
      <w:tr>
        <w:trPr>
          <w:trHeight w:val="216"/>
        </w:trPr>
        <w:tc>
          <w:tcPr>
            <w:tcW w:w="4900" w:type="dxa"/>
            <w:vAlign w:val="bottom"/>
            <w:gridSpan w:val="2"/>
          </w:tcPr>
          <w:p>
            <w:pPr>
              <w:ind w:left="2860"/>
              <w:spacing w:after="0"/>
              <w:rPr>
                <w:sz w:val="20"/>
                <w:szCs w:val="20"/>
                <w:color w:val="auto"/>
              </w:rPr>
            </w:pPr>
            <w:r>
              <w:rPr>
                <w:rFonts w:ascii="Arial" w:cs="Arial" w:eastAsia="Arial" w:hAnsi="Arial"/>
                <w:sz w:val="18"/>
                <w:szCs w:val="18"/>
                <w:color w:val="auto"/>
              </w:rPr>
              <w:t>February 4, 2003</w:t>
            </w:r>
          </w:p>
        </w:tc>
        <w:tc>
          <w:tcPr>
            <w:tcW w:w="7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Item 5, Other Events</w:t>
            </w:r>
          </w:p>
        </w:tc>
        <w:tc>
          <w:tcPr>
            <w:tcW w:w="2860" w:type="dxa"/>
            <w:vAlign w:val="bottom"/>
          </w:tcPr>
          <w:p>
            <w:pPr>
              <w:spacing w:after="0"/>
              <w:rPr>
                <w:sz w:val="18"/>
                <w:szCs w:val="18"/>
                <w:color w:val="auto"/>
              </w:rPr>
            </w:pPr>
          </w:p>
        </w:tc>
      </w:tr>
      <w:tr>
        <w:trPr>
          <w:trHeight w:val="230"/>
        </w:trPr>
        <w:tc>
          <w:tcPr>
            <w:tcW w:w="4900" w:type="dxa"/>
            <w:vAlign w:val="bottom"/>
            <w:gridSpan w:val="2"/>
          </w:tcPr>
          <w:p>
            <w:pPr>
              <w:ind w:left="2860"/>
              <w:spacing w:after="0"/>
              <w:rPr>
                <w:sz w:val="20"/>
                <w:szCs w:val="20"/>
                <w:color w:val="auto"/>
              </w:rPr>
            </w:pPr>
            <w:r>
              <w:rPr>
                <w:rFonts w:ascii="Arial" w:cs="Arial" w:eastAsia="Arial" w:hAnsi="Arial"/>
                <w:sz w:val="18"/>
                <w:szCs w:val="18"/>
                <w:color w:val="auto"/>
              </w:rPr>
              <w:t>February 20, 2003</w:t>
            </w:r>
          </w:p>
        </w:tc>
        <w:tc>
          <w:tcPr>
            <w:tcW w:w="76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Item 5, Other Events</w:t>
            </w:r>
          </w:p>
        </w:tc>
        <w:tc>
          <w:tcPr>
            <w:tcW w:w="286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80" w:type="dxa"/>
            <w:vAlign w:val="bottom"/>
            <w:gridSpan w:val="3"/>
          </w:tcPr>
          <w:p>
            <w:pPr>
              <w:jc w:val="right"/>
              <w:ind w:right="2708"/>
              <w:spacing w:after="0"/>
              <w:rPr>
                <w:sz w:val="20"/>
                <w:szCs w:val="20"/>
                <w:color w:val="auto"/>
              </w:rPr>
            </w:pPr>
            <w:r>
              <w:rPr>
                <w:rFonts w:ascii="Arial" w:cs="Arial" w:eastAsia="Arial" w:hAnsi="Arial"/>
                <w:sz w:val="18"/>
                <w:szCs w:val="18"/>
                <w:color w:val="auto"/>
              </w:rPr>
              <w:t>27</w:t>
            </w:r>
          </w:p>
        </w:tc>
        <w:tc>
          <w:tcPr>
            <w:tcW w:w="2860" w:type="dxa"/>
            <w:vAlign w:val="bottom"/>
          </w:tcPr>
          <w:p>
            <w:pPr>
              <w:spacing w:after="0"/>
              <w:rPr>
                <w:sz w:val="24"/>
                <w:szCs w:val="24"/>
                <w:color w:val="auto"/>
              </w:rPr>
            </w:pPr>
          </w:p>
        </w:tc>
      </w:tr>
      <w:tr>
        <w:trPr>
          <w:trHeight w:val="105"/>
        </w:trPr>
        <w:tc>
          <w:tcPr>
            <w:tcW w:w="28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Dated: April 14, 2003</w:t>
            </w:r>
          </w:p>
        </w:tc>
        <w:tc>
          <w:tcPr>
            <w:tcW w:w="20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Wilbur G. Stover, Jr., Vice President of Finance and</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40" w:type="dxa"/>
            <w:vAlign w:val="bottom"/>
            <w:tcBorders>
              <w:bottom w:val="single" w:sz="8" w:color="808080"/>
            </w:tcBorders>
          </w:tcPr>
          <w:p>
            <w:pPr>
              <w:spacing w:after="0"/>
              <w:rPr>
                <w:sz w:val="9"/>
                <w:szCs w:val="9"/>
                <w:color w:val="auto"/>
              </w:rPr>
            </w:pPr>
          </w:p>
        </w:tc>
        <w:tc>
          <w:tcPr>
            <w:tcW w:w="76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40"/>
        </w:trPr>
        <w:tc>
          <w:tcPr>
            <w:tcW w:w="3740" w:type="dxa"/>
            <w:vAlign w:val="bottom"/>
          </w:tcPr>
          <w:p>
            <w:pPr>
              <w:spacing w:after="0"/>
              <w:rPr>
                <w:sz w:val="24"/>
                <w:szCs w:val="24"/>
                <w:color w:val="auto"/>
              </w:rPr>
            </w:pPr>
          </w:p>
        </w:tc>
        <w:tc>
          <w:tcPr>
            <w:tcW w:w="7680" w:type="dxa"/>
            <w:vAlign w:val="bottom"/>
            <w:gridSpan w:val="2"/>
          </w:tcPr>
          <w:p>
            <w:pPr>
              <w:jc w:val="center"/>
              <w:ind w:right="3650"/>
              <w:spacing w:after="0"/>
              <w:rPr>
                <w:sz w:val="20"/>
                <w:szCs w:val="20"/>
                <w:color w:val="auto"/>
              </w:rPr>
            </w:pPr>
            <w:r>
              <w:rPr>
                <w:rFonts w:ascii="Arial" w:cs="Arial" w:eastAsia="Arial" w:hAnsi="Arial"/>
                <w:sz w:val="18"/>
                <w:szCs w:val="18"/>
                <w:b w:val="1"/>
                <w:bCs w:val="1"/>
                <w:color w:val="auto"/>
              </w:rPr>
              <w:t>CERTIFICATION</w:t>
            </w:r>
          </w:p>
        </w:tc>
        <w:tc>
          <w:tcPr>
            <w:tcW w:w="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I, Steven R. Appleton, certify that:</w:t>
            </w:r>
          </w:p>
        </w:tc>
        <w:tc>
          <w:tcPr>
            <w:tcW w:w="20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-758190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560" w:right="40" w:hanging="552"/>
        <w:spacing w:after="0" w:line="264" w:lineRule="auto"/>
        <w:tabs>
          <w:tab w:leader="none" w:pos="5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560" w:right="480" w:hanging="552"/>
        <w:spacing w:after="0" w:line="342" w:lineRule="auto"/>
        <w:tabs>
          <w:tab w:leader="none" w:pos="5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560" w:right="520" w:hanging="552"/>
        <w:spacing w:after="0" w:line="277" w:lineRule="auto"/>
        <w:tabs>
          <w:tab w:leader="none" w:pos="5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ectPr>
          <w:pgSz w:w="11900" w:h="16838" w:orient="portrait"/>
          <w:cols w:equalWidth="0" w:num="1">
            <w:col w:w="11440"/>
          </w:cols>
          <w:pgMar w:left="240" w:top="125" w:right="219" w:bottom="58" w:gutter="0" w:footer="0" w:header="0"/>
        </w:sectPr>
      </w:pPr>
    </w:p>
    <w:bookmarkStart w:id="18" w:name="page19"/>
    <w:bookmarkEnd w:id="18"/>
    <w:p>
      <w:pPr>
        <w:ind w:left="920" w:right="180" w:hanging="377"/>
        <w:spacing w:after="0" w:line="342" w:lineRule="auto"/>
        <w:tabs>
          <w:tab w:leader="none" w:pos="915"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6"/>
          <w:szCs w:val="16"/>
          <w:color w:val="auto"/>
        </w:rPr>
      </w:pPr>
    </w:p>
    <w:p>
      <w:pPr>
        <w:ind w:left="920" w:right="620" w:hanging="377"/>
        <w:spacing w:after="0" w:line="277" w:lineRule="auto"/>
        <w:tabs>
          <w:tab w:leader="none" w:pos="9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920" w:right="120" w:hanging="377"/>
        <w:spacing w:after="0" w:line="277" w:lineRule="auto"/>
        <w:tabs>
          <w:tab w:leader="none" w:pos="9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560" w:right="20" w:hanging="552"/>
        <w:spacing w:after="0" w:line="277" w:lineRule="auto"/>
        <w:tabs>
          <w:tab w:leader="none" w:pos="5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20" w:right="200" w:hanging="377"/>
        <w:spacing w:after="0" w:line="342" w:lineRule="auto"/>
        <w:tabs>
          <w:tab w:leader="none" w:pos="91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20" w:right="80" w:hanging="377"/>
        <w:spacing w:after="0" w:line="277" w:lineRule="auto"/>
        <w:tabs>
          <w:tab w:leader="none" w:pos="9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left="560" w:hanging="552"/>
        <w:spacing w:after="0" w:line="264" w:lineRule="auto"/>
        <w:tabs>
          <w:tab w:leader="none" w:pos="5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2003</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3799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certify that:</w:t>
      </w:r>
    </w:p>
    <w:p>
      <w:pPr>
        <w:spacing w:after="0" w:line="225"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560" w:hanging="552"/>
        <w:spacing w:after="0" w:line="264" w:lineRule="auto"/>
        <w:tabs>
          <w:tab w:leader="none" w:pos="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560" w:right="440" w:hanging="552"/>
        <w:spacing w:after="0" w:line="342" w:lineRule="auto"/>
        <w:tabs>
          <w:tab w:leader="none" w:pos="5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560" w:right="480" w:hanging="552"/>
        <w:spacing w:after="0" w:line="277" w:lineRule="auto"/>
        <w:tabs>
          <w:tab w:leader="none" w:pos="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920" w:right="180" w:hanging="377"/>
        <w:spacing w:after="0" w:line="342" w:lineRule="auto"/>
        <w:tabs>
          <w:tab w:leader="none" w:pos="9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6"/>
          <w:szCs w:val="16"/>
          <w:color w:val="auto"/>
        </w:rPr>
      </w:pPr>
    </w:p>
    <w:p>
      <w:pPr>
        <w:ind w:left="920" w:right="620" w:hanging="377"/>
        <w:spacing w:after="0" w:line="277" w:lineRule="auto"/>
        <w:tabs>
          <w:tab w:leader="none" w:pos="9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920" w:right="120" w:hanging="377"/>
        <w:spacing w:after="0" w:line="277" w:lineRule="auto"/>
        <w:tabs>
          <w:tab w:leader="none" w:pos="9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560" w:right="20" w:hanging="552"/>
        <w:spacing w:after="0" w:line="277" w:lineRule="auto"/>
        <w:tabs>
          <w:tab w:leader="none" w:pos="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20" w:right="200" w:hanging="377"/>
        <w:spacing w:after="0" w:line="342" w:lineRule="auto"/>
        <w:tabs>
          <w:tab w:leader="none" w:pos="9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20" w:right="80" w:hanging="377"/>
        <w:spacing w:after="0" w:line="277" w:lineRule="auto"/>
        <w:tabs>
          <w:tab w:leader="none" w:pos="9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left="560" w:hanging="552"/>
        <w:spacing w:after="0" w:line="264" w:lineRule="auto"/>
        <w:tabs>
          <w:tab w:leader="none" w:pos="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2003</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3756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5" w:right="25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87630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MINNESOTA,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203835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 CONVERTIBLE SUBORDINATED NOTES DUE FEBRUARY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ARTICLE I DEFINITIONS AND OTHER PROVISIONS OF GENERAL APPLICATION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SECTION 1.1 Definitions</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SECTION 1.2 Compliance Certificates and Opinions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SECTION 1.3 Form of Documents Delivered to the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SECTION 1.4 Acts of Holders of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1.5 Notices, Etc to the Trustee and Company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1.6 Notice to Holders of Securities; Waiver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1.7 Effect of Headings and Table of Contents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1.8 Successors and Assigns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1.9 Separability Clause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1.10 Benefits of Indenture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1.11 Governing Law</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1.12 Legal Holidays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1.13 Conflict With Trust Indenture Act</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ARTICLE II SECURITY FORMS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2.1 Form Generally</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2.2 Form of Security</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PERIOD</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SECTION 2.3 Form of Certificate of Authentication</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2.4 Form of Conversion Notice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2.5 Form of Assignment</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ARTICLE III THE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3.1 Title and Terms</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3.2 Denominations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3.3 Execution, Authentication, Delivery and Dating</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3.4 Global Securities; Non-global Securities; Book-entry Provisions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SECTION 3.5 Registration; Registration of Transfer and Exchange; Restrictions on Transfer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SECTION 3.6 Mutilated, Destroyed, Lost or Stolen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SECTION 3.7 Payment of Interest; Interest Rights Preserved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SECTION 3.8 Persons Deemed Owners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SECTION 3.9 Cancellation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SECTION 3.10 Computation of Interest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SECTION 3.11 CUSIP Numbers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ARTICLE IV SATISFACTION AND DISCHARGE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SECTION 4.1 Satisfaction and Discharge of Indenture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46" w:gutter="0" w:footer="0" w:header="0"/>
        </w:sectPr>
      </w:pPr>
    </w:p>
    <w:bookmarkStart w:id="21" w:name="page22"/>
    <w:bookmarkEnd w:id="21"/>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SECTION 4.2 Application of Trust Money</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ARTICLE V REMEDIES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SECTION 5.1 Events of Default</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5.2 Acceleration of Maturity; Rescission and Annulment</w:t>
        </w:r>
      </w:hyperlink>
    </w:p>
    <w:p>
      <w:pPr>
        <w:spacing w:after="0" w:line="9" w:lineRule="exact"/>
        <w:rPr>
          <w:sz w:val="20"/>
          <w:szCs w:val="20"/>
          <w:color w:val="auto"/>
        </w:rPr>
      </w:pPr>
    </w:p>
    <w:p>
      <w:pPr>
        <w:ind w:left="540" w:right="3919"/>
        <w:spacing w:after="0" w:line="250"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5.3 Collection of Indebtedness and Suits for Enforcement by Trustee</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SECTION 5.4 Trustee May File Proofs of Claim</w:t>
        </w:r>
      </w:hyperlink>
    </w:p>
    <w:p>
      <w:pPr>
        <w:spacing w:after="0" w:line="1" w:lineRule="exact"/>
        <w:rPr>
          <w:sz w:val="20"/>
          <w:szCs w:val="20"/>
          <w:color w:val="auto"/>
        </w:rPr>
      </w:pPr>
    </w:p>
    <w:p>
      <w:pPr>
        <w:ind w:left="540" w:right="4119"/>
        <w:spacing w:after="0" w:line="250"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SECTION 5.5 Trustee May Enforce Claims Without Possession of Securities</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SECTION 5.6 Application of Money Collected</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SECTION 5.7 Limitation on Suits</w:t>
        </w:r>
      </w:hyperlink>
    </w:p>
    <w:p>
      <w:pPr>
        <w:spacing w:after="0" w:line="1" w:lineRule="exact"/>
        <w:rPr>
          <w:rFonts w:ascii="Arial" w:cs="Arial" w:eastAsia="Arial" w:hAnsi="Arial"/>
          <w:sz w:val="18"/>
          <w:szCs w:val="18"/>
          <w:u w:val="single" w:color="auto"/>
          <w:color w:val="0000EE"/>
        </w:rPr>
      </w:pPr>
    </w:p>
    <w:p>
      <w:pPr>
        <w:ind w:left="54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SECTION 5.8 Unconditional Right of Holders to Receive Principal, Premium and Interest and to Convert</w:t>
        </w:r>
      </w:hyperlink>
    </w:p>
    <w:p>
      <w:pPr>
        <w:spacing w:after="0" w:line="32"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SECTION 5.9 Restoration of Rights and Remedies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SECTION 5.10 Rights and Remedies Cumulative</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SECTION 5.11 Delay or Omission Not Waiver</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SECTION 5.12 Control by Holders of Securities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SECTION 5.13 Waiver of Past Defaults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5.14 Undertaking for Costs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5.15 Waiver of Stay, Usury or Extension Laws</w:t>
        </w:r>
      </w:hyperlink>
    </w:p>
    <w:p>
      <w:pPr>
        <w:spacing w:after="0" w:line="21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ARTICLE VI THE TRUSTEE</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6.1 Certain Duties and Responsibilities</w:t>
        </w:r>
      </w:hyperlink>
    </w:p>
    <w:p>
      <w:pPr>
        <w:spacing w:after="0" w:line="23"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6.2 Notice of Defaults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6.3 Certain Rights of Trustee</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6.4 Not Responsible for Recitals or Issuance of Securities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6.5 May Hold Securities, Act as Trustee under Other Indentures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6.6 Money Held in Trust</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6.7 Compensation, Reimbursement and Indemnity</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SECTION 6.8 Corporate Trustee Required; Eligibility</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SECTION 6.9 Resignation and Removal; Appointment of Successor</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SECTION 6.10 Acceptance of Appointment by Successor</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SECTION 6.11 Merger, Conversion, Consolidation or Succession to Business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SECTION 6.12 Authenticating Agents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6.13 Disqualification; Conflicting Interests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6.14 Preferential Collection of Claims Against Company</w:t>
        </w:r>
      </w:hyperlink>
    </w:p>
    <w:p>
      <w:pPr>
        <w:spacing w:after="0" w:line="21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ARTICLE VII CONSOLIDATION, MERGER, CONVEYANCE, TRANSFER OR LEASE</w:t>
        </w:r>
      </w:hyperlink>
    </w:p>
    <w:p>
      <w:pPr>
        <w:spacing w:after="0" w:line="225" w:lineRule="exact"/>
        <w:rPr>
          <w:rFonts w:ascii="Arial" w:cs="Arial" w:eastAsia="Arial" w:hAnsi="Arial"/>
          <w:sz w:val="18"/>
          <w:szCs w:val="18"/>
          <w:u w:val="single" w:color="auto"/>
          <w:color w:val="0000EE"/>
        </w:rPr>
      </w:pPr>
    </w:p>
    <w:p>
      <w:pPr>
        <w:ind w:left="540" w:right="4539"/>
        <w:spacing w:after="0" w:line="277"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7.1 Company May Consolidate, Etc. Only on Certain Terms</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SECTION 7.2 Successor Substituted</w:t>
        </w:r>
      </w:hyperlink>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ARTICLE VIII SUPPLEMENTAL INDENTURES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8.1 Supplemental Indentures Without Consent of Holders of Securities</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SECTION 8.2 Supplemental Indentures with Consent of Holders of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SECTION 8.3 Execution of Supplemental Indentures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8.4 Effect of Supplemental Indentures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8.5 Reference in Securities to Supplemental Indentures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IX MEETINGS OF HOLDERS OF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9.1 Purposes for Which Meetings May Be Called</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9.2 Call, Notice and Place of Meetings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9.3 Persons Entitled to Vote at Meetings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9.4 Quorum; Action</w:t>
        </w:r>
      </w:hyperlink>
    </w:p>
    <w:p>
      <w:pPr>
        <w:spacing w:after="0" w:line="9" w:lineRule="exact"/>
        <w:rPr>
          <w:sz w:val="20"/>
          <w:szCs w:val="20"/>
          <w:color w:val="auto"/>
        </w:rPr>
      </w:pPr>
    </w:p>
    <w:p>
      <w:pPr>
        <w:ind w:left="540" w:right="3399"/>
        <w:spacing w:after="0" w:line="261"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SECTION 9.5 Determination of Voting Rights; Conduct and Adjournment of Meetings</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SECTION 9.6 Counting Votes and Recording Action of Meetings</w:t>
        </w:r>
      </w:hyperlink>
    </w:p>
    <w:p>
      <w:pPr>
        <w:spacing w:after="0" w:line="184"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ARTICLE X COVENANTS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SECTION 10.1 Payment of Principal, Premium and Interest</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SECTION 10.2 Maintenance of Offices or Agencies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10.3 Money for Security Payments to Be Held in Trust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10.4 Existence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10.5 Maintenance of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10.6 Payment of Taxes and Other Claims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10.7 Registration and Listing</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10.8 Statement by Officers as to Default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10.9 Delivery of Certain Information</w:t>
        </w:r>
      </w:hyperlink>
    </w:p>
    <w:p>
      <w:pPr>
        <w:sectPr>
          <w:pgSz w:w="11900" w:h="16838" w:orient="portrait"/>
          <w:cols w:equalWidth="0" w:num="1">
            <w:col w:w="10219"/>
          </w:cols>
          <w:pgMar w:left="240" w:top="557" w:right="1440" w:bottom="0" w:gutter="0" w:footer="0" w:header="0"/>
        </w:sectPr>
      </w:pPr>
    </w:p>
    <w:bookmarkStart w:id="22" w:name="page23"/>
    <w:bookmarkEnd w:id="22"/>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10.10 Registration Rights</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10.11 Waiver of Certain Covenants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ARTICLE XI REDEMPTION OF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11.1 Right of Redemption</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11.2 Applicability of Article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11.3 Election to Redeem; Notice to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11.4 Selection by Trustee of Securities to Be Redeemed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11.5 Notice of Redemption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11.6 Deposit of Redemption Price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SECTION 11.7 Securities Payable on Redemption Date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SECTION 11.8 Conversion Arrangement on Call for Redemption</w:t>
        </w:r>
      </w:hyperlink>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ARTICLE XII CONVERSION OF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SECTION 12.1 Conversion Privilege and Conversion Rate</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SECTION 12.2 Exercise of Conversion Privilege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SECTION 12.3 Fractions of Shares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SECTION 12.4 Adjustment of Conversion Rate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SECTION 12.5 Notice of Adjustments of Conversion Rate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SECTION 12.6 Notice of Certain Corporate Action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SECTION 12.7 Company to Reserve Common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SECTION 12.8 Taxes on Conversions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12.9 Covenant as to Common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12.10 Cancellation of Converted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12.11 Provision in Case of Consolidation, Merger or Sale of Assets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12.12 Rights Issued in Respect of Common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SECTION 12.13 Responsibility of Trustee for Conversion Provisions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ARTICLE XIII SUBORDINATION OF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SECTION 13.1 Securities Subordinate to Senior Debt</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SECTION 13.2 Payment Over of Proceeds Upon Dissolution, Etc.</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SECTION 13.3 Prior Payment to Senior Debt Upon Acceleration of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SECTION 13.4 No Payment in Certain Circumstances.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SECTION 13.5 Payment Permitted if No Default.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SECTION 13.6 Subrogation to Rights of Holders of Senior Debt.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13.7 Provisions Solely to Define Relative Rights.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13.8 Trustee to Effectuate Subordination.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13.9 No Waiver of Subordination Provisions.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13.10 Notice to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13.11 Reliance on Judicial Order or Certificate of Liquidating Agent.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13.12 Trustee Not Fiduciary for Holders of Senior Debt.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13.13 Rights of Trustee as Holder of Senior Debt; Preservation of Trustee’s Rights.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13.14 Article Applicable to Paying Agents.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13.15 Obligations of Company and Right to Convert Unconditional.</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13.16 Reliance by Holders of Senior Debt on Subordination Provisions.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SECTION 13.17 Certain Conversions and Repurchases Deemed Payment</w:t>
        </w:r>
      </w:hyperlink>
    </w:p>
    <w:p>
      <w:pPr>
        <w:spacing w:after="0" w:line="211" w:lineRule="exact"/>
        <w:rPr>
          <w:sz w:val="20"/>
          <w:szCs w:val="20"/>
          <w:color w:val="auto"/>
        </w:rPr>
      </w:pPr>
    </w:p>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ARTICLE XIV REPURCHASE OF SECURITIES AT THE OPTION OF THE HOLDER UPON A CHANGE IN CONTROL</w:t>
        </w:r>
      </w:hyperlink>
    </w:p>
    <w:p>
      <w:pPr>
        <w:spacing w:after="0" w:line="237"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SECTION 14.1 Right to Require Repurchase</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SECTION 14.2 Conditions to the Company’s Election to Pay the Repurchase Price in Applicable Stock</w:t>
        </w:r>
      </w:hyperlink>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SECTION 14.3 Notices; Method of Exercising Repurchase Right, Etc</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SECTION 14.4 Certain Definitions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SECTION 14.5 Consolidation, Merger, etc</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ARTICLE XV HOLDERS LISTS AND REPORTS BY TRUSTEE AND COMPANY; NON-RECOURSE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SECTION 15.1 Company to Furnish Trustee Names and Addresses of Holders</w:t>
        </w:r>
      </w:hyperlink>
    </w:p>
    <w:p>
      <w:pPr>
        <w:spacing w:after="0" w:line="23"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SECTION 15.2 Preservation of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SECTION 15.3 Reports by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SECTION 15.4 Reports by Company</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ARTICLE XVI IMMUNITY OF INCORPORATORS, STOCKHOLDERS, OFFICERS AND DIRECTORS</w:t>
        </w:r>
      </w:hyperlink>
    </w:p>
    <w:p>
      <w:pPr>
        <w:sectPr>
          <w:pgSz w:w="11900" w:h="16838" w:orient="portrait"/>
          <w:cols w:equalWidth="0" w:num="1">
            <w:col w:w="10219"/>
          </w:cols>
          <w:pgMar w:left="240" w:top="125" w:right="1440" w:bottom="0" w:gutter="0" w:footer="0" w:header="0"/>
        </w:sectPr>
      </w:pPr>
    </w:p>
    <w:bookmarkStart w:id="23" w:name="page24"/>
    <w:bookmarkEnd w:id="23"/>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SECTION 16.1 Indenture and Securities Solely Corporate Obligations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Reconciliation and Tie Between the Trust Indenture Act of 1939 and Indenture, dated as of February 4, 2003, between Micron Technology, Inc. and Wells Fargo Bank Minnesota, National Association, as Trustee.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Trust Indenture Act Section</w:t>
            </w:r>
          </w:p>
        </w:tc>
        <w:tc>
          <w:tcPr>
            <w:tcW w:w="4500" w:type="dxa"/>
            <w:vAlign w:val="bottom"/>
          </w:tcPr>
          <w:p>
            <w:pPr>
              <w:jc w:val="right"/>
              <w:spacing w:after="0"/>
              <w:rPr>
                <w:sz w:val="20"/>
                <w:szCs w:val="20"/>
                <w:color w:val="auto"/>
              </w:rPr>
            </w:pPr>
            <w:r>
              <w:rPr>
                <w:rFonts w:ascii="Arial" w:cs="Arial" w:eastAsia="Arial" w:hAnsi="Arial"/>
                <w:sz w:val="14"/>
                <w:szCs w:val="14"/>
                <w:b w:val="1"/>
                <w:bCs w:val="1"/>
                <w:color w:val="auto"/>
              </w:rPr>
              <w:t>Indenture Section</w:t>
            </w:r>
          </w:p>
        </w:tc>
      </w:tr>
      <w:tr>
        <w:trPr>
          <w:trHeight w:val="210"/>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310(a)(1)</w:t>
            </w:r>
          </w:p>
        </w:tc>
        <w:tc>
          <w:tcPr>
            <w:tcW w:w="28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4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(a)(4)</w:t>
            </w:r>
          </w:p>
        </w:tc>
        <w:tc>
          <w:tcPr>
            <w:tcW w:w="45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(a)(5)</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500" w:type="dxa"/>
            <w:vAlign w:val="bottom"/>
          </w:tcPr>
          <w:p>
            <w:pPr>
              <w:jc w:val="right"/>
              <w:spacing w:after="0"/>
              <w:rPr>
                <w:sz w:val="20"/>
                <w:szCs w:val="20"/>
                <w:color w:val="auto"/>
              </w:rPr>
            </w:pPr>
            <w:r>
              <w:rPr>
                <w:rFonts w:ascii="Arial" w:cs="Arial" w:eastAsia="Arial" w:hAnsi="Arial"/>
                <w:sz w:val="18"/>
                <w:szCs w:val="18"/>
                <w:color w:val="auto"/>
              </w:rPr>
              <w:t>6.8; 6.9; 6.10; 6.13</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311(a)</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5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312(a)</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15.2(1)</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5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 313(a)</w:t>
            </w:r>
          </w:p>
        </w:tc>
        <w:tc>
          <w:tcPr>
            <w:tcW w:w="450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w:t>
            </w:r>
          </w:p>
        </w:tc>
        <w:tc>
          <w:tcPr>
            <w:tcW w:w="450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 314(a)</w:t>
            </w:r>
          </w:p>
        </w:tc>
        <w:tc>
          <w:tcPr>
            <w:tcW w:w="45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(c)(1)</w:t>
            </w:r>
          </w:p>
        </w:tc>
        <w:tc>
          <w:tcPr>
            <w:tcW w:w="4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(c)(2)</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(c)(3)</w:t>
            </w:r>
          </w:p>
        </w:tc>
        <w:tc>
          <w:tcPr>
            <w:tcW w:w="45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4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315(a)</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4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(d)(1)</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(d)(2)</w:t>
            </w:r>
          </w:p>
        </w:tc>
        <w:tc>
          <w:tcPr>
            <w:tcW w:w="45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(d)(3)</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45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316(a)</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 5.13</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(a)(1)(A)</w:t>
            </w:r>
          </w:p>
        </w:tc>
        <w:tc>
          <w:tcPr>
            <w:tcW w:w="45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(a)(1)(B)</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45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 317(a)(1)</w:t>
            </w:r>
          </w:p>
        </w:tc>
        <w:tc>
          <w:tcPr>
            <w:tcW w:w="4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(a)(2)</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318(a)</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INDENTURE, dated as of February 4, 2003, between MICRON TECHNOLOGY, INC., INC., a corporation duly organized and existing under the laws of the State of Delaware, having its principal office at 8000 South Federal, Way Boise, Idaho 83716 (herein called the “Company”), and WELLS FARGO BANK MINNESOTA, NATIONAL ASSOCIATION, a national banking association organized under the laws of the United States, as Trustee hereunder (herein called the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duly authorized the creation and issuance of its 2.50% Convertible Subordinated Notes due February 1, 2010 (herein called the “Securities”) of substantially the tenor and amount hereinafter set forth, and to provide therefor the Company has duly authorized the execution and delivery of this Indenture.</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All things necessary to make the Securities, when the Securities are executed by the Company and authenticated and delivered hereunder, the valid obligations of the Company, and to make this Indenture a valid agreement of the Company, in accordance with its terms, have been done. Further, all things necessary to duly authorize the issuance of the Common Stock of the Company issuable upon the conversion of the Securities, and to duly reserve for issuance the number of shares of Common Stock issuable upon such conversion, have been done.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ectPr>
          <w:pgSz w:w="11900" w:h="16838" w:orient="portrait"/>
          <w:cols w:equalWidth="0" w:num="1">
            <w:col w:w="11420"/>
          </w:cols>
          <w:pgMar w:left="240" w:top="125" w:right="239" w:bottom="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360" w:hanging="704"/>
        <w:spacing w:after="0"/>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jc w:val="both"/>
        <w:ind w:right="220" w:firstLine="656"/>
        <w:spacing w:after="0" w:line="312" w:lineRule="auto"/>
        <w:tabs>
          <w:tab w:leader="none" w:pos="135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656"/>
        <w:spacing w:after="0" w:line="277"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“Act”, when used with respect to any Holder of a Security, has the meaning specified in Section 1.4.</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“Agent Member” means any member of, or participant in, the Depositary.</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“Applicable Procedures” means, with respect to any transfer or transaction involving a Global Security or beneficial interest therein, the rules and procedures of DTC or any successor Depository, in each case to the extent applicable to such transaction and as in effect from time to time.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“Applicable Stock” means (i) the Common Stock and (ii) in the event of a merger, consolidation or other similar transaction involving the Company that is otherwise permitted hereunder in which the Company is not the surviving corporation, the common stock, common equity interests, ordinary shares or American Depositary Shares of such surviving corporation or its direct or indirect parent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“Authenticating Agent” means any Person authorized pursuant to Section 6.12 to act on behalf of the Trustee to authenticate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“Board Resolution” means a resolution duly adopted by the Board of Directors, a copy of which, certified by the Secretary or an Assistant Secretary of the Company to have been duly adopted by the Board of Directors and to be in full force and effect on the date of such certification, shall have been delivered to the Trustee.</w:t>
      </w:r>
    </w:p>
    <w:p>
      <w:pPr>
        <w:spacing w:after="0" w:line="18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 xml:space="preserve">“Business Day”, when used with respect to any Place of Payment, Place of Conversion or any other place, as the case may be, means each Monday, Tuesday, Wednesday, Thursday and Friday which is not a day on which banking institutions in such Place of Payment, Place of Conversion or other place, as the case may be, are authorized or obligated by law or executive order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day on which banking institutions in New York, New York or Boise, Idaho are authorized or obligated by law or executive order to close shall not be a Business Day for purposes of Section 13.10.</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has the meaning specified in Section 14.4(2).</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“Closing Price Per Share” means, with respect to the Common Stock, for any day, (i) the closing sale price (or, if no closing price is reported, the last reported sale price regular way) on the New York Stock Exchange or, (ii) if the Common Stock is not listed on the New York Stock Exchange, the last reported sale price regular way per share or, in case no such reported sale takes place on such day, the average of the reported closing bid and asked prices regular way, in either case, on the principal national securities exchange on which the Common Stock is listed or admitted to trading, or (iii) if the Common Stock is not then listed on a national securities exchange, then the last reported sale price as quoted by the Nasdaq Stock Market, or (iv) if the Common Stock is not then listed on a national securities exchange or quoted by the Nasdaq Stock Market, then the last quoted bid price for the Common Stock in the over the counter market as reported by the National Quotation Bureau or similar organization.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“Code” has the meaning specified in Section 2.l.</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“Common Stock” means the common stock, par value $0.10 per share, of the Company authorized at the date of this instrument as originally executed. Subject to the provisions of Section 12.11, shares issuable on conversion or repurchase of Securities shall include only shares of Common Stock or shares of any class or classes of common stock resulting from any reclassification or reclassifications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 shall be more</w:t>
      </w:r>
    </w:p>
    <w:p>
      <w:pPr>
        <w:sectPr>
          <w:pgSz w:w="11900" w:h="16838" w:orient="portrait"/>
          <w:cols w:equalWidth="0" w:num="1">
            <w:col w:w="11400"/>
          </w:cols>
          <w:pgMar w:left="240" w:top="341" w:right="259" w:bottom="0" w:gutter="0" w:footer="0" w:header="0"/>
        </w:sectPr>
      </w:pPr>
    </w:p>
    <w:bookmarkStart w:id="25" w:name="page26"/>
    <w:bookmarkEnd w:id="25"/>
    <w:p>
      <w:pPr>
        <w:ind w:right="100"/>
        <w:spacing w:after="0" w:line="264" w:lineRule="auto"/>
        <w:rPr>
          <w:sz w:val="20"/>
          <w:szCs w:val="20"/>
          <w:color w:val="auto"/>
        </w:rPr>
      </w:pPr>
      <w:r>
        <w:rPr>
          <w:rFonts w:ascii="Arial" w:cs="Arial" w:eastAsia="Arial" w:hAnsi="Arial"/>
          <w:sz w:val="18"/>
          <w:szCs w:val="18"/>
          <w:color w:val="auto"/>
        </w:rPr>
        <w:t>than one such resulting class, the shares so issuable on conversion of Securities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“common stock” includes any stock of any class of capital stock which has no preference in respect of dividends or of amounts payable in the event of any voluntary or involuntary liquidation, dissolution or winding up of the issuer thereof and which is not subject to redemption by the issuer thereof.</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Notice” has the meaning specified in Section 14.3.</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 its Chairman of the Board, its Vice Chairman of the Board, its Chief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Officer, its President, an Executive Vice President or a Vice President, and by (ii) its principal financial officer, Treasurer, an Assistant Treasurer, its Secretary or an Assistant Secretary, and delivered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“Constituent Person” has the meaning specified in Section 12.11.</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“Conversion Agent” means any Person authorized by the Company to convert Securities in accordance with Article XII. The Company has initially appointed the Trustee as its Conversion Agent pursuant to Section 10.2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“Conversion Price” shall equal U.S. $1,000 divided by the Conversion Rate (rounded to the nearest cent).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has the meaning specified in Section 12.1.</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“Corporate Trust Office” means the office of the Trustee at which at any particular time the trust created by this Indenture shall be principally administered (which at the date of this Indenture is located at MAC N9303-121, Sixth and Marquette, Minneapolis, Minnesota 55479, Attention: Corporate Trust Operation (Micron Technology, Inc., 2.50% Convertible Subordinated Notes due February 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“corporation” means a corporation, company, association, joint-stock company or business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“Depositary” means, with respect to the Securities (including any Global Securities), a clearing agency that is registered as such under the Exchange Act and is designated by the Company to act as Depositary for the Securities (or any successor securities clearing agency so registered).</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(provided that such instrument, agreement or other document may place limitations and conditions on the right of such Senior Debt to exercise the rights of Designated Senior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“Distributed Assets” has the meaning set forth in Section 12.4(4).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has the meaning set forth in Section 6.3(1).</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“Dollar” or “U.S. $” means a dollar or other equivalent unit in such coin or currency of the United States as at the relevant time shall be legal tender for the payment of public and private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“DTC” means The Depository Trust Company, a New York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“Effective Failure” has the meaning specified in Section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“Effectiveness Period” has the meaning specified in Section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“Electing Holders” has the meaning given such term in the Registration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United States Securities Exchange Act of 1934 (or any successor statute),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 has the meaning specified in Section 12.4(6).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 Security” means a Security that is registered in the Security Register in the name of a Depositary or a nominee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 means the Person in whose name the Security is registered in the Security Register.</w:t>
      </w:r>
    </w:p>
    <w:p>
      <w:pPr>
        <w:sectPr>
          <w:pgSz w:w="11900" w:h="16838" w:orient="portrait"/>
          <w:cols w:equalWidth="0" w:num="1">
            <w:col w:w="11420"/>
          </w:cols>
          <w:pgMar w:left="240" w:top="125" w:right="239" w:bottom="0" w:gutter="0" w:footer="0" w:header="0"/>
        </w:sectPr>
      </w:pPr>
    </w:p>
    <w:bookmarkStart w:id="26" w:name="page27"/>
    <w:bookmarkEnd w:id="26"/>
    <w:p>
      <w:pPr>
        <w:spacing w:after="0" w:line="312" w:lineRule="auto"/>
        <w:rPr>
          <w:sz w:val="20"/>
          <w:szCs w:val="20"/>
          <w:color w:val="auto"/>
        </w:rPr>
      </w:pPr>
      <w:r>
        <w:rPr>
          <w:rFonts w:ascii="Arial" w:cs="Arial" w:eastAsia="Arial" w:hAnsi="Arial"/>
          <w:sz w:val="16"/>
          <w:szCs w:val="16"/>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“Initial Purchasers” means Goldman, Sachs &amp; Co., Lehman Brothers Inc., Banc of America Securities LLC and Salomon Smith Barney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means the Stated Maturity of an installment of interest on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Date” means February 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“Liquidated Damages” has the meaning specified in Section 2.2.</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becomes due and payable as therein or herein provided, whether at the Stated Maturity or by declaration of acceleration, call for redemption, exercise of the repurchase right set forth in Article XIV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“Non-electing Share” has the meaning specified in Section 12.11.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Default” has the meaning specified in Section 5.1.</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“Officers’ Certificate” means a certificate signed by (i) the Chairman of the Board, a Vice Chairman of the Board, the Chief Executive Officer, the President, an Executive Vice President,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Senior Vice President or a Vice President and by (ii) the principal financial officer, the Treasurer, an Assistant Treasurer, the Secretary or an Assistant Secretary of the Company, and delivered to the Trustee. One of the Officers signing an Officers’ Certificate given pursuant to Section 10.8 shall be the principal executive, financial or accounting officer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“Opinion of Counsel” means a written opinion of counsel, who may be counsel for the Company and who shall be acceptable to the Trustee.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“Outstanding”, when used with respect to the Securities, means, as of the date of determination, all Securities theretofore authenticated and delivered under this Indenture, except:</w:t>
      </w:r>
    </w:p>
    <w:p>
      <w:pPr>
        <w:spacing w:after="0" w:line="170" w:lineRule="exact"/>
        <w:rPr>
          <w:sz w:val="20"/>
          <w:szCs w:val="20"/>
          <w:color w:val="auto"/>
        </w:rPr>
      </w:pPr>
    </w:p>
    <w:p>
      <w:pPr>
        <w:ind w:left="1980" w:hanging="351"/>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left="1960" w:right="20" w:hanging="331"/>
        <w:spacing w:after="0" w:line="302" w:lineRule="auto"/>
        <w:tabs>
          <w:tab w:leader="none" w:pos="1991"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Securities for the payment or redemption of which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54" w:lineRule="exact"/>
        <w:rPr>
          <w:rFonts w:ascii="Arial" w:cs="Arial" w:eastAsia="Arial" w:hAnsi="Arial"/>
          <w:sz w:val="16"/>
          <w:szCs w:val="16"/>
          <w:color w:val="auto"/>
        </w:rPr>
      </w:pPr>
    </w:p>
    <w:p>
      <w:pPr>
        <w:ind w:left="1960" w:right="360" w:hanging="331"/>
        <w:spacing w:after="0" w:line="259"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converted into Common Stock pursuant to Article XII;</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Outstanding Securities are present at a meeting of Holders of Securities for quorum purposes or have given, made or taken any request, demand, authorization, direction, notice, consent or waiver or other action hereunder, Securities owned by the Company or any other obligor upon the Securities or any Affiliate of the Company or of such other obligor shall be disregarded and deemed not to be Outstanding, except that, in determining whether the Trustee shall be protected in relying upon any such determination as to the presence of a quorum or upon any such request, demand, authorization, direction, notice, consent or waiver or other action, only Securities which a Responsible Officer of the Trustee has been notified in writing to be so owned shall be so disregarded. Securities so owned which have been pledged in good faith may be regarded as Outstanding if the pledgee is not the Company or any other obligor upon the Securities or any Affiliate of the Company or of such other obligor, and the Trustee shall be protected in relying upon an Officer’s Certificate to such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“Paying Agent” means any Person authorized by the Company to pay the principal of or interest on any Securities on behalf of the Company and, except as otherwise specifically set forth herein, such term shall include the Company if it shall act as its own Paying Agent. The Company has initially appointed the Trustee as its Paying Agent pursuant to Section 10.2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“Payment Blockage Notice” has the meaning specified in Section 13.4.</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estate, unincorporated organization or government or any agency or political subdivision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“Place of Conversion” has the meaning specified in Section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“Place of Payment” has the meaning specified in Section 3.1.</w:t>
      </w:r>
    </w:p>
    <w:p>
      <w:pPr>
        <w:sectPr>
          <w:pgSz w:w="11900" w:h="16838" w:orient="portrait"/>
          <w:cols w:equalWidth="0" w:num="1">
            <w:col w:w="11400"/>
          </w:cols>
          <w:pgMar w:left="240" w:top="125" w:right="259" w:bottom="0" w:gutter="0" w:footer="0" w:header="0"/>
        </w:sectPr>
      </w:pPr>
    </w:p>
    <w:bookmarkStart w:id="27" w:name="page28"/>
    <w:bookmarkEnd w:id="27"/>
    <w:p>
      <w:pPr>
        <w:ind w:right="560"/>
        <w:spacing w:after="0" w:line="312"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“Purchase Agreement” means the Purchase Agreement, dated as of January 29, 2003, between the Company and the Initial Purchasers, as such agreement may be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“Press Release” means any press release issued by the Company and disseminated to Reuters Business News Services and Bloomberg News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“Previous Payments” has the meaning specified in Section 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Institutional Buyer” shall mean a “qualified institutional buyer” as defined in Rule 144A.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“Record Date Period” means the period from the close of business of any Regular Record Date immediately preceding any Interest Payment Date to the opening of business on such Interest Payment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“Redemption Date”, when used with respect to any Security to be redeemed, means the date fixed for such redemption by or pursuant to this Indenture.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“Redemption Price”, when used with respect to any Security to be redeemed, means the price at which it is to be redeemed pursuant to this Indenture.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“Registrable Securities” has the meaning specified in Section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Default” has the meaning specified in Section 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“Registration Rights Agreement” means the Registration Rights Agreement, dated as of February 4, 2003, between the Company and the Initial Purchasers, as such agreement may be amended from time to time.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“Regular Record Date” for interest payable in respect of any Security on any Interest Payment Date means the January 15 or July 15 (whether or not a Business Day), as the case may be, immediately preceding such Interest Payment Date.</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“Representative” means (a) the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“Repurchase Date” has the meaning specified in Section 14.1.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“Repurchase Price” has the meaning specified in Section 14.1.</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Office of the Trustee with direct responsibility for the administration of this Indenture and also means, with respect to a particular corporate trust matter, any other officer to whom such matter is referred because of his knowledge and familiarity with the particular subject.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“Restricted Global Security” has the meaning specified in Section 2.1.</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“Restricted Securities” means all Securities required pursuant to Section 3.5(3) to bear any Restricted Securities Legend. Such term includes the Restricted Global Security.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Securities Legend” has the meaning specified in Section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144” means Rule 144 under the Securities Act (or any successor provision),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144A” means Rule 144A under the Securities Act (or any successor provision),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144A Information” has the meaning specified in Section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“Securities” has the meaning ascribed to it in the first paragraph under the caption “Recitals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United States Securities Act of 1933 (or any successor statute),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“Senior Debt” means the principal of (and premium, if any) and interest, if any (including interest accruing on or after the filing of any petition in bankruptcy or for reorganization of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this Indenture or thereafter created, incurred or assumed: (a) indebtedness of the Company evidenced by any credit or loan agreement, note, bond,</w:t>
      </w:r>
    </w:p>
    <w:p>
      <w:pPr>
        <w:sectPr>
          <w:pgSz w:w="11900" w:h="16838" w:orient="portrait"/>
          <w:cols w:equalWidth="0" w:num="1">
            <w:col w:w="11420"/>
          </w:cols>
          <w:pgMar w:left="240" w:top="125" w:right="239" w:bottom="0" w:gutter="0" w:footer="0" w:header="0"/>
        </w:sectPr>
      </w:pPr>
    </w:p>
    <w:bookmarkStart w:id="28" w:name="page29"/>
    <w:bookmarkEnd w:id="28"/>
    <w:p>
      <w:pPr>
        <w:ind w:right="20"/>
        <w:spacing w:after="0" w:line="285" w:lineRule="auto"/>
        <w:rPr>
          <w:sz w:val="20"/>
          <w:szCs w:val="20"/>
          <w:color w:val="auto"/>
        </w:rPr>
      </w:pPr>
      <w:r>
        <w:rPr>
          <w:rFonts w:ascii="Arial" w:cs="Arial" w:eastAsia="Arial" w:hAnsi="Arial"/>
          <w:sz w:val="16"/>
          <w:szCs w:val="16"/>
          <w:color w:val="auto"/>
        </w:rPr>
        <w:t xml:space="preserve">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of this Indenture for financing purposes (as determined in good faith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option contracts,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(i) renewals, extensions, modifications, replacements, restatements and refundings of, or any indebtedness or obligation issued in exchange for, any such indebtedness or obligation described in clauses (a) through (h) of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Senior Debt shall not include the (i) Securities, (ii) the Company’s 6.5% Subordinated Promissory Note due September 2005, or (iii) any such indebtedness or obligation if the terms of such indebtedness or obligation (or the terms of the instrument under which, or pursuant to which it is issued) expressly provide that such indebtedness or obligation is not superior in right of payment to the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“Shelf Registration Statement” has the meaning specified in Section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Record Date” for the payment of any Defaulted Interest means a date fixed by the Company pursuant to Section 3.7.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or other similar interests in the corporation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“Successor Security” of any particular Security means every Security issued after, and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“Surrender Certificate” means a certificate substantially in the form set forth in Annex B.</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“Trading Day” means (i) if the Common Stock is listed or admitted for trading on The New York Stock Exchange or any other national or regional securities exchange, days on which such national or regional securities exchange is open for business, (ii) if the Common Stock is quoted on the Nasdaq National Market or any other system of automated dissemination of quotations of securities prices, days on which trades may be effected through such system, or (iii) if the Common Stock is not listed on The New York Stock Exchange or any other national or regional securities exchange or quoted on the Nasdaq National Market or any other system of automated dissemination of quotation of securities prices, days on which the Common Stock is traded regular way in the over-the-counter market and for which a closing bid and a closing asked price for the Common Stock are available.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“Trust Indenture Act” means the Trust Indenture Act of 1939, and the rules and regulations thereunder, as in force at the date as of which this instrument was executed,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Trust Indenture Act of 1939 is amended after such date, “Trust Indenture Act” means, to the extent required by any such amendment, the Trust Indenture Act of 1939, and the rules and regulations thereunder, as so amended.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170"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“United States” means the United States of America (including the States and the District of Columbia), its territories, its possessions and other areas subject to its jurisdiction (its “possessions” including Puerto Rico, the U.S. Virgin Islands, Guam, American Samoa, Wake Island and the Northern Mariana Islands).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“Unrestricted Securities Certificate” means a certificate substantially in the form set forth in Annex A.</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Every certificate or opinion with respect to compliance with a condition or covenant provided for in this Indenture (including certificates provided for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10.8) shall include:</w:t>
      </w:r>
    </w:p>
    <w:p>
      <w:pPr>
        <w:sectPr>
          <w:pgSz w:w="11900" w:h="16838" w:orient="portrait"/>
          <w:cols w:equalWidth="0" w:num="1">
            <w:col w:w="11400"/>
          </w:cols>
          <w:pgMar w:left="240" w:top="125" w:right="259" w:bottom="166" w:gutter="0" w:footer="0" w:header="0"/>
        </w:sectPr>
      </w:pPr>
    </w:p>
    <w:bookmarkStart w:id="29" w:name="page30"/>
    <w:bookmarkEnd w:id="29"/>
    <w:p>
      <w:pPr>
        <w:ind w:left="1360" w:hanging="704"/>
        <w:spacing w:after="0"/>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280" w:firstLine="656"/>
        <w:spacing w:after="0" w:line="277" w:lineRule="auto"/>
        <w:tabs>
          <w:tab w:leader="none" w:pos="1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40" w:firstLine="656"/>
        <w:spacing w:after="0" w:line="277" w:lineRule="auto"/>
        <w:tabs>
          <w:tab w:leader="none" w:pos="1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Form of Documents Delivered to the Trustee</w:t>
      </w:r>
      <w:r>
        <w:rPr>
          <w:rFonts w:ascii="Arial" w:cs="Arial" w:eastAsia="Arial" w:hAnsi="Arial"/>
          <w:sz w:val="16"/>
          <w:szCs w:val="16"/>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such Persons as to other matters, and any such Person may certify or give an opinion as to such matters in one or several documents.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certificate or opinion is based are erroneous. Any such certificate or opinion of counsel may be based, insofar as it relates to factual matters, upon a certificate or opinion of, or representations by, an officer or officers of the Company or any other Person stating that the information with respect to such factual matters is in the possession of the Company or such other Person, unless such counsel knows, or in the exercise of reasonable care should know, that the certificate or opinion or representations with respect to such matters are erroneous.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Acts of Holders of Securities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9" w:lineRule="auto"/>
        <w:tabs>
          <w:tab w:leader="none" w:pos="1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or permitted by this Indenture to be given, made or taken by Holders of Securities may be embodied in and evidenced by (A) one or more instruments of substantially similar tenor signed by such Holders in person or by an agent or proxy duly appointed in writing by such Holders or (B) the record of Holders of Securities voting in favor thereof, either in person or by proxies duly appointed in writing, at any meeting of Holders of Securities duly called and held in accordance with the provisions of Article IX. Such action shall become effective when such instrument or instruments or record is delivered to the Trustee and, where it is hereby expressly required, to the Company. The Trustee shall promptly deliver to the Company copies of all such instruments and records delivered to the Trustee. Such instrument or instruments and records (and the action embodied therein and evidenced thereby) are herein sometimes referred to as the “Act” of the Holders of Securities signing such instrument or instruments or so voting at such meeting. Proof of execution of any such instrument or of a writing appointing any such agent or proxy, or of the holding by any Person of a Security, shall be sufficient for any purpose of this Indenture and (subject to Section 6.1) conclusive in favor of the Trustee and the Company if made in the manner provided in this Section. The record of any meeting of Holders of Securities shall be proved in the manner provided in Section 9.6.</w:t>
      </w:r>
    </w:p>
    <w:p>
      <w:pPr>
        <w:spacing w:after="0" w:line="182" w:lineRule="exact"/>
        <w:rPr>
          <w:rFonts w:ascii="Arial" w:cs="Arial" w:eastAsia="Arial" w:hAnsi="Arial"/>
          <w:sz w:val="17"/>
          <w:szCs w:val="17"/>
          <w:color w:val="auto"/>
        </w:rPr>
      </w:pPr>
    </w:p>
    <w:p>
      <w:pPr>
        <w:jc w:val="both"/>
        <w:ind w:right="360" w:firstLine="656"/>
        <w:spacing w:after="0" w:line="259" w:lineRule="auto"/>
        <w:tabs>
          <w:tab w:leader="none" w:pos="1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hanging="704"/>
        <w:spacing w:after="0"/>
        <w:tabs>
          <w:tab w:leader="none" w:pos="1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principal amount and serial number of any Security held by any Person, and the date of his holding the same, shall be proved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Register.</w:t>
      </w:r>
    </w:p>
    <w:p>
      <w:pPr>
        <w:spacing w:after="0" w:line="210" w:lineRule="exact"/>
        <w:rPr>
          <w:rFonts w:ascii="Arial" w:cs="Arial" w:eastAsia="Arial" w:hAnsi="Arial"/>
          <w:sz w:val="16"/>
          <w:szCs w:val="16"/>
          <w:color w:val="auto"/>
        </w:rPr>
      </w:pPr>
    </w:p>
    <w:p>
      <w:pPr>
        <w:jc w:val="both"/>
        <w:ind w:right="100" w:firstLine="656"/>
        <w:spacing w:after="0" w:line="264" w:lineRule="auto"/>
        <w:tabs>
          <w:tab w:leader="none" w:pos="1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fact and date of execution of any such instrument or writing and the authority of the Person executing the same may also be proved in any other manner which the Trustee deems sufficient; and the Trustee may in any instance require further proof with respect to any of the matters referred to in this Section 1.4.</w:t>
      </w:r>
    </w:p>
    <w:p>
      <w:pPr>
        <w:spacing w:after="0" w:line="181" w:lineRule="exact"/>
        <w:rPr>
          <w:rFonts w:ascii="Arial" w:cs="Arial" w:eastAsia="Arial" w:hAnsi="Arial"/>
          <w:sz w:val="18"/>
          <w:szCs w:val="18"/>
          <w:color w:val="auto"/>
        </w:rPr>
      </w:pPr>
    </w:p>
    <w:p>
      <w:pPr>
        <w:ind w:right="20" w:firstLine="656"/>
        <w:spacing w:after="0" w:line="289" w:lineRule="auto"/>
        <w:tabs>
          <w:tab w:leader="none" w:pos="13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may set any day as the record date for the purpose of determining the Holders entitled to give, make or take any request, demand, authorization, direction, notice, consent, waiver or other action, or to vote on any action, authorized or permitted by this Indenture to be given, made or taken by Holders. Promptly and in any case not later than ten days after setting a record date, the Company shall notify the Trustee and the Holders of such record date. If not set by the Company prior to the first solicitation of a Holder made by any Person in respect of any such action, or, in the case of any such vote, prior to such vote, the record date for any such action or vote shall be the 30th day (or, if later, the date of the most recent list of Holders required to be provided pursuant to Section 15.1) prior to such first solicitation or vote, as the case may be. With regard to any record date, the Holders on such date (or their duly appointed agents or proxies), and only such Persons, shall be entitled to give, make or take, or vote on, the relevant action, whether or not such Holders remain Holders after such record date. Notwithstanding the foregoing, the Company shall not set a record date for, and the provisions of this paragraph shall not apply with respect to, any notice, declaration or direction referred to in the next paragraph.</w:t>
      </w:r>
    </w:p>
    <w:p>
      <w:pPr>
        <w:spacing w:after="0" w:line="16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Upon receipt by the Trustee from any Holder of (i) any notice of default or breach referred to in Section 5.1(4), if such default or breach has occurred and is continuing and the Trustee shall not have given such a notice to the Company, (ii) any declaration of acceleration referred to in Section 5.2, if an Event of Default has occurred and is continuing and the Trustee shall not have given such a declaration to the Company, or (iii) any direction referred to in Section</w:t>
      </w:r>
    </w:p>
    <w:p>
      <w:pPr>
        <w:sectPr>
          <w:pgSz w:w="11900" w:h="16838" w:orient="portrait"/>
          <w:cols w:equalWidth="0" w:num="1">
            <w:col w:w="11420"/>
          </w:cols>
          <w:pgMar w:left="240" w:top="125" w:right="239" w:bottom="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5.12, if the Trustee shall not have taken the action specified in such direction, then, with respect to clauses (ii) and (iii), a record date shall automatically and without any action by the Company or the Trustee be set for determining the Holders entitled to join in such declaration or direction, which record date shall be the close of business on the tenth day (or, if such day is not a Business Day, the first Business Day thereafter) following the day on which the Trustee receives such declaration or direction, and, with respect to clause (i), the Trustee may set any day as a record date for the purpose of determining the Holders entitled to join in such notice of default. Promptly after such receipt by the Trustee of any such declaration or direction referred to in clause (ii) or (iii), and promptly after setting any record date with respect to clause (i), and as soon as practicable thereafter, the Trustee shall notify the Company and the Holders of any such record date so fixed. The Holders on such record date (or their duly appointed agents or proxies), and only such Persons, shall be entitled to join in such notice, declaration or direction, whether or not such Holders remain Holders after such record date; provided that, unless such notice, declaration or direction shall have become effective by virtue of Holders of the requisite principal amount of Securities on such record date (or their duly appointed agents or proxies) having joined therein on or prior to the 90th day after such record date, such notice, declaration or direction shall automatically and without any action by any Person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canceled and of no further effect. Nothing in this paragraph shall be construed to prevent a Holder (or a duly appointed agent or proxy thereof) from giving, before or after the expiration of such 90-day period, a notice, declaration or direction contrary to or different from, or, after the expiration of such period, identical to, the notice, declaration or direction to which such record date relates, in which event a new record date in respect thereof shall be set pursuant to this paragraph. In addition, nothing in this paragraph shall be construed to render ineffective any notice, declaration or direction of the type referred to in this paragraph given at any time to the Trustee and the Company by Holders (or their duly appointed agents or proxies) of the requisite principal amount of Securities on the date such notice, declaration or direction is so given.</w:t>
      </w:r>
    </w:p>
    <w:p>
      <w:pPr>
        <w:spacing w:after="0" w:line="193" w:lineRule="exact"/>
        <w:rPr>
          <w:sz w:val="20"/>
          <w:szCs w:val="20"/>
          <w:color w:val="auto"/>
        </w:rPr>
      </w:pPr>
    </w:p>
    <w:p>
      <w:pPr>
        <w:ind w:right="120" w:firstLine="656"/>
        <w:spacing w:after="0" w:line="259"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provided in Sections 5.12 and 5.13, 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of this Section 1.4 are subject to the provisions of Section 9.5.</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Notices, Etc to the Trustee and Company</w:t>
      </w:r>
      <w:r>
        <w:rPr>
          <w:rFonts w:ascii="Arial" w:cs="Arial" w:eastAsia="Arial" w:hAnsi="Arial"/>
          <w:sz w:val="16"/>
          <w:szCs w:val="16"/>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request, demand, authorization, direction, notice, consent, election, waiver or other Act of Holders of Securities or other document provided or permitted by this Indenture to be made upon, given or furnished to, or filed with:</w:t>
      </w:r>
    </w:p>
    <w:p>
      <w:pPr>
        <w:spacing w:after="0" w:line="170" w:lineRule="exact"/>
        <w:rPr>
          <w:sz w:val="20"/>
          <w:szCs w:val="20"/>
          <w:color w:val="auto"/>
        </w:rPr>
      </w:pPr>
    </w:p>
    <w:p>
      <w:pPr>
        <w:jc w:val="both"/>
        <w:ind w:right="300" w:firstLine="656"/>
        <w:spacing w:after="0" w:line="259"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by any Holder of Securities or by the Company shall be sufficient for every purpose hereunder if made, given, furnished or filed in writing to or with a Responsible Officer of the Trustee and received at the following address: Wells Fargo Bank Minnesota, National Association, MAC N-9303-110, Minneapolis, MN 55479, Attention: Corporate Trust Services (Micron Technology, Inc., 2.50% Convertible Subordinated Notes due February 1, 2010); or</w:t>
      </w:r>
    </w:p>
    <w:p>
      <w:pPr>
        <w:spacing w:after="0" w:line="186" w:lineRule="exact"/>
        <w:rPr>
          <w:rFonts w:ascii="Arial" w:cs="Arial" w:eastAsia="Arial" w:hAnsi="Arial"/>
          <w:sz w:val="18"/>
          <w:szCs w:val="18"/>
          <w:color w:val="auto"/>
        </w:rPr>
      </w:pPr>
    </w:p>
    <w:p>
      <w:pPr>
        <w:ind w:right="80" w:firstLine="656"/>
        <w:spacing w:after="0" w:line="259"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by the Trustee or by any Holder of Securities shall be sufficient for every purpose hereunder (unless otherwise herein expressly provided) if in writing, mailed, first-class postage prepaid, or telecopied and confirmed by mail, first-class postage prepaid, or delivered by hand or overnight courier, addressed to the Company at 8000 South Federal Way, Boise, ID 83707 Attention: Chief Financial Officer, or at any other address previously furnished in writing to the Trustee by the Company.</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Notice to Holders of Securities; Waiver</w:t>
      </w:r>
      <w:r>
        <w:rPr>
          <w:rFonts w:ascii="Arial" w:cs="Arial" w:eastAsia="Arial" w:hAnsi="Arial"/>
          <w:sz w:val="16"/>
          <w:szCs w:val="16"/>
          <w:color w:val="auto"/>
        </w:rPr>
        <w: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expressly provided herein, where this Indenture provides for notice to Holders of Securities of any event, such notice shall be sufficiently given to Holders if in writing and mailed, first-class postage prepaid or delivered by an overnight delivery service, to each Holder of a Security affected by such event, at the address of such Holder as it appears in the Security Register,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 earlier than the earliest date, if any, and not later than the latest date, if any, prescribed for the giving of such notice. Such notice shall be deemed to have been given when such notice is mailed.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Neither the failure to mail such notice, nor any defect in any notice so mailed, to any particular Holder of a Security shall affect the sufficiency of such notice with respect to other Holders of Securities. In case by reason of the suspension of regular mail service or by reason of any other cause it shall be impracticable to give such notice by mail, then such notification to Holders of Securities as shall be made with the approval of the Trustee, which approval shall not be unreasonably withheld, shall constitute a sufficient notification to such Holders for every purpose hereunder.</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31" w:name="page32"/>
    <w:bookmarkEnd w:id="31"/>
    <w:p>
      <w:pPr>
        <w:ind w:right="380"/>
        <w:spacing w:after="0" w:line="277" w:lineRule="auto"/>
        <w:rPr>
          <w:sz w:val="20"/>
          <w:szCs w:val="20"/>
          <w:color w:val="auto"/>
        </w:rPr>
      </w:pPr>
      <w:r>
        <w:rPr>
          <w:rFonts w:ascii="Arial" w:cs="Arial" w:eastAsia="Arial" w:hAnsi="Arial"/>
          <w:sz w:val="18"/>
          <w:szCs w:val="18"/>
          <w:color w:val="auto"/>
        </w:rPr>
        <w:t>In case any provision in this Indenture or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Except as provided in the next sentence, nothing in this Indenture or in the Securities, express or implied, shall give to any Person, other than the parties hereto and their successors and assigns hereunder and the Holders of Securities, any benefit or legal or equitable right, remedy or claim under this Indenture. The provisions of Article XIII are intended to be for the benefit of, and shall be enforceable directly by, the holders of Senior Debt.</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STATES OF AMERICA.</w:t>
      </w:r>
    </w:p>
    <w:p>
      <w:pPr>
        <w:spacing w:after="0" w:line="22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any case where any Interest Payment Date, Redemption Date, Repurchase Date or Stated Maturity of any Security or the last day on which a Holder of a Security has a right to convert his Security shall not be a Business Day at a Place of Payment or Place of Conversion, as the case may be, then (notwithstanding any other provision of this Indenture or of the Securities) payment of principal of, premium, if any, or interest on, or the payment of the Redemption Price or Repurchase Price (whether the same is payable in cash or in shares of Applicable Stock in the case of the Repurchase Price) with respect to, or delivery for conversion of, such Security need not be made at such Place of Payment or Place of Conversion, as the case may be, on or by such day, but may be made on or by the next succeeding Business Day at such Place of Payment or Place of Conversion, as the case may be, with the same force and effect as if made on the Interest Payment Date, Redemption Date or Repurchase Date, or at the Stated Maturity or by such last day for conversion,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that payment is made on such succeeding Business Day, no interest shall accrue on the amount so payable for the period from and after such Interest Payment Date, Redemption Date, Repurchase Date, Stated Maturity or last day for conversion, as the case may be, to such Business Day on which such payment is made.</w:t>
      </w:r>
    </w:p>
    <w:p>
      <w:pPr>
        <w:spacing w:after="0" w:line="17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7"/>
          <w:szCs w:val="17"/>
          <w:u w:val="single" w:color="auto"/>
          <w:color w:val="auto"/>
        </w:rPr>
        <w:t>Conflict With Trust Indenture Act</w:t>
      </w:r>
      <w:r>
        <w:rPr>
          <w:rFonts w:ascii="Arial" w:cs="Arial" w:eastAsia="Arial" w:hAnsi="Arial"/>
          <w:sz w:val="17"/>
          <w:szCs w:val="17"/>
          <w:color w:val="auto"/>
        </w:rPr>
        <w:t>.</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 Until such time as this Indenture shall be qualified under the Trust Indenture Act, this Indenture, the Company and the Trustee shall be deemed for all purposes hereof to be subject to and governed by the Trust Indenture Act to the same extent as would be the case if this Indenture were so qualified on the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FORMS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 Generally</w:t>
      </w:r>
      <w:r>
        <w:rPr>
          <w:rFonts w:ascii="Arial" w:cs="Arial" w:eastAsia="Arial" w:hAnsi="Arial"/>
          <w:sz w:val="16"/>
          <w:szCs w:val="16"/>
          <w:color w:val="auto"/>
        </w:rPr>
        <w: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Securities shall be in substantially the form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the Internal Revenue Code of 1986, as amended, and regulations thereunder (the “Code”), or as may, consistent herewith, be determined by the officers executing such Securities, as evidenced by their execution thereof. All Securities shall be in fully registered form.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Trustee’s certificates of authentication shall be in substantially the form set forth in Section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notices shall be in substantially the form set forth in Section 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Repurchase notices shall be substantially in the form set forth under the heading “Election of Holder to Require Repurchase” in Section 2.2.</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Securities may be listed) on which the Securities may be quoted or listed, as the case may be, all as determined by the officers executing such Securities, as evidenced by their execution thereof.</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Upon their original issuance, Securities issued as contemplated by the Purchase Agreement to Qualified Institutional Buyers in reliance on Rule 144A shall be issued in the form of one or more Global Securities in definitive, fully registered form without interest coupons and bearing the Restricted Securities Legend. Such Global Security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together with its Successor Securities that are Global Securities, are collectively herein called the “Restricted Global Security.”</w:t>
      </w:r>
    </w:p>
    <w:p>
      <w:pPr>
        <w:spacing w:after="0" w:line="15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Form of Security</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[FORM OF FACE]</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FOLLOWING LEGEND (THE “RESTRICTED SECURITIES LEGEND”)) SHALL APPEAR ON THE FACE OF EACH RESTRICTED SECURITY:</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THIS NOTE AND ANY COMMON STOCK ISSUABLE UPON THE CONVERSION OF THIS NOTE HAVE NOT BEEN REGISTERED UNDER THE U.S. SECURITIES ACT OF 1933, AS AMENDED (THE “SECURITIES ACT”), AND MAY NOT BE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THIS NOTE AND ANY COMMON STOCK ISSUABLE UPON CONVERSION OF THIS NOTE MAY NOT BE OFFERED, SOLD, PLEDGED OR OTHERWISE TRANSFERRED EXCEPT (A) (1) TO A PERSON WHO THE TRANSFEROR REASONABLY BELIEVES IS A QUALIFIED INSTITUTIONAL BUYER WITHIN THE MEANING OF RULE 144A UNDER THE SECURITIES ACT ACQUIRING FOR ITS OWN ACCOUNT OR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ACCOUNT OF A QUALIFIED INSTITUTIONAL BUYER IN A TRANSACTION MEETING THE REQUIREMENTS OF RULE 144A, (2) PURSUANT TO AN EXEMPTION FROM REGISTRATION UNDER THE SECURITIES ACT PROVIDED BY RULE 144 THEREUNDER (IF AVAILABLE), (3) TO AN INSTITUTIONAL INVESTOR THAT IS AN “ACCREDITED INVESTOR” WITHIN THE MEANING OF RULE 501(A)(1), (2), (3) OR (7) OF REGULATION D UNDER THE SECURITIES ACT PURSUANT TO AN EXEMPTION FROM REGISTRATION UNDER THE SECURITIES ACT (IF AVAILABLE) OR (4) PURSUANT TO AN EFFECTIVE REGISTRATION STATEMENT UNDER THE SECURITIES ACT, AND (B) IN ACCORDANCE WITH ALL APPLICABLE SECURITIES LAWS OF THE STATES OF THE UNITED STATES AND OTHER JURISDICTIONS.</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NOTE, ANY SHARES OF COMMON STOCK ISSUABLE UPON ITS CONVERSION AND ANY RELATED DOCUMENTATION MAY BE AMENDED OR SUPPLEMENTED FROM TIME TO TIME TO MODIFY THE RESTRICTIONS ON RESALES AND OTHER TRANSFERS OF THIS NOTE AND ANY SUCH SHARES TO REFLECT ANY CHANGE IN APPLICABLE LAW OR REGULATION (OR THE INTERPRETATION THEREOF) OR IN PRACTICES RELATING TO THE RESALE OR TRANSFER OF RESTRICTED SECURITIES GENERALLY. THE HOLDER OF THIS NOTE AND ANY SUCH SHARES SHALL BE DEEMED BY THE ACCEPTANCE OF THIS NOTE AND ANY SUCH SHARES TO HAVE AGREED TO ANY SUCH AMENDMENT OR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LEGEND SHALL APPEAR ON THE FACE OF EACH GLOBAL SECURITY:</w:t>
      </w:r>
    </w:p>
    <w:p>
      <w:pPr>
        <w:spacing w:after="0" w:line="225"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UNLESS AND UNTIL IT IS EXCHANGED IN WHOLE OR IN PART FOR SECURITIES IN DEFINITIVE REGISTERED FORM IN THE LIMITED CIRCUMSTANCES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REFERRED TO IN THE INDENTURE,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 CONVERTIBLE SUBORDINATED NOTE DUE FEBRUARY 1, 2010</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9440" w:space="720"/>
            <w:col w:w="126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CUSIP NO. 595112 AF 0</w:t>
      </w:r>
    </w:p>
    <w:p>
      <w:pPr>
        <w:sectPr>
          <w:pgSz w:w="11900" w:h="16838" w:orient="portrait"/>
          <w:cols w:equalWidth="0" w:num="1">
            <w:col w:w="11420"/>
          </w:cols>
          <w:pgMar w:left="240" w:top="121" w:right="23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 a corporation duly organized and existing under the laws of the State of Delaware (herein called the “Company”, which</w:t>
      </w:r>
    </w:p>
    <w:p>
      <w:pPr>
        <w:spacing w:after="0" w:line="46"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term includes any successor Person under the Indenture referred to on the reverse hereof), for value received, hereby promises to pay to , or registered assigns, the principal sum of United States Dollars (U.S.$ ) [</w:t>
      </w:r>
      <w:r>
        <w:rPr>
          <w:rFonts w:ascii="Arial" w:cs="Arial" w:eastAsia="Arial" w:hAnsi="Arial"/>
          <w:sz w:val="17"/>
          <w:szCs w:val="17"/>
          <w:b w:val="1"/>
          <w:bCs w:val="1"/>
          <w:color w:val="auto"/>
        </w:rPr>
        <w:t>if this Security is a Global Security, then insert —</w:t>
      </w:r>
      <w:r>
        <w:rPr>
          <w:rFonts w:ascii="Arial" w:cs="Arial" w:eastAsia="Arial" w:hAnsi="Arial"/>
          <w:sz w:val="17"/>
          <w:szCs w:val="17"/>
          <w:color w:val="auto"/>
        </w:rPr>
        <w:t xml:space="preserve"> (which principal</w:t>
      </w:r>
    </w:p>
    <w:p>
      <w:pPr>
        <w:ind w:right="100"/>
        <w:spacing w:after="0" w:line="295" w:lineRule="auto"/>
        <w:rPr>
          <w:sz w:val="20"/>
          <w:szCs w:val="20"/>
          <w:color w:val="auto"/>
        </w:rPr>
      </w:pPr>
      <w:r>
        <w:rPr>
          <w:rFonts w:ascii="Arial" w:cs="Arial" w:eastAsia="Arial" w:hAnsi="Arial"/>
          <w:sz w:val="16"/>
          <w:szCs w:val="16"/>
          <w:color w:val="auto"/>
        </w:rPr>
        <w:t>amount may from time to time be increased or decreased to such other principal amounts (which, taken together with the principal amounts of all other Outstanding Securities, shall not exceed U.S. $632,500,000) by adjustments made on the records of the Trustee hereinafter referred to in accordance with the Indenture)] on February 1, 2010 and to pay interest thereon, from February 4, 2003, or from the most recent Interest Payment Date (as defined below) to which interest has been paid or duly provided for, semi-annually in arrears on February 1 and August 1 in each year (each, an “Interest Payment Date”),</w:t>
      </w:r>
    </w:p>
    <w:p>
      <w:pPr>
        <w:sectPr>
          <w:pgSz w:w="11900" w:h="16838" w:orient="portrait"/>
          <w:cols w:equalWidth="0" w:num="1">
            <w:col w:w="11420"/>
          </w:cols>
          <w:pgMar w:left="240" w:top="121" w:right="239" w:bottom="0" w:gutter="0" w:footer="0" w:header="0"/>
          <w:type w:val="continuous"/>
        </w:sectPr>
      </w:pPr>
    </w:p>
    <w:bookmarkStart w:id="33" w:name="page34"/>
    <w:bookmarkEnd w:id="33"/>
    <w:p>
      <w:pPr>
        <w:ind w:right="20"/>
        <w:spacing w:after="0" w:line="287" w:lineRule="auto"/>
        <w:rPr>
          <w:sz w:val="20"/>
          <w:szCs w:val="20"/>
          <w:color w:val="auto"/>
        </w:rPr>
      </w:pPr>
      <w:r>
        <w:rPr>
          <w:rFonts w:ascii="Arial" w:cs="Arial" w:eastAsia="Arial" w:hAnsi="Arial"/>
          <w:sz w:val="16"/>
          <w:szCs w:val="16"/>
          <w:color w:val="auto"/>
        </w:rPr>
        <w:t>commencing August 1, 2003, at the rate of 2.50% per annum, until the principal hereof is due, and at the rate of 2.50% per annum on any overdue principal and premium, if any, and, to the extent permitted by law, on any overdue interest.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January 15 or July 15 (whether or not a Business Day), as the case may be, immediately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Company, notice whereof shall be given to Holders of Securities not less than 10 days prior to the Special Record Date, or be paid at any time in any other lawful manner not inconsistent with the requirements of any automated quotation system or securities exchange on which the Securities may be quoted or listed, and upon such notice as may be required by such exchange, all as more fully provided in the Indenture. Payments of principal and premium, if any, shall be made upon the surrender of this Security at the option of the Holder at the Corporate Trust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Office of the Trustee in such lawful monies of the United States of America as at the time of payment shall be legal tender for the payment of public and private debts, or at such other offices or agencies as the Company may designate, by United States Dollar check drawn on, or wire transfer to, a United States Dollar account (such a transfer to be made only to a Holder of an aggregate principal amount of Securities in excess of U.S.$2,000,000 and only if such Holder shall have furnished wire instructions in writing to the Trustee no later than 15 days prior to the relevant payment date). Payment of interest on this Security may be made by United States Dollar check mailed to the address of the Person entitled thereto as such address shall appear in the Security Register, or, upon written application by the Holder to the Security Registrar setting forth wire instructions not later than the relevant Record Date, by transfer to a United States Dollar account (such a transfer to be made only to a Holder of an aggregate principal amount of Securities in excess of U.S. $2,000,000 and only if such Holder shall have furnished wire instructions in writing to the Trustee no later than 15 days prior to the relevant payment date).</w:t>
      </w:r>
    </w:p>
    <w:p>
      <w:pPr>
        <w:spacing w:after="0" w:line="166"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Except as specifically provided herein and in the Indenture, the Company shall not be required to make any payment with respect to any tax, assessment or other governmental charge imposed by any government or any political subdivision or taxing authority thereof or therein.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or an Authenticating Agent by the manual signature of one of their respective authorized signatories, this Security shall not be entitled to any benefit under the Indenture or be valid or obligatory for any purpose.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Company has caused this Security to be duly executed.</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2555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MINNESOTA,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70065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REVERSE]</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Security is one of a duly authorized issue of securities of the Company designated as its “2.50% Convertible Subordinated Notes due February 1, 2010” (herein called the “Securities”), limited in aggregate principal amount to U.S. $632,500,000, issued and to be issued under an Indenture, dated as of February 4, 2003 (herein called the “Indenture”), between the Company and Wells Fargo Bank Minnesota, National Association, as Trustee (herein called the “Trustee”, which term includes any successor trustee under the Indenture), to which Indenture and all indentures supplemental thereto reference is hereby</w:t>
      </w:r>
    </w:p>
    <w:p>
      <w:pPr>
        <w:sectPr>
          <w:pgSz w:w="11900" w:h="16838" w:orient="portrait"/>
          <w:cols w:equalWidth="0" w:num="1">
            <w:col w:w="11360"/>
          </w:cols>
          <w:pgMar w:left="240" w:top="125" w:right="299" w:bottom="0" w:gutter="0" w:footer="0" w:header="0"/>
        </w:sectPr>
      </w:pPr>
    </w:p>
    <w:bookmarkStart w:id="34" w:name="page35"/>
    <w:bookmarkEnd w:id="34"/>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made for a statement of the respective rights, limitations of rights, duties and immunities thereunder of the Company, the Trustee, the holders of Senior Debt and the Holders of the Securities and of the terms upon which the Securities are, and are to be, authenticated and delivered. As provided in the Indenture and subject to certain limitations therein set forth, Securities are exchangeable for a like aggregate principal amount of Securities of any authorized denominations as requested by the Holder surrendering the same upon surrender of the Security or Securities to be exchanged, at the Corporate Trust Office of the Trustee. The Trustee upon such surrender by the Holder will issue the new Securities in the requested denominations.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 sinking fund is provided for the Securities.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Securities are subject to redemption at the option of the Company at any time on or after February 6, 2006, in whole or in part, upon not less than 20 nor more than 60 days’ notice to the Holders prior to the Redemption Date at the Redemption Prices (expressed as percentages of the principal amount) as set forth below for Securities redeemed during the following periods described below:</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vMerge w:val="restart"/>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6, 2006 and ending January 31, 2007</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1"/>
              </w:rPr>
              <w:t>101.429%</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Beginning on February 1, 2007 and ending January 31, 2008</w:t>
            </w:r>
          </w:p>
        </w:tc>
        <w:tc>
          <w:tcPr>
            <w:tcW w:w="1500" w:type="dxa"/>
            <w:vAlign w:val="bottom"/>
          </w:tcPr>
          <w:p>
            <w:pPr>
              <w:ind w:left="920"/>
              <w:spacing w:after="0"/>
              <w:rPr>
                <w:sz w:val="20"/>
                <w:szCs w:val="20"/>
                <w:color w:val="auto"/>
              </w:rPr>
            </w:pPr>
            <w:r>
              <w:rPr>
                <w:rFonts w:ascii="Arial" w:cs="Arial" w:eastAsia="Arial" w:hAnsi="Arial"/>
                <w:sz w:val="18"/>
                <w:szCs w:val="18"/>
                <w:color w:val="auto"/>
                <w:w w:val="86"/>
              </w:rPr>
              <w:t>101.071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on February 1, 2008 and ending January 31, 2009</w:t>
            </w:r>
          </w:p>
        </w:tc>
        <w:tc>
          <w:tcPr>
            <w:tcW w:w="15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6"/>
              </w:rPr>
              <w:t>100.714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Beginning on February 1, 2009 and ending January 31, 2010</w:t>
            </w:r>
          </w:p>
        </w:tc>
        <w:tc>
          <w:tcPr>
            <w:tcW w:w="1500" w:type="dxa"/>
            <w:vAlign w:val="bottom"/>
          </w:tcPr>
          <w:p>
            <w:pPr>
              <w:ind w:left="920"/>
              <w:spacing w:after="0"/>
              <w:rPr>
                <w:sz w:val="20"/>
                <w:szCs w:val="20"/>
                <w:color w:val="auto"/>
              </w:rPr>
            </w:pPr>
            <w:r>
              <w:rPr>
                <w:rFonts w:ascii="Arial" w:cs="Arial" w:eastAsia="Arial" w:hAnsi="Arial"/>
                <w:sz w:val="18"/>
                <w:szCs w:val="18"/>
                <w:color w:val="auto"/>
                <w:w w:val="86"/>
              </w:rPr>
              <w:t>100.357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and thereafter at a Redemption Price equal to 100% of the principal amount, together, in each case, with accrued interest to, but excluding,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installments on Securities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event of a redemption of the Securities, the Company will not be required (a) to register the transfer or exchange of Securities for a period of 15 days immediately preceding the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notice is given identifying the serial numbers of the Securities called for such redemption or (b) to register the transfer or exchange of any Security, or portion thereof, called for redemption.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any case where the due date for the payment of the principal of, premium, if any, interest, or Liquidated Damages on any Security or the last day on which a Holder of a Security has a right to convert his Security shall be, at any Place of Payment or Place of Conversion as the case may be, a day on which banking institutions at such Place of Payment or Place of Conversion are authorized or obligated by law or executive order to close, then payment of principal, premium, if any, interest, or Liquidated Damages, or delivery for conversion of such Security need not be made on or by such date at such place but may be made on or by the next succeeding day at such place which is not a day on which banking institutions are authorized or obligated by law or executive order to close, with the same force and effect as if made on the date for such payment or the date fixed for redemption or repurchase, or by such last day for conversion, and no interest shall accrue on the amount so payable for the period after such date.</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Subject to and upon compliance with the provisions of the Indenture, the Holder of this Security is entitled, at his option, at any time on or before the close of business on the date of Maturity, or in case this Security or a portion hereof is called for redemption or the Holder hereof has exercised his right to require the Company to repurchase this Security or such portion hereof, then in respect of this Security until the Business Day immediately preceding, but (unless the Company defaults in making the payment due upon redemption or repurchase, as the case may be) not after, the close of business on the Business Day immediately preceding the Redemption Date or the Repurchase Date, as the case may be, to convert this Security (or any portion of the principal amount hereof that is an integral multiple of U.S. $1,000, provided that the unconverted portion of such principal amount is U.S. $1,000 or any integral multiple of U.S. $1,000 in excess thereof) into fully paid and nonassessable shares of Common Stock of the Company at an initial Conversion Rate of 84.8320 shares of Common Stock for each U.S. $1,000 principal amount of Securities (or at the current adjusted Conversion Rate in effect at the date of such conversion if an adjustment has been made as provided in the Indenture) by surrender of this Security, duly endorsed or assigned to the Company or in blank and, in case such surrender shall be made during a Record Date Period, also accompanied by payment in New York Clearing House funds or other funds acceptable to the Company of an amount equal to the interest payable on such Interest Payment Date on the principal amount of this Security then being converted (except that no such payment need be made if this Security or portion thereof has been called for redemption on a Redemption Date, or has been submitted for repurchase on a Repurchase Date, occurring, in either case, within the period from the close of business on any Regular Record Date immediately preceding any Interest Payment Date to the close of business on the third Business Day following such Interest Payment Date and, as a result, the right to convert such Security would otherwise terminate in such period if not exercised), and also the conversion notice hereon duly executed, to the Company at the Corporate Trust Office of the Trustee, or at such other office or agency of the Company, subject to any laws or regulations applicable thereto and subject to the right of the Company to terminate the appointment of any Conversion Agent (as defined below) as may be designated by it for such purpose in the Borough of Manhattan, The City of New York, or at such other offices or agencies as the Company may designate (each a “Conversion Agent”). The interest that is payable on such Interest Payment Date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with respect to any Security (or portion thereof, if applicable) that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Subject to the provisions of the preceding sentence and, in the case of a conversion after the close of business on the Regular Record Date next preceding any Interest Payment Date and on or before the close of business on such Interest Payment Date, to the right of the Holder of this Security (or any Predecessor Security of record as of such Regular Record Date) to receive the related installment of interest to the extent and under the circumstances provided in the Indenture, no cash payment or adjustment is to be made on conversion for interest accrued hereon from the Interest Payment Date immediately preceding the day of conversion, or for dividends on the Common Stock issued on conversion hereof. The Company shall thereafter deliver to the Holder or to the Trustee for delivery to the Holder the fixed number of shares of Common Stock (together with any cash adjustment, as provided in the Indenture) into which this Security is convertible and such delivery will be deemed to satisfy the Company’s obligation to pay the principal amount of this Security. No fractions of shares or scrip representing fractions of shares will be issued on conversion, but instead of any fractional interest (calculated to the nearest 1/100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a share) the Company shall pay a cash adjustment as provided in the Indenture. The</w:t>
      </w:r>
    </w:p>
    <w:p>
      <w:pPr>
        <w:sectPr>
          <w:pgSz w:w="11900" w:h="17037" w:orient="portrait"/>
          <w:cols w:equalWidth="0" w:num="1">
            <w:col w:w="11400"/>
          </w:cols>
          <w:pgMar w:left="240" w:top="125" w:right="259" w:bottom="0" w:gutter="0" w:footer="0" w:header="0"/>
        </w:sectPr>
      </w:pPr>
    </w:p>
    <w:bookmarkStart w:id="35" w:name="page36"/>
    <w:bookmarkEnd w:id="35"/>
    <w:p>
      <w:pPr>
        <w:ind w:right="20"/>
        <w:spacing w:after="0" w:line="288" w:lineRule="auto"/>
        <w:rPr>
          <w:sz w:val="20"/>
          <w:szCs w:val="20"/>
          <w:color w:val="auto"/>
        </w:rPr>
      </w:pPr>
      <w:r>
        <w:rPr>
          <w:rFonts w:ascii="Arial" w:cs="Arial" w:eastAsia="Arial" w:hAnsi="Arial"/>
          <w:sz w:val="16"/>
          <w:szCs w:val="16"/>
          <w:color w:val="auto"/>
        </w:rPr>
        <w:t>Conversion Rate is subject to adjustment as provided in the Indenture. In addition, the Indenture provides that in case of certain consolidations or mergers to which the Company is a party (other than a consolidation or merger that does not result in any reclassification, conversion, exchange or cancellation of the Common Stock) or the conveyance, transfer, sale or lease of all or substantially all of the property and assets of the Company, the Indenture shall be amended, without consent of any Holders of Securities, so that this Security, if then Outstanding, will be convertible thereafter, during the period this Security shall be convertible as specified above, only into the kind and amount of securities, cash and other property receivable upon such consolidation, merger, conveyance, transfer, sale or lease by a holder of the number of shares of Common Stock of the Company into which this Security could have been converted immediately prior to such consolidation, merger, conveyance, transfer, sale or lease (assuming such holder of Common Stock is not a Constituent Person or an Affiliate of a Constituent Person, failed to exercise any rights of election and received per share the kind and amount received per share by a plurality of Non-electing Shares). No adjustment in the Conversion Rate will be made until such adjustment would require an increase or decrease of at least one percent of such rate, provided that any adjustment that would otherwise be made will be carried forward and taken into account in the computation of any subsequent adjustment.</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this Security is a Registrable Security (as defined in this Indenture), then the Holder of this Security [</w:t>
      </w:r>
      <w:r>
        <w:rPr>
          <w:rFonts w:ascii="Arial" w:cs="Arial" w:eastAsia="Arial" w:hAnsi="Arial"/>
          <w:sz w:val="17"/>
          <w:szCs w:val="17"/>
          <w:b w:val="1"/>
          <w:bCs w:val="1"/>
          <w:color w:val="auto"/>
        </w:rPr>
        <w:t>if this security is a global security, then insert —</w:t>
      </w:r>
      <w:r>
        <w:rPr>
          <w:rFonts w:ascii="Arial" w:cs="Arial" w:eastAsia="Arial" w:hAnsi="Arial"/>
          <w:sz w:val="17"/>
          <w:szCs w:val="17"/>
          <w:color w:val="auto"/>
        </w:rPr>
        <w:t xml:space="preserve"> (including any Person that has a beneficial interest in this Security)] and the Common Stock of the Company issuable upon conversion hereof is entitled to the benefits of a Registration Rights Agreement, dated as of February 4, 2003, executed by the Company (the “Registration Rights Agreement”). Pursuant to the Registration Rights Agreement, the Company has agreed for the benefit of the Holders from time to time of the Registrable Securities that it will, at its expense, (a) uses its reasonable efforts to file a shelf registration statement (the “Shelf Registration Statement”) with the Commission with respect to resales of the Registrable Securities within 90 days after the Issue Date, (b) use its reasonable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efforts to cause such Shelf Registration Statement to be declared effective by the Commission within 180 days after the Issue Date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upon written notice to all the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and (c) use its reasonable efforts to maintain such Shelf Registration Statement effective under the Securities Act of 1933, as amended, until the earliest of (1) such time as there are no Registrable Securities outstanding, (2) the expiration of the period referred to in Rule 144(k) of the Securities Act with respect to all Registrable Securities held by Persons that are not Affiliates of the Company, and (3) two years from the Issue Date (the “Effectiveness Period”). The Company will be permitted to suspend the use of the prospectus that is part of the Shelf Registration Statement during certain periods of time as provided in the Registration Rights Agreement.</w:t>
      </w:r>
    </w:p>
    <w:p>
      <w:pPr>
        <w:spacing w:after="0" w:line="1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(i) on or prior to 90 days following the Issue Date, a Shelf Registration Statement has not been filed with the Commission, or (ii) on or prior to the 180th day following the Issue Date, such Shelf Registration Statement is not declared effective (each, a “Registration Default”), additional interest (“Liquidated Damages”) will accrue on the Registrable Securities from and including the day following such Registration Default to, but excluding, the day on which such Registration Default has been cured. Liquidated Damages will be paid semi-annually in arrears, with the first semi-annual payment due on the first Interest Payment Date in respect of the Registrable Securities following the date on which such Liquidated Damages begin to accrue, and will accrue at a rate per annum equal to one-quarter of one percent (0.25%) of the principal amount of the Registrable Securities to and including the 90th day following such Registration Default and at a rate per annum equal to one-half of one percent (0.50%) of the principal amount of the Registrable Securities from and after the 91st day following such Registration Default. Pursuant to the Registration Rights Agreement, in the event that the Shelf Registration Statement ceases to be effective or the Electing Holders of Registrable Securities are otherwise prevented or restricted by the Company from effecting sales pursuant thereto (each, an “Effective Failure”) during the Effectiveness Period for more than 45 days, whether or not consecutive, during any 90-day period or for more than 90 days, whether or not consecutive, during any 12-month period, then the interest rate borne by the Registrable Securities held by Electing Holders shall increase by an additional one-half of one percent (0.50%) per annum from the 46th day of the applicable 90-day period or the 91st day of the applicable 12-month period until the earlier of (A) such time as the Effective Failure is cured or (B) the Effectiveness Period expires. Liquidated Damages will accrue (1) with respect to a Registrable Securities at the rates set forth above, as applicable, on the principal amount of the Registrable Securities and (2) in respect of the Common Stock issued upon conversion of the Registrable Securities, at the rates set forth above, as applicable, applied to the Conversion Price at that time. In no event shall the Company be required to pay Liquidated Damages in excess of the applicable maximum amount of one-half of one percent (0.5%) set forth above regardless of whether one or multiple Registration Defaults exist.</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Whenever in this Security there is a reference, in any context, to the payment of the principal of, premium, if any, or interest on, or in respect of, any Security, such mention shall be deemed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include mention of the payment of Liquidated Damages payable as described in the preceding paragraph to the extent that, in such context, Liquidated Damages are, were or would be payable in respect of such Security and express mention of the payment of Liquidated Damages (if applicable) in any provisions of this Security shall not be construed as excluding Liquidated Damages in those provisions of this Security where such express mention is not made.</w:t>
      </w:r>
    </w:p>
    <w:p>
      <w:pPr>
        <w:spacing w:after="0" w:line="183"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color w:val="auto"/>
        </w:rPr>
        <w:t>[If this Security is a Registrable Security and the Holder of this Security [</w:t>
      </w:r>
      <w:r>
        <w:rPr>
          <w:rFonts w:ascii="Arial" w:cs="Arial" w:eastAsia="Arial" w:hAnsi="Arial"/>
          <w:sz w:val="16"/>
          <w:szCs w:val="16"/>
          <w:b w:val="1"/>
          <w:bCs w:val="1"/>
          <w:color w:val="auto"/>
        </w:rPr>
        <w:t>if this security is a global security, then insert —</w:t>
      </w:r>
      <w:r>
        <w:rPr>
          <w:rFonts w:ascii="Arial" w:cs="Arial" w:eastAsia="Arial" w:hAnsi="Arial"/>
          <w:sz w:val="16"/>
          <w:szCs w:val="16"/>
          <w:color w:val="auto"/>
        </w:rPr>
        <w:t xml:space="preserve"> (including any Person that has a beneficial interest in this Security)] elects to sell this Security pursuant to the Shelf Registration Statement then, by its acceptance hereof, such Holder of this Security agrees to be bound by the terms of the Registration Rights Agreement relating to the Registrable Securities which are the subject of such election.]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If a Change in Control occurs, the Holder of this Security, at the Holder’s option, shall have the right, in accordance with the provisions of the Indenture,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require the Company to repurchase this Security (or any portion of the principal amount hereof that is at least U.S. $1,000 or an integral multiple of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in excess thereof, provided that the portion of the principal amount of this Security to be Outstanding after such repurchase is at least equal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at a Repurchase Price equal to 100% of the principal amount thereof plus interest accrued to, but excluding, the Repurchase Date. At the option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the Repurchase Price may be paid in cash or, subject to the conditions provided in the Indenture, by delivery of shares of Applicable Stock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fair market value equal to the Repurchase Price. For purposes of this paragraph, the fair market value of shares of Applicable Stock shall be determined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shall be equal to 95% of the average of the Closing Price Per Share for the five consecutive Trading Days immediately preceding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second Trading Day prior to the Repurchase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paragraph shall appear in each Global Security:</w:t>
      </w:r>
    </w:p>
    <w:p>
      <w:pPr>
        <w:sectPr>
          <w:pgSz w:w="11900" w:h="16838" w:orient="portrait"/>
          <w:cols w:equalWidth="0" w:num="1">
            <w:col w:w="11420"/>
          </w:cols>
          <w:pgMar w:left="240" w:top="125" w:right="239" w:bottom="0" w:gutter="0" w:footer="0" w:header="0"/>
        </w:sectPr>
      </w:pPr>
    </w:p>
    <w:bookmarkStart w:id="36" w:name="page37"/>
    <w:bookmarkEnd w:id="36"/>
    <w:p>
      <w:pPr>
        <w:ind w:right="20"/>
        <w:spacing w:after="0" w:line="264" w:lineRule="auto"/>
        <w:rPr>
          <w:sz w:val="20"/>
          <w:szCs w:val="20"/>
          <w:color w:val="auto"/>
        </w:rPr>
      </w:pPr>
      <w:r>
        <w:rPr>
          <w:rFonts w:ascii="Arial" w:cs="Arial" w:eastAsia="Arial" w:hAnsi="Arial"/>
          <w:sz w:val="18"/>
          <w:szCs w:val="18"/>
          <w:color w:val="auto"/>
        </w:rPr>
        <w:t>In the event of a deposit or withdrawal of an interest in this Security, including an exchange, transfer, redemption, repurchase or conversion of this Security in part only, the Trustee, as custodian of the Depositary, shall make an adjustment on its records to reflect such deposit or withdrawal in accordance with the Applicable Procedures.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paragraph shall appear in each Security that is not a Global Security: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the event of redemption, repurchase or conversion of this Security in part only, a new Security or Securities for the unredeemed, unrepurchased or unconverted portion hereof will be issued in the name of the Holder hereof.</w:t>
      </w:r>
      <w:r>
        <w:rPr>
          <w:rFonts w:ascii="Arial" w:cs="Arial" w:eastAsia="Arial" w:hAnsi="Arial"/>
          <w:sz w:val="18"/>
          <w:szCs w:val="18"/>
          <w:b w:val="1"/>
          <w:bCs w:val="1"/>
          <w:color w:val="auto"/>
        </w:rPr>
        <w: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necessary or appropriate to effectuate the subordination so provided and (c) appoints the Trustee his attorney-in-fact for any and all such purposes.</w:t>
      </w:r>
    </w:p>
    <w:p>
      <w:pPr>
        <w:spacing w:after="0" w:line="23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If an Event of Default shall occur and be continuing, the principal of all the Securities, together with accrued interest to the date of declaration, may be declared due and payable in the manner and with the effect provided in the Indenture. Upon payment (i) of the amount of principal so declared due and payable, together with accrued interest to the date of declaration, and (ii) of interest on any overdue principal and, to the extent permitted by applicable law, overdue interest, all of the Company’s obligations in respect of the payment of the principal of and interest on the Securities shall terminate.</w:t>
      </w:r>
    </w:p>
    <w:p>
      <w:pPr>
        <w:spacing w:after="0" w:line="15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either (a) the written consent of the Holders of not less than a majority in aggregate principal amount of the Securities at the time Outstanding, or (b) by the adoption of a resolution, at a meeting</w:t>
      </w:r>
    </w:p>
    <w:p>
      <w:pPr>
        <w:spacing w:after="0" w:line="253" w:lineRule="auto"/>
        <w:rPr>
          <w:sz w:val="20"/>
          <w:szCs w:val="20"/>
          <w:color w:val="auto"/>
        </w:rPr>
      </w:pPr>
      <w:r>
        <w:rPr>
          <w:rFonts w:ascii="Arial" w:cs="Arial" w:eastAsia="Arial" w:hAnsi="Arial"/>
          <w:sz w:val="17"/>
          <w:szCs w:val="17"/>
          <w:color w:val="auto"/>
        </w:rPr>
        <w:t>of Holders of the Outstanding Securities at which a quorum is present,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aggregate principal amount of the Outstanding Securities represented and entitled to vote at such meeting. The Indenture also contains provisions permitting the Holders of specified percentages in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in exchange therefore or in lieu hereof, whether or not notation of such consent or waiver is made upon this Security or such other Security. Certain modifications or amendments to the Indenture require the consent of the Holder of each Outstanding Security affected.</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the Holders of not less than 25% in aggregate principal amount of the Outstanding Securities shall have made written request to the Trustee to institute proceedings in respect of such Event of Default as Trustee and offered the Trustee reasonable indemnity and the Trustee shall not have received from the Holders of a majority in principal amount of the Securities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premiums if any, or interest (including Liquidated Damages, if any) hereon on or after the respective due dates expressed herein or for the enforcement of the right to convert this Security as provided in the Indenture.</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principal of, premium, if any, and interest (including Liquidated Damages, if any) on this Security at the times, places and rate, and in the coin or currency, herein prescribed or to convert this Security as provided in the Indenture.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on the Security Register upon surrender of this Security for registration of transfer at the Corporate Trust Office of the Trustee,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Securities, of authorized denominations and for the same aggregate principal amount, will be issued to the designated transferee or transferees by the Security Registrar. No service charge shall be made for any such registration of transfer or exchange, but the Company may require payment of a sum sufficient to recover any tax or other governmental charge payable in connection therewith.</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due presentation of this Security for registration of transfer, the Company, the Trustee and any agent of the Company or the Trustee may treat the Person in whose name such Security is registered, as the owner thereof for all purposes, whether or not such Security be overdue, and neither the Company, the Trustee nor any such agent shall be affected by notice to the contrary.</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 recourse for the payment of the principal (and premium, if any) or interest (including Liquidated Damages, if any) on this Security and no recourse under or upon any obligation, covenant or agreement of the Company in the Indenture or any indenture supplemental thereto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consideration for the issue hereof, expressly waived and released.</w:t>
      </w:r>
    </w:p>
    <w:p>
      <w:pPr>
        <w:sectPr>
          <w:pgSz w:w="11900" w:h="16838" w:orient="portrait"/>
          <w:cols w:equalWidth="0" w:num="1">
            <w:col w:w="11400"/>
          </w:cols>
          <w:pgMar w:left="240" w:top="125" w:right="259" w:bottom="80" w:gutter="0" w:footer="0" w:header="0"/>
        </w:sectPr>
      </w:pPr>
    </w:p>
    <w:bookmarkStart w:id="37" w:name="page38"/>
    <w:bookmarkEnd w:id="37"/>
    <w:p>
      <w:pPr>
        <w:ind w:right="200"/>
        <w:spacing w:after="0" w:line="282" w:lineRule="auto"/>
        <w:rPr>
          <w:sz w:val="20"/>
          <w:szCs w:val="20"/>
          <w:color w:val="auto"/>
        </w:rPr>
      </w:pPr>
      <w:r>
        <w:rPr>
          <w:rFonts w:ascii="Arial" w:cs="Arial" w:eastAsia="Arial" w:hAnsi="Arial"/>
          <w:sz w:val="18"/>
          <w:szCs w:val="18"/>
          <w:b w:val="1"/>
          <w:bCs w:val="1"/>
          <w:color w:val="auto"/>
        </w:rPr>
        <w:t>THE INDENTURE AND THIS SECURITY SHALL BE GOVERNED BY AND CONSTRUED IN ACCORDANCE WITH THE LAWS OF THE STATE OF NEW YORK,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ABBREVIATIONS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1380"/>
          </w:cols>
          <w:pgMar w:left="240" w:top="121" w:right="279" w:bottom="0" w:gutter="0" w:footer="0" w:header="0"/>
        </w:sectPr>
      </w:pP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TEN COM TEN ENT JT TEN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 (Cust)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and not as tenants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Custodian</w:t>
      </w:r>
    </w:p>
    <w:p>
      <w:pPr>
        <w:spacing w:after="0" w:line="23"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under Uniform Gifts to Minors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9" w:lineRule="exact"/>
        <w:rPr>
          <w:sz w:val="20"/>
          <w:szCs w:val="20"/>
          <w:color w:val="auto"/>
        </w:rPr>
      </w:pPr>
    </w:p>
    <w:p>
      <w:pPr>
        <w:sectPr>
          <w:pgSz w:w="11900" w:h="16838" w:orient="portrait"/>
          <w:cols w:equalWidth="0" w:num="4">
            <w:col w:w="860" w:space="720"/>
            <w:col w:w="4500" w:space="160"/>
            <w:col w:w="1960" w:space="720"/>
            <w:col w:w="2460"/>
          </w:cols>
          <w:pgMar w:left="240" w:top="121" w:right="279" w:bottom="0" w:gutter="0" w:footer="0" w:header="0"/>
          <w:type w:val="continuous"/>
        </w:sectPr>
      </w:pPr>
    </w:p>
    <w:p>
      <w:pPr>
        <w:ind w:left="9940"/>
        <w:spacing w:after="0"/>
        <w:rPr>
          <w:sz w:val="20"/>
          <w:szCs w:val="20"/>
          <w:color w:val="auto"/>
        </w:rPr>
      </w:pPr>
      <w:r>
        <w:rPr>
          <w:rFonts w:ascii="Arial" w:cs="Arial" w:eastAsia="Arial" w:hAnsi="Arial"/>
          <w:sz w:val="15"/>
          <w:szCs w:val="15"/>
          <w:color w:val="auto"/>
        </w:rPr>
        <w:t>(State)</w:t>
      </w:r>
    </w:p>
    <w:p>
      <w:pPr>
        <w:sectPr>
          <w:pgSz w:w="11900" w:h="16838" w:orient="portrait"/>
          <w:cols w:equalWidth="0" w:num="1">
            <w:col w:w="11380"/>
          </w:cols>
          <w:pgMar w:left="240" w:top="121" w:right="279" w:bottom="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ELECTION OF HOLDER TO REQUIRE REPURCHASE</w:t>
      </w:r>
    </w:p>
    <w:p>
      <w:pPr>
        <w:spacing w:after="0" w:line="225" w:lineRule="exact"/>
        <w:rPr>
          <w:sz w:val="20"/>
          <w:szCs w:val="20"/>
          <w:color w:val="auto"/>
        </w:rPr>
      </w:pPr>
    </w:p>
    <w:p>
      <w:pPr>
        <w:ind w:left="1440" w:hanging="1432"/>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Section 14.1 of the Indenture, the undersigned hereby elects to have this Security repurchased by the Company.</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(2) The undersigned hereby directs the Trustee or the Company to pay it or an amount in cash or, at the Company’s election, Applicable Stock valued as set forth in the Indenture, equal to 100% of the principal amount to be repurchased (as set forth below), plus interest accrued to, but excluding, the Repurchase Date, as provided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752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must be guaranteed by an Eligible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Guarantor Institution with membership in 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approved signature guarantee program pursuant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Rule 17Ad-15 under the Securities Exchange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 of 1934.</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to be repurchased (at least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$1,000 or an integral multiple of $1,000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excess thereof):</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Remaining principal amount following such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(not less than U.S. $1,000):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to the foregoing Election must correspond to the Name as written upon the face of this Security in every particular, without alteration or any change whatsoever.</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Form of Certificate of Authentication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WELLS FARGO BANK MINNESOTA,</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NATIONAL ASSOCIATION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as Trustee</w:t>
      </w:r>
    </w:p>
    <w:p>
      <w:pPr>
        <w:sectPr>
          <w:pgSz w:w="11900" w:h="16838" w:orient="portrait"/>
          <w:cols w:equalWidth="0" w:num="1">
            <w:col w:w="11380"/>
          </w:cols>
          <w:pgMar w:left="240" w:top="121" w:right="279" w:bottom="0" w:gutter="0" w:footer="0" w:header="0"/>
          <w:type w:val="continuous"/>
        </w:sectPr>
      </w:pPr>
    </w:p>
    <w:bookmarkStart w:id="38" w:name="page39"/>
    <w:bookmarkEnd w:id="38"/>
    <w:p>
      <w:pPr>
        <w:ind w:left="2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-130810</wp:posOffset>
            </wp:positionV>
            <wp:extent cx="21355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Form of Conversion Notice</w:t>
      </w:r>
      <w:r>
        <w:rPr>
          <w:rFonts w:ascii="Arial" w:cs="Arial" w:eastAsia="Arial" w:hAnsi="Arial"/>
          <w:sz w:val="16"/>
          <w:szCs w:val="16"/>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CONVERSION NOTICE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Holder of this Security hereby irrevocably exercises the option to convert this Security, or any portion of the principal amount hereof (which is U.S.$1,000 or an integral multiple of U.S.$1,000 in excess thereof, provided that the unconverted portion of such principal amount is U.S. $1,000 or any integral multiple of U.S. $1,000 in excess thereof) below designated, into shares of Common Stock in accordance with the terms of the Indenture referred to in this Security, and directs that such shares, together with a check in payment for any fractional share and any Securities representing any unconverted principal amount hereof, be delivered to and be registered in the name of the undersigned unless a different name has been indicated below. If shares of Common Stock or Securities are to be registered in the name of a Person other than the undersigned, (a) the undersigned will pay all transfer taxes payable with respect thereto and (b) signature(s) must be guaranteed by an Eligible Guarantor Institution with membership in an approved signature guarantee program pursuant to Rule 17Ad-15 under the Securities Exchange Act of 1934. Any amount required to be paid by the undersigned on account of interest accompanies this Security.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-130810</wp:posOffset>
            </wp:positionV>
            <wp:extent cx="6835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shares or Securities are to be registered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a Person other than the Holder, please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 such Person’s name and address: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55568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56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5556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568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568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Number, if any.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only a portion of the Securities is to be converted, please indicate:</w:t>
      </w:r>
    </w:p>
    <w:p>
      <w:pPr>
        <w:spacing w:after="0" w:line="225"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 amount to be converted: U.S. $</w:t>
      </w:r>
    </w:p>
    <w:p>
      <w:pPr>
        <w:spacing w:after="0" w:line="225" w:lineRule="exact"/>
        <w:rPr>
          <w:sz w:val="20"/>
          <w:szCs w:val="20"/>
          <w:color w:val="auto"/>
        </w:rPr>
      </w:pPr>
    </w:p>
    <w:p>
      <w:pPr>
        <w:ind w:left="1300" w:right="6040" w:hanging="644"/>
        <w:spacing w:after="0" w:line="342" w:lineRule="auto"/>
        <w:tabs>
          <w:tab w:leader="none" w:pos="13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Principal amount and denomination of Securities representing unconverted principal amount to be issued:</w:t>
      </w:r>
    </w:p>
    <w:p>
      <w:pPr>
        <w:spacing w:after="0" w:line="124" w:lineRule="exact"/>
        <w:rPr>
          <w:sz w:val="20"/>
          <w:szCs w:val="20"/>
          <w:color w:val="auto"/>
        </w:rPr>
      </w:pPr>
    </w:p>
    <w:p>
      <w:pPr>
        <w:ind w:left="1300"/>
        <w:spacing w:after="0"/>
        <w:tabs>
          <w:tab w:leader="none" w:pos="3360" w:val="left"/>
        </w:tabs>
        <w:rPr>
          <w:sz w:val="20"/>
          <w:szCs w:val="20"/>
          <w:color w:val="auto"/>
        </w:rPr>
      </w:pPr>
      <w:r>
        <w:rPr>
          <w:rFonts w:ascii="Arial" w:cs="Arial" w:eastAsia="Arial" w:hAnsi="Arial"/>
          <w:sz w:val="18"/>
          <w:szCs w:val="18"/>
          <w:color w:val="auto"/>
        </w:rPr>
        <w:t>Amount: U.S. $</w:t>
      </w:r>
      <w:r>
        <w:rPr>
          <w:sz w:val="20"/>
          <w:szCs w:val="20"/>
          <w:color w:val="auto"/>
        </w:rPr>
        <w:tab/>
      </w:r>
      <w:r>
        <w:rPr>
          <w:rFonts w:ascii="Arial" w:cs="Arial" w:eastAsia="Arial" w:hAnsi="Arial"/>
          <w:sz w:val="16"/>
          <w:szCs w:val="16"/>
          <w:color w:val="auto"/>
        </w:rPr>
        <w:t>Denominations: U.S. $</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(U.S.$1,000 or any integral multiple of U.S.$1,000 in excess thereof, provided that the unconverted portion of such principal amount is U.S. $1,000 or any integral multiple of U.S. $1,000 in excess thereof)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rPr>
              <w:t>SECTION 2.5</w:t>
            </w:r>
          </w:p>
        </w:tc>
        <w:tc>
          <w:tcPr>
            <w:tcW w:w="4200" w:type="dxa"/>
            <w:vAlign w:val="bottom"/>
            <w:gridSpan w:val="2"/>
          </w:tcPr>
          <w:p>
            <w:pPr>
              <w:spacing w:after="0"/>
              <w:rPr>
                <w:sz w:val="20"/>
                <w:szCs w:val="20"/>
                <w:color w:val="auto"/>
              </w:rPr>
            </w:pPr>
            <w:r>
              <w:rPr>
                <w:rFonts w:ascii="Arial" w:cs="Arial" w:eastAsia="Arial" w:hAnsi="Arial"/>
                <w:sz w:val="18"/>
                <w:szCs w:val="18"/>
                <w:color w:val="auto"/>
              </w:rPr>
              <w:t>Form of Assignment.</w:t>
            </w:r>
          </w:p>
        </w:tc>
        <w:tc>
          <w:tcPr>
            <w:tcW w:w="4940" w:type="dxa"/>
            <w:vAlign w:val="bottom"/>
          </w:tcPr>
          <w:p>
            <w:pPr>
              <w:spacing w:after="0"/>
              <w:rPr>
                <w:sz w:val="18"/>
                <w:szCs w:val="18"/>
                <w:color w:val="auto"/>
              </w:rPr>
            </w:pPr>
          </w:p>
        </w:tc>
      </w:tr>
      <w:tr>
        <w:trPr>
          <w:trHeight w:val="20"/>
        </w:trPr>
        <w:tc>
          <w:tcPr>
            <w:tcW w:w="1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38"/>
        </w:trPr>
        <w:tc>
          <w:tcPr>
            <w:tcW w:w="1980" w:type="dxa"/>
            <w:vAlign w:val="bottom"/>
          </w:tcPr>
          <w:p>
            <w:pPr>
              <w:spacing w:after="0"/>
              <w:rPr>
                <w:sz w:val="20"/>
                <w:szCs w:val="20"/>
                <w:color w:val="auto"/>
              </w:rPr>
            </w:pPr>
            <w:r>
              <w:rPr>
                <w:rFonts w:ascii="Arial" w:cs="Arial" w:eastAsia="Arial" w:hAnsi="Arial"/>
                <w:sz w:val="18"/>
                <w:szCs w:val="18"/>
                <w:color w:val="auto"/>
              </w:rPr>
              <w:t>For value received</w:t>
            </w:r>
          </w:p>
        </w:tc>
        <w:tc>
          <w:tcPr>
            <w:tcW w:w="4200" w:type="dxa"/>
            <w:vAlign w:val="bottom"/>
            <w:gridSpan w:val="2"/>
          </w:tcPr>
          <w:p>
            <w:pPr>
              <w:ind w:left="500"/>
              <w:spacing w:after="0"/>
              <w:rPr>
                <w:sz w:val="20"/>
                <w:szCs w:val="20"/>
                <w:color w:val="auto"/>
              </w:rPr>
            </w:pPr>
            <w:r>
              <w:rPr>
                <w:rFonts w:ascii="Arial" w:cs="Arial" w:eastAsia="Arial" w:hAnsi="Arial"/>
                <w:sz w:val="18"/>
                <w:szCs w:val="18"/>
                <w:color w:val="auto"/>
              </w:rPr>
              <w:t>hereby sell(s), assign(s) and transfer(s) unto</w:t>
            </w:r>
          </w:p>
        </w:tc>
        <w:tc>
          <w:tcPr>
            <w:tcW w:w="4940" w:type="dxa"/>
            <w:vAlign w:val="bottom"/>
          </w:tcPr>
          <w:p>
            <w:pPr>
              <w:ind w:left="660"/>
              <w:spacing w:after="0"/>
              <w:rPr>
                <w:sz w:val="20"/>
                <w:szCs w:val="20"/>
                <w:color w:val="auto"/>
              </w:rPr>
            </w:pPr>
            <w:r>
              <w:rPr>
                <w:rFonts w:ascii="Arial" w:cs="Arial" w:eastAsia="Arial" w:hAnsi="Arial"/>
                <w:sz w:val="18"/>
                <w:szCs w:val="18"/>
                <w:color w:val="auto"/>
                <w:w w:val="91"/>
              </w:rPr>
              <w:t>(Please insert social security or other identifying number of</w:t>
            </w:r>
          </w:p>
        </w:tc>
      </w:t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9"/>
              </w:rPr>
              <w:t>assignee) the within Security, and hereby irrevocably constitutes and appoints</w:t>
            </w:r>
          </w:p>
        </w:tc>
        <w:tc>
          <w:tcPr>
            <w:tcW w:w="4940" w:type="dxa"/>
            <w:vAlign w:val="bottom"/>
          </w:tcPr>
          <w:p>
            <w:pPr>
              <w:ind w:left="540"/>
              <w:spacing w:after="0"/>
              <w:rPr>
                <w:sz w:val="20"/>
                <w:szCs w:val="20"/>
                <w:color w:val="auto"/>
              </w:rPr>
            </w:pPr>
            <w:r>
              <w:rPr>
                <w:rFonts w:ascii="Arial" w:cs="Arial" w:eastAsia="Arial" w:hAnsi="Arial"/>
                <w:sz w:val="18"/>
                <w:szCs w:val="18"/>
                <w:color w:val="auto"/>
                <w:w w:val="92"/>
              </w:rPr>
              <w:t>as attorney to transfer the said Security on the books of the</w:t>
            </w:r>
          </w:p>
        </w:tc>
      </w:tr>
    </w:tbl>
    <w:p>
      <w:pPr>
        <w:spacing w:after="0"/>
        <w:rPr>
          <w:sz w:val="20"/>
          <w:szCs w:val="20"/>
          <w:color w:val="auto"/>
        </w:rPr>
      </w:pPr>
      <w:r>
        <w:rPr>
          <w:rFonts w:ascii="Arial" w:cs="Arial" w:eastAsia="Arial" w:hAnsi="Arial"/>
          <w:sz w:val="18"/>
          <w:szCs w:val="18"/>
          <w:color w:val="auto"/>
        </w:rPr>
        <w:t>Company, with full power of substitution in the premises.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6715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232"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-130175</wp:posOffset>
            </wp:positionV>
            <wp:extent cx="1406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5"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Signature(s) must be</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guaranteed by an Eligible</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Guarantor Institution with</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membership in an</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approved signature guarantee</w:t>
      </w:r>
    </w:p>
    <w:p>
      <w:pPr>
        <w:spacing w:after="0" w:line="32"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program pursuant</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7"/>
          <w:szCs w:val="17"/>
          <w:color w:val="auto"/>
        </w:rPr>
        <w:t>to Rule 17Ad - 15 under the</w:t>
      </w:r>
    </w:p>
    <w:p>
      <w:pPr>
        <w:spacing w:after="0" w:line="21"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Securities</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Exchange Act of 1934.</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-108585</wp:posOffset>
            </wp:positionV>
            <wp:extent cx="1406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Title and Terms</w:t>
      </w:r>
      <w:r>
        <w:rPr>
          <w:rFonts w:ascii="Arial" w:cs="Arial" w:eastAsia="Arial" w:hAnsi="Arial"/>
          <w:sz w:val="16"/>
          <w:szCs w:val="16"/>
          <w:color w:val="auto"/>
        </w:rPr>
        <w:t>.</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aggregate principal amount of Securities which may be authenticated and delivered under this Indenture is limited to U.S. $632,500,000, except for Securities authenticated and delivered pursuant to Section 3.4, 3.5, 3.6, 8.5, 12.2 or 14.3(5) in exchange for, or in lieu of, other Securities previously authenticated and delivered under this Indenture.</w:t>
      </w:r>
    </w:p>
    <w:p>
      <w:pPr>
        <w:spacing w:after="0" w:line="181" w:lineRule="exact"/>
        <w:rPr>
          <w:sz w:val="20"/>
          <w:szCs w:val="20"/>
          <w:color w:val="auto"/>
        </w:rPr>
      </w:pPr>
    </w:p>
    <w:p>
      <w:pPr>
        <w:ind w:firstLine="656"/>
        <w:spacing w:after="0" w:line="288" w:lineRule="auto"/>
        <w:tabs>
          <w:tab w:leader="none" w:pos="135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Securities shall be known and designated as the “2.50% Convertible Subordinated Notes due February 1, 2010” of the Company. Their Stated Maturity shall be February 1, 2010 and they shall bear interest on their principal amount from February 4, 2003, payable semi-annually in arrears on February 1 and August 1 in each year, commencing August 1, 2003, at the rate of 2.50% per annum until the principal thereof is due and at the rate of</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2.50% per annum on any overdue principal and, to the extent permitted by law, on any overdue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payments shall only be made on a Business Day as provided in Section 1.12.</w:t>
      </w:r>
    </w:p>
    <w:p>
      <w:pPr>
        <w:spacing w:after="0" w:line="184"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principal of, premium, if any, and interest on the Securities shall be payable as provided in the form of Securities set forth in Section 2.2, and the Repurchase Price, whether payable in cash or in shares of Common Stock, shall be payable at such places as are identified in the Company Notice given pursuant to Section 14.3 (any city in which any Paying Agent is located being herein called a “Place of Payment”).</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Registrable Securities are entitled to the benefits of a Registration Rights Agreement as provided by Section 10.11 and in the form of Security set forth in Section 2.2. The Securities are entitled to the payment of Liquidated Damages as provided by Section 10.10 and in the form of Security set forth in Section 2.2.</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Securities shall be redeemable at the option of the Company at any time on or after February 6, 2006, in whole or in part, subject to the conditions and as otherwise provided in Article XI and in the form of Security set forth in Section 2.2.</w:t>
      </w:r>
    </w:p>
    <w:p>
      <w:pPr>
        <w:spacing w:after="0" w:line="17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The Securities shall be convertible as provided in Article XII (any city in which any Conversion Agent is located being herein called a “Place of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shall be subordinated in right of payment to Senior Debt of the Company as provided in 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shall be subject to repurchase by the Company at the option of the Holders as provided in Article XIV.</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Securities shall be issuable only in registered form, without coupons, in denominations of U.S.$1,000 and integral multiples of U.S.$1,000 in excess thereof.</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shall be executed on behalf of the Company by its Chairman of the Board, its Vice Chairman of the Board, its Chief Executive Officer,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President, its Chief Operating Officer, one of its Executive Vice Presidents, one of its Senior Vice Presidents or one of its Vice Presidents, and attested by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or one of its Assistant Secretaries. Any such signature may be manual or facsimile.</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Securities bearing the manual or facsimile signature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executed by the Company to the Trustee or to its order for authentication, together with a Company Order for the authentication and delivery of such Securities, and the Trustee in accordance with such Company Order shall authenticate and make available for delivery such Securities as provided in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of an authorized signatory, and such certificate upon any Security shall be conclusive evidence, and the only evidence, that such Security has been duly authenticated and delivered hereunder.</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Global Securities; Non-global Securities; Book-entry Provisions</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Securities</w:t>
      </w:r>
    </w:p>
    <w:p>
      <w:pPr>
        <w:spacing w:after="0" w:line="225" w:lineRule="exact"/>
        <w:rPr>
          <w:rFonts w:ascii="Arial" w:cs="Arial" w:eastAsia="Arial" w:hAnsi="Arial"/>
          <w:sz w:val="18"/>
          <w:szCs w:val="18"/>
          <w:color w:val="auto"/>
        </w:rPr>
      </w:pPr>
    </w:p>
    <w:p>
      <w:pPr>
        <w:ind w:right="220" w:firstLine="1629"/>
        <w:spacing w:after="0" w:line="264" w:lineRule="auto"/>
        <w:tabs>
          <w:tab w:leader="none" w:pos="21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40" w:name="page41"/>
    <w:bookmarkEnd w:id="40"/>
    <w:p>
      <w:pPr>
        <w:ind w:right="20" w:firstLine="1629"/>
        <w:spacing w:after="0" w:line="289" w:lineRule="auto"/>
        <w:tabs>
          <w:tab w:leader="none" w:pos="22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for exchanges of Global Securities for definitive, non-global Securities at the sole discretion of the Company,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as such under the Exchange Act or announces an intention permanently to cease business or does in fact do so or (B) there shall have occurred and be continuing an Event of Default with respect to such Global Security. In such event, if a successor Depositary for such Global Security is not appointed by the Company within 90 days after the Company receives such notice or becomes aware of such ineligibility, the Company will execute, and the Trustee, upon receipt of an Officers’ Certificate directing the authentication and delivery of Securities, will authenticate and deliver, Securities, in any authorized denominations in an aggregate principal amount equal to the principal amount of such Global Security in exchange for such Global Security.</w:t>
      </w:r>
    </w:p>
    <w:p>
      <w:pPr>
        <w:spacing w:after="0" w:line="166" w:lineRule="exact"/>
        <w:rPr>
          <w:rFonts w:ascii="Arial" w:cs="Arial" w:eastAsia="Arial" w:hAnsi="Arial"/>
          <w:sz w:val="16"/>
          <w:szCs w:val="16"/>
          <w:color w:val="auto"/>
        </w:rPr>
      </w:pPr>
    </w:p>
    <w:p>
      <w:pPr>
        <w:ind w:right="40" w:firstLine="1629"/>
        <w:spacing w:after="0" w:line="286" w:lineRule="auto"/>
        <w:tabs>
          <w:tab w:leader="none" w:pos="22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any Global Security is to be exchanged for other Securities or canceled in whole, it shall be surrendered by or on behalf of the Depositary or its nominee to the Trustee, as Security Registrar, for exchange or cancellation, as provided in this Article III. If any Global Security is to be exchanged for other Securities or canceled in part, or if another Security is to be exchanged in whole or in part for a beneficial interest in any Global Security, in each case, as provided in Section 3.5, then either (A) such Global Security shall be so surrendered for exchange or cancellation, as provided in this Article III, or (B)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Section 3.5(3) and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171" w:lineRule="exact"/>
        <w:rPr>
          <w:rFonts w:ascii="Arial" w:cs="Arial" w:eastAsia="Arial" w:hAnsi="Arial"/>
          <w:sz w:val="16"/>
          <w:szCs w:val="16"/>
          <w:color w:val="auto"/>
        </w:rPr>
      </w:pPr>
    </w:p>
    <w:p>
      <w:pPr>
        <w:ind w:right="60" w:firstLine="1629"/>
        <w:spacing w:after="0" w:line="279" w:lineRule="auto"/>
        <w:tabs>
          <w:tab w:leader="none" w:pos="21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registered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1629"/>
        <w:spacing w:after="0" w:line="257" w:lineRule="auto"/>
        <w:tabs>
          <w:tab w:leader="none" w:pos="214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 and such owners of beneficial interests in a Global Security will not be considered the owners or holders thereof.</w:t>
      </w:r>
    </w:p>
    <w:p>
      <w:pPr>
        <w:spacing w:after="0" w:line="188" w:lineRule="exact"/>
        <w:rPr>
          <w:rFonts w:ascii="Arial" w:cs="Arial" w:eastAsia="Arial" w:hAnsi="Arial"/>
          <w:sz w:val="18"/>
          <w:szCs w:val="18"/>
          <w:color w:val="auto"/>
        </w:rPr>
      </w:pPr>
    </w:p>
    <w:p>
      <w:pPr>
        <w:ind w:right="60" w:firstLine="656"/>
        <w:spacing w:after="0" w:line="277" w:lineRule="auto"/>
        <w:tabs>
          <w:tab w:leader="none" w:pos="13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Non-global Securities. Securities issued upon the events described in Section 3.4(l)(ii) shall be in definitive, fully registered form, without interest coupons, and shall bear the Restricted Securities Legend if and as required by this Indenture.</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Registration; Registration of Transfer and Exchange; Restrictions on Transfer</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3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cause to be kept at the Corporate Trust Office of the Trustee a register (the register maintained in such office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and exchanges of Securities as herein provided.</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 and bearing such restrictive legends as may be required by this Indenture.</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the option of the Holder, and subject to the other provisions of this Section 3.5, Securities may be exchanged for other Securities of any authorized denomination and of a like aggregate principal amount, upon surrender of the Securities to be exchanged at any such office or agency. Whenever any Securities are so surrendered for exchange, and subject to the other provisions of this Section 3.5, the Company shall execute, and the Trustee shall authenticate and deliver, the Securities that the Holder making the exchange is entitled to receive. Every Security presented or surrendered for registration of transfer or for exchange shall (if so required by the Company or the Security Registrar) be duly endorsed, or be accompanied by a written instrument of transfer in form satisfactory to the Company, the Trustee and the Security Registrar, duly executed by the Holder thereof or his attorney duly authorized in writing.</w:t>
      </w:r>
    </w:p>
    <w:p>
      <w:pPr>
        <w:spacing w:after="0" w:line="1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service charge shall be made to a Holder for any registration of transfer or exchange of Securities except as provided in Section 3.6, but the Company may require payment of a sum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sufficient to cover any tax or other governmental charge that may be imposed in connection with any registration of transfer or exchange of Securities, other than exchanges pursuant to Section 3.4, 8.5, 12.2 or 14.3 (other than where the shares of Common Stock are to be issued or delivered in a name other than</w:t>
      </w:r>
    </w:p>
    <w:p>
      <w:pPr>
        <w:sectPr>
          <w:pgSz w:w="11900" w:h="16838" w:orient="portrait"/>
          <w:cols w:equalWidth="0" w:num="1">
            <w:col w:w="11420"/>
          </w:cols>
          <w:pgMar w:left="240" w:top="557" w:right="239" w:bottom="0" w:gutter="0" w:footer="0" w:header="0"/>
        </w:sectPr>
      </w:pPr>
    </w:p>
    <w:bookmarkStart w:id="41" w:name="page42"/>
    <w:bookmarkEnd w:id="41"/>
    <w:p>
      <w:pPr>
        <w:ind w:right="80"/>
        <w:spacing w:after="0" w:line="308" w:lineRule="auto"/>
        <w:rPr>
          <w:sz w:val="20"/>
          <w:szCs w:val="20"/>
          <w:color w:val="auto"/>
        </w:rPr>
      </w:pPr>
      <w:r>
        <w:rPr>
          <w:rFonts w:ascii="Arial" w:cs="Arial" w:eastAsia="Arial" w:hAnsi="Arial"/>
          <w:sz w:val="17"/>
          <w:szCs w:val="17"/>
          <w:color w:val="auto"/>
        </w:rPr>
        <w:t>that of the Holder of the Security) not involving any transfer and other than any stamp and other duties, if any, which may be imposed in connection with any such transfer or exchange by the United States or any political subdivision thereof or therein, which shall be paid by the Company.</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event of a redemption of the Securities, neither the Company nor the Securities Registrar will be required (a) to register the transfer of or exchange Securities for a period of 15 days immediately preceding the date notice is given identifying the serial numbers of the Securities called for such redemption or</w:t>
      </w: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register the transfer of or exchange any Security, or portion thereof, called for redemption.</w:t>
      </w:r>
    </w:p>
    <w:p>
      <w:pPr>
        <w:spacing w:after="0" w:line="210" w:lineRule="exact"/>
        <w:rPr>
          <w:rFonts w:ascii="Arial" w:cs="Arial" w:eastAsia="Arial" w:hAnsi="Arial"/>
          <w:sz w:val="18"/>
          <w:szCs w:val="18"/>
          <w:color w:val="auto"/>
        </w:rPr>
      </w:pPr>
    </w:p>
    <w:p>
      <w:pPr>
        <w:ind w:right="140" w:firstLine="656"/>
        <w:spacing w:after="0" w:line="342" w:lineRule="auto"/>
        <w:tabs>
          <w:tab w:leader="none" w:pos="135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Certain Transfers and Exchanges</w:t>
      </w:r>
      <w:r>
        <w:rPr>
          <w:rFonts w:ascii="Arial" w:cs="Arial" w:eastAsia="Arial" w:hAnsi="Arial"/>
          <w:sz w:val="16"/>
          <w:szCs w:val="16"/>
          <w:color w:val="auto"/>
        </w:rPr>
        <w:t>. Notwithstanding any other provision of this Indenture or the Securities, transfers and exchanges of Securities and beneficial interests in a Global Security of the kinds specified in this Section 3.5(2) shall be made only in accordance with this Section 3.5(2).</w:t>
      </w:r>
    </w:p>
    <w:p>
      <w:pPr>
        <w:spacing w:after="0" w:line="123" w:lineRule="exact"/>
        <w:rPr>
          <w:rFonts w:ascii="Arial" w:cs="Arial" w:eastAsia="Arial" w:hAnsi="Arial"/>
          <w:sz w:val="16"/>
          <w:szCs w:val="16"/>
          <w:color w:val="auto"/>
        </w:rPr>
      </w:pPr>
    </w:p>
    <w:p>
      <w:pPr>
        <w:ind w:right="20" w:firstLine="1629"/>
        <w:spacing w:after="0" w:line="269" w:lineRule="auto"/>
        <w:tabs>
          <w:tab w:leader="none" w:pos="1971"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Restricted Global Security to Restricted Non-global Security</w:t>
      </w:r>
      <w:r>
        <w:rPr>
          <w:rFonts w:ascii="Arial" w:cs="Arial" w:eastAsia="Arial" w:hAnsi="Arial"/>
          <w:sz w:val="17"/>
          <w:szCs w:val="17"/>
          <w:color w:val="auto"/>
        </w:rPr>
        <w:t>. In the event that Non-global Securities are to be issued pursuant to Section 3.4(1)(ii) in connection with any transfer of Securities, such transfer may be effected only in accordance with the provisions of this clause (2)(i) and subject to the Applicable Procedures. Upon receipt by the Trustee, as Security Registrar, of (A) a Company Order from the Company directing the Trustee, as Security Registrar, to (x) authenticate and deliver one or more Securities of the same aggregate principal amount as the beneficial interest in the Restricted Global Security to be transferred, such instructions to contain the name or names of the designated transferee or transferees, the authorized denomination or denominations of the Securities to be so issued and appropriate delivery instructions and (y) decrease the beneficial interest of a specified Agent Member’s account in a Restricted Global Security by a specified principal amount not greater than the principal amount of such Restricted Global Security, and (B) such other certifications, legal opinions or other information as the Company or the Trustee may reasonably require to confirm that such transfer is being made pursuant to an exemption from, or in a transaction not subject to, the registration requirements of the Securities Act, then the Trustee, as Security Registrar, shall decrease the principal amount of the Restricted Global Security by the specified amount and authenticate and deliver Securities in accordance with such instructions from the Company as provided in Section 3.4(1)(iii).</w:t>
      </w:r>
    </w:p>
    <w:p>
      <w:pPr>
        <w:spacing w:after="0" w:line="182" w:lineRule="exact"/>
        <w:rPr>
          <w:rFonts w:ascii="Arial" w:cs="Arial" w:eastAsia="Arial" w:hAnsi="Arial"/>
          <w:sz w:val="17"/>
          <w:szCs w:val="17"/>
          <w:color w:val="auto"/>
        </w:rPr>
      </w:pPr>
    </w:p>
    <w:p>
      <w:pPr>
        <w:ind w:right="60" w:firstLine="1629"/>
        <w:spacing w:after="0" w:line="297" w:lineRule="auto"/>
        <w:tabs>
          <w:tab w:leader="none" w:pos="1975"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Restricted Non-global Security to Restricted Global Security</w:t>
      </w:r>
      <w:r>
        <w:rPr>
          <w:rFonts w:ascii="Arial" w:cs="Arial" w:eastAsia="Arial" w:hAnsi="Arial"/>
          <w:sz w:val="16"/>
          <w:szCs w:val="16"/>
          <w:color w:val="auto"/>
        </w:rPr>
        <w:t>. If the Holder of a Restricted Security (other than a Global Security) wishes at any time to transfer all or any portion of such Restricted Security to a Person who wishes to take delivery thereof in the form of a beneficial interest in the Restricted Global Security, such transfer may be effected only in accordance with the provisions of this clause (2)(ii) and subject to the Applicable Procedures. Upon receipt by the Trustee, as Security Registrar, of such Restricted Security as provided in Section 3.5(1) and instructions from the Company directing that a beneficial interest in the Restricted Global Security in a specified principal amount not greater than the principal amount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such Security be credited to a specified Agent Member’s account, then the Trustee, as Security Registrar, shall cancel such Restricted Security (and issue a new Restricted Security in respect of any untransferred portion thereof) as provided in Section 3.5(1) and increase the principal amount of the Restricted Global Security by the specified principal amount as provided in Section 3.4(1)(iii).</w:t>
      </w:r>
    </w:p>
    <w:p>
      <w:pPr>
        <w:spacing w:after="0" w:line="181" w:lineRule="exact"/>
        <w:rPr>
          <w:sz w:val="20"/>
          <w:szCs w:val="20"/>
          <w:color w:val="auto"/>
        </w:rPr>
      </w:pPr>
    </w:p>
    <w:p>
      <w:pPr>
        <w:ind w:firstLine="1629"/>
        <w:spacing w:after="0" w:line="276" w:lineRule="auto"/>
        <w:tabs>
          <w:tab w:leader="none" w:pos="198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Exchanges Between Global Security and Non-global Security</w:t>
      </w:r>
      <w:r>
        <w:rPr>
          <w:rFonts w:ascii="Arial" w:cs="Arial" w:eastAsia="Arial" w:hAnsi="Arial"/>
          <w:sz w:val="17"/>
          <w:szCs w:val="17"/>
          <w:color w:val="auto"/>
        </w:rPr>
        <w:t>. A beneficial interest in a Global Security may be exchanged for a Security that is not a Global Security only as provided in Section 3.4 or only if such exchange occurs in connection with a transfer effected in accordance with clause 2(i) above, provided that, if such interest is a beneficial interest in the Restricted Global Security, then such interest shall be exchanged for a Restricted Security (subject in each case to Section 3.5(3)). A Security that is not a Global Security may be exchanged for a beneficial interest in a Global Security only if such exchange occurs in connection with a transfer effected in accordance with clause (2)(ii) above.</w:t>
      </w:r>
    </w:p>
    <w:p>
      <w:pPr>
        <w:spacing w:after="0" w:line="172"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Securities Act Legends</w:t>
      </w:r>
      <w:r>
        <w:rPr>
          <w:rFonts w:ascii="Arial" w:cs="Arial" w:eastAsia="Arial" w:hAnsi="Arial"/>
          <w:sz w:val="18"/>
          <w:szCs w:val="18"/>
          <w:color w:val="auto"/>
        </w:rPr>
        <w:t>. All Securities issued pursuant to this Indenture, and all Successor Securities, shall bear the Restricted Securities Legend subject to the following:</w:t>
      </w:r>
    </w:p>
    <w:p>
      <w:pPr>
        <w:spacing w:after="0" w:line="170" w:lineRule="exact"/>
        <w:rPr>
          <w:rFonts w:ascii="Arial" w:cs="Arial" w:eastAsia="Arial" w:hAnsi="Arial"/>
          <w:sz w:val="18"/>
          <w:szCs w:val="18"/>
          <w:color w:val="auto"/>
        </w:rPr>
      </w:pPr>
    </w:p>
    <w:p>
      <w:pPr>
        <w:ind w:right="160" w:firstLine="1629"/>
        <w:spacing w:after="0" w:line="264" w:lineRule="auto"/>
        <w:tabs>
          <w:tab w:leader="none" w:pos="19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subject to the following clauses of this Section 3.5(3), a Security or any portion thereof which is exchanged, upon transfer or otherwise, for a Global Security or any portion thereof shall bear the Restricted Securities Legend borne by such Global Security for which the Security was exchanged;</w:t>
      </w:r>
    </w:p>
    <w:p>
      <w:pPr>
        <w:spacing w:after="0" w:line="181" w:lineRule="exact"/>
        <w:rPr>
          <w:rFonts w:ascii="Arial" w:cs="Arial" w:eastAsia="Arial" w:hAnsi="Arial"/>
          <w:sz w:val="18"/>
          <w:szCs w:val="18"/>
          <w:color w:val="auto"/>
        </w:rPr>
      </w:pPr>
    </w:p>
    <w:p>
      <w:pPr>
        <w:ind w:right="260" w:firstLine="1629"/>
        <w:spacing w:after="0" w:line="264" w:lineRule="auto"/>
        <w:tabs>
          <w:tab w:leader="none" w:pos="19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subject to the following clauses of this Section 3.5(3), a new Security that is not a Global Security and is issued in exchange for another Security (including a Global Security) or any portion thereof, upon transfer or otherwise, shall bear the Restricted Securities Legend borne by the Security for which the new Security was exchanged;</w:t>
      </w:r>
    </w:p>
    <w:p>
      <w:pPr>
        <w:spacing w:after="0" w:line="181" w:lineRule="exact"/>
        <w:rPr>
          <w:rFonts w:ascii="Arial" w:cs="Arial" w:eastAsia="Arial" w:hAnsi="Arial"/>
          <w:sz w:val="18"/>
          <w:szCs w:val="18"/>
          <w:color w:val="auto"/>
        </w:rPr>
      </w:pPr>
    </w:p>
    <w:p>
      <w:pPr>
        <w:ind w:right="60" w:firstLine="1629"/>
        <w:spacing w:after="0" w:line="276" w:lineRule="auto"/>
        <w:tabs>
          <w:tab w:leader="none" w:pos="198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Securities that are sold or otherwise disposed of pursuant to an effective registration statement under the Securities Act (including the Shelf Registration Statement), together with their Successor Securities shall not bear a Restricted Securities Legend; the Company shall inform the Trustee in writing of the effective date of any such registration statement registering the Securities under the Securities Act and shall notify the Trustee at any time when prospectuses must be delivered with respect to Securities to be sold pursuant to such registration statement. The Trustee shall not be liable for any action taken or omitted to be taken by it in good faith in accordance with the aforementioned registration statement;</w:t>
      </w:r>
    </w:p>
    <w:p>
      <w:pPr>
        <w:spacing w:after="0" w:line="172" w:lineRule="exact"/>
        <w:rPr>
          <w:rFonts w:ascii="Arial" w:cs="Arial" w:eastAsia="Arial" w:hAnsi="Arial"/>
          <w:sz w:val="17"/>
          <w:szCs w:val="17"/>
          <w:color w:val="auto"/>
        </w:rPr>
      </w:pPr>
    </w:p>
    <w:p>
      <w:pPr>
        <w:ind w:firstLine="1629"/>
        <w:spacing w:after="0" w:line="257" w:lineRule="auto"/>
        <w:tabs>
          <w:tab w:leader="none" w:pos="19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at any time after the Securities may be freely transferred without registration under the Securities Act or without being subject to transfer restrictions pursuant to the Securities Act, a new Security that does not bear a Restricted Securities Legend may be issued in exchange for or in lieu of a Security (other than a Global Security) or any portion thereof that bears such a legend if the Trustee has received an Unrestricted Securities Certificate, satisfactory to the Trustee and duly executed by the Holder of such Security bearing a Restricted Securities Legend or his attorney duly authorized in writing, and after such date and receipt of such certificate, the Trustee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authenticate and deliver such new Security in exchange for or in lieu of such other Security as provided in this Article III;</w:t>
      </w:r>
    </w:p>
    <w:p>
      <w:pPr>
        <w:spacing w:after="0" w:line="225" w:lineRule="exact"/>
        <w:rPr>
          <w:sz w:val="20"/>
          <w:szCs w:val="20"/>
          <w:color w:val="auto"/>
        </w:rPr>
      </w:pPr>
    </w:p>
    <w:p>
      <w:pPr>
        <w:ind w:right="20" w:firstLine="1629"/>
        <w:spacing w:after="0" w:line="259" w:lineRule="auto"/>
        <w:tabs>
          <w:tab w:leader="none" w:pos="19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Security that does not bear a Restricted Securities Legend may be issued in exchange for or in lieu of a Security or any portion thereof that bears such a legend if, in the Company’s judgment, placing such a legend upon such new Security is not necessary to ensure compliance with the registration requirements of the Securities Act, and the Trustee, at the direction of the Company, shall authenticate and deliver such a new Security as provided in this Article III; and</w:t>
      </w:r>
    </w:p>
    <w:p>
      <w:pPr>
        <w:sectPr>
          <w:pgSz w:w="11900" w:h="16838" w:orient="portrait"/>
          <w:cols w:equalWidth="0" w:num="1">
            <w:col w:w="11420"/>
          </w:cols>
          <w:pgMar w:left="240" w:top="125" w:right="239" w:bottom="0" w:gutter="0" w:footer="0" w:header="0"/>
        </w:sectPr>
      </w:pPr>
    </w:p>
    <w:bookmarkStart w:id="42" w:name="page43"/>
    <w:bookmarkEnd w:id="42"/>
    <w:p>
      <w:pPr>
        <w:ind w:firstLine="1629"/>
        <w:spacing w:after="0" w:line="259" w:lineRule="auto"/>
        <w:tabs>
          <w:tab w:leader="none" w:pos="19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3.5(3), a Successor Security of a Security that does not bear a Restricted Securities Legend shall not bear such legend unless the Company has reasonable cause to believe that such Successor Security is a “restricted security” within the meaning of Rule 144, in which case the Trustee, at the direction of the Company, shall authenticate and deliver a new Security bearing a Restricted Securities Legend in exchange for such Successor Security as provided in this Article III.</w:t>
      </w:r>
    </w:p>
    <w:p>
      <w:pPr>
        <w:spacing w:after="0" w:line="186" w:lineRule="exact"/>
        <w:rPr>
          <w:rFonts w:ascii="Arial" w:cs="Arial" w:eastAsia="Arial" w:hAnsi="Arial"/>
          <w:sz w:val="18"/>
          <w:szCs w:val="18"/>
          <w:color w:val="auto"/>
        </w:rPr>
      </w:pPr>
    </w:p>
    <w:p>
      <w:pPr>
        <w:ind w:right="40" w:firstLine="656"/>
        <w:spacing w:after="0" w:line="272"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stock certificate representing shares of Common Stock issued upon conversion of the Securities shall bear the Restricted Securities Legend borne by such Securities, to the extent required by this Indenture, unless such shares of Common Stock have been sold pursuant to a registration statement that has been declared effective under the Securities Act (and that continues to be effective at the time of such transfer) or sold pursuant to Rule 144(k) of the Securities Act, or unless otherwise agreed by the Company in writing with written notice thereof to the transfer agent for the Common Stock. With respect to the transfer of shares of Common Stock issued upon conversion of the Securities that are restricted hereunder, any deliveries of certificates, legal opinions or other instruments that would be required to be made to the Security Registrar in the case of a transfer of Securities, as described above, shall instead be made to the transfer agent for the Common Stock.</w:t>
      </w:r>
    </w:p>
    <w:p>
      <w:pPr>
        <w:spacing w:after="0" w:line="177" w:lineRule="exact"/>
        <w:rPr>
          <w:rFonts w:ascii="Arial" w:cs="Arial" w:eastAsia="Arial" w:hAnsi="Arial"/>
          <w:sz w:val="17"/>
          <w:szCs w:val="17"/>
          <w:color w:val="auto"/>
        </w:rPr>
      </w:pPr>
    </w:p>
    <w:p>
      <w:pPr>
        <w:ind w:right="180" w:firstLine="656"/>
        <w:spacing w:after="0" w:line="264" w:lineRule="auto"/>
        <w:tabs>
          <w:tab w:leader="none" w:pos="13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Trustee, the Paying Agent nor any of their agents shall (i) have any duty to monitor compliance with or with respect to any federal or state or other securities or tax laws or (ii) have any duty to obtain documentation on any transfers or exchanges other than as specifically required hereunder.</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Mutilated, Destroyed, Lost or Stolen Securities</w:t>
      </w:r>
      <w:r>
        <w:rPr>
          <w:rFonts w:ascii="Arial" w:cs="Arial" w:eastAsia="Arial" w:hAnsi="Arial"/>
          <w:sz w:val="16"/>
          <w:szCs w:val="16"/>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there be delivered to the Company and to the Trustee:</w:t>
      </w:r>
    </w:p>
    <w:p>
      <w:pPr>
        <w:spacing w:after="0" w:line="225" w:lineRule="exact"/>
        <w:rPr>
          <w:sz w:val="20"/>
          <w:szCs w:val="20"/>
          <w:color w:val="auto"/>
        </w:rPr>
      </w:pPr>
    </w:p>
    <w:p>
      <w:pPr>
        <w:ind w:left="5620" w:right="4240" w:hanging="4964"/>
        <w:spacing w:after="0" w:line="528" w:lineRule="auto"/>
        <w:tabs>
          <w:tab w:leader="none" w:pos="13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 to their satisfaction of the destruction, loss or theft of any Security, and 39</w:t>
      </w:r>
    </w:p>
    <w:p>
      <w:pPr>
        <w:spacing w:after="0" w:line="372" w:lineRule="exact"/>
        <w:rPr>
          <w:rFonts w:ascii="Arial" w:cs="Arial" w:eastAsia="Arial" w:hAnsi="Arial"/>
          <w:sz w:val="18"/>
          <w:szCs w:val="18"/>
          <w:color w:val="auto"/>
        </w:rPr>
      </w:pPr>
    </w:p>
    <w:p>
      <w:pPr>
        <w:ind w:left="1360" w:hanging="704"/>
        <w:spacing w:after="0"/>
        <w:tabs>
          <w:tab w:leader="none" w:pos="1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security or indemnity as may be satisfactory to the Company and the Trustee to save each of them and any agent of either of them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then, in the absence of 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case any such mutilated, destroyed, lost or stolen Security has become or is about to become due and payable, the Company in its discretion, but subject to any conversion rights, may, instead of issuing a new Security, pay such Security, upon satisfaction of the conditions set forth in the preceding paragraph.</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issuance of any new Security under this Section 3.6, the Company may require the payment of a sum sufficient to cover any tax or other governmental charge that may be imposed in relation thereto (other than any stamp and other duties, if any, which may be imposed in connection therewith by the United States or any political subdivision thereof or therein, which shall be paid by the Company) and any other expenses (including the fees and expenses of the Trustee) connected therewith.</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Every new Security issued pursuant to this Section 3.6 in lieu of any mutilated, destroyed, lost or stolen Security shall constitute an original additional contractual obligation of the Company, whether or not the mutilated, destroyed, lost or stolen Security shall be at any time enforceable by anyone, and such new Security shall be entitled to all the benefits of this Indenture equally and proportionately with any and all other Securities duly issued hereunder.</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provisions of this Section 3.6 are exclusive and shall preclude (to the extent lawful) all other rights and remedies of any Holder with respect to the replacement or payment of mutilated, destroyed, lost or stolen Securities.</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Subject to the last paragraph of this Section, interest (including Liquidated Damages, if any)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Any interest (or Liquidated Damages, if any) on any Security that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ind w:right="480" w:firstLine="656"/>
        <w:spacing w:after="0" w:line="277"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(or their respective Predecessor Securities) are registered at the close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business on a Special Record Date for the payment of such Defaulted Interest, which shall be fixed in the following manner. The Company shall notify the Trustee in writing of the amount of Defaulted Interest proposed to be paid on each Security, the date of the proposed payment and the Special Record Date,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the Special Record Date for the payment of such Defaulted Interest which shall be not more than 15 days and not less than 10 days prior to the date of the proposed payment and not less than 10 days after the receipt by the Trustee of the notice of the proposed payment. The Trustee, in the name and at the</w:t>
      </w:r>
    </w:p>
    <w:p>
      <w:pPr>
        <w:sectPr>
          <w:pgSz w:w="11900" w:h="16838" w:orient="portrait"/>
          <w:cols w:equalWidth="0" w:num="1">
            <w:col w:w="11400"/>
          </w:cols>
          <w:pgMar w:left="240" w:top="125" w:right="259" w:bottom="0" w:gutter="0" w:footer="0" w:header="0"/>
        </w:sectPr>
      </w:pPr>
    </w:p>
    <w:bookmarkStart w:id="43" w:name="page44"/>
    <w:bookmarkEnd w:id="43"/>
    <w:p>
      <w:pPr>
        <w:spacing w:after="0" w:line="257" w:lineRule="auto"/>
        <w:rPr>
          <w:sz w:val="20"/>
          <w:szCs w:val="20"/>
          <w:color w:val="auto"/>
        </w:rPr>
      </w:pPr>
      <w:r>
        <w:rPr>
          <w:rFonts w:ascii="Arial" w:cs="Arial" w:eastAsia="Arial" w:hAnsi="Arial"/>
          <w:sz w:val="18"/>
          <w:szCs w:val="18"/>
          <w:color w:val="auto"/>
        </w:rPr>
        <w:t>expense of the Company, shall cause notice of the proposed payment of such Defaulted Interest and the Special Record Date therefor to be mailed, first-class postage prepaid, to each Holder at such Holder’s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88" w:lineRule="exact"/>
        <w:rPr>
          <w:sz w:val="20"/>
          <w:szCs w:val="20"/>
          <w:color w:val="auto"/>
        </w:rPr>
      </w:pPr>
    </w:p>
    <w:p>
      <w:pPr>
        <w:ind w:right="120" w:firstLine="656"/>
        <w:spacing w:after="0" w:line="286" w:lineRule="auto"/>
        <w:tabs>
          <w:tab w:leader="none" w:pos="13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provisions of this Section 3.7 and of Section 3.5, each Security delivered under this Indenture upon registration of transfer of or in exchange for or in lieu of any other Security shall carry the rights to interest (including Liquidated Damages, if any) accrued and unpaid, and to accrue, which were carried by such other Security.</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on any Security that is converted in accordance with Section 12.2 during a Record Date Period shall be payable in accordance with the provisions of Section 12.2.</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to due presentment of a Security for registration of transfer, the Company, the Trustee, any Paying Agent and any agent of the Company, the Trustee or any Paying Agent may treat the Person in whose name such Security is registered as the owner of such Security for the purpose of receiving payment of principal of, premium, if any, and (subject to Section 3.7) interest (including Liquidated Damages, if any) on such Security and for all other purposes whatsoever, whether or not such Security be overdue, and neither the Company, the Trustee, any Paying Agent nor any agent of the Company, the Trustee or any Paying Agent shall be affected by notice to the contrary.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Securities surrendered for payment, redemption, repurchase, registration of transfer or exchange or conversion shall, if surrendered to any Person other than the Trustee, be delivered to the Trustee. All Securities so delivered to the Trustee shall be canceled promptly by the Trustee (or its agent). No Securities shall be authenticated in lieu of or in exchange for any Securities canceled as provided in this Section 3.9. The Trustee shall dispose of all canceled Securities in accordance with applicable law and its customary practices in effect from time to time.</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(including Liquidated Damages, if any) on the Securities shall be computed on the basis of a 360-day year of twelve 30-day months.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in issuing Securities may use “CUSIP” numbers (if then generally in use) in addition to serial numbers; if so, the Trustee shall use such CUSIP numbers in addition to serial numbers in notices of redemption and repurchase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may state that no representation is made as to the correctness of such CUSIP numbers either as printed on the Securities or as contained in any notice of a redemption or repurchase and that reliance may be placed only on the serial or other identification numbers printed on the Securities, and any such redemption or repurchase shall not be affected by any defect in or omission of such CUSIP numbers.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Indenture shall upon a Company Request cease to be of further effect (except as to any surviving rights of conversion, or registration of transfer or exchange, or replacement of Securities herein expressly provided for and any right to receive Liquidated Damages as provided in Section 10.11 and in the form of Securities set forth in Section 2.2 and the Company’s obligations to the Trustee pursuant to Section 6.7), and the Trustee, at the expense of the Company, shall execute proper instruments in form and substance satisfactory to the Trustee acknowledging satisfaction and discharge of this Indenture, when:</w:t>
      </w:r>
    </w:p>
    <w:p>
      <w:pPr>
        <w:spacing w:after="0" w:line="188" w:lineRule="exact"/>
        <w:rPr>
          <w:sz w:val="20"/>
          <w:szCs w:val="20"/>
          <w:color w:val="auto"/>
        </w:rPr>
      </w:pPr>
    </w:p>
    <w:p>
      <w:pPr>
        <w:ind w:left="1360" w:hanging="7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right="100" w:firstLine="1629"/>
        <w:spacing w:after="0" w:line="259" w:lineRule="auto"/>
        <w:tabs>
          <w:tab w:leader="none" w:pos="1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(A) Securities which have been destroyed, lost or stolen and that have been replaced or paid as provided in Section 3.6 and (B)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80" w:hanging="351"/>
        <w:spacing w:after="0"/>
        <w:tabs>
          <w:tab w:leader="none" w:pos="1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such Securities not theretofore delivered to the Trustee or its agent for cancellation (other than Securities referred to in clauses</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and (B) of clause (1)(i) above)</w:t>
      </w:r>
    </w:p>
    <w:p>
      <w:pPr>
        <w:spacing w:after="0" w:line="210" w:lineRule="exact"/>
        <w:rPr>
          <w:rFonts w:ascii="Arial" w:cs="Arial" w:eastAsia="Arial" w:hAnsi="Arial"/>
          <w:sz w:val="18"/>
          <w:szCs w:val="18"/>
          <w:color w:val="auto"/>
        </w:rPr>
      </w:pPr>
    </w:p>
    <w:p>
      <w:pPr>
        <w:ind w:left="2280" w:hanging="327"/>
        <w:spacing w:after="0"/>
        <w:tabs>
          <w:tab w:leader="none" w:pos="22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will have become due and payable at their Stated Maturity within one year, or</w:t>
      </w:r>
    </w:p>
    <w:p>
      <w:pPr>
        <w:sectPr>
          <w:pgSz w:w="11900" w:h="16838" w:orient="portrait"/>
          <w:cols w:equalWidth="0" w:num="1">
            <w:col w:w="11400"/>
          </w:cols>
          <w:pgMar w:left="240" w:top="125" w:right="259" w:bottom="0" w:gutter="0" w:footer="0" w:header="0"/>
        </w:sectPr>
      </w:pPr>
    </w:p>
    <w:bookmarkStart w:id="44" w:name="page45"/>
    <w:bookmarkEnd w:id="44"/>
    <w:p>
      <w:pPr>
        <w:ind w:right="480" w:firstLine="1953"/>
        <w:spacing w:after="0" w:line="277" w:lineRule="auto"/>
        <w:tabs>
          <w:tab w:leader="none" w:pos="2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and the Company, in the case of clause (a), (b) or (c) above, has deposited or caused to be deposited with the Trustee as trust funds (immediately available to the Holders in the case of clause (a)) in trust for the purpose an amount in cash sufficient to pay and discharge the entire indebtedness on such Securities not theretofore delivered to the Trustee for cancellation, for principal, premium, if any, and interest (including any Liquidated Damages) to the date of such deposit (in the case of Securities which have become due and payable) or to the Stated Maturity or Redemption Date, as the case may be;</w:t>
      </w:r>
    </w:p>
    <w:p>
      <w:pPr>
        <w:spacing w:after="0" w:line="154" w:lineRule="exact"/>
        <w:rPr>
          <w:sz w:val="20"/>
          <w:szCs w:val="20"/>
          <w:color w:val="auto"/>
        </w:rPr>
      </w:pPr>
    </w:p>
    <w:p>
      <w:pPr>
        <w:ind w:left="1360" w:hanging="704"/>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340" w:firstLine="656"/>
        <w:spacing w:after="0" w:line="277"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Company to any Authenticating Agent under Section 6.12, the obligation of the Company to pay Liquidated Damages, if money shall have been deposited with the Trustee pursuant to clause (1)(ii) of this Section 4.1, the obligations of the Trustee under Section 4.2 and the last paragraph of Section 10.3 and the obligations of the Company and the Trustee under Section 3.5 and Article XII shall survive. Funds held in trust pursuant to this Section are not subject to the provisions of Article XIII.</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and in accordance with the provisions of Article XIII shall be held in trust for the sole benefit of the Holders and not be subject to the subordination provisions of Article XIII, and such monies shall be applied by the Trustee, in accordance with the provisions of the Securities and this Indenture, to the payment, either directly or through any Paying Agent, to the Persons entitled thereto, of the principal, premium, if any, and interest (including Liquidated Damages, if any) for whose payment such money has been deposited with the Trustee.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moneys deposited with the Trustee pursuant to Section 4.1 (and held by it or any Paying Agent) for the payment of Securities subsequently converted shall be returned to the Company upon Company Request.</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or assessed against all money deposited with the Trustee pursuant to Section 4.1 (other than income taxes and franchise taxes incurred or payable by the Trustee and such other taxes, fees or charges incurred or payable by the Trustee that are not directly the result of the deposit of such money with the Trustee).</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“Event of Default”, wherever used herein, means any one of the following events (whatever the reason for such Event of Default and whether it shall be occasioned by the provisions of Article XIII or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right="100" w:firstLine="656"/>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at its Maturity, whether or not such payment is prohibited by the subordination provisions of this Indenture; or</w:t>
      </w:r>
    </w:p>
    <w:p>
      <w:pPr>
        <w:spacing w:after="0" w:line="170" w:lineRule="exact"/>
        <w:rPr>
          <w:rFonts w:ascii="Arial" w:cs="Arial" w:eastAsia="Arial" w:hAnsi="Arial"/>
          <w:sz w:val="18"/>
          <w:szCs w:val="18"/>
          <w:color w:val="auto"/>
        </w:rPr>
      </w:pPr>
    </w:p>
    <w:p>
      <w:pPr>
        <w:ind w:right="500" w:firstLine="656"/>
        <w:spacing w:after="0" w:line="342" w:lineRule="auto"/>
        <w:tabs>
          <w:tab w:leader="none" w:pos="13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default in the payment of any interest (including any Liquidated Damages) upon any Security when it becomes due and payable, and continuance of such default for a period of 30 days, whether or not such payment is prohibited by the subordination provisions of this Indenture; or</w:t>
      </w:r>
    </w:p>
    <w:p>
      <w:pPr>
        <w:spacing w:after="0" w:line="123" w:lineRule="exact"/>
        <w:rPr>
          <w:rFonts w:ascii="Arial" w:cs="Arial" w:eastAsia="Arial" w:hAnsi="Arial"/>
          <w:sz w:val="16"/>
          <w:szCs w:val="16"/>
          <w:color w:val="auto"/>
        </w:rPr>
      </w:pPr>
    </w:p>
    <w:p>
      <w:pPr>
        <w:ind w:right="160" w:firstLine="656"/>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the Company to give a Company Notice in accordance with Section 14.3 whether or not such Company Notice is prohibited by the subordination provisions of this Indenture; or</w:t>
      </w:r>
    </w:p>
    <w:p>
      <w:pPr>
        <w:spacing w:after="0" w:line="170" w:lineRule="exact"/>
        <w:rPr>
          <w:rFonts w:ascii="Arial" w:cs="Arial" w:eastAsia="Arial" w:hAnsi="Arial"/>
          <w:sz w:val="18"/>
          <w:szCs w:val="18"/>
          <w:color w:val="auto"/>
        </w:rPr>
      </w:pPr>
    </w:p>
    <w:p>
      <w:pPr>
        <w:ind w:right="20" w:firstLine="656"/>
        <w:spacing w:after="0" w:line="273" w:lineRule="auto"/>
        <w:tabs>
          <w:tab w:leader="none" w:pos="13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in the performance of any agreement or covenant of the Company in this Indenture (other than a covenant a default in the performance of which is specifically dealt with elsewhere in this Section or any failure to perform any covenant related to the registration rights granted to the Holders under the Registration Rights Agreement (except for covenants requiring the payment of Liquidated Damages by the Company)), and continuance of such default for a period of 60 days after there has been given, by registered or certified mail, to the Company by the Trustee or to the Company and the Trustee by the Holders of at least 25% in aggregate principal amount of the Outstanding Securities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firstLine="656"/>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the Company to pay any indebtedness under any bond, debenture, note or other evidence of indebtedness for money borrowed by the Company in a principal amount then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outstanding in excess of $50,000,000 at final maturity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hereunder; or</w:t>
      </w:r>
    </w:p>
    <w:p>
      <w:pPr>
        <w:sectPr>
          <w:pgSz w:w="11900" w:h="16838" w:orient="portrait"/>
          <w:cols w:equalWidth="0" w:num="1">
            <w:col w:w="11420"/>
          </w:cols>
          <w:pgMar w:left="240" w:top="341" w:right="239" w:bottom="0" w:gutter="0" w:footer="0" w:header="0"/>
        </w:sectPr>
      </w:pPr>
    </w:p>
    <w:bookmarkStart w:id="45" w:name="page46"/>
    <w:bookmarkEnd w:id="45"/>
    <w:p>
      <w:pPr>
        <w:ind w:right="20" w:firstLine="656"/>
        <w:spacing w:after="0" w:line="273" w:lineRule="auto"/>
        <w:tabs>
          <w:tab w:leader="none" w:pos="13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the property thereof, or ordering the winding up or liquidation of its affairs, and the continuance of any such decree or order for relief or any such other decree or order unstayed and in effect for a period of 60 consecutive days; or</w:t>
      </w:r>
    </w:p>
    <w:p>
      <w:pPr>
        <w:spacing w:after="0" w:line="178" w:lineRule="exact"/>
        <w:rPr>
          <w:rFonts w:ascii="Arial" w:cs="Arial" w:eastAsia="Arial" w:hAnsi="Arial"/>
          <w:sz w:val="17"/>
          <w:szCs w:val="17"/>
          <w:color w:val="auto"/>
        </w:rPr>
      </w:pPr>
    </w:p>
    <w:p>
      <w:pPr>
        <w:ind w:right="20" w:firstLine="656"/>
        <w:spacing w:after="0" w:line="290" w:lineRule="auto"/>
        <w:tabs>
          <w:tab w:leader="none" w:pos="13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the Company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the Company, or the filing by it of a petition or answer or consent seeking reorganization or similar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the property of the Company, or the making by it of an assignment for the benefit of its creditors, or the admission by it in writing of its inability to pay its debts generally as they become due, or the taking of corporate action by the Company in furtherance of any such action.</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an Event of Default (other than an Event of Default specified in Section 5.1(6) or 5.1(7)) occurs and is continuing, then the Trustee or the Holders of not less than 25% in aggregate principal amount of the Outstanding Securities may, subject to the provisions of Article XIII, declare the principal of, and accrued interest (including Liquidated Damages, if any) on, all the Securities to be due and payable immediately, by a notice in writing to the Company (and to the Trustee if given by the Holders), and upon any such declaration such principal and all accrued interest thereon shall become immediately due and payable. If an Event of Default specified in Section 5.1(6) or 5.1(7) occurs, the principal of, and accrued interest (including Liquidated Damages, if any) on, all the Securities shall, subject to the provisions of Article XIII, automatically become immediately due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payable without any declaration or other Act of the Holders or any act or declaration on the part of the Trustee.</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At any time after such declaration of acceleration has been made and before a judgment or decree for payment of the money due has been obtained by the Trustee as hereinafter in this Article V provided, the Holders of a majority in aggregate principal amount of the Outstanding Securities, by written notice to the Company and the Trustee, may, on behalf of all Holders, rescind and annul such declaration and its consequences if:</w:t>
      </w:r>
    </w:p>
    <w:p>
      <w:pPr>
        <w:spacing w:after="0" w:line="166" w:lineRule="exact"/>
        <w:rPr>
          <w:sz w:val="20"/>
          <w:szCs w:val="20"/>
          <w:color w:val="auto"/>
        </w:rPr>
      </w:pPr>
    </w:p>
    <w:p>
      <w:pPr>
        <w:ind w:left="1360" w:hanging="7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overdue interest (including Liquidated Damages, if any) on all Securities,</w:t>
      </w:r>
    </w:p>
    <w:p>
      <w:pPr>
        <w:spacing w:after="0" w:line="225" w:lineRule="exact"/>
        <w:rPr>
          <w:rFonts w:ascii="Arial" w:cs="Arial" w:eastAsia="Arial" w:hAnsi="Arial"/>
          <w:sz w:val="18"/>
          <w:szCs w:val="18"/>
          <w:color w:val="auto"/>
        </w:rPr>
      </w:pPr>
    </w:p>
    <w:p>
      <w:pPr>
        <w:ind w:right="240" w:firstLine="1629"/>
        <w:spacing w:after="0" w:line="277" w:lineRule="auto"/>
        <w:tabs>
          <w:tab w:leader="none" w:pos="19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that have become due otherwise than by such declaration of acceleration and any interest thereon at the rate borne by the Securities,</w:t>
      </w:r>
    </w:p>
    <w:p>
      <w:pPr>
        <w:spacing w:after="0" w:line="170" w:lineRule="exact"/>
        <w:rPr>
          <w:rFonts w:ascii="Arial" w:cs="Arial" w:eastAsia="Arial" w:hAnsi="Arial"/>
          <w:sz w:val="18"/>
          <w:szCs w:val="18"/>
          <w:color w:val="auto"/>
        </w:rPr>
      </w:pPr>
    </w:p>
    <w:p>
      <w:pPr>
        <w:ind w:left="1980" w:hanging="351"/>
        <w:spacing w:after="0"/>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extent permitted by applicable law, interest upon overdue interest at a rate of 2.50% per annum, and</w:t>
      </w:r>
    </w:p>
    <w:p>
      <w:pPr>
        <w:spacing w:after="0" w:line="225" w:lineRule="exact"/>
        <w:rPr>
          <w:rFonts w:ascii="Arial" w:cs="Arial" w:eastAsia="Arial" w:hAnsi="Arial"/>
          <w:sz w:val="18"/>
          <w:szCs w:val="18"/>
          <w:color w:val="auto"/>
        </w:rPr>
      </w:pPr>
    </w:p>
    <w:p>
      <w:pPr>
        <w:ind w:right="220" w:firstLine="1629"/>
        <w:spacing w:after="0" w:line="277" w:lineRule="auto"/>
        <w:tabs>
          <w:tab w:leader="none" w:pos="19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w:t>
      </w:r>
    </w:p>
    <w:p>
      <w:pPr>
        <w:spacing w:after="0" w:line="170" w:lineRule="exact"/>
        <w:rPr>
          <w:rFonts w:ascii="Arial" w:cs="Arial" w:eastAsia="Arial" w:hAnsi="Arial"/>
          <w:sz w:val="18"/>
          <w:szCs w:val="18"/>
          <w:color w:val="auto"/>
        </w:rPr>
      </w:pPr>
    </w:p>
    <w:p>
      <w:pPr>
        <w:ind w:right="280" w:firstLine="656"/>
        <w:spacing w:after="0" w:line="277"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the principal of the Securities which have become due solely by such declaration of acceleration, have been cured or waived as provided in Section 5.13; and</w:t>
      </w:r>
    </w:p>
    <w:p>
      <w:pPr>
        <w:spacing w:after="0" w:line="170" w:lineRule="exact"/>
        <w:rPr>
          <w:rFonts w:ascii="Arial" w:cs="Arial" w:eastAsia="Arial" w:hAnsi="Arial"/>
          <w:sz w:val="18"/>
          <w:szCs w:val="18"/>
          <w:color w:val="auto"/>
        </w:rPr>
      </w:pPr>
    </w:p>
    <w:p>
      <w:pPr>
        <w:ind w:right="340" w:firstLine="656"/>
        <w:spacing w:after="0" w:line="277"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rescission and annulment would not conflict with any judgment or decree issued in appropriate judicial proceedings regarding the payment by the Trustee to the Holders of the amounts referred to in 5.2(1).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rescission or annulment referred to above shall affect any subsequent default or impair any right consequent thereon.</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12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is made in the payment of any interest (including any Liquidated Damages) on any Security when it becomes due and payable and such default continues for a period of 30 days, or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will, upon demand of the Trustee but subject to the provisions of Article XIII pay to it, for the benefit of the Holders of such Securities the whole amount then due and payable on such Securities for principal and interest (including any Liquidated Damages) and interest on any overdue principal and premium, if any, and, to the extent permitted by applicable law, on any overdue interest (including Liquidated Damages, if any), at a rate of 2.50% per annum, and in addition thereto, such further amount as shall be sufficient to cover the reasonable costs and expenses of collection, including the reasonable compensation, expenses, disbursements and advances of the Trustee, its agents and counsel.</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w:t>
      </w:r>
    </w:p>
    <w:p>
      <w:pPr>
        <w:sectPr>
          <w:pgSz w:w="11900" w:h="16838" w:orient="portrait"/>
          <w:cols w:equalWidth="0" w:num="1">
            <w:col w:w="11400"/>
          </w:cols>
          <w:pgMar w:left="240" w:top="125" w:right="259" w:bottom="0" w:gutter="0" w:footer="0" w:header="0"/>
        </w:sectPr>
      </w:pPr>
    </w:p>
    <w:bookmarkStart w:id="46" w:name="page47"/>
    <w:bookmarkEnd w:id="46"/>
    <w:p>
      <w:pPr>
        <w:ind w:right="600"/>
        <w:spacing w:after="0" w:line="277" w:lineRule="auto"/>
        <w:rPr>
          <w:sz w:val="20"/>
          <w:szCs w:val="20"/>
          <w:color w:val="auto"/>
        </w:rPr>
      </w:pPr>
      <w:r>
        <w:rPr>
          <w:rFonts w:ascii="Arial" w:cs="Arial" w:eastAsia="Arial" w:hAnsi="Arial"/>
          <w:sz w:val="18"/>
          <w:szCs w:val="18"/>
          <w:color w:val="auto"/>
        </w:rPr>
        <w:t>Company or any other obligor upon the Securities and collect the moneys adjudged or decreed to be payable in the manner provided by law out of the property of the Company or any other obligor upon the Securities, wherever situated.</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If an Event of Default occurs and is continuing, the Trustee may in its discretion proceed to protect and enforce its rights and the rights of the Holders of Securities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 creditors of either, the Trustee (irrespective of whether the principal of, and any interest on,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ind w:right="40" w:firstLine="656"/>
        <w:spacing w:after="0" w:line="257"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file a proof of claim for the whole amount of principal, premium, if any, and interest owing and unpaid in respect of the Securities and take such other actions, including participating as a member, voting or otherwise, of any official committee of creditors appointed in such matter, and to file such other papers or documents, in each of the foregoing cases, as may be necessary or advisable in order to have the claims of the Trustee (including any claim for the reasonable compensation, expenses, disbursements and advances of the Trustee, its agents and counsel) and of the Holders of Securities allowed in such judicial proceeding, and</w:t>
      </w:r>
    </w:p>
    <w:p>
      <w:pPr>
        <w:spacing w:after="0" w:line="188" w:lineRule="exact"/>
        <w:rPr>
          <w:rFonts w:ascii="Arial" w:cs="Arial" w:eastAsia="Arial" w:hAnsi="Arial"/>
          <w:sz w:val="18"/>
          <w:szCs w:val="18"/>
          <w:color w:val="auto"/>
        </w:rPr>
      </w:pPr>
    </w:p>
    <w:p>
      <w:pPr>
        <w:ind w:firstLine="656"/>
        <w:spacing w:after="0" w:line="308" w:lineRule="auto"/>
        <w:tabs>
          <w:tab w:leader="none" w:pos="13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 and to distribute the same; and any custodian, receiver, assignee, trustee, liquidator, sequestrator or other similar official in any such judicial proceeding is hereby authorized by each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such Holders, vote for the election of a trustee in bankruptcy or similar official.</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judgment has been recovered.</w:t>
      </w:r>
    </w:p>
    <w:p>
      <w:pPr>
        <w:spacing w:after="0" w:line="15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Subject to Article XIII, any money collected by the Trustee pursuant to this Article V shall be applied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SECOND: To the payment of the amounts then due and unpaid for principal of, premium, if any, or interest (including Liquidated Damages, if any) on, the Securities in respect of which or for the benefit of which such money has been collected, ratably, without preference or priority of any kind, according to the amounts due and payable on such Securities for principal, premium, if any, and interest (including Liquidated Damages, if any),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THIRD: To such other Person or Persons, if any, to the extent entitled thereto;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FOURTH: Any remaining amounts shall be repaid to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Holder of any Security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60" w:hanging="704"/>
        <w:spacing w:after="0"/>
        <w:tabs>
          <w:tab w:leader="none" w:pos="1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an Event of Default and such Event of Default is continuing at the time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institution;</w:t>
      </w:r>
    </w:p>
    <w:p>
      <w:pPr>
        <w:spacing w:after="0" w:line="210" w:lineRule="exact"/>
        <w:rPr>
          <w:rFonts w:ascii="Arial" w:cs="Arial" w:eastAsia="Arial" w:hAnsi="Arial"/>
          <w:sz w:val="16"/>
          <w:szCs w:val="16"/>
          <w:color w:val="auto"/>
        </w:rPr>
      </w:pPr>
    </w:p>
    <w:p>
      <w:pPr>
        <w:ind w:firstLine="656"/>
        <w:spacing w:after="0" w:line="27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Securities shall have made written request to the Trustee to institute proceedings in respect of such Event of Default in its own name as Trustee hereunder;</w:t>
      </w:r>
    </w:p>
    <w:p>
      <w:pPr>
        <w:sectPr>
          <w:pgSz w:w="11900" w:h="16838" w:orient="portrait"/>
          <w:cols w:equalWidth="0" w:num="1">
            <w:col w:w="11400"/>
          </w:cols>
          <w:pgMar w:left="240" w:top="125" w:right="259" w:bottom="126" w:gutter="0" w:footer="0" w:header="0"/>
        </w:sectPr>
      </w:pPr>
    </w:p>
    <w:bookmarkStart w:id="47" w:name="page48"/>
    <w:bookmarkEnd w:id="47"/>
    <w:p>
      <w:pPr>
        <w:ind w:right="60" w:firstLine="656"/>
        <w:spacing w:after="0" w:line="277"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and if requested, shall have provided,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right="280" w:firstLine="656"/>
        <w:spacing w:after="0" w:line="277"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(or if requested, receipt of indemnity) has failed to institute any such proceeding; and</w:t>
      </w:r>
    </w:p>
    <w:p>
      <w:pPr>
        <w:spacing w:after="0" w:line="170" w:lineRule="exact"/>
        <w:rPr>
          <w:rFonts w:ascii="Arial" w:cs="Arial" w:eastAsia="Arial" w:hAnsi="Arial"/>
          <w:sz w:val="18"/>
          <w:szCs w:val="18"/>
          <w:color w:val="auto"/>
        </w:rPr>
      </w:pPr>
    </w:p>
    <w:p>
      <w:pPr>
        <w:ind w:firstLine="656"/>
        <w:spacing w:after="0" w:line="277"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by the Holders of a majority in aggregate principal amount of the Outstanding Securities,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Unconditional Right of Holders to Receive Principal, Premium and Interest and to Convert</w:t>
      </w:r>
      <w:r>
        <w:rPr>
          <w:rFonts w:ascii="Arial" w:cs="Arial" w:eastAsia="Arial" w:hAnsi="Arial"/>
          <w:sz w:val="16"/>
          <w:szCs w:val="16"/>
          <w:color w:val="auto"/>
        </w:rPr>
        <w:t>.</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Notwithstanding any other provision in this Indenture, but subject to the provisions of Article XIII, the Holder of any Security shall have the right, which is absolute and unconditional, to receive payment of the principal of, premium, if any, and (subject to Section 3.7) interest (including Liquidated Damages, if any) on such Security on the respective Stated Maturities expressed in such Security (or, in the case of redemption or repurchase, on the Redemption Date or Repurchase Date, as the case may be), and to convert such Security in accordance with Article XII, and to institute suit for the enforcement of any such payment and right to convert, and such rights shall not be impaired without the consent of such Holder.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shall be restored severally and respectively to their former positions hereunder and thereafter all rights and remedies of the Trustee and such Holders shall continue as though no such proceeding had been instituted.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any acquiescence therein. Every right and remedy given by this Article V or by law to the Trustee or to the Holders of Securities may be exercised from time to time, and as often as may be deemed expedient, by the Trustee or (subject to the limitations contained in this Indenture) by the Holders of Securities as the case may be.</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 of Securities</w:t>
      </w:r>
      <w:r>
        <w:rPr>
          <w:rFonts w:ascii="Arial" w:cs="Arial" w:eastAsia="Arial" w:hAnsi="Arial"/>
          <w:sz w:val="16"/>
          <w:szCs w:val="16"/>
          <w:color w:val="auto"/>
        </w:rPr>
        <w:t>.</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Subject to Section 6.3, the Holders of a majority in principal amount of the Outstanding Securities shall have the right to direct the time, method and place of conducting any proceeding for any remedy available to the Trustee or exercising any trust or power conferred on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47" w:lineRule="exact"/>
        <w:rPr>
          <w:sz w:val="20"/>
          <w:szCs w:val="20"/>
          <w:color w:val="auto"/>
        </w:rPr>
      </w:pPr>
    </w:p>
    <w:p>
      <w:pPr>
        <w:ind w:left="1360" w:hanging="704"/>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820" w:firstLine="656"/>
        <w:spacing w:after="0" w:line="342" w:lineRule="auto"/>
        <w:tabs>
          <w:tab w:leader="none" w:pos="135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Trustee need not take any action that might involve it in personal liability, unless the Trustee is offered indemnity or security satisfactory to it, or that the Trustee determines in good-faith would be unjustly prejudicial to the Holders of Securities not consenting.</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Holders, either (i) through the written consent of not less than a majority in principal amount of the Outstanding Securities or (ii) by the adoption of a resolution, at a meeting of Holders of the Outstanding Securities at which a quorum is present, by the Holders of 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principal amount of the Outstanding Securities represented at such meeting, may on behalf of the Holders of all the Securities waive any past default hereunder and its consequences, except a default (A) in the payment of the principal of, premium, if any, or interest (including Liquidated Damages, if any) on any Security, or (B) in respect of a covenant or provision hereof which under Article VIII</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43"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cannot be modified or amended without the consent of the Holder of each Outstanding Security affected.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or to any suit instituted by any Holder of any Security for the enforcement of the payment of the principal of, premium, if any, or interest on any Security on or after the respective Stated Maturity or Maturities expressed in such Security (or, in the case of redemption or repurchase, on or after the Redemption Date or Repurchase Date, as the case may be) or for the enforcement of the right to convert any Security in accordance with Article XII.</w:t>
      </w:r>
    </w:p>
    <w:p>
      <w:pPr>
        <w:spacing w:after="0" w:line="16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Stay, Usury or Extension Laws</w:t>
      </w:r>
      <w:r>
        <w:rPr>
          <w:rFonts w:ascii="Arial" w:cs="Arial" w:eastAsia="Arial" w:hAnsi="Arial"/>
          <w:sz w:val="16"/>
          <w:szCs w:val="16"/>
          <w:color w:val="auto"/>
        </w:rPr>
        <w: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usury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by reason of such law the execution of any power herein granted to the Trustee, but will suffer and permit the execution of every such power as though no such law had been enacted.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firstLine="1305"/>
        <w:spacing w:after="0" w:line="277" w:lineRule="auto"/>
        <w:tabs>
          <w:tab w:leader="none" w:pos="20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ind w:firstLine="1305"/>
        <w:spacing w:after="0" w:line="302" w:lineRule="auto"/>
        <w:tabs>
          <w:tab w:leader="none" w:pos="2011"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not to verify the contents thereof.</w:t>
      </w:r>
    </w:p>
    <w:p>
      <w:pPr>
        <w:spacing w:after="0" w:line="154" w:lineRule="exact"/>
        <w:rPr>
          <w:rFonts w:ascii="Arial" w:cs="Arial" w:eastAsia="Arial" w:hAnsi="Arial"/>
          <w:sz w:val="16"/>
          <w:szCs w:val="16"/>
          <w:color w:val="auto"/>
        </w:rPr>
      </w:pPr>
    </w:p>
    <w:p>
      <w:pPr>
        <w:ind w:right="260" w:firstLine="656"/>
        <w:spacing w:after="0" w:line="264"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rFonts w:ascii="Arial" w:cs="Arial" w:eastAsia="Arial" w:hAnsi="Arial"/>
          <w:sz w:val="18"/>
          <w:szCs w:val="18"/>
          <w:color w:val="auto"/>
        </w:rPr>
      </w:pPr>
    </w:p>
    <w:p>
      <w:pPr>
        <w:ind w:right="100" w:firstLine="656"/>
        <w:spacing w:after="0" w:line="277"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(3) shall not be construed to limit the effect of paragraph (1) of this Section;</w:t>
      </w:r>
    </w:p>
    <w:p>
      <w:pPr>
        <w:spacing w:after="0" w:line="225" w:lineRule="exact"/>
        <w:rPr>
          <w:rFonts w:ascii="Arial" w:cs="Arial" w:eastAsia="Arial" w:hAnsi="Arial"/>
          <w:sz w:val="18"/>
          <w:szCs w:val="18"/>
          <w:color w:val="auto"/>
        </w:rPr>
      </w:pPr>
    </w:p>
    <w:p>
      <w:pPr>
        <w:ind w:right="40" w:firstLine="1305"/>
        <w:spacing w:after="0" w:line="277" w:lineRule="auto"/>
        <w:tabs>
          <w:tab w:leader="none" w:pos="20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ind w:right="180" w:firstLine="1305"/>
        <w:spacing w:after="0" w:line="286" w:lineRule="auto"/>
        <w:tabs>
          <w:tab w:leader="none" w:pos="2016"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w:t>
      </w:r>
    </w:p>
    <w:p>
      <w:pPr>
        <w:spacing w:after="0" w:line="165" w:lineRule="exact"/>
        <w:rPr>
          <w:rFonts w:ascii="Arial" w:cs="Arial" w:eastAsia="Arial" w:hAnsi="Arial"/>
          <w:sz w:val="17"/>
          <w:szCs w:val="17"/>
          <w:color w:val="auto"/>
        </w:rPr>
      </w:pPr>
    </w:p>
    <w:p>
      <w:pPr>
        <w:ind w:firstLine="1305"/>
        <w:spacing w:after="0" w:line="264" w:lineRule="auto"/>
        <w:tabs>
          <w:tab w:leader="none" w:pos="20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rFonts w:ascii="Arial" w:cs="Arial" w:eastAsia="Arial" w:hAnsi="Arial"/>
          <w:sz w:val="18"/>
          <w:szCs w:val="18"/>
          <w:color w:val="auto"/>
        </w:rPr>
      </w:pPr>
    </w:p>
    <w:p>
      <w:pPr>
        <w:ind w:right="560" w:firstLine="656"/>
        <w:spacing w:after="0" w:line="277"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Within 90 days after the occurrence of any default hereunder as to which the Trustee has received written notice, the Trustee shall give to all Holders of Securities, in the manner provided in Section 1.6, notice of such default,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in the case of a default in the payment of the principal of, premium, if any, or interest on any Security the Trustee shall be protected in withholding such</w:t>
      </w:r>
    </w:p>
    <w:p>
      <w:pPr>
        <w:sectPr>
          <w:pgSz w:w="11900" w:h="16838" w:orient="portrait"/>
          <w:cols w:equalWidth="0" w:num="1">
            <w:col w:w="11420"/>
          </w:cols>
          <w:pgMar w:left="240" w:top="125" w:right="239" w:bottom="0" w:gutter="0" w:footer="0" w:header="0"/>
        </w:sectPr>
      </w:pPr>
    </w:p>
    <w:bookmarkStart w:id="49" w:name="page50"/>
    <w:bookmarkEnd w:id="49"/>
    <w:p>
      <w:pPr>
        <w:ind w:right="120"/>
        <w:spacing w:after="0" w:line="257" w:lineRule="auto"/>
        <w:rPr>
          <w:sz w:val="20"/>
          <w:szCs w:val="20"/>
          <w:color w:val="auto"/>
        </w:rPr>
      </w:pPr>
      <w:r>
        <w:rPr>
          <w:rFonts w:ascii="Arial" w:cs="Arial" w:eastAsia="Arial" w:hAnsi="Arial"/>
          <w:sz w:val="18"/>
          <w:szCs w:val="18"/>
          <w:color w:val="auto"/>
        </w:rPr>
        <w:t>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 5.1(4), no such notice to Holders of Securities shall be given until at least 60 days after the occurrence thereof or, if applicable, the cure period specified therein. For the purpose of this Section, the term “default” means any event that is, or after notice or lapse of time or both would become, an Event of Default.</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right="100" w:firstLine="656"/>
        <w:spacing w:after="0" w:line="259"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other certificate, statement, instrument, opinion, report, notice, request, direction, consent, order, bond, debenture, note, coupon, other evidence of indebtedness or other paper or document (collectively, the “Documents”) believed by it to be genuine and to have been signed or presented by the proper party or parties, and the Trustee need not investigate any fact or matter stated in such Documents;</w:t>
      </w:r>
    </w:p>
    <w:p>
      <w:pPr>
        <w:spacing w:after="0" w:line="186" w:lineRule="exact"/>
        <w:rPr>
          <w:rFonts w:ascii="Arial" w:cs="Arial" w:eastAsia="Arial" w:hAnsi="Arial"/>
          <w:sz w:val="18"/>
          <w:szCs w:val="18"/>
          <w:color w:val="auto"/>
        </w:rPr>
      </w:pPr>
    </w:p>
    <w:p>
      <w:pPr>
        <w:ind w:right="180" w:firstLine="656"/>
        <w:spacing w:after="0" w:line="277"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right="180" w:firstLine="656"/>
        <w:spacing w:after="0" w:line="264"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the one specifically prescribed) may, in the absence of bad faith on its part, request and rely upon an Officers’ Certificate or Opinion of Counsel;</w:t>
      </w:r>
    </w:p>
    <w:p>
      <w:pPr>
        <w:spacing w:after="0" w:line="181" w:lineRule="exact"/>
        <w:rPr>
          <w:rFonts w:ascii="Arial" w:cs="Arial" w:eastAsia="Arial" w:hAnsi="Arial"/>
          <w:sz w:val="18"/>
          <w:szCs w:val="18"/>
          <w:color w:val="auto"/>
        </w:rPr>
      </w:pPr>
    </w:p>
    <w:p>
      <w:pPr>
        <w:ind w:right="180" w:firstLine="656"/>
        <w:spacing w:after="0" w:line="308" w:lineRule="auto"/>
        <w:tabs>
          <w:tab w:leader="none" w:pos="13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right="240" w:firstLine="656"/>
        <w:spacing w:after="0" w:line="312" w:lineRule="auto"/>
        <w:tabs>
          <w:tab w:leader="none" w:pos="135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pursuant to this Indenture, unless such Holders shall have offered, and, if requested by the Trustee, delivered to the Trustee reasonable security or indemnity against the costs, expenses and liabilities which might be incurred by it in compliance with such request or direction;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656"/>
        <w:spacing w:after="0" w:line="302" w:lineRule="auto"/>
        <w:tabs>
          <w:tab w:leader="none" w:pos="135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may, in its discretion,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54" w:lineRule="exact"/>
        <w:rPr>
          <w:rFonts w:ascii="Arial" w:cs="Arial" w:eastAsia="Arial" w:hAnsi="Arial"/>
          <w:sz w:val="16"/>
          <w:szCs w:val="16"/>
          <w:color w:val="auto"/>
        </w:rPr>
      </w:pPr>
    </w:p>
    <w:p>
      <w:pPr>
        <w:ind w:right="260" w:firstLine="656"/>
        <w:spacing w:after="0" w:line="264"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Not Responsible for Recitals or Issuance of Securities</w:t>
      </w:r>
      <w:r>
        <w:rPr>
          <w:rFonts w:ascii="Arial" w:cs="Arial" w:eastAsia="Arial" w:hAnsi="Arial"/>
          <w:sz w:val="16"/>
          <w:szCs w:val="16"/>
          <w:color w:val="auto"/>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of the Securities or of the Common Stock issuable upon the conversion of the Securities. The Trustee shall not be accountable for the use or application by the Company of Securities or the proceeds thereof.</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May Hold Securities, Act as Trustee under Other Indentures</w:t>
      </w:r>
      <w:r>
        <w:rPr>
          <w:rFonts w:ascii="Arial" w:cs="Arial" w:eastAsia="Arial" w:hAnsi="Arial"/>
          <w:sz w:val="16"/>
          <w:szCs w:val="16"/>
          <w:color w:val="auto"/>
        </w:rPr>
        <w:t>.</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Trustee, any Authenticating Agent, any Paying Agent, any Conversion Agent or any other agent of the Company or the Trustee, in its individual or any other capacity, may become the owner or pledgee of Securities and, subject to Section 6.13 and Section 6.14, may otherwise deal with the Company with the same rights it would have if it were not Trustee, Authenticating Agent, Paying Agent, Conversion Agent or such other agent.</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limitations posed by the Trust Indenture Act, nothing in this Indenture shall prohibit the Trustee from becoming and acting as trustee under other indentures under which other securities, or certificates of interest or participation in other securities, of the Company are outstanding in the same manner as if it were not Trustee hereunder.</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Compensation, Reimbursement and Indemnity</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right="180" w:firstLine="656"/>
        <w:spacing w:after="0" w:line="264"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pay to the Trustee from time to time such reasonable compensation as the Company and the Trustee shall from time to time agree in writing for its acceptance of this Indenture and for all services rendered by it hereunder (which compensation shall not be limited by any provision of law in regard to the compensation of a trustee of an express trust);</w:t>
      </w:r>
    </w:p>
    <w:p>
      <w:pPr>
        <w:sectPr>
          <w:pgSz w:w="11900" w:h="16838" w:orient="portrait"/>
          <w:cols w:equalWidth="0" w:num="1">
            <w:col w:w="11420"/>
          </w:cols>
          <w:pgMar w:left="240" w:top="125" w:right="239" w:bottom="0" w:gutter="0" w:footer="0" w:header="0"/>
        </w:sectPr>
      </w:pPr>
    </w:p>
    <w:bookmarkStart w:id="50" w:name="page51"/>
    <w:bookmarkEnd w:id="50"/>
    <w:p>
      <w:pPr>
        <w:jc w:val="both"/>
        <w:ind w:right="260" w:firstLine="656"/>
        <w:spacing w:after="0" w:line="312" w:lineRule="auto"/>
        <w:tabs>
          <w:tab w:leader="none" w:pos="13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46" w:lineRule="exact"/>
        <w:rPr>
          <w:rFonts w:ascii="Arial" w:cs="Arial" w:eastAsia="Arial" w:hAnsi="Arial"/>
          <w:sz w:val="16"/>
          <w:szCs w:val="16"/>
          <w:color w:val="auto"/>
        </w:rPr>
      </w:pPr>
    </w:p>
    <w:p>
      <w:pPr>
        <w:ind w:right="80" w:firstLine="656"/>
        <w:spacing w:after="0" w:line="264"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negligence or bad faith on its part, arising out of or in connection with the acceptance or administration of this trust, including the reasonable costs and expenses of defending itself against any claim or liability in connection with the exercise or performance of any of its powers or duties hereunder.</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5.1(6) or Section 5.1(7), the expenses (including the reasonable charges of its counsel) and the compensation for the services are intended to constitute expenses of the administration under any applicable Federal or state bankruptcy, insolvency or other similar law.</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shall at all times be a Trustee hereunder which shall be a Person that is eligible pursuant to the Trust Indenture Act to act as such, having (or be part of a holding company group with) a combined capital and surplus of at least U.S. $50,000,000, subject to supervision or examination by federal or state authority, and in good standing. The Trustee or an Affiliate of the Trustee shall maintain an established place of business in the Borough of Manhattan, The City of New York.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and a successor shall be appointed pursuant to Section 6.9.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7"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0"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resign at any time by giving written notice thereof to the Company. If the instrument of acceptance by a successor Trustee required by Section 6.10 shall not have been delivered to the Trustee within 30 days after the giving of such notice of resignation, the resigning Trustee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240" w:firstLine="656"/>
        <w:spacing w:after="0" w:line="259"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be removed at any time by an Act of the Holders of a majority in aggregate principal amount of the Outstanding Securities, delivered to the Trustee and the Company. If the instrument of acceptance by a successor Trustee required by Section 6.10 shall not have been delivered to the Trustee within 30 days after the giving of such notice of removal, the removed Trustee may petition any court of competent jurisdiction for the appointment of a successor Trustee.</w:t>
      </w:r>
    </w:p>
    <w:p>
      <w:pPr>
        <w:spacing w:after="0" w:line="186" w:lineRule="exact"/>
        <w:rPr>
          <w:rFonts w:ascii="Arial" w:cs="Arial" w:eastAsia="Arial" w:hAnsi="Arial"/>
          <w:sz w:val="18"/>
          <w:szCs w:val="18"/>
          <w:color w:val="auto"/>
        </w:rPr>
      </w:pPr>
    </w:p>
    <w:p>
      <w:pPr>
        <w:ind w:right="80" w:firstLine="656"/>
        <w:spacing w:after="0" w:line="259"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Trustee may be removed at any time by the Company and the Company may appoint a successor Trustee pursuant to this Article, </w:t>
      </w:r>
      <w:r>
        <w:rPr>
          <w:rFonts w:ascii="Arial" w:cs="Arial" w:eastAsia="Arial" w:hAnsi="Arial"/>
          <w:sz w:val="18"/>
          <w:szCs w:val="18"/>
          <w:u w:val="single" w:color="auto"/>
          <w:color w:val="auto"/>
        </w:rPr>
        <w:t>provided</w:t>
      </w:r>
      <w:r>
        <w:rPr>
          <w:rFonts w:ascii="Arial" w:cs="Arial" w:eastAsia="Arial" w:hAnsi="Arial"/>
          <w:sz w:val="18"/>
          <w:szCs w:val="18"/>
          <w:color w:val="auto"/>
        </w:rPr>
        <w:t>, that (i) there is not an Event of Default that is continuing at the time of removal, (ii) the successor Trustee appointed by the Company meets the eligibility requirements of Section 6.8, and (iii) such removal and resignation shall not become effective until the acceptance of appointment by the successor Trustee in accordance with the applicable requirements of Section 6.10.</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right="120" w:firstLine="1629"/>
        <w:spacing w:after="0" w:line="277" w:lineRule="auto"/>
        <w:tabs>
          <w:tab w:leader="none" w:pos="19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6.8 and shall fail to resign after written request therefor by the Company or by any Holder of a Security; or</w:t>
      </w:r>
    </w:p>
    <w:p>
      <w:pPr>
        <w:spacing w:after="0" w:line="170" w:lineRule="exact"/>
        <w:rPr>
          <w:rFonts w:ascii="Arial" w:cs="Arial" w:eastAsia="Arial" w:hAnsi="Arial"/>
          <w:sz w:val="18"/>
          <w:szCs w:val="18"/>
          <w:color w:val="auto"/>
        </w:rPr>
      </w:pPr>
    </w:p>
    <w:p>
      <w:pPr>
        <w:ind w:right="440" w:firstLine="1629"/>
        <w:spacing w:after="0" w:line="264" w:lineRule="auto"/>
        <w:tabs>
          <w:tab w:leader="none" w:pos="19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then, in any such case (i) the Company by a Board Resolution may remove the Trustee, or (ii) subject to Section 5.14, any Holder of a Security may, on behalf of himself and all others similarly situated, petition any court of competent jurisdiction for the removal of the Trustee and the appointment of a successor Trustee.</w:t>
      </w:r>
    </w:p>
    <w:p>
      <w:pPr>
        <w:spacing w:after="0" w:line="181" w:lineRule="exact"/>
        <w:rPr>
          <w:sz w:val="20"/>
          <w:szCs w:val="20"/>
          <w:color w:val="auto"/>
        </w:rPr>
      </w:pPr>
    </w:p>
    <w:p>
      <w:pPr>
        <w:ind w:right="100" w:firstLine="656"/>
        <w:spacing w:after="0" w:line="279" w:lineRule="auto"/>
        <w:tabs>
          <w:tab w:leader="none" w:pos="13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the Company, by a Board Resolution, shall promptly appoint a successor Trustee and shall comply with the applicable requirements of this Section and Section 6.10. If, within one year after such resignation, removal or incapability, or the occurrence of such vacancy, a successor Trustee shall be appointed by Act of the Holders of a majority in principal amount of the Outstanding Securities delivered to the Company and the retiring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Trustee, the successor Trustee so appointed shall, forthwith upon its acceptance of such appointment in accordance with the applicable requirements of Section 6.10, become the successor Trustee and supersede the successor Trustee appointed by the Company. If no successor Trustee shall have been so appointed by the Company or the Holders of Securities and accepted appointment in the manner required by this Section and Section 6.10, any Holder of a Security may, on behalf of himself and all others similarly situated, petition any court of competent jurisdiction for the appointment of a successor Trustee.</w:t>
      </w:r>
    </w:p>
    <w:p>
      <w:pPr>
        <w:spacing w:after="0" w:line="154" w:lineRule="exact"/>
        <w:rPr>
          <w:sz w:val="20"/>
          <w:szCs w:val="20"/>
          <w:color w:val="auto"/>
        </w:rPr>
      </w:pPr>
    </w:p>
    <w:p>
      <w:pPr>
        <w:ind w:right="20" w:firstLine="656"/>
        <w:spacing w:after="0" w:line="264"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and each appointment of a successor Trustee to all Holders of Securities in the manner provided in Section 1.6. Each notice shall include the name of the successor Trustee and the address of its Corporate Trust Office.</w:t>
      </w:r>
    </w:p>
    <w:p>
      <w:pPr>
        <w:sectPr>
          <w:pgSz w:w="11900" w:h="16838" w:orient="portrait"/>
          <w:cols w:equalWidth="0" w:num="1">
            <w:col w:w="11420"/>
          </w:cols>
          <w:pgMar w:left="240" w:top="125" w:right="239" w:bottom="0" w:gutter="0" w:footer="0" w:header="0"/>
        </w:sectPr>
      </w:pPr>
    </w:p>
    <w:bookmarkStart w:id="51" w:name="page52"/>
    <w:bookmarkEnd w:id="51"/>
    <w:p>
      <w:pPr>
        <w:spacing w:after="0"/>
        <w:tabs>
          <w:tab w:leader="none" w:pos="19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to more fully and certainly vest in and to confirm to such successor Trustee all such rights, powers and trusts.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 successor Trustee shall accept its appointment unless at the time of such acceptance such successor Trustee shall be eligible under this Article.</w:t>
      </w: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 Trustee hereunder, provided such corporation shall be otherwise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Authenticating Agents</w:t>
      </w:r>
      <w:r>
        <w:rPr>
          <w:rFonts w:ascii="Arial" w:cs="Arial" w:eastAsia="Arial" w:hAnsi="Arial"/>
          <w:sz w:val="16"/>
          <w:szCs w:val="16"/>
          <w:color w:val="auto"/>
        </w:rPr>
        <w:t>.</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Trustee may, with the consent of the Company, appoint an Authenticating Agent or Agents acceptable to the Company with respect to the Securities, which Authenticating Agent shall be authorized to act on behalf of the Trustee to authenticate Securities issued upon exchange, substitution or otherwise pursuant to this Indenture.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Securities authenticated by an Authenticating Agent shall be entitled to the benefits of this Indenture and shall be valid and obligatory for all purposes as if authenticated by the Trustee hereunder, and every reference in this Indenture to the authentication and delivery of Securities by the Trustee or the Trustee’s certificate of authentication shall be deemed to include authentication and delivery on behalf of the Trustee by an Authenticating Agent and a certificate of authentication executed on behalf of the Trustee by an Authenticating Agent. Each Authenticating Agent shall be subject to acceptance by the Company and shall at all times be a corporation organized and doing business under the laws of the United States of America, any State thereof or the District of Columbia, authorized under such laws to act as Authenticating Agent and subject to supervision or examination by government or other fiscal authority. If at any time an Authenticating Agent shall cease to be eligible in accordance with the provisions of this Section 6.12, such Authenticating Agent shall resign immediately in the manner and with the effect specified in this Section 6.12.</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(including the authenticating agency contemplated by this Indenture), shall continue to be an Authenticating Agent, provided such corporation shall be otherwise eligible under this Section 6.12, without the execution or filing of any paper or any further act on the part of the Trustee or the Authenticating Agent.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subject to acceptance by the Company.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agrees to pay to each Authenticating Agent from time to time reasonable compensation for its services under this Section 6.12.</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 Authenticating Agent is appointed with respect to the Securities pursuant to this Section 6.12, the Securities may have endorsed thereon, in addition to or in lieu of the Trustee’s certification of authentication, an alternative certificate of authentication in the following 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WELLS FARGO BANK MINNESOTA,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NATIONAL ASSOCIATION</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-130175</wp:posOffset>
            </wp:positionV>
            <wp:extent cx="2941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420"/>
          </w:cols>
          <w:pgMar w:left="240" w:top="125" w:right="239" w:bottom="0" w:gutter="0" w:footer="0" w:header="0"/>
        </w:sectPr>
      </w:pPr>
    </w:p>
    <w:bookmarkStart w:id="52" w:name="page53"/>
    <w:bookmarkEnd w:id="52"/>
    <w:p>
      <w:pPr>
        <w:ind w:left="67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-130175</wp:posOffset>
            </wp:positionV>
            <wp:extent cx="2941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7"/>
          <w:szCs w:val="17"/>
          <w:u w:val="single" w:color="auto"/>
          <w:color w:val="auto"/>
        </w:rPr>
        <w:t>Disqualification; Conflicting Interests</w:t>
      </w:r>
      <w:r>
        <w:rPr>
          <w:rFonts w:ascii="Arial" w:cs="Arial" w:eastAsia="Arial" w:hAnsi="Arial"/>
          <w:sz w:val="17"/>
          <w:szCs w:val="17"/>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CONSOLIDATION, MERGER, CONVEYANCE, TRANSFER OR LEASE</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Company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shall not consolidate with or merge into any other Person or convey, transfer, sell or lease its properties and assets substantially as an entirety to any Person (other than to one or more of Company’s subsidiaries) unless:</w:t>
      </w:r>
    </w:p>
    <w:p>
      <w:pPr>
        <w:spacing w:after="0" w:line="170" w:lineRule="exact"/>
        <w:rPr>
          <w:sz w:val="20"/>
          <w:szCs w:val="20"/>
          <w:color w:val="auto"/>
        </w:rPr>
      </w:pPr>
    </w:p>
    <w:p>
      <w:pPr>
        <w:ind w:right="20" w:firstLine="656"/>
        <w:spacing w:after="0" w:line="257"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Person formed by such consolidation or into or with which the Company is merged or the Person to which the properties and assets of the Company are so conveyed, transferred, sold or leased shall be a corporation, limited liability company, partnership, trust or other business entity organized and validly existing under the laws of the United States of America, any State thereof or the District of Columbia and, if other than the Company, shall expressly assume, by an indenture supplemental hereto, executed and delivered to the Trustee, in form satisfactory to the Trustee, the due and punctual payment of the principal of, premium, if any, and interest (including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Liquidated Damages, if any) on the Securities and the performance of the covenants under this Indenture;</w:t>
      </w:r>
    </w:p>
    <w:p>
      <w:pPr>
        <w:spacing w:after="0" w:line="225" w:lineRule="exact"/>
        <w:rPr>
          <w:sz w:val="20"/>
          <w:szCs w:val="20"/>
          <w:color w:val="auto"/>
        </w:rPr>
      </w:pPr>
    </w:p>
    <w:p>
      <w:pPr>
        <w:ind w:right="460" w:firstLine="656"/>
        <w:spacing w:after="0" w:line="277"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jc w:val="both"/>
        <w:ind w:right="40" w:firstLine="656"/>
        <w:spacing w:after="0" w:line="259"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complies with this Article and that all conditions precedent herein provided for relating to such transaction have been complied with, together with any documents required under Section 8.3.</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sale or lease of the properties and assets of the Company substantially as an entirety to any Person in accordance with Section 7.1, the successor Person formed by such consolidation or into or with which the Company is merged or to which such conveyance, transfer, sale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Supplemental Indentures Without Consent of Holders of Securities</w:t>
      </w:r>
      <w:r>
        <w:rPr>
          <w:rFonts w:ascii="Arial" w:cs="Arial" w:eastAsia="Arial" w:hAnsi="Arial"/>
          <w:sz w:val="16"/>
          <w:szCs w:val="16"/>
          <w:color w:val="auto"/>
        </w:rPr>
        <w: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Without the consent of any Holders of Securities the Company, when authorized by a Board Resolution, and the Trustee, at any time and from time to time, may enter into one or more indentures supplemental hereto for any of the following purposes:</w:t>
      </w:r>
    </w:p>
    <w:p>
      <w:pPr>
        <w:spacing w:after="0" w:line="170" w:lineRule="exact"/>
        <w:rPr>
          <w:sz w:val="20"/>
          <w:szCs w:val="20"/>
          <w:color w:val="auto"/>
        </w:rPr>
      </w:pPr>
    </w:p>
    <w:p>
      <w:pPr>
        <w:ind w:firstLine="656"/>
        <w:spacing w:after="0" w:line="277"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and obligations of the Company herein and in the Securities as permitted by Article VII of this Indenture; or</w:t>
      </w:r>
    </w:p>
    <w:p>
      <w:pPr>
        <w:spacing w:after="0" w:line="170" w:lineRule="exact"/>
        <w:rPr>
          <w:rFonts w:ascii="Arial" w:cs="Arial" w:eastAsia="Arial" w:hAnsi="Arial"/>
          <w:sz w:val="18"/>
          <w:szCs w:val="18"/>
          <w:color w:val="auto"/>
        </w:rPr>
      </w:pPr>
    </w:p>
    <w:p>
      <w:pPr>
        <w:ind w:right="400" w:firstLine="656"/>
        <w:spacing w:after="0" w:line="277"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Securities or to surrender any right or power herein conferred upon the Company; or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any additional Event of Default for the benefit of the Holders of Securities;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Holders of Securities pursuant to Section 12.11 or to make provision with respect to the repurchase rights of Holders of Securities pursuant to Section 14.5; or</w:t>
      </w:r>
    </w:p>
    <w:p>
      <w:pPr>
        <w:spacing w:after="0" w:line="170" w:lineRule="exact"/>
        <w:rPr>
          <w:rFonts w:ascii="Arial" w:cs="Arial" w:eastAsia="Arial" w:hAnsi="Arial"/>
          <w:sz w:val="18"/>
          <w:szCs w:val="18"/>
          <w:color w:val="auto"/>
        </w:rPr>
      </w:pPr>
    </w:p>
    <w:p>
      <w:pPr>
        <w:ind w:firstLine="656"/>
        <w:spacing w:after="0" w:line="342" w:lineRule="auto"/>
        <w:tabs>
          <w:tab w:leader="none" w:pos="13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make any changes or modifications to this Indenture necessary in connection with the registration of any Registrable Securities under the Securities Act as contemplated by Section 10.11, provided such action pursuant to this clause (6) shall not adversely affect the interests of the Holders of</w:t>
      </w:r>
    </w:p>
    <w:p>
      <w:pPr>
        <w:sectPr>
          <w:pgSz w:w="11900" w:h="16838" w:orient="portrait"/>
          <w:cols w:equalWidth="0" w:num="1">
            <w:col w:w="11420"/>
          </w:cols>
          <w:pgMar w:left="240" w:top="355" w:right="239" w:bottom="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Securities in any material respect; or</w:t>
      </w:r>
    </w:p>
    <w:p>
      <w:pPr>
        <w:spacing w:after="0" w:line="225" w:lineRule="exact"/>
        <w:rPr>
          <w:sz w:val="20"/>
          <w:szCs w:val="20"/>
          <w:color w:val="auto"/>
        </w:rPr>
      </w:pPr>
    </w:p>
    <w:p>
      <w:pPr>
        <w:ind w:right="120" w:firstLine="656"/>
        <w:spacing w:after="0" w:line="277"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comply with the requirements of the Trust Indenture Act or the rules and regulations of the Commission thereunder in order to effect or maintain the qualification of this Indenture under the Trust Indenture Act, as contemplated by this Indenture or otherwise; or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color w:val="auto"/>
        </w:rPr>
      </w:pPr>
    </w:p>
    <w:p>
      <w:pPr>
        <w:ind w:right="320" w:firstLine="656"/>
        <w:spacing w:after="0" w:line="277"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Section 13.12, to make any change in Article XIII that would limit or terminate the benefits available to any holder of Senior Debt under such Article; or</w:t>
      </w:r>
    </w:p>
    <w:p>
      <w:pPr>
        <w:spacing w:after="0" w:line="170" w:lineRule="exact"/>
        <w:rPr>
          <w:rFonts w:ascii="Arial" w:cs="Arial" w:eastAsia="Arial" w:hAnsi="Arial"/>
          <w:sz w:val="18"/>
          <w:szCs w:val="18"/>
          <w:color w:val="auto"/>
        </w:rPr>
      </w:pPr>
    </w:p>
    <w:p>
      <w:pPr>
        <w:jc w:val="both"/>
        <w:ind w:right="60" w:firstLine="656"/>
        <w:spacing w:after="0" w:line="312" w:lineRule="auto"/>
        <w:tabs>
          <w:tab w:leader="none" w:pos="135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herein that may be defective or may be inconsistent with any other provision herein, or to make any other provisions with respect to matters or questions arising under this Indenture as the Company and the Trustee may deem necessary or desirable, provided such action pursuant to this clause (10) shall not adversely affect the interests of the Holders of Securities in any material respect.</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Upon Company Request, accompanied by a Board Resolution authorizing the execution of any such supplemental indenture, and subject to and upon receipt by the Trustee of the documents described in Section 8.3 hereof, the Trustee shall join with the Company in the execution of any supplemental indenture authorized or permitted by the terms of this Indenture and to make any further appropriate agreements and stipulations that may be therein contained.</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Notwithstanding any other provision of the Indenture or the Securities, the Registration Rights Agreement and the obligation to pay Liquidated Damages thereunder may be amended, modified or waived in accordance with the provisions of the Registration Rights Agreement.</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Supplemental Indentures with Consent of Holders of Securities</w:t>
      </w:r>
      <w:r>
        <w:rPr>
          <w:rFonts w:ascii="Arial" w:cs="Arial" w:eastAsia="Arial" w:hAnsi="Arial"/>
          <w:sz w:val="16"/>
          <w:szCs w:val="16"/>
          <w:color w:val="auto"/>
        </w:rPr>
        <w:t>.</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either (i) the written consent of the Holders of not less than a majority in principal amount of the Outstanding Securities, by the Act of said Holders delivered to the Company and the Trustee, or (ii) by the adoption of a resolution, at a meeting of Holders of the Outstanding Securities at which a quorum is</w:t>
      </w:r>
    </w:p>
    <w:p>
      <w:pPr>
        <w:ind w:right="100"/>
        <w:spacing w:after="0" w:line="257" w:lineRule="auto"/>
        <w:rPr>
          <w:sz w:val="20"/>
          <w:szCs w:val="20"/>
          <w:color w:val="auto"/>
        </w:rPr>
      </w:pPr>
      <w:r>
        <w:rPr>
          <w:rFonts w:ascii="Arial" w:cs="Arial" w:eastAsia="Arial" w:hAnsi="Arial"/>
          <w:sz w:val="16"/>
          <w:szCs w:val="16"/>
          <w:color w:val="auto"/>
        </w:rPr>
        <w:t>present, by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principal amount of the Outstanding Securities represented at such meeting,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under this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or affirmative vote of the Holder of each Outstanding Security affected thereby:</w:t>
      </w:r>
    </w:p>
    <w:p>
      <w:pPr>
        <w:spacing w:after="0" w:line="170" w:lineRule="exact"/>
        <w:rPr>
          <w:sz w:val="20"/>
          <w:szCs w:val="20"/>
          <w:color w:val="auto"/>
        </w:rPr>
      </w:pPr>
    </w:p>
    <w:p>
      <w:pPr>
        <w:ind w:right="60" w:firstLine="656"/>
        <w:spacing w:after="0" w:line="273" w:lineRule="auto"/>
        <w:tabs>
          <w:tab w:leader="none" w:pos="13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interest on (including Liquidated Damages, if any) , any Security, or reduce the principal amount of, or the premium, if any, or the rate of interest payable thereon, or reduce the amount payable upon a redemption or mandatory repurchase, or change the place or currency of payment of the principal of, premium, if any, or interest (including Liquidated Damages, if any) on any Security or impair the right to institute suit for the enforcement of any payment in respect of any Security on or after the Stated Maturity thereof or, except as permitted by Section 12.11, adversely affect the right of Holders to convert any Security as provided in Article XII, or modify the provisions of this Indenture with respect to the subordination of the Securities in a manner adverse to the Holders; or</w:t>
      </w:r>
    </w:p>
    <w:p>
      <w:pPr>
        <w:spacing w:after="0" w:line="178" w:lineRule="exact"/>
        <w:rPr>
          <w:rFonts w:ascii="Arial" w:cs="Arial" w:eastAsia="Arial" w:hAnsi="Arial"/>
          <w:sz w:val="17"/>
          <w:szCs w:val="17"/>
          <w:color w:val="auto"/>
        </w:rPr>
      </w:pPr>
    </w:p>
    <w:p>
      <w:pPr>
        <w:ind w:firstLine="656"/>
        <w:spacing w:after="0" w:line="286" w:lineRule="auto"/>
        <w:tabs>
          <w:tab w:leader="none" w:pos="13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reduce the requirements of Section 9.4 for quorum or voting, or 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modify the obligation of the Company to maintain an office or agency in the Borough of Manhattan, The City of New York,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10.2; or</w:t>
      </w:r>
    </w:p>
    <w:p>
      <w:pPr>
        <w:spacing w:after="0" w:line="210" w:lineRule="exact"/>
        <w:rPr>
          <w:rFonts w:ascii="Arial" w:cs="Arial" w:eastAsia="Arial" w:hAnsi="Arial"/>
          <w:sz w:val="17"/>
          <w:szCs w:val="17"/>
          <w:color w:val="auto"/>
        </w:rPr>
      </w:pPr>
    </w:p>
    <w:p>
      <w:pPr>
        <w:ind w:right="160" w:firstLine="656"/>
        <w:spacing w:after="0" w:line="264"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any of the provisions of this Section or Section 5.13 or 10.11, except to increase any percentage contained herein or therein or to provide that certain other provisions of this Indenture cannot be modified or waived without the consent of the Holder of each Outstanding Security affected thereby; or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the provisions of Article XIV in a manner adverse to the Holders;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the provisions of Article XI in a manner adverse to the Holders;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any of the provisions of Section 10.9.</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After the execution by the Company and the Trustee of any supplemental indenture pursuant to the provisions of this Section 8.2, the Company shall give notice to the Holders of Securities of such fact, setting forth in general terms the substance of such supplemental indenture. Any failure of the Company to give such notice, or any defect therein, shall not in any way impair or affect the validity of any such supplemental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VIII or the modifications thereby of the trusts created by this Indenture, the Trustee shall be entitled to receive, and (subject to Sections 6.1 and 6.3) shall be fully protected in relying upon, an Opinion of</w:t>
      </w:r>
    </w:p>
    <w:p>
      <w:pPr>
        <w:sectPr>
          <w:pgSz w:w="11900" w:h="16838" w:orient="portrait"/>
          <w:cols w:equalWidth="0" w:num="1">
            <w:col w:w="11420"/>
          </w:cols>
          <w:pgMar w:left="240" w:top="125" w:right="239" w:bottom="0" w:gutter="0" w:footer="0" w:header="0"/>
        </w:sectPr>
      </w:pPr>
    </w:p>
    <w:bookmarkStart w:id="54" w:name="page55"/>
    <w:bookmarkEnd w:id="54"/>
    <w:p>
      <w:pPr>
        <w:spacing w:after="0" w:line="4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appertaining thereto shall be bound thereby.</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Reference in Securities to Supplemental Indentures</w:t>
      </w:r>
      <w:r>
        <w:rPr>
          <w:rFonts w:ascii="Arial" w:cs="Arial" w:eastAsia="Arial" w:hAnsi="Arial"/>
          <w:sz w:val="16"/>
          <w:szCs w:val="16"/>
          <w:color w:val="auto"/>
        </w:rPr>
        <w:t>.</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Company and the Trustee, to any such supplemental indenture may be prepared and executed by the Company and authenticated and delivered by the Trustee in exchange for Outstanding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HOLDERS OF SECURITIES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Purposes for Which Meetings May Be Called</w:t>
      </w:r>
      <w:r>
        <w:rPr>
          <w:rFonts w:ascii="Arial" w:cs="Arial" w:eastAsia="Arial" w:hAnsi="Arial"/>
          <w:sz w:val="16"/>
          <w:szCs w:val="16"/>
          <w:color w:val="auto"/>
        </w:rPr>
        <w:t>.</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 meeting of Holders of Securities may be called at any time and from time to time pursuant to this Article to make, give or take any request, demand, authorization, direction, notice, consent, waiver or other action provided by this Indenture to be made, given or taken by Holders of Securities.</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Call, Notice and Place of Meetings</w:t>
      </w:r>
      <w:r>
        <w:rPr>
          <w:rFonts w:ascii="Arial" w:cs="Arial" w:eastAsia="Arial" w:hAnsi="Arial"/>
          <w:sz w:val="16"/>
          <w:szCs w:val="16"/>
          <w:color w:val="auto"/>
        </w:rPr>
        <w:t>.</w:t>
      </w:r>
    </w:p>
    <w:p>
      <w:pPr>
        <w:spacing w:after="0" w:line="225" w:lineRule="exact"/>
        <w:rPr>
          <w:sz w:val="20"/>
          <w:szCs w:val="20"/>
          <w:color w:val="auto"/>
        </w:rPr>
      </w:pPr>
    </w:p>
    <w:p>
      <w:pPr>
        <w:jc w:val="both"/>
        <w:ind w:right="20" w:firstLine="656"/>
        <w:spacing w:after="0" w:line="259"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for any purpose specified in Section 9.1, to be held at such time and at such place in the Borough of Manhattan, The City of New York, as the Trustee shall determine. Notice of every meeting of Holders of Securities, setting forth the time and the place of such meeting and in general terms the action proposed to be taken at such meeting, shall be given, in the manner provided in Section 1.6, not less than 21 nor more than 180 days prior to the date fixed for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656"/>
        <w:spacing w:after="0" w:line="293" w:lineRule="auto"/>
        <w:tabs>
          <w:tab w:leader="none" w:pos="13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shall have requested the Trustee to call a meeting of the Holders of Securities for any purpose specified in Section 9.1, by written request setting forth in reasonable detail the action proposed to be taken at the meeting, and the Trustee shall not have mailed the notice of such meeting within 21 days after receipt of such request or shall not thereafter proceed to cause the meeting to be held as provided herein, then the Company or the Holders of Securities in the amount specified, as the case may be, may determine the time and the place in the Borough of Manhattan, The City of New York, for such meeting and may call such meeting for such purposes by giving notice thereof as provided in paragraph (1) of this Section.</w:t>
      </w:r>
    </w:p>
    <w:p>
      <w:pPr>
        <w:spacing w:after="0" w:line="16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Persons Entitled to Vote at Meetings</w:t>
      </w:r>
      <w:r>
        <w:rPr>
          <w:rFonts w:ascii="Arial" w:cs="Arial" w:eastAsia="Arial" w:hAnsi="Arial"/>
          <w:sz w:val="16"/>
          <w:szCs w:val="16"/>
          <w:color w:val="auto"/>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be entitled to vote at any meeting of Holders of Securities, a Person shall be (i) a Holder of one or more Outstanding Securities, or (ii) a Person appointed by an instrument in writing as proxy for a Holder or Holders of one or more Outstanding Securities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7"/>
          <w:szCs w:val="17"/>
          <w:u w:val="single" w:color="auto"/>
          <w:color w:val="auto"/>
        </w:rPr>
        <w:t>Quorum; Action</w:t>
      </w:r>
      <w:r>
        <w:rPr>
          <w:rFonts w:ascii="Arial" w:cs="Arial" w:eastAsia="Arial" w:hAnsi="Arial"/>
          <w:sz w:val="17"/>
          <w:szCs w:val="17"/>
          <w:color w:val="auto"/>
        </w:rPr>
        <w: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Persons entitled to vote a majority in principal amount of the Outstanding Securities shall constitute a quorum. In the absence of a quorum within 30 minutes of the time appointed for any such meeting, the meeting shall, if convened at the request of Holders of Securities,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not less than 10 days as determined by the chairman of the meeting prior to the adjournment of such adjourned meeting (subject to repeated applications of this sentence). Notice of the reconvening of any adjourned meeting shall be given as provided in Section 9.2(1), except that such notice need be given only once not less than five days prior to the date on which the meeting is scheduled to be reconvened. Notice of the reconvening of an adjourned meeting shall state expressly the percentage of the principal amount of the Outstanding Securities that shall constitute a quorum.</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Subject to the foregoing, at the reconvening of any meeting adjourned for a lack of a quorum, the Persons entitled to vote 25% in aggregate principal amount of the Outstanding Securities at the time shall constitute a quorum for the taking of any action set forth in the notice of the original meeting.</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Section 8.2 and except to the extent Section 10.12 requires a different vote) shall be effectively passed and decided if passed or decided by the lesser of (i) the Holders of not less than a majority in principal amount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440"/>
        <w:spacing w:after="0" w:line="283" w:lineRule="auto"/>
        <w:rPr>
          <w:sz w:val="20"/>
          <w:szCs w:val="20"/>
          <w:color w:val="auto"/>
        </w:rPr>
      </w:pPr>
      <w:r>
        <w:rPr>
          <w:rFonts w:ascii="Arial" w:cs="Arial" w:eastAsia="Arial" w:hAnsi="Arial"/>
          <w:sz w:val="18"/>
          <w:szCs w:val="18"/>
          <w:color w:val="auto"/>
        </w:rPr>
        <w:t>Outstanding Securities and (ii) the Persons entitled to vote not less than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aggregate principal amount of Outstanding Securities represented and entitled to vote at such meeting.</w:t>
      </w:r>
    </w:p>
    <w:p>
      <w:pPr>
        <w:spacing w:after="0" w:line="14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Any resolution passed or decisions taken at any meeting of Holders of Securities duly held in accordance with this Section shall be binding on all the Holders of Securities whether or not present or represented at the meeting. The Trustee shall, in the name and at the expense of the Company, notify all the Holders of</w:t>
      </w:r>
    </w:p>
    <w:p>
      <w:pPr>
        <w:sectPr>
          <w:pgSz w:w="11900" w:h="16881" w:orient="portrait"/>
          <w:cols w:equalWidth="0" w:num="1">
            <w:col w:w="11420"/>
          </w:cols>
          <w:pgMar w:left="240" w:top="125" w:right="239" w:bottom="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Securities of any such resolutions or decisions pursuant to Section 1.6.</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Determination of Voting Rights; Conduct and Adjournment of Meetings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55"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or by having the signature of the Person executing the proxy guaranteed by any bank, broker or other eligible institution participating in a recognized medallion signature guarantee program.</w:t>
      </w:r>
    </w:p>
    <w:p>
      <w:pPr>
        <w:spacing w:after="0" w:line="189" w:lineRule="exact"/>
        <w:rPr>
          <w:rFonts w:ascii="Arial" w:cs="Arial" w:eastAsia="Arial" w:hAnsi="Arial"/>
          <w:sz w:val="18"/>
          <w:szCs w:val="18"/>
          <w:color w:val="auto"/>
        </w:rPr>
      </w:pPr>
    </w:p>
    <w:p>
      <w:pPr>
        <w:ind w:right="260" w:firstLine="656"/>
        <w:spacing w:after="0" w:line="302" w:lineRule="auto"/>
        <w:tabs>
          <w:tab w:leader="none" w:pos="135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(which may be the Trustee) of the meeting, unless the meeting shall have been called by the Company or by Holders of Securities as provided in Section 9.2(2), in which case the Company or the Holders of Securities calling the meeting, as the case may be, shall in like manner appoint a temporary chairman. A permanent chairman and a permanent secretary of the meeting shall be elected by vote of the Persons entitled to vote a majority in principal amount of the Outstanding Securities represented at the meeting.</w:t>
      </w:r>
    </w:p>
    <w:p>
      <w:pPr>
        <w:spacing w:after="0" w:line="154" w:lineRule="exact"/>
        <w:rPr>
          <w:rFonts w:ascii="Arial" w:cs="Arial" w:eastAsia="Arial" w:hAnsi="Arial"/>
          <w:sz w:val="16"/>
          <w:szCs w:val="16"/>
          <w:color w:val="auto"/>
        </w:rPr>
      </w:pPr>
    </w:p>
    <w:p>
      <w:pPr>
        <w:ind w:right="20" w:firstLine="656"/>
        <w:spacing w:after="0" w:line="259"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or proxy shall be entitled to one vote for each U.S. $1,000 principal amount of Securities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or proxy.</w:t>
      </w:r>
    </w:p>
    <w:p>
      <w:pPr>
        <w:spacing w:after="0" w:line="186" w:lineRule="exact"/>
        <w:rPr>
          <w:rFonts w:ascii="Arial" w:cs="Arial" w:eastAsia="Arial" w:hAnsi="Arial"/>
          <w:sz w:val="18"/>
          <w:szCs w:val="18"/>
          <w:color w:val="auto"/>
        </w:rPr>
      </w:pPr>
    </w:p>
    <w:p>
      <w:pPr>
        <w:ind w:right="60" w:firstLine="656"/>
        <w:spacing w:after="0" w:line="264"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9.2 at which a quorum is present may be adjourned from time to time by Persons entitled to vote a majority in principal amount of the Outstanding Securities represented at the meeting, and the meeting may be held as so adjourned without further notice.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Counting Votes and Recording Action of Meetings</w:t>
      </w:r>
      <w:r>
        <w:rPr>
          <w:rFonts w:ascii="Arial" w:cs="Arial" w:eastAsia="Arial" w:hAnsi="Arial"/>
          <w:sz w:val="16"/>
          <w:szCs w:val="16"/>
          <w:color w:val="auto"/>
        </w:rPr>
        <w: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vote upon any resolution submitted to any meeting of Holders of Securities shall be by written ballots on which shall be subscribed the signatures of the Holders of Securities or of their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representatives by proxy and the principal amounts at Stated Maturity and serial numbers of the Outstanding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9.2 and, if applicable, Section 9.4.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covenants and agrees that it will duly and punctually pay the principal of and premium, if any, and interest (including Liquidated Damages, if any) on the Securities in accordance with the terms of the Securities and this Indenture.</w:t>
      </w:r>
    </w:p>
    <w:p>
      <w:pPr>
        <w:spacing w:after="0" w:line="18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Maintenance of Offices or Agencies</w:t>
      </w:r>
      <w:r>
        <w:rPr>
          <w:rFonts w:ascii="Arial" w:cs="Arial" w:eastAsia="Arial" w:hAnsi="Arial"/>
          <w:sz w:val="16"/>
          <w:szCs w:val="16"/>
          <w:color w:val="auto"/>
        </w:rPr>
        <w: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where the Securities may be surrendered for registration of transfer or exchange or for presentation for payment or for conversion, redemption or repurchase and where notices and demands to or upon the Company in respect of the Securities and this Indenture may be served, which shall initially be an office or agency of the Trustee.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 may at any time and from time to time vary or terminate the appointment of any such agent or appoint any additional agents for any or all of such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until all of the Securities have been delivered to the Trustee for cancellation, or moneys sufficient to pay the principal of, premium, if any, and interest on the Securities have been made available for payment and either paid or returned to the Company pursuant to the provisions of Section 10.3, the Company will maintain in the Borough of Manhattan, The City of New York, an office or agency where Securities may be presented or surrendered for payment and conversion,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which shall initially be Wells Fargo Bank Minnesota, National Association office of the Trustee located at 45 Broadway, Twelfth Floor, MAC N2666-120, New York, New York 10006, where Securities may be surrendered for registration of transfer or exchange and where notices and demands to or upon the Company in respect of the Securities and this Indenture may be served. The Company will give prompt written notice to the Trustee, and notice to the Holders</w:t>
      </w:r>
    </w:p>
    <w:p>
      <w:pPr>
        <w:sectPr>
          <w:pgSz w:w="11900" w:h="16838" w:orient="portrait"/>
          <w:cols w:equalWidth="0" w:num="1">
            <w:col w:w="11420"/>
          </w:cols>
          <w:pgMar w:left="240" w:top="125" w:right="239" w:bottom="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t>in accordance with Section 1.6, of the appointment or termination of any such agents and of the location and any change in the location of any such office or agency.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hereby initially designates the Trustee as Paying Agent, Security Registrar and Conversion Agent, and each of the Corporate Trust Office of the Trustee and the office or agency of the Trustee in the Borough of Manhattan, The City of New York, located at 45 Broadway, Twelfth Floor, MAC N2666-120, New York, New York 10006, attention: Corporate Trust Operations (Micron Technology, Inc. 2.50% Convertible Subordinated Notes due February 1, 2010) as one such office or agency of the Company for each of the aforesaid purposes.</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Money for Security Payments to Be Held in Trust</w:t>
      </w:r>
      <w:r>
        <w:rPr>
          <w:rFonts w:ascii="Arial" w:cs="Arial" w:eastAsia="Arial" w:hAnsi="Arial"/>
          <w:sz w:val="16"/>
          <w:szCs w:val="16"/>
          <w:color w:val="auto"/>
        </w:rPr>
        <w: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 Company shall act as its own Paying Agent, it will, on or before each due date of the principal of, premium, if any, or interest on any of the Securities, segregate and hold in trust for the benefit of the Persons entitled thereto a sum sufficient to pay the principal, premium, if any, or interest so becoming due until such sums shall be paid to such Persons or otherwise disposed of as herein provided and the Company will promptly notify the Trustee of its action or failure so to act.</w:t>
      </w:r>
    </w:p>
    <w:p>
      <w:pPr>
        <w:spacing w:after="0" w:line="18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Whenever the Company shall have one or more Paying Agents, it will, no later than the opening of business on each due date of the principal of, premium, if any, or interest on any Securities, deposit with the Trustee a sum in funds immediately payable on the payment date sufficient to pay the principal, premium, if any, or interest so becoming due, such sum to be held for the benefit of the Persons entitled to such principal, premium, if any, or interest, and (unless such Paying Agent is the Trustee) the Company will promptly notify the Trustee of any failure so to act.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right="10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premium, if any, or interest on Securities for the benefit of the Persons entitled thereto until such sums shall be paid to such Persons or otherwise disposed of as herein provided;</w:t>
      </w:r>
    </w:p>
    <w:p>
      <w:pPr>
        <w:spacing w:after="0" w:line="170" w:lineRule="exact"/>
        <w:rPr>
          <w:rFonts w:ascii="Arial" w:cs="Arial" w:eastAsia="Arial" w:hAnsi="Arial"/>
          <w:sz w:val="18"/>
          <w:szCs w:val="18"/>
          <w:color w:val="auto"/>
        </w:rPr>
      </w:pPr>
    </w:p>
    <w:p>
      <w:pPr>
        <w:ind w:right="72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payment of principal, premium, if any, or interest; and</w:t>
      </w:r>
    </w:p>
    <w:p>
      <w:pPr>
        <w:spacing w:after="0" w:line="170" w:lineRule="exact"/>
        <w:rPr>
          <w:rFonts w:ascii="Arial" w:cs="Arial" w:eastAsia="Arial" w:hAnsi="Arial"/>
          <w:sz w:val="18"/>
          <w:szCs w:val="18"/>
          <w:color w:val="auto"/>
        </w:rPr>
      </w:pPr>
    </w:p>
    <w:p>
      <w:pPr>
        <w:ind w:right="34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by such Paying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7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VII, the Company will do or cause to be done all things necessary to preserve and keep in full force and effect its existence.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may become delinquent, (i) all taxes, assessments and governmental charges levied or imposed upon the Company or upon the income, profits or property of the Company and, (ii) all lawful claims for labor, materials and supplies which, if unpaid, might by law become a lien or charge upon the property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or discharge or cause to be paid or discharged any such tax, assessment, charge or claim (A) if the failure to do so will not, in the aggregate, have a material adverse effect on the business, properties, financial condition or results of operations of the Company and its subsidiaries taken as a whole,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if the amount, applicability or validity of such tax, assessment, charge or claim is being contested in good faith by appropriate proceedings.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Registration and Listing</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57" w:name="page58"/>
    <w:bookmarkEnd w:id="57"/>
    <w:p>
      <w:pPr>
        <w:spacing w:after="0" w:line="286" w:lineRule="auto"/>
        <w:rPr>
          <w:sz w:val="20"/>
          <w:szCs w:val="20"/>
          <w:color w:val="auto"/>
        </w:rPr>
      </w:pPr>
      <w:r>
        <w:rPr>
          <w:rFonts w:ascii="Arial" w:cs="Arial" w:eastAsia="Arial" w:hAnsi="Arial"/>
          <w:sz w:val="17"/>
          <w:szCs w:val="17"/>
          <w:color w:val="auto"/>
        </w:rPr>
        <w:t>The Company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Securities are issued and delivered, and qualified or listed as contemplated under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Section will limit the application of Section 10.10.</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Statement by Officers as to Default</w:t>
      </w:r>
      <w:r>
        <w:rPr>
          <w:rFonts w:ascii="Arial" w:cs="Arial" w:eastAsia="Arial" w:hAnsi="Arial"/>
          <w:sz w:val="16"/>
          <w:szCs w:val="16"/>
          <w:color w:val="auto"/>
        </w:rPr>
        <w:t>.</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shall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7"/>
          <w:szCs w:val="17"/>
          <w:u w:val="single" w:color="auto"/>
          <w:color w:val="auto"/>
        </w:rPr>
        <w:t>Delivery of Certain Information</w:t>
      </w:r>
      <w:r>
        <w:rPr>
          <w:rFonts w:ascii="Arial" w:cs="Arial" w:eastAsia="Arial" w:hAnsi="Arial"/>
          <w:sz w:val="17"/>
          <w:szCs w:val="17"/>
          <w:color w:val="auto"/>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At any time when the Company is not subject to Section 13 or 15(d) of the Exchange Act, upon the request of a Holder of a Restricted Security or the holder of shares of Common Stock issued upon conversion thereof, the Company will promptly furnish or cause to be furnished Rule 144A Information (as defined below) to such Holder of Restricted Securities or such holder of shares of Common Stock issued upon conversion of Restricted Securities, or to a prospective purchaser of any such security designated by any such Holder or holder, as the case may be, to the extent required to permit compliance by such Holder or holder with Rule 144A under the Securities Act (or any successor provision thereto) in connection with the resale of any such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furnish such information in connection with any request made on or after the date that is two years after the Issue Date. “Rule 144A Information” shall be such information as is specified pursuant to Rule 144A(d)(4) under the Securities Act (or any successor provision thereto).</w:t>
      </w:r>
    </w:p>
    <w:p>
      <w:pPr>
        <w:spacing w:after="0" w:line="19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22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Company agrees that the holders from time to time of Registrable Securities (as defined below) are entitled to the benefits of a Registration Rights Agreement, dated as of February 4, 2003 (the “Registration Rights Agreement”), executed by the Company as it may be amended from time to time in accordance with its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Whenever in this Indenture there is mentioned, in any context, the payment of interest in respect of any Security, such mention shall be deemed to include mention of the payment of Liquidated Damages provided for in this Section to the extent that, in such context, Liquidated Damages are, were or would be payable in respect thereof pursuant to the provisions of this Section and express mention of the payment of Liquidated Damages (if applicable) in any provisions hereof shall not be construed as excluding Liquidated Damages in those provisions hereof where such express mention is not made.</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purposes of the Registration Rights Agreement, “Registrable Securities” means all or any portion of the Securities issued from time to time under this Indenture in registered form and the shares of Common Stock issuable upon conversion, repurchase or redemption of such Securities; except any such Security or share of Common Stock that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this Indenture.</w:t>
      </w:r>
    </w:p>
    <w:p>
      <w:pPr>
        <w:spacing w:after="0" w:line="18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If a Security, or the shares of Common Stock issuable upon conversion of a Security, is a Registrable Security, and the holder thereof elects to sell such Registrable Security pursuant to the Shelf Registration Statement then, by its acceptance thereof, the holder of such Registrable Security will have agreed to be bound by the terms of the Registration Rights Agreement relating to the Registrable Securities which are the subject of such election.</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Liquidated Damages are payable under the Registration Rights Agreement, the Company shall deliver to the Trustee a certificate to that effect stating (i) the amount of Liquidated Damages that is payable and (ii) the date on which Liquidated Damages are payable. Unless and until a Responsible Officer of the Trustee receives at the Corporate Trust Office such a certificate, the Trustee may assume without inquiry that no Liquidated Damages are payable. If Liquidated Damages have been paid by the Company directly to the persons entitled to them, the Company shall deliver to the Trustee a certificate setting forth the particulars of such payment.</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Company may omit in any particular instance to comply with any covenant or condition set forth in Sections 10.5 and 10.6, inclusive (other than a covenant or condition which under Article VIII cannot be modified or amended without the consent of the Holder of each Outstanding Security affected), if before the time for such compliance the Holders shall, through (i) the written consent of not less than a majority in principal amount of the Outstanding Securities or (ii) the adoption of a resolution at a meeting of Holders of the Outstanding Securities at which a quorum is present by the Holders of not less</w:t>
      </w:r>
    </w:p>
    <w:p>
      <w:pPr>
        <w:spacing w:after="0" w:line="2"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than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principal amount of the Outstanding Securities represented at such meeting, either waive such compliance in such instance or generally waive compliance with such covenant or condition, but no such waiver shall extend to or affect such covenant or condition except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so expressly waived, and, until such waiver shall become effective, the obligations of the Company and the duties of the Trustee or any Paying or Conversion Agent in respect of any such covenant or condition shall remain in full force and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w:t>
      </w:r>
    </w:p>
    <w:p>
      <w:pPr>
        <w:sectPr>
          <w:pgSz w:w="11900" w:h="16838" w:orient="portrait"/>
          <w:cols w:equalWidth="0" w:num="1">
            <w:col w:w="11420"/>
          </w:cols>
          <w:pgMar w:left="240" w:top="125" w:right="239" w:bottom="0" w:gutter="0" w:footer="0" w:header="0"/>
        </w:sectPr>
      </w:pPr>
    </w:p>
    <w:bookmarkStart w:id="58" w:name="page59"/>
    <w:bookmarkEnd w:id="58"/>
    <w:p>
      <w:pPr>
        <w:spacing w:after="0"/>
        <w:tabs>
          <w:tab w:leader="none" w:pos="19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Right of Redemption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may be redeemed in accordance with the provisions of the form of Securities set forth in Section 2.2.</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Redemption of Securities at the election of the Company or otherwise, as permitted or required by any provision of the Securities or this Indenture, shall be made in accordance with such provision and this Article XI.</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election of the Company to redeem any Securities shall be evidenced by a Board Resolution. Subject to Section 11.5, in case of any redemption at the election of the Company of any of the Securities, the Company shall, at least 45 days prior to the Redemption Date fixed by the Company (unless a shorter notice shall be satisfactory to the Trustee), notify the Trustee in writing of such Redemption Date.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w:t>
      </w:r>
    </w:p>
    <w:p>
      <w:pPr>
        <w:spacing w:after="0" w:line="225"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If less than all the Securities are to be redeemed, the particular Securities to be redeemed shall be selected by the Trustee in principal amounts of $1,000 or integral multiples thereof by lot or on a pro rata basis.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may be treated by the Trustee as Outstanding for the purpose of such selection. The Trustee shall promptly notify the Company and each Security Registrar in writing of the securities selected for redemption and, in the case of any Securities selected for partial redemption, the principal amount thereof to be redeemed.</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Notice of redemption shall be given in the manner provided in Section 1.6 to the Holders of Securities to be redeemed not less than 20 nor more than 60 days prior to the Redemption Date, and such notice shall be irrevocable.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360" w:hanging="704"/>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Redemption Price and accrued interest (including Liquidated Damages, if any) to, but excluding, the Redemption Date;</w:t>
      </w:r>
    </w:p>
    <w:p>
      <w:pPr>
        <w:spacing w:after="0" w:line="225" w:lineRule="exact"/>
        <w:rPr>
          <w:rFonts w:ascii="Arial" w:cs="Arial" w:eastAsia="Arial" w:hAnsi="Arial"/>
          <w:sz w:val="18"/>
          <w:szCs w:val="18"/>
          <w:color w:val="auto"/>
        </w:rPr>
      </w:pPr>
    </w:p>
    <w:p>
      <w:pPr>
        <w:ind w:right="200" w:firstLine="656"/>
        <w:spacing w:after="0" w:line="277"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less than all Outstanding Securities are to be redeemed, the aggregate principal amount of Securities to be redeemed and the aggregate principal amount of Securities which will be outstanding after such partial redemption;</w:t>
      </w:r>
    </w:p>
    <w:p>
      <w:pPr>
        <w:spacing w:after="0" w:line="170" w:lineRule="exact"/>
        <w:rPr>
          <w:rFonts w:ascii="Arial" w:cs="Arial" w:eastAsia="Arial" w:hAnsi="Arial"/>
          <w:sz w:val="18"/>
          <w:szCs w:val="18"/>
          <w:color w:val="auto"/>
        </w:rPr>
      </w:pPr>
    </w:p>
    <w:p>
      <w:pPr>
        <w:ind w:firstLine="656"/>
        <w:spacing w:after="0" w:line="342" w:lineRule="auto"/>
        <w:tabs>
          <w:tab w:leader="none" w:pos="135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on the Redemption Date the Redemption Price and accrued interest (including Liquidated Damages, if any) to, but excluding, the Redemption Date, will become due and payable upon each such Security to be redeemed, and that interest thereon shall cease to accrue on and after said date;</w:t>
      </w:r>
    </w:p>
    <w:p>
      <w:pPr>
        <w:spacing w:after="0" w:line="123" w:lineRule="exact"/>
        <w:rPr>
          <w:rFonts w:ascii="Arial" w:cs="Arial" w:eastAsia="Arial" w:hAnsi="Arial"/>
          <w:sz w:val="16"/>
          <w:szCs w:val="16"/>
          <w:color w:val="auto"/>
        </w:rPr>
      </w:pPr>
    </w:p>
    <w:p>
      <w:pPr>
        <w:ind w:right="620" w:firstLine="656"/>
        <w:spacing w:after="0" w:line="277"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Conversion Rate, the date on which the right to convert the Securities to be redeemed will terminate and the places where such Securities may be surrendered for conversion; and</w:t>
      </w:r>
    </w:p>
    <w:p>
      <w:pPr>
        <w:spacing w:after="0" w:line="170" w:lineRule="exact"/>
        <w:rPr>
          <w:rFonts w:ascii="Arial" w:cs="Arial" w:eastAsia="Arial" w:hAnsi="Arial"/>
          <w:sz w:val="18"/>
          <w:szCs w:val="18"/>
          <w:color w:val="auto"/>
        </w:rPr>
      </w:pPr>
    </w:p>
    <w:p>
      <w:pPr>
        <w:ind w:right="520" w:firstLine="656"/>
        <w:spacing w:after="0" w:line="277"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 and accrued interest (including Liquidated Damages, if any), if any, to, but excluding, the Redemption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case of a partial redemption, the notice shall specify the serial and CUSIP numbers (if any) and the portions thereof called for redemption and that transfers and exchanges may occur on or prior to the Redemption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Notice of redemption of Securities to be redeemed at the election of the Company shall be given by the Company or, at the Company’s written request, by the Trustee in the name of and at the expense of the Company. Notice of redemption of Securities to be redeemed at the election of the Company received by the Trustee shall be given by the Trustee to each Paying Agent in the name of and at the expense of the Company.</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or prior to the Redemption Date, the Company shall deposit with the Trustee (or, if the Company is acting as its own Paying Agent, segregate and hold in trust as provided in Section 10.3) an amount of money (which shall be in immediately available funds on such Redemption Date)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sufficient to pay the Redemption Price and (except if the Redemption Date shall be an Interest Payment Date) accrued interest (including Liquidated Damages, if any) to, but excluding, the Redemption Date on all the Securities which are to be redeemed on that date, other than any Securities called for redemption on that date which have been converted prior to the date of such deposit.</w:t>
      </w:r>
    </w:p>
    <w:p>
      <w:pPr>
        <w:sectPr>
          <w:pgSz w:w="11900" w:h="16838" w:orient="portrait"/>
          <w:cols w:equalWidth="0" w:num="1">
            <w:col w:w="11380"/>
          </w:cols>
          <w:pgMar w:left="240" w:top="125" w:right="279" w:bottom="0" w:gutter="0" w:footer="0" w:header="0"/>
        </w:sectPr>
      </w:pPr>
    </w:p>
    <w:bookmarkStart w:id="59" w:name="page60"/>
    <w:bookmarkEnd w:id="59"/>
    <w:p>
      <w:pPr>
        <w:ind w:right="160"/>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so segregated and held in trust for the redemption of such Security shall (subject to any right of the Holder of such Security or any Predecessor Security to receive interest as provided in the last paragraph of Section 3.7) be returned to the Company on Company Request or, if then held by the Company, shall be discharged from such trust.</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including accrued interest) such Securities shall cease to bear interest. Upon surrender of any Security for redemption in accordance with said notice such Security shall be paid by the Company at the Redemption Price together with accrued and unpaid interest (including Liquidated Damages, if any) to, but excluding,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installments of interest on Securities whose Stated Maturity is on or prior to the Redemption Date shall be payable to the Holders of such Securities, or one or more Predecessor Securities, registered as such on the relevant Record Date according to their terms and the provisions of Section 3.7.</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amount of, premium, if any, and, to the extent permitted by applicable law, accrued interest on such Security shall, until paid, bear interest from the Redemption Date at a rate of 2.50% per annum and such Security shall remain convertible until the Redemption Price of such Security (or portion thereof, as the case may be) shall have been paid or duly provided for.</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Security that is to be redeemed only in part shall be surrendered at the Corporate Trust Office or an office or agency of the Company designated for that purpose pursuant to Section 10.2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Conversion Arrangement on Call for Redemption</w:t>
      </w:r>
      <w:r>
        <w:rPr>
          <w:rFonts w:ascii="Arial" w:cs="Arial" w:eastAsia="Arial" w:hAnsi="Arial"/>
          <w:sz w:val="16"/>
          <w:szCs w:val="16"/>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any redemption of Securities, the Company may arrange for the purchase and conversion of any Securities by an agreement with one or more investment bankers or other purchasers (the “Purchasers”) to purchase such securities by paying to the Trustee in trust for the Holders, on or before the Redemption Date, an amount not less than the applicable Redemption Price, together with interest accrued to, but excluding, the Redemption Date, of such Securities. Notwithstanding anything to the contrary contained in this Article XI the obligation of the Company to pay the Redemption Price, together with interest accrued to, but excluding, the Redemption Date, shall be deemed to be satisfied and discharged to the extent such amount is so paid by such Purchasers. If such an agreement is entered into (a copy of which shall be filed with the Trustee prior to the close of business on the Business Day immediately prior to the Redemption Date), any Securities called for redemption that are not duly surrendered for conversion by the Holders thereof may, at the option of the Company, be deemed, to the fullest extent permitted by law, and consistent with any agreement or agreements with such Purchasers, to be acquired by such Purchasers from such Holders and (notwithstanding anything to the contrary contained in Article XII) surrendered by such Purchasers for conversion, all as of immediately prior to the close of business on the Redemption Date (and the right to convert any such Securities shall be extended through such time), subject to payment of the above amount as aforesaid. At the direction of the Company, the Trustee shall hold and dispose of any such amount paid to it by the Purchasers to the Holders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OF SECURITIES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Conversion Privilege and Conversion Rate</w:t>
      </w:r>
      <w:r>
        <w:rPr>
          <w:rFonts w:ascii="Arial" w:cs="Arial" w:eastAsia="Arial" w:hAnsi="Arial"/>
          <w:sz w:val="16"/>
          <w:szCs w:val="16"/>
          <w:color w:val="auto"/>
        </w:rPr>
        <w: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Subject to and upon compliance with the provisions of this Article, at the option of the Holder thereof, any Security may be converted into fully paid and nonassessable shares (calculated as to each conversion to the nearest 1/100th of a share) of Common Stock of the Company at the Conversion Rate, determined as hereinafter provided, in effect at the time of conversion. Such conversion right shall commence on the initial issuance date of the Securities and expire at the close of business on the date of Maturity, subject, in the case of conversion of any Global Security, to any Applicable Procedures. In case a Security or portion thereof is called for redemption at the election of the Company or the Holder thereof exercises its right to require the Company to repurchase the Security, such conversion right in respect of the Security, or portion thereof so called or submitted, shall expire at the close of business on the Business Day immediately preceding the Redemption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Date or the Repurchase Date, as the case may be, unless the Company defaults in making the payment due upon redemption or repurchase, as the case may be (in each case subject as aforesaid to any Applicable Procedures with respect to any Global Security).</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rate at which shares of Common Stock shall be delivered upon conversion (herein called the “Conversion Rate”) shall be initially 84.8320 shares of Common Stock for each U.S.$1,000 principal amount of Securities. The Conversion Rate shall be adjusted in certain instances as provided in this Article XII.</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Exercise of Conversion Privilege</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60" w:name="page61"/>
    <w:bookmarkEnd w:id="60"/>
    <w:p>
      <w:pPr>
        <w:ind w:right="20"/>
        <w:spacing w:after="0" w:line="285" w:lineRule="auto"/>
        <w:rPr>
          <w:sz w:val="20"/>
          <w:szCs w:val="20"/>
          <w:color w:val="auto"/>
        </w:rPr>
      </w:pPr>
      <w:r>
        <w:rPr>
          <w:rFonts w:ascii="Arial" w:cs="Arial" w:eastAsia="Arial" w:hAnsi="Arial"/>
          <w:sz w:val="16"/>
          <w:szCs w:val="16"/>
          <w:color w:val="auto"/>
        </w:rPr>
        <w:t xml:space="preserve">In order to exercise the conversion privilege, the Holder of any Security to be converted shall surrender such Security, duly endorsed in blank, at any office or agency of the Company maintained for that purpose pursuant to Section 10.2, accompanied by a duly signed conversion notice substantially in the form set forth in Section 2.4 stating that the Holder elects to convert such Security or, if less than the entire principal amount thereof is to be converted, the portion thereof to be converted. Each Security surrendered for conversion (in whole or in part) during the Record Date Period shall be accompanied by payment in New York Clearing House funds or other funds acceptable to the Company of an amount equal to the interest payable on such Interest Payment Date on the principal amount of such Security (or part thereof, as the case may be) being surrendered for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payment need be made in the case of any Security or portion thereof which has been called for redemption on a Redemption Date, or is repurchasable on a Repurchase Date, occurring, in either case, within the period from the close of business on any Regular Record Date immediately preceding any Interest Payment Date to the close of business on the third Business Day following such Interest Payment Date and, as a result, the right to convert such Security would otherwise terminate in such period if not exercised. The interest so payable on such Interest Payment Date with respect to any Security (or portion thereof, if applicable) that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Interest payable on any Interest Payment Date in respect of any Security surrendered for conversion on or after such Interest Payment Date shall be paid to the Holder of such Security as of the Regular Record Date immediately preceding such Interest Payment Date, notwithstanding the exercise of the right of conversion. Except as provided in this paragraph and subject to the last paragraph of Section 3.7, no cash payment or adjustment shall be made upon any conversion on account of any interest accrued from the Interest Payment Date next preceding the conversion date, in respect of any Security (or part thereof, as the case may be) surrendered for conversion, or on account of any dividends on the Common Stock issued upon conversion. The Company’s delivery to the Holder of the number of shares of Common Stock (and cash in lieu of fractions thereof, as provided in this Indenture) into which a Security is convertible will be deemed to satisfy the Company’s obligation to pay the principal amount of the Security.</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deliver to the Trustee, for delivery to the Holder (unless a different Person is indicated on the Conversion Notice), a certificate or certificates for the number of full shares of Common Stock issuable upon conversion, together with payment in lieu of any fraction of a share, as provided in Section 12.3.</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All shares of Common Stock delivered upon such conversion of Restricted Securities shall bear restrictive legends substantially in the form of the legends required to be set forth on the Restricted Securities pursuant to Section 3.5 and shall be subject to the restrictions on transfer provided in such legends. Neither the Trustee nor any agent maintained for the purpose of such conversion shall have any responsibility for the inclusion or content of any such restrictive legends on such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any agent maintained for the purpose of such conversion shall have provided, to the Company or to the Company’s transfer agent for such Common Stock, prior to or concurrently with a request to the Company to deliver such Common Stock, written notice that the Securities delivered for conversion are Restricted Securities.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an aggregate principal amount equal to the unconverted portion of the principal amount of such Security. A Security may be converted in part, but only if the principal amount of such Security to be converted is any integral multiple of U.S. $1,000 and the principal amount of such security to remain Outstanding after such conversion is equal to U.S. $1,000 or any integral multiple of $1,000 in excess thereof.</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shares of Common Stock to be issued upon conversion of a Restricted Security, or Securities to be issued upon conversion of a Restricted Security in part only, are to be registered in a name other than that of the beneficial owner of such Restricted Security, then such Holder must deliver to the Conversion Agent a Surrender Certificate, dated the date of surrender of such Restricted Security and signed by such beneficial owner, as to compliance with the restrictions on transfer applicable to such Restricted Security. Neither the Trustee nor any Conversion Agent, Registrar or Transfer Agent shall be required to register in a name other than that of the beneficial owner, shares of Common Stock or Securities issued upon conversion of any such Restricted Security not so accompanied by a properly completed Surrender Certificate.</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Fractions of Shares</w:t>
      </w:r>
      <w:r>
        <w:rPr>
          <w:rFonts w:ascii="Arial" w:cs="Arial" w:eastAsia="Arial" w:hAnsi="Arial"/>
          <w:sz w:val="16"/>
          <w:szCs w:val="16"/>
          <w:color w:val="auto"/>
        </w:rPr>
        <w:t>.</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 fractional shares of Common Stock shall be issued upon conversion of any Security or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that would otherwise be issuable upon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conversion of any Security or Securities (or specified portions thereof), the Company shall calculate and pay a cash adjustment in respect of such fraction (calculated to the nearest 1/100th of a share) in an amount equal to the same fraction of the Closing Price Per Share at the close of business on the day of conversion.</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6"/>
          <w:szCs w:val="16"/>
          <w:u w:val="single" w:color="auto"/>
          <w:color w:val="auto"/>
        </w:rPr>
        <w:t>Adjustment of Conversion Rate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Conversion Rate shall be subject to adjustments from time to time as follows:</w:t>
      </w:r>
    </w:p>
    <w:p>
      <w:pPr>
        <w:spacing w:after="0" w:line="225" w:lineRule="exact"/>
        <w:rPr>
          <w:sz w:val="20"/>
          <w:szCs w:val="20"/>
          <w:color w:val="auto"/>
        </w:rPr>
      </w:pPr>
    </w:p>
    <w:p>
      <w:pPr>
        <w:ind w:right="160" w:firstLine="656"/>
        <w:spacing w:after="0" w:line="302" w:lineRule="auto"/>
        <w:tabs>
          <w:tab w:leader="none" w:pos="1353"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case the Company shall pay or make a dividend or other distribution on shares of Common Stock payable in shares of Common Stock, the Conversion Rate in effect at the opening of business on the day following the date fixed for the determination of shareholders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w:t>
      </w:r>
    </w:p>
    <w:p>
      <w:pPr>
        <w:sectPr>
          <w:pgSz w:w="11900" w:h="16838" w:orient="portrait"/>
          <w:cols w:equalWidth="0" w:num="1">
            <w:col w:w="11420"/>
          </w:cols>
          <w:pgMar w:left="240" w:top="125" w:right="239" w:bottom="0" w:gutter="0" w:footer="0" w:header="0"/>
        </w:sectPr>
      </w:pPr>
    </w:p>
    <w:bookmarkStart w:id="61" w:name="page62"/>
    <w:bookmarkEnd w:id="61"/>
    <w:p>
      <w:pPr>
        <w:spacing w:after="0" w:line="255" w:lineRule="auto"/>
        <w:rPr>
          <w:sz w:val="20"/>
          <w:szCs w:val="20"/>
          <w:color w:val="auto"/>
        </w:rPr>
      </w:pPr>
      <w:r>
        <w:rPr>
          <w:rFonts w:ascii="Arial" w:cs="Arial" w:eastAsia="Arial" w:hAnsi="Arial"/>
          <w:sz w:val="18"/>
          <w:szCs w:val="18"/>
          <w:color w:val="auto"/>
        </w:rPr>
        <w:t>and the total number of shares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9" w:lineRule="exact"/>
        <w:rPr>
          <w:sz w:val="20"/>
          <w:szCs w:val="20"/>
          <w:color w:val="auto"/>
        </w:rPr>
      </w:pPr>
    </w:p>
    <w:p>
      <w:pPr>
        <w:ind w:right="60" w:firstLine="656"/>
        <w:spacing w:after="0" w:line="287" w:lineRule="auto"/>
        <w:tabs>
          <w:tab w:leader="none" w:pos="13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12.4) of the Common Stock on the date fixed for the determination of stockholders entitled to receive such rights, options or warrants (other than any rights, options or warrants that by their terms will also be issued to any Holder upon conversion of a Security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that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178" w:lineRule="exact"/>
        <w:rPr>
          <w:sz w:val="20"/>
          <w:szCs w:val="20"/>
          <w:color w:val="auto"/>
        </w:rPr>
      </w:pPr>
    </w:p>
    <w:p>
      <w:pPr>
        <w:ind w:right="20" w:firstLine="656"/>
        <w:spacing w:after="0" w:line="255" w:lineRule="auto"/>
        <w:tabs>
          <w:tab w:leader="none" w:pos="13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be combined into a smaller number of shares of Common Stock, the Conversion Rate in effect at the opening of business on the day following the day upon which such subdivision or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93" w:lineRule="exact"/>
        <w:rPr>
          <w:rFonts w:ascii="Arial" w:cs="Arial" w:eastAsia="Arial" w:hAnsi="Arial"/>
          <w:sz w:val="18"/>
          <w:szCs w:val="18"/>
          <w:color w:val="auto"/>
        </w:rPr>
      </w:pPr>
    </w:p>
    <w:p>
      <w:pPr>
        <w:jc w:val="both"/>
        <w:ind w:right="60" w:firstLine="656"/>
        <w:spacing w:after="0" w:line="288" w:lineRule="auto"/>
        <w:tabs>
          <w:tab w:leader="none" w:pos="1353"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case the Company shall, by dividend or otherwise, distribute to all holders of its Common Stock evidences of its indebtedness, shares of any class of capital stock or other property (including cash or assets or securities, but excluding (i) any rights, options or warrants referred to in paragraph (2) of this Section, (ii) any dividend or distribution paid exclusively in cash, (iii) any dividend or distribution referred to in paragraph (1) of this Section 12.4 and</w:t>
      </w:r>
    </w:p>
    <w:p>
      <w:pPr>
        <w:ind w:right="40" w:firstLine="8"/>
        <w:spacing w:after="0" w:line="285" w:lineRule="auto"/>
        <w:tabs>
          <w:tab w:leader="none" w:pos="3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any consideration distributed in any merger or consolidation to which Section 12.11 applies (the “Distributed Assets”)),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12.4)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Distributed Assets consist of shares of capital stock of a Subsidiary, the Company may, at its option and in lieu of the foregoing adjustment, elect to make adequate provision so that each Holder of Securities shall have the right to receive, upon conversion of the Securities, the amount of such shares of capital stock of such Subsidiary that such Holder of Securities would have received if such Holder had converted such Securities immediately prior to the record date for determining the shareholders entitled to receive the distribution of such Distributed Assets. If after any such date fixed for determination, any such distribution is not in fact made, the Conversion Rate shall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immediately readjusted, effective as of the date of the Board of Directors determines not to make such distribution, to the Conversion Rate that would have been in effect if such determination date had not been fixed. In the event that the fair market value of Distributed Assets, applicable to one share of Common Stock, distributed to stockholders (1) equals or exceeds the current market price of the Common Stock, or (2) such current market price exceeds the fair market value of such Distributed Assets so distributed by less than $1.00, then, in lieu of an adjustment in the Conversion Rate, the Holder of a Security will be entitled to receive upon conversion of a Security, in addition to shares of Common Stock, the kind and amount of Distributed Assets that such Holder would have received if such Holder had converted such Security immediately prior to the record date for determining the stockholders entitled to receive the distribution.</w:t>
      </w:r>
    </w:p>
    <w:p>
      <w:pPr>
        <w:spacing w:after="0" w:line="189" w:lineRule="exact"/>
        <w:rPr>
          <w:sz w:val="20"/>
          <w:szCs w:val="20"/>
          <w:color w:val="auto"/>
        </w:rPr>
      </w:pPr>
    </w:p>
    <w:p>
      <w:pPr>
        <w:ind w:right="20" w:firstLine="656"/>
        <w:spacing w:after="0" w:line="288" w:lineRule="auto"/>
        <w:tabs>
          <w:tab w:leader="none" w:pos="13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case the Company shall, by dividend or otherwise, distribute to all holders of its Common Stock cash (excluding any cash that is distributed as part of a distribution referred to in paragraph (4) of this Section or cash distributed upon a merger or consolidation to which Section 12.11 applies) in an aggregate amount that, combined together with (I) the aggregate amount of any other all-cash distributions to all holders of its Common Stock made exclusively in cash within the twelve-month period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other consideration payable in respect of any tender offer by the Company or any of its Subsidiaries for all or any portion of the Common Stock concluded within the twelve-month period preceding the date of payment of such distribution and in respect of which no adjustment pursuant to paragraph (6) of this Section 12.4 has been made (the “combined cash and tender amount”) exceeds 10% of the product of the current market price per share (determined as provided in paragraph (8) of this Section 12.4) of the Common Stock on the date for the determination of holders of shares of Common Stock entitled to receive such distribution times the number of shares of Common Stock outstanding on such</w:t>
      </w:r>
    </w:p>
    <w:p>
      <w:pPr>
        <w:sectPr>
          <w:pgSz w:w="11900" w:h="16838" w:orient="portrait"/>
          <w:cols w:equalWidth="0" w:num="1">
            <w:col w:w="11420"/>
          </w:cols>
          <w:pgMar w:left="240" w:top="125" w:right="239" w:bottom="0" w:gutter="0" w:footer="0" w:header="0"/>
        </w:sectPr>
      </w:pPr>
    </w:p>
    <w:bookmarkStart w:id="62" w:name="page63"/>
    <w:bookmarkEnd w:id="62"/>
    <w:p>
      <w:pPr>
        <w:ind w:right="80"/>
        <w:spacing w:after="0" w:line="285" w:lineRule="auto"/>
        <w:rPr>
          <w:sz w:val="20"/>
          <w:szCs w:val="20"/>
          <w:color w:val="auto"/>
        </w:rPr>
      </w:pPr>
      <w:r>
        <w:rPr>
          <w:rFonts w:ascii="Arial" w:cs="Arial" w:eastAsia="Arial" w:hAnsi="Arial"/>
          <w:sz w:val="16"/>
          <w:szCs w:val="16"/>
          <w:color w:val="auto"/>
        </w:rPr>
        <w:t>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of the Common Stock on the date fixed for such determination less an amount equal to the quotient of (x) the excess of such combined cash and tender amount over 10% of such aggregate current market price divided by</w:t>
      </w:r>
    </w:p>
    <w:p>
      <w:pPr>
        <w:spacing w:after="0" w:line="2" w:lineRule="exact"/>
        <w:rPr>
          <w:sz w:val="20"/>
          <w:szCs w:val="20"/>
          <w:color w:val="auto"/>
        </w:rPr>
      </w:pPr>
    </w:p>
    <w:p>
      <w:pPr>
        <w:ind w:right="100" w:firstLine="8"/>
        <w:spacing w:after="0" w:line="290"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number of shares of Common Stock outstanding on such date for determination and (ii) the denominator of which shall be equal to the current market price per share (determined as provided in paragraph (8) of this Section 12.4) of the Common Stock on such date fixed for determination.</w:t>
      </w:r>
    </w:p>
    <w:p>
      <w:pPr>
        <w:spacing w:after="0" w:line="161" w:lineRule="exact"/>
        <w:rPr>
          <w:rFonts w:ascii="Arial" w:cs="Arial" w:eastAsia="Arial" w:hAnsi="Arial"/>
          <w:sz w:val="17"/>
          <w:szCs w:val="17"/>
          <w:color w:val="auto"/>
        </w:rPr>
      </w:pPr>
    </w:p>
    <w:p>
      <w:pPr>
        <w:ind w:right="60" w:firstLine="656"/>
        <w:spacing w:after="0" w:line="259" w:lineRule="auto"/>
        <w:tabs>
          <w:tab w:leader="none" w:pos="13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conclusive and described in a Board Resolution) that together with (I) the aggregate of the cash plus the fair market value (as determined by the Board of Directors, whose determination shall be conclusive and described in a Board Resolution), as of the expiration of such tender offer, of other consideration payable in respect of any other tender offer by the Company or any Subsidiary for all or any portion of the Common Stock expiring within the twelve month period preceding the expiration of such tender offer and in respect of which no adjustment pursuant to this paragraph (6) has been made and (II) the aggregate amount of any cash distributions to all holders of the Common Stock within the twelve month period preceding the expiration of such tender offer and in respect of which no adjustment pursuant to paragraph (5) of this Section has been made (the “combined tender and cash amount”) exceeds 10% of the product of the current market price per share of the Common Stock (determined as provided in paragraph (8) of this Section 12.4)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12.4) on the date of the Expiration Time multiplied by (II) the number of shares of Common Stock outstanding (including any tendered shares) on the Expiration Time less (B) the combined tender and cash amount, and</w:t>
      </w:r>
    </w:p>
    <w:p>
      <w:pPr>
        <w:spacing w:after="0" w:line="3" w:lineRule="exact"/>
        <w:rPr>
          <w:sz w:val="20"/>
          <w:szCs w:val="20"/>
          <w:color w:val="auto"/>
        </w:rPr>
      </w:pPr>
    </w:p>
    <w:p>
      <w:pPr>
        <w:ind w:right="160" w:firstLine="8"/>
        <w:spacing w:after="0" w:line="254"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denominator of which shall be equal to the product of (A) the current market price per share of the Common Stock (determined as provided in paragraph (8) of this Section 12.4)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89" w:lineRule="exact"/>
        <w:rPr>
          <w:rFonts w:ascii="Arial" w:cs="Arial" w:eastAsia="Arial" w:hAnsi="Arial"/>
          <w:sz w:val="18"/>
          <w:szCs w:val="18"/>
          <w:color w:val="auto"/>
        </w:rPr>
      </w:pPr>
    </w:p>
    <w:p>
      <w:pPr>
        <w:ind w:right="220" w:firstLine="656"/>
        <w:spacing w:after="0" w:line="271" w:lineRule="auto"/>
        <w:tabs>
          <w:tab w:leader="none" w:pos="1353"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reclassification of Common Stock into securities other than Common Stock (other than any reclassification upon a consolidation or merger to which Section 12.11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12.4).</w:t>
      </w:r>
    </w:p>
    <w:p>
      <w:pPr>
        <w:spacing w:after="0" w:line="178" w:lineRule="exact"/>
        <w:rPr>
          <w:rFonts w:ascii="Arial" w:cs="Arial" w:eastAsia="Arial" w:hAnsi="Arial"/>
          <w:sz w:val="17"/>
          <w:szCs w:val="17"/>
          <w:color w:val="auto"/>
        </w:rPr>
      </w:pPr>
    </w:p>
    <w:p>
      <w:pPr>
        <w:ind w:right="20" w:firstLine="656"/>
        <w:spacing w:after="0" w:line="308" w:lineRule="auto"/>
        <w:tabs>
          <w:tab w:leader="none" w:pos="1353" w:val="left"/>
        </w:tabs>
        <w:numPr>
          <w:ilvl w:val="1"/>
          <w:numId w:val="83"/>
        </w:numPr>
        <w:rPr>
          <w:rFonts w:ascii="Arial" w:cs="Arial" w:eastAsia="Arial" w:hAnsi="Arial"/>
          <w:sz w:val="17"/>
          <w:szCs w:val="17"/>
          <w:color w:val="auto"/>
        </w:rPr>
      </w:pPr>
      <w:r>
        <w:rPr>
          <w:rFonts w:ascii="Arial" w:cs="Arial" w:eastAsia="Arial" w:hAnsi="Arial"/>
          <w:sz w:val="17"/>
          <w:szCs w:val="17"/>
          <w:color w:val="auto"/>
        </w:rPr>
        <w:t>For the purpose of any computation under paragraphs (2), (4), (5) or (6) of this Section 12.4, the current market price per share of Common Stock on any date shall be calculated by the Company and be the average of the daily Closing Prices Per Share for the five consecutive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71" w:lineRule="exact"/>
        <w:rPr>
          <w:sz w:val="20"/>
          <w:szCs w:val="20"/>
          <w:color w:val="auto"/>
        </w:rPr>
      </w:pPr>
    </w:p>
    <w:p>
      <w:pPr>
        <w:ind w:right="80" w:firstLine="656"/>
        <w:spacing w:after="0" w:line="279" w:lineRule="auto"/>
        <w:tabs>
          <w:tab w:leader="none" w:pos="13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No adjustment in the Conversion Rate shall be required unless such adjustment (plus any adjustments not previously made by reason of this paragraph (9)) would require an increase or decrease of at least one percent in such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adjustments which by reason of this paragraph (9) are not required to be made shall be carried forward and taken into account in any subsequent adjustment. All calculations under this Article shall be made to the nearest cent or to the nearest one-hundredth of a share, as the case may be.</w:t>
      </w:r>
    </w:p>
    <w:p>
      <w:pPr>
        <w:spacing w:after="0" w:line="171" w:lineRule="exact"/>
        <w:rPr>
          <w:rFonts w:ascii="Arial" w:cs="Arial" w:eastAsia="Arial" w:hAnsi="Arial"/>
          <w:sz w:val="17"/>
          <w:szCs w:val="17"/>
          <w:color w:val="auto"/>
        </w:rPr>
      </w:pPr>
    </w:p>
    <w:p>
      <w:pPr>
        <w:ind w:right="60" w:firstLine="656"/>
        <w:spacing w:after="0" w:line="276" w:lineRule="auto"/>
        <w:tabs>
          <w:tab w:leader="none" w:pos="13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may make such increases in the Conversion Rate, for the remaining term of the Securities or any shorter term, in addition to those required by paragraphs (1), (2), (3), (4), (5) and (6) of this Section 12.4,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72" w:lineRule="exact"/>
        <w:rPr>
          <w:rFonts w:ascii="Arial" w:cs="Arial" w:eastAsia="Arial" w:hAnsi="Arial"/>
          <w:sz w:val="17"/>
          <w:szCs w:val="17"/>
          <w:color w:val="auto"/>
        </w:rPr>
      </w:pPr>
    </w:p>
    <w:p>
      <w:pPr>
        <w:jc w:val="both"/>
        <w:ind w:right="160" w:firstLine="656"/>
        <w:spacing w:after="0" w:line="264" w:lineRule="auto"/>
        <w:tabs>
          <w:tab w:leader="none" w:pos="13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81" w:lineRule="exact"/>
        <w:rPr>
          <w:rFonts w:ascii="Arial" w:cs="Arial" w:eastAsia="Arial" w:hAnsi="Arial"/>
          <w:sz w:val="18"/>
          <w:szCs w:val="18"/>
          <w:color w:val="auto"/>
        </w:rPr>
      </w:pPr>
    </w:p>
    <w:p>
      <w:pPr>
        <w:ind w:right="40" w:firstLine="656"/>
        <w:spacing w:after="0" w:line="297" w:lineRule="auto"/>
        <w:tabs>
          <w:tab w:leader="none" w:pos="13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increase shall be taken into account for purposes of determining whether the Closing Price Per Share of the Common Stock equals or exceeds 110% of the Conversion Price in connection with an event which would otherwise be a Change in Control pursuant to Section 14.4. Whenever the Conversion Rate is increased pursuant to</w:t>
      </w:r>
    </w:p>
    <w:p>
      <w:pPr>
        <w:sectPr>
          <w:pgSz w:w="11900" w:h="16838" w:orient="portrait"/>
          <w:cols w:equalWidth="0" w:num="1">
            <w:col w:w="11420"/>
          </w:cols>
          <w:pgMar w:left="240" w:top="125" w:right="239" w:bottom="0" w:gutter="0" w:footer="0" w:header="0"/>
        </w:sectPr>
      </w:pPr>
    </w:p>
    <w:bookmarkStart w:id="63" w:name="page64"/>
    <w:bookmarkEnd w:id="63"/>
    <w:p>
      <w:pPr>
        <w:ind w:right="100"/>
        <w:spacing w:after="0" w:line="342" w:lineRule="auto"/>
        <w:rPr>
          <w:sz w:val="20"/>
          <w:szCs w:val="20"/>
          <w:color w:val="auto"/>
        </w:rPr>
      </w:pPr>
      <w:r>
        <w:rPr>
          <w:rFonts w:ascii="Arial" w:cs="Arial" w:eastAsia="Arial" w:hAnsi="Arial"/>
          <w:sz w:val="16"/>
          <w:szCs w:val="16"/>
          <w:color w:val="auto"/>
        </w:rPr>
        <w:t>the preceding sentence, the Company shall give notice of the increase to the Holders in the manner provided in Section 1.6 at least fifteen (15) days prior to the date the increased Conversion Rate takes effect, and such notice shall state the increased Conversion Rate and the period during which it will be in effect.</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Notwithstanding anything in this Section 12.4, if at any time the Company shall distribute shares of common stock of any Subsidiary to all holders of the Company’s Common Stock, the Company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elect to reserve a pro rata portion of such distribution for the benefit of the Holders of the Securities in lieu of adjusting the Conversion Price pursuant to the terms hereof.</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Notice of Adjustments of Conversion Rate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Whenever the Conversion Rate is adjusted as herein provided:</w:t>
      </w:r>
    </w:p>
    <w:p>
      <w:pPr>
        <w:spacing w:after="0" w:line="225" w:lineRule="exact"/>
        <w:rPr>
          <w:sz w:val="20"/>
          <w:szCs w:val="20"/>
          <w:color w:val="auto"/>
        </w:rPr>
      </w:pPr>
    </w:p>
    <w:p>
      <w:pPr>
        <w:ind w:right="140" w:firstLine="656"/>
        <w:spacing w:after="0" w:line="264" w:lineRule="auto"/>
        <w:tabs>
          <w:tab w:leader="none" w:pos="13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Rate in accordance with Section 12.4 and shall prepare a certificate signed by the Chief Financial Officer of the Company setting forth the adjusted Conversion Rate and showing in reasonable detail the facts upon which such adjustment is based, and such certificate shall promptly be filed with the Trustee and with each Conversion Agent; and</w:t>
      </w:r>
    </w:p>
    <w:p>
      <w:pPr>
        <w:spacing w:after="0" w:line="181" w:lineRule="exact"/>
        <w:rPr>
          <w:rFonts w:ascii="Arial" w:cs="Arial" w:eastAsia="Arial" w:hAnsi="Arial"/>
          <w:sz w:val="18"/>
          <w:szCs w:val="18"/>
          <w:color w:val="auto"/>
        </w:rPr>
      </w:pPr>
    </w:p>
    <w:p>
      <w:pPr>
        <w:ind w:right="20" w:firstLine="656"/>
        <w:spacing w:after="0" w:line="342" w:lineRule="auto"/>
        <w:tabs>
          <w:tab w:leader="none" w:pos="13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upon each such adjustment, a notice stating that the Conversion Rate has been adjusted and setting forth the adjusted Conversion Rate shall be required, and as soon as practicable after it is required, such notice shall be provided by the Company to all Holders in accordance with Section 1.6.</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Neither the Trustee nor any Conversion Agent shall be under any duty or responsibility with respect to any such certificate or the information and calculations contained therein, except to exhibit the same to any Holder of Securities desiring inspection thereof at its office during normal business hours, and shall not be deemed to have knowledge of any adjustment in the Conversion Rate unless and until a Responsible Officer of the Trustee shall have received such a certificate. Until a Responsible Officer of the Trustee receives such a certificate, the Trustee and each Conversion Agent may assume without inquiry that the last Conversion Rate of which the Trustee has knowledge of remains in effect.</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Notice of Certain Corporate Action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ind w:right="40" w:firstLine="656"/>
        <w:spacing w:after="0" w:line="277"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(i) otherwise than exclusively in cash or (ii) exclusively in cash in an amount that would require any adjustment pursuant to Section 12.4; or</w:t>
      </w:r>
    </w:p>
    <w:p>
      <w:pPr>
        <w:spacing w:after="0" w:line="170" w:lineRule="exact"/>
        <w:rPr>
          <w:rFonts w:ascii="Arial" w:cs="Arial" w:eastAsia="Arial" w:hAnsi="Arial"/>
          <w:sz w:val="18"/>
          <w:szCs w:val="18"/>
          <w:color w:val="auto"/>
        </w:rPr>
      </w:pPr>
    </w:p>
    <w:p>
      <w:pPr>
        <w:ind w:right="380" w:firstLine="656"/>
        <w:spacing w:after="0" w:line="277"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or</w:t>
      </w:r>
    </w:p>
    <w:p>
      <w:pPr>
        <w:spacing w:after="0" w:line="170" w:lineRule="exact"/>
        <w:rPr>
          <w:rFonts w:ascii="Arial" w:cs="Arial" w:eastAsia="Arial" w:hAnsi="Arial"/>
          <w:sz w:val="18"/>
          <w:szCs w:val="18"/>
          <w:color w:val="auto"/>
        </w:rPr>
      </w:pPr>
    </w:p>
    <w:p>
      <w:pPr>
        <w:ind w:right="200" w:firstLine="656"/>
        <w:spacing w:after="0" w:line="264"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any reclassification of the Common Stock, or of any consolidation, merger or share exchange to which the Company is a party and for which approval of any stockholders of the Company is required, or of the conveyance, sale, transfer or lease of all or substantially all of the assets of the Company;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hanging="704"/>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then the Company shall cause to be filed at each office or agency maintained for the purpose of conversion of Securities pursuant to Section 10.2, and shall cause to be provided to all Holders in accordance with Section 1.6, at least 20 days (or 10 days in any case specified in clause (1) or (2) above) prior to the applicable record or effective date hereinafter specified, a notice stating (x)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(y) the date on which such reclassification, consolidation, merger, conveyance, transfer, sale, lease,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conveyance, transfer, sale, lease, dissolution, liquidation or winding up. Neither the failure to give such notice or the notice referred to in the following paragraph nor any defect therein shall affect the legality or validity of the proceedings described in clauses (1) through (4) of this Section 12.6. If at the time the Trustee shall not be the conversion agent, a copy of such notice shall also forthwith be filed by the Company with the Trustee.</w:t>
      </w:r>
    </w:p>
    <w:p>
      <w:pPr>
        <w:spacing w:after="0" w:line="16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shall cause to be filed at the Corporate Trust Office and each office or agency maintained for the purpose of conversion of Securities pursuant to Section 10.2, and shall cause to be provided to all Holders in accordance with Section 1.6, notice of any tender offer by the Company or any Subsidiary for all or any portion of the Common Stock at or about the time that such notice of tender offer is provided to the public generally.</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u w:val="single" w:color="auto"/>
          <w:color w:val="auto"/>
        </w:rPr>
        <w:t>Company to Reserve Common Stock</w:t>
      </w:r>
      <w:r>
        <w:rPr>
          <w:rFonts w:ascii="Arial" w:cs="Arial" w:eastAsia="Arial" w:hAnsi="Arial"/>
          <w:sz w:val="16"/>
          <w:szCs w:val="16"/>
          <w:color w:val="auto"/>
        </w:rPr>
        <w:t>.</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u w:val="single" w:color="auto"/>
          <w:color w:val="auto"/>
        </w:rPr>
        <w:t>Taxes on Conversions</w:t>
      </w:r>
      <w:r>
        <w:rPr>
          <w:rFonts w:ascii="Arial" w:cs="Arial" w:eastAsia="Arial" w:hAnsi="Arial"/>
          <w:sz w:val="16"/>
          <w:szCs w:val="16"/>
          <w:color w:val="auto"/>
        </w:rPr>
        <w:t>.</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Except as provided in the next sentence, the Company will pay any and all taxes and duties that may be payable in respect of the issue or delivery of shares of Common Stock on conversion of Securities pursuant hereto. The Company shall not, however, be required to pay any tax or duty that may be payable in respect of (i) income of the Holder, or (ii) any transfer involved in the issue and delivery of shares of Common Stock in a name other than that of the Holder</w:t>
      </w:r>
    </w:p>
    <w:p>
      <w:pPr>
        <w:sectPr>
          <w:pgSz w:w="11900" w:h="16838" w:orient="portrait"/>
          <w:cols w:equalWidth="0" w:num="1">
            <w:col w:w="11420"/>
          </w:cols>
          <w:pgMar w:left="240" w:top="125" w:right="239" w:bottom="0" w:gutter="0" w:footer="0" w:header="0"/>
        </w:sectPr>
      </w:pPr>
    </w:p>
    <w:bookmarkStart w:id="64" w:name="page65"/>
    <w:bookmarkEnd w:id="64"/>
    <w:p>
      <w:pPr>
        <w:ind w:right="360"/>
        <w:spacing w:after="0" w:line="342" w:lineRule="auto"/>
        <w:rPr>
          <w:sz w:val="20"/>
          <w:szCs w:val="20"/>
          <w:color w:val="auto"/>
        </w:rPr>
      </w:pPr>
      <w:r>
        <w:rPr>
          <w:rFonts w:ascii="Arial" w:cs="Arial" w:eastAsia="Arial" w:hAnsi="Arial"/>
          <w:sz w:val="16"/>
          <w:szCs w:val="16"/>
          <w:color w:val="auto"/>
        </w:rPr>
        <w:t>of the Security or Securities to be converted,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Covenant as to Common Stock</w:t>
      </w:r>
      <w:r>
        <w:rPr>
          <w:rFonts w:ascii="Arial" w:cs="Arial" w:eastAsia="Arial" w:hAnsi="Arial"/>
          <w:sz w:val="16"/>
          <w:szCs w:val="16"/>
          <w:color w:val="auto"/>
        </w:rPr>
        <w:t>.</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agrees that all shares of Common Stock that may be delivered upon conversion of Securities, upon such delivery, will have been duly authorized and validly issued and will be fully paid and nonassessable and, except as provided in Section 12.8, the Company will pay all taxes, liens and charges with respect to the issue thereof.</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Cancellation of Converted Securities</w:t>
      </w:r>
      <w:r>
        <w:rPr>
          <w:rFonts w:ascii="Arial" w:cs="Arial" w:eastAsia="Arial" w:hAnsi="Arial"/>
          <w:sz w:val="16"/>
          <w:szCs w:val="16"/>
          <w:color w:val="auto"/>
        </w:rPr>
        <w: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Securities delivered for conversion shall be delivered to the Trustee or its agent to be canceled by or at the direction of the Trustee, which shall dispose of the same as provided in Section 3.9.</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Provision in Case of Consolidation, Merger or Sale of Assets</w:t>
      </w:r>
      <w:r>
        <w:rPr>
          <w:rFonts w:ascii="Arial" w:cs="Arial" w:eastAsia="Arial" w:hAnsi="Arial"/>
          <w:sz w:val="16"/>
          <w:szCs w:val="16"/>
          <w:color w:val="auto"/>
        </w:rPr>
        <w:t>.</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that does not result in any reclassification, conversion, exchange or cancellation of outstanding shares of Common Stock of the Company) or any conveyance, sale, transfer or lease of all or substantially all of the assets of the Company (other than a sale of all or substantially all of the assets of the Company that does not result in any reclassification, conversion, exchange or cancellation of outstanding shares of Common Stock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 be convertible as specified in Section 12.1,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a Person with which the Company consolidated or merged with or into or which merged into or with the Company or to which such conveyance, sale, transfer or lease was made, as the case may be (a “Constituent Person”), or (B)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12.11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that, for events subsequent to the effective date of such supplemental indenture, shall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nearly equivalent as may be practicable to the adjustments provided for in this Article. The above provisions of this Section 12.11 shall similarly apply to successive consolidations, mergers, conveyances, sales, transfers or leases. Notice of the execution of such a supplemental indenture shall be given by the Company to the Holder of each Security as provided in Section 1.6 promptly upon such execution.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or cash receivable by Holders of Securities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u w:val="single" w:color="auto"/>
          <w:color w:val="auto"/>
        </w:rPr>
        <w:t>Rights Issued in Respect of Common Stock</w:t>
      </w:r>
      <w:r>
        <w:rPr>
          <w:rFonts w:ascii="Arial" w:cs="Arial" w:eastAsia="Arial" w:hAnsi="Arial"/>
          <w:sz w:val="16"/>
          <w:szCs w:val="16"/>
          <w:color w:val="auto"/>
        </w:rPr>
        <w:t>.</w:t>
      </w:r>
    </w:p>
    <w:p>
      <w:pPr>
        <w:spacing w:after="0" w:line="225"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Rights or warrants distributed by the Company to all holders of Common Stock entitling the holders thereof to subscribe for or purchase shares of the Company’s capital stock (either initially or under certain circumstances), which rights or warrants, until the occurrence of a specified event or events (“Trigger Event”):</w:t>
      </w:r>
    </w:p>
    <w:p>
      <w:pPr>
        <w:spacing w:after="0" w:line="181" w:lineRule="exact"/>
        <w:rPr>
          <w:sz w:val="20"/>
          <w:szCs w:val="20"/>
          <w:color w:val="auto"/>
        </w:rPr>
      </w:pPr>
    </w:p>
    <w:p>
      <w:pPr>
        <w:ind w:left="1980" w:hanging="351"/>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deemed to be transferred with such shares of Common Stock;</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exercisable; and</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also issued in respect of future issuances of Common Stock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shall not be deemed distributed for purposes of Section 12.4(2) until the occurrence of the earliest Trigger Event. In addition, in the event of any distribution of rights or warrants, or any Trigger Event with respect thereto, that shall have resulted in an adjustment to the Conversion Rate under Section 12.4(2),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 (2) in the case of any such rights or warrants all of which shall have expired without exercise by any holder thereof, the Conversion Price shall be readjusted as if such issuance had not occurred.</w:t>
      </w:r>
    </w:p>
    <w:p>
      <w:pPr>
        <w:spacing w:after="0" w:line="19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u w:val="single" w:color="auto"/>
          <w:color w:val="auto"/>
        </w:rPr>
        <w:t>Responsibility of Trustee for Conversion Provisions</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65" w:name="page66"/>
    <w:bookmarkEnd w:id="65"/>
    <w:p>
      <w:pPr>
        <w:ind w:right="360"/>
        <w:spacing w:after="0" w:line="342" w:lineRule="auto"/>
        <w:rPr>
          <w:sz w:val="20"/>
          <w:szCs w:val="20"/>
          <w:color w:val="auto"/>
        </w:rPr>
      </w:pPr>
      <w:r>
        <w:rPr>
          <w:rFonts w:ascii="Arial" w:cs="Arial" w:eastAsia="Arial" w:hAnsi="Arial"/>
          <w:sz w:val="16"/>
          <w:szCs w:val="16"/>
          <w:color w:val="auto"/>
        </w:rPr>
        <w:t>The Trustee, subject to the provisions of Section 6.1, and any Conversion Agent shall not at any time be under any duty or responsibility to any Holder of Securities to determine whether any facts exist which may require any adjustment of the Conversion Rate, or with respect to the nature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extent of any such adjustment when made, or with respect to the method employed, herein or in any supplemental indenture provided to be employed, in making the same, or whether a supplemental indenture need be entered into. Neither the Trustee, subject to the provisions of Section 6.1, nor any Conversion Agent shall be accountable with respect to the validity or value (or the kind or amount) of any Common Stock, or of any other securities or property or cash, which may at any time be issued or delivered upon the conversion of any Security; and it or they do not make any representation with respect thereto. Neither the Trustee, subject to the provisions of Section 6.1, nor any Conversion Agent shall be responsible for any failure of the Company to make or calculate any cash payment or to issue, transfer or deliver any shares of Common Stock or share certificates or other securities or property or cash upon the surrender of any Security for the purpose of conversion; and the Trustee, subject to the provisions of Section 6.1, and any Conversion Agent shall not be responsible for any failure of the Company to comply with any of the covenants of the Company contained in this Article.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u w:val="single" w:color="auto"/>
          <w:color w:val="auto"/>
        </w:rPr>
        <w:t>Securities Subordinate to Senior Debt</w:t>
      </w:r>
      <w:r>
        <w:rPr>
          <w:rFonts w:ascii="Arial" w:cs="Arial" w:eastAsia="Arial" w:hAnsi="Arial"/>
          <w:sz w:val="16"/>
          <w:szCs w:val="16"/>
          <w:color w:val="auto"/>
        </w:rPr>
        <w:t>.</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covenants and agrees, and each Holder of a Security, by its acceptance thereof, likewise covenants and agrees, that, to the extent and in the manner hereinafter set forth in this Article, the indebtedness represented by the Securities and the payment of the principal of, premium, if any, and interest (including Liquidated Damages, if any) on each and all of the Securities or on account of the repurchase or redemption of the Securities are hereby expressly made subordinate and subject in right of payment to the prior payment in full of all Senior Debt. Notwithstanding the foregoing, this Article XIII shall not apply to the application of any amounts deposited with the Trustee or any Paying Agent pursuant to Article IV that at the time such amounts were deposited with the Trustee or Paying Agent, as the case may be, such deposits were not prohibited by the provisions of this Article XIII (“Previous Payments”).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expressions “prior payment in full,” “payment in full” and “paid in full” and any other similar term or phrase when used in this Article XIII with respect to Senior Debt shall mean in the case of Senior Debt consisting of contingent obligations the setting apart of cash or other payment acceptable to holders of such Senior Debt sufficient to discharge such portion of Senior Debt in an account for the exclusive benefit of the holders thereof, in which account such holders shall be granted by the Company a first priority perfected security interest, which first priority perfected security interest shall have been retained by the holders of Senior Debt for a period of time in excess of all applicable preference or other similar periods, if any, under applicable bankruptcy, insolvency or creditors' rights laws.</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6"/>
          <w:szCs w:val="16"/>
          <w:u w:val="single" w:color="auto"/>
          <w:color w:val="auto"/>
        </w:rPr>
        <w:t>Payment Over of Proceeds Upon Dissolution, Etc</w:t>
      </w:r>
      <w:r>
        <w:rPr>
          <w:rFonts w:ascii="Arial" w:cs="Arial" w:eastAsia="Arial" w:hAnsi="Arial"/>
          <w:sz w:val="16"/>
          <w:szCs w:val="16"/>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 any insolvency or bankruptcy case or proceeding, or any receivership, liquidation, reorganization, debt restructuring or other similar case or proceeding in connection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Debt shall be entitled to receive payment in full of all amounts due or to become due on or in respect of all Senior Debt in cash or other payment satisfactory to the holders of Senior Debt before the Holders of the Securities are entitled to receive any payment on account of principal of, or any premium or interest (including Liquidated Damages, if any) on, the Securities or on account of the repurchase or redemption on the Securities (other than Previous Payments), and to that end the holders of Senior Debt or their representative or representatives or the trustee or trustees under any indenture under which any instruments evidencing any of such Senior Debt may have been issued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 to the extent necessary to pay all Senior Debt in full in cash or other payment satisfactory to the holders of Senior Debt, after giving effect to any concurrent payment or distribution to or for the holders of other Senior Debt.</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notwithstanding the foregoing provisions of this Section, the Trustee or the Holder of any Security shall have received any payment or distribution of assets of the Company of any kind or character, whether in cash, property or securities, before all Senior Debt is paid in full in cash or other payment satisfactory to the holders of Senior Debt,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all Senior Debt in full, after giving effect to any concurrent payment or distribution to or for the holders of Senior Debt.</w:t>
      </w:r>
    </w:p>
    <w:p>
      <w:pPr>
        <w:spacing w:after="0" w:line="19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For purposes of this Article XIII only, the words “cash, property or securities” shall not be deemed to include shares of stock of the Company as reorganized or readjusted, or securities of the Company or any other corporation provided for by a plan of reorganization or readjustment which are subordinated in right of payment to all Senior Debt which may at the time be outstanding to substantially the same extent as, or to a greater extent than, the Securities are so subordinated as provided in this Article.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VII shall not be deemed a dissolution, winding up, liquidation, reorganization, assignment for the benefit of creditors or marshaling of assets and liabilities of the Company for the purposes of this Section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VII.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6" w:name="page67"/>
    <w:bookmarkEnd w:id="66"/>
    <w:p>
      <w:pPr>
        <w:spacing w:after="0"/>
        <w:tabs>
          <w:tab w:leader="none" w:pos="196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u w:val="single" w:color="auto"/>
          <w:color w:val="auto"/>
        </w:rPr>
        <w:t>Prior Payment to Senior Debt Upon Acceleration of Securities</w:t>
      </w:r>
      <w:r>
        <w:rPr>
          <w:rFonts w:ascii="Arial" w:cs="Arial" w:eastAsia="Arial" w:hAnsi="Arial"/>
          <w:sz w:val="16"/>
          <w:szCs w:val="16"/>
          <w:color w:val="auto"/>
        </w:rPr>
        <w: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event that any Securities are declared due and payable before their Stated Maturity, then and in such event the holders of the Senior Debt outstanding at the time such Securities so become due and payable shall be entitled to receive payment in full in cash or other payment satisfactory to the holders of Senior Debt of all amounts due or to become due on or in respect of all Senior Debt before the Holders of the Securities are entitled to receive any payment by the Company on account of the principal of or any premium or interest (including Liquidated Damages, if any) on the Securities or on account of the repurchase or redemption on the Securities (other than Previous Payments). If the payment of Securities is accelerated because of an Event of Default, the Company and the Trustee shall promptly notify holders of Senior Debt of the acceleration.</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not apply to any payment with respect to which Section 13.2 would be applicable.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u w:val="single" w:color="auto"/>
          <w:color w:val="auto"/>
        </w:rPr>
        <w:t>No Payment in Certain Circumstances</w:t>
      </w:r>
      <w:r>
        <w:rPr>
          <w:rFonts w:ascii="Arial" w:cs="Arial" w:eastAsia="Arial" w:hAnsi="Arial"/>
          <w:sz w:val="16"/>
          <w:szCs w:val="16"/>
          <w:color w:val="auto"/>
        </w:rPr>
        <w: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may not make any payment of principal of, or premium, if any, or interest (including Liquidated Damages, if any) on the Securities or on account of the repurchase or redemption on the Securities (other than Previous Payments), if:</w:t>
      </w:r>
    </w:p>
    <w:p>
      <w:pPr>
        <w:spacing w:after="0" w:line="170" w:lineRule="exact"/>
        <w:rPr>
          <w:sz w:val="20"/>
          <w:szCs w:val="20"/>
          <w:color w:val="auto"/>
        </w:rPr>
      </w:pPr>
    </w:p>
    <w:p>
      <w:pPr>
        <w:ind w:left="660" w:right="260" w:firstLine="888"/>
        <w:spacing w:after="0" w:line="279" w:lineRule="auto"/>
        <w:tabs>
          <w:tab w:leader="none" w:pos="199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default in the payment of principal, premium, if any, or interest (including a default under any redemption or repurchase obligation) or other amounts with respect to any Senior Debt occurs and is continuing (or, in the case of Senior Debt for which there is a period of grace, in the event of such a default that continues beyond the period of grace, if any, specified in the instrument or lease evidencing such Senior Debt) unless and until such default shall have been cured or waived or shall have ceased to exist; or</w:t>
      </w:r>
    </w:p>
    <w:p>
      <w:pPr>
        <w:spacing w:after="0" w:line="171" w:lineRule="exact"/>
        <w:rPr>
          <w:rFonts w:ascii="Arial" w:cs="Arial" w:eastAsia="Arial" w:hAnsi="Arial"/>
          <w:sz w:val="17"/>
          <w:szCs w:val="17"/>
          <w:color w:val="auto"/>
        </w:rPr>
      </w:pPr>
    </w:p>
    <w:p>
      <w:pPr>
        <w:jc w:val="both"/>
        <w:ind w:left="660" w:right="60" w:firstLine="888"/>
        <w:spacing w:after="0" w:line="264" w:lineRule="auto"/>
        <w:tabs>
          <w:tab w:leader="none" w:pos="19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the Company, a holder of such Designated Senior Debt or a Representative of such Designated Senior Debt.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may and shall resume payments on and distributions in respect of the Securities and may repurchase or redeem on the Securities, upon the earlier of:</w:t>
      </w:r>
    </w:p>
    <w:p>
      <w:pPr>
        <w:spacing w:after="0" w:line="170"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 default referred to in clause (i) above, the date upon which the default is cured or waived or ceases to exist, or</w:t>
      </w:r>
    </w:p>
    <w:p>
      <w:pPr>
        <w:spacing w:after="0" w:line="225" w:lineRule="exact"/>
        <w:rPr>
          <w:rFonts w:ascii="Arial" w:cs="Arial" w:eastAsia="Arial" w:hAnsi="Arial"/>
          <w:sz w:val="18"/>
          <w:szCs w:val="18"/>
          <w:color w:val="auto"/>
        </w:rPr>
      </w:pPr>
    </w:p>
    <w:p>
      <w:pPr>
        <w:ind w:right="200" w:firstLine="8"/>
        <w:spacing w:after="0" w:line="277"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 default referred to in clause (ii) above, upon the earlier of (A) when the default is cured, waived or ceases to exist, or (B) 179 days pass after the Payment Blockage Notice is received,</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unless this Article XIII otherwise prohibits the payment, distribution, repurchase or redemption at the time of such payment at the time of such payment, distribution, repurchase or redemption (including, without limitation, in the case of a default referred to in clause (ii) above, as a result of a payment default with respect to the applicable Senior Debt as a consequence of the acceleration of the maturity thereof or otherwise).</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not apply to any payment with respect to which Section 13.2 would be applicable.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u w:val="single" w:color="auto"/>
          <w:color w:val="auto"/>
        </w:rPr>
        <w:t>Payment Permitted if No Default</w:t>
      </w:r>
      <w:r>
        <w:rPr>
          <w:rFonts w:ascii="Arial" w:cs="Arial" w:eastAsia="Arial" w:hAnsi="Arial"/>
          <w:sz w:val="16"/>
          <w:szCs w:val="16"/>
          <w:color w:val="auto"/>
        </w:rPr>
        <w: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Nothing contained in this Article or elsewhere in this Indenture or in any of the Securities shall prevent (a) the Company, at any time except during the pendency of any case, proceeding, dissolution, liquidation or other winding up, debt restructuring, assignment for the benefit of creditors or other marshaling of assets and liabilities of the Company referred to in Section 13.2 or under the conditions described in Section 13.3 or 13.4, from making payments at any time of principal of and any premium or interest (including Liquidated Damages, if any) on the Securities or on account of the repurchase or redemption of Securities, or (b) the application by the Trustee of any money deposited with it hereunder to the payment of or on account of the principal of and any premium or interest (including Liquidated Damages, if any) on the Securities or on account of the repurchase or redemption of Securities or the retention of such payment by the Holders, if, at the time of such application by the Trustee, it did not have knowledge that such payment would have been prohibited by the provisions of this Article.</w:t>
      </w:r>
    </w:p>
    <w:p>
      <w:pPr>
        <w:spacing w:after="0" w:line="19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13.6</w:t>
      </w:r>
      <w:r>
        <w:rPr>
          <w:sz w:val="20"/>
          <w:szCs w:val="20"/>
          <w:color w:val="auto"/>
        </w:rPr>
        <w:tab/>
      </w:r>
      <w:r>
        <w:rPr>
          <w:rFonts w:ascii="Arial" w:cs="Arial" w:eastAsia="Arial" w:hAnsi="Arial"/>
          <w:sz w:val="16"/>
          <w:szCs w:val="16"/>
          <w:u w:val="single" w:color="auto"/>
          <w:color w:val="auto"/>
        </w:rPr>
        <w:t>Subrogation to Rights of Holders of Senior Debt</w:t>
      </w:r>
      <w:r>
        <w:rPr>
          <w:rFonts w:ascii="Arial" w:cs="Arial" w:eastAsia="Arial" w:hAnsi="Arial"/>
          <w:sz w:val="16"/>
          <w:szCs w:val="16"/>
          <w:color w:val="auto"/>
        </w:rPr>
        <w:t>.</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Subject to the payment in full of all Senior Debt, the Holders of the Securities shall be subrogated to the rights of the holders of such Senior Debt to receive payments and distributions of cash, property and securities applicable to the Senior Debt until the principal of and any premium and interest (including Liquidated Damages, if any) on the Securities shall be paid in full.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67" w:name="page68"/>
    <w:bookmarkEnd w:id="67"/>
    <w:p>
      <w:pPr>
        <w:ind w:right="280"/>
        <w:spacing w:after="0" w:line="279" w:lineRule="auto"/>
        <w:rPr>
          <w:sz w:val="20"/>
          <w:szCs w:val="20"/>
          <w:color w:val="auto"/>
        </w:rPr>
      </w:pPr>
      <w:r>
        <w:rPr>
          <w:rFonts w:ascii="Arial" w:cs="Arial" w:eastAsia="Arial" w:hAnsi="Arial"/>
          <w:sz w:val="17"/>
          <w:szCs w:val="17"/>
          <w:color w:val="auto"/>
        </w:rPr>
        <w:t>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its creditors other than holders of Senior Debt and the Holders of the Securities, be deemed to be a payment or distribution by the Company to or on account of the Senior Debt.</w:t>
      </w:r>
    </w:p>
    <w:p>
      <w:pPr>
        <w:spacing w:after="0" w:line="17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u w:val="single" w:color="auto"/>
          <w:color w:val="auto"/>
        </w:rPr>
        <w:t>Provisions Solely to Define Relative Rights</w:t>
      </w:r>
      <w:r>
        <w:rPr>
          <w:rFonts w:ascii="Arial" w:cs="Arial" w:eastAsia="Arial" w:hAnsi="Arial"/>
          <w:sz w:val="16"/>
          <w:szCs w:val="16"/>
          <w:color w:val="auto"/>
        </w:rPr>
        <w:t>.</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provisions of this Article are and are intended solely for the purpose of defining the relative rights of the Holders of the Securities on the one hand and the holders of Senior Debt on the other hand. Nothing contained in this Article or elsewhere in this Indenture or in the Securities is intended to or shall (a) impair, as among the Company, its creditors other than holders of Senior Debt and the Holders of the Securities, the obligation of the Company, which is absolute and unconditional, to pay to the Holders of the Securities the principal of and any premium and interest (including Liquidated Damages, if any) on the Securities as and when the same shall become due and payable in accordance with their terms; or (b) affect the relative rights against the Company of the Holders of the Securities and creditors of the Company other than the holders of Senior Debt; or (c)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13.8</w:t>
      </w:r>
      <w:r>
        <w:rPr>
          <w:sz w:val="20"/>
          <w:szCs w:val="20"/>
          <w:color w:val="auto"/>
        </w:rPr>
        <w:tab/>
      </w:r>
      <w:r>
        <w:rPr>
          <w:rFonts w:ascii="Arial" w:cs="Arial" w:eastAsia="Arial" w:hAnsi="Arial"/>
          <w:sz w:val="16"/>
          <w:szCs w:val="16"/>
          <w:u w:val="single" w:color="auto"/>
          <w:color w:val="auto"/>
        </w:rPr>
        <w:t>Trustee to Effectuate Subordination</w:t>
      </w:r>
      <w:r>
        <w:rPr>
          <w:rFonts w:ascii="Arial" w:cs="Arial" w:eastAsia="Arial" w:hAnsi="Arial"/>
          <w:sz w:val="16"/>
          <w:szCs w:val="16"/>
          <w:color w:val="auto"/>
        </w:rPr>
        <w:t>.</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13.9</w:t>
      </w:r>
      <w:r>
        <w:rPr>
          <w:sz w:val="20"/>
          <w:szCs w:val="20"/>
          <w:color w:val="auto"/>
        </w:rPr>
        <w:tab/>
      </w:r>
      <w:r>
        <w:rPr>
          <w:rFonts w:ascii="Arial" w:cs="Arial" w:eastAsia="Arial" w:hAnsi="Arial"/>
          <w:sz w:val="16"/>
          <w:szCs w:val="16"/>
          <w:u w:val="single" w:color="auto"/>
          <w:color w:val="auto"/>
        </w:rPr>
        <w:t>No Waiver of Subordination Provisions</w:t>
      </w:r>
      <w:r>
        <w:rPr>
          <w:rFonts w:ascii="Arial" w:cs="Arial" w:eastAsia="Arial" w:hAnsi="Arial"/>
          <w:sz w:val="16"/>
          <w:szCs w:val="16"/>
          <w:color w:val="auto"/>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Without in any way limiting the generality of the foregoing paragraph, the holders of Senior Debt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 (i) change the manner, place or terms of payment or extend the time of payment of, or renew or alter, Senior Debt, or otherwise amend or supplement in any manner Senior Debt or any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evidencing the same or any agreement under which Senior Debt is outstanding; (ii) sell, exchange, release or otherwise dispose of any property pledged, mortgaged or otherwise securing Senior Debt; (iii) release any Person liable in any manner for the collection of Senior Debt; and (iv) exercise or refrain from exercising any rights against the Company and any other Person.</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or from any trustee or other Representative therefor; and, prior to the receipt of any such written notice, the Trustee, subject to the provisions of Section 6.1, shall be entitled in all respects to assume that no such facts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Trustee shall not have received the notice provided for in this Section by at least 12:00 noon New York City time one Business Day prior to the date upon which by the terms hereof any money may become payable for any purpose (including, without limitation, the payment of the principal of and any premium or interest (including Liquidated Damages, if any)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after 12:00 noon New York City time one Business Day prior to such date.</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provisions of Section 6.1, the Trustee shall be entitled to rely on the delivery to it of a written notice by a Person representing himself to be a holder of Senior Debt (or a trustee or other Representative therefor) to establish that such notice has been given by a holder of Senior Debt (or a trustee or other Representative therefor). In the event that the Trustee determines in good faith that further evidence is required with respect to the right of any Person as a holder of Senior Debt to participate in any payment or distribution pursuant to this Article XIII,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XIII, and if such evidence is not furnished, the Trustee may defer any payment to such Person pending judicial determination as to the right of such Person to receive such payment.</w:t>
      </w:r>
    </w:p>
    <w:p>
      <w:pPr>
        <w:spacing w:after="0" w:line="16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u w:val="single" w:color="auto"/>
          <w:color w:val="auto"/>
        </w:rPr>
        <w:t>Reliance on Judicial Order or Certificate of Liquidating Agent</w:t>
      </w:r>
      <w:r>
        <w:rPr>
          <w:rFonts w:ascii="Arial" w:cs="Arial" w:eastAsia="Arial" w:hAnsi="Arial"/>
          <w:sz w:val="16"/>
          <w:szCs w:val="16"/>
          <w:color w:val="auto"/>
        </w:rPr>
        <w: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any payment or distribution of assets of the Company referred to in this Article, the Trustee, subject to the provisions of Section 6.1,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81" w:gutter="0" w:footer="0" w:header="0"/>
        </w:sectPr>
      </w:pPr>
    </w:p>
    <w:bookmarkStart w:id="68" w:name="page69"/>
    <w:bookmarkEnd w:id="68"/>
    <w:p>
      <w:pPr>
        <w:spacing w:after="0" w:line="259" w:lineRule="auto"/>
        <w:rPr>
          <w:sz w:val="20"/>
          <w:szCs w:val="20"/>
          <w:color w:val="auto"/>
        </w:rPr>
      </w:pPr>
      <w:r>
        <w:rPr>
          <w:rFonts w:ascii="Arial" w:cs="Arial" w:eastAsia="Arial" w:hAnsi="Arial"/>
          <w:sz w:val="18"/>
          <w:szCs w:val="18"/>
          <w:color w:val="auto"/>
        </w:rPr>
        <w:t>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and other indebtedness of the Company, the amount thereof or payable thereon, the amount or amounts paid or distributed thereon and all other facts pertinent thereto or to this Article XIII.</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u w:val="single" w:color="auto"/>
          <w:color w:val="auto"/>
        </w:rPr>
        <w:t>Trustee Not Fiduciary for Holders of Senior Debt</w:t>
      </w:r>
      <w:r>
        <w:rPr>
          <w:rFonts w:ascii="Arial" w:cs="Arial" w:eastAsia="Arial" w:hAnsi="Arial"/>
          <w:sz w:val="16"/>
          <w:szCs w:val="16"/>
          <w:color w:val="auto"/>
        </w:rPr>
        <w: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Trustee, in its capacity as trustee under this Indenture, shall not be deemed to owe any fiduciary duty to the holders of Senior Debt and shall not be liable to any such holders if it shall in good faith mistakenly pay over or distribute to Holders of Securities or to the Company or to any other Person cash, property or securities to which any holders of Senior Debt shall be entitled by virtue of this Article or otherwise.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u w:val="single" w:color="auto"/>
          <w:color w:val="auto"/>
        </w:rPr>
        <w:t>Rights of Trustee as Holder of Senior Debt; Preservation of Trustee’s Rights</w:t>
      </w:r>
      <w:r>
        <w:rPr>
          <w:rFonts w:ascii="Arial" w:cs="Arial" w:eastAsia="Arial" w:hAnsi="Arial"/>
          <w:sz w:val="16"/>
          <w:szCs w:val="16"/>
          <w:color w:val="auto"/>
        </w:rPr>
        <w:t>.</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6.7.</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u w:val="single" w:color="auto"/>
          <w:color w:val="auto"/>
        </w:rPr>
        <w:t>Article Applicable to Paying Agents</w:t>
      </w:r>
      <w:r>
        <w:rPr>
          <w:rFonts w:ascii="Arial" w:cs="Arial" w:eastAsia="Arial" w:hAnsi="Arial"/>
          <w:sz w:val="16"/>
          <w:szCs w:val="16"/>
          <w:color w:val="auto"/>
        </w:rPr>
        <w: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Section 13.12 shall not apply to the Company or any Affiliate of the Company if it or such Affiliate acts as Paying Agent.</w:t>
      </w:r>
    </w:p>
    <w:p>
      <w:pPr>
        <w:spacing w:after="0" w:line="17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u w:val="single" w:color="auto"/>
          <w:color w:val="auto"/>
        </w:rPr>
        <w:t>Obligations of Company and Right to Convert Unconditional</w:t>
      </w:r>
      <w:r>
        <w:rPr>
          <w:rFonts w:ascii="Arial" w:cs="Arial" w:eastAsia="Arial" w:hAnsi="Arial"/>
          <w:sz w:val="16"/>
          <w:szCs w:val="16"/>
          <w:color w:val="auto"/>
        </w:rPr>
        <w: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Nothing contained in this Article XIII or elsewhere in this Indenture or in the Securities is intended to or shall impair, as among the Company, its creditors other than holders of Senior Debt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affect the relative rights of the Holders of the Securities and creditors of the Company other than the holders of Senior Debt, nor shall anything herein or therein prevent the Trustee or the Holder of any Securities from exercising all remedies otherwise permitted by applicable law upon default under this Indenture, subject to the rights, if any, under this Article of the holders of Senior Debt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respect of cash, property or securities of the Company received upon the exercise of any such remedy.</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Nothing contained in this Article or elsewhere in this Indenture or in the Securities is intended to or shall impair, as among the Company, its creditors other than holders of Senior Debt and the Holders of the Securities, the right, which is absolute and unconditional, of the Holder of any Security to convert such Security in accordance with Article XII (if applicable).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13.16</w:t>
      </w:r>
      <w:r>
        <w:rPr>
          <w:sz w:val="20"/>
          <w:szCs w:val="20"/>
          <w:color w:val="auto"/>
        </w:rPr>
        <w:tab/>
      </w:r>
      <w:r>
        <w:rPr>
          <w:rFonts w:ascii="Arial" w:cs="Arial" w:eastAsia="Arial" w:hAnsi="Arial"/>
          <w:sz w:val="16"/>
          <w:szCs w:val="16"/>
          <w:u w:val="single" w:color="auto"/>
          <w:color w:val="auto"/>
        </w:rPr>
        <w:t>Reliance by Holders of Senior Debt on Subordination Provisions</w:t>
      </w:r>
      <w:r>
        <w:rPr>
          <w:rFonts w:ascii="Arial" w:cs="Arial" w:eastAsia="Arial" w:hAnsi="Arial"/>
          <w:sz w:val="16"/>
          <w:szCs w:val="16"/>
          <w:color w:val="auto"/>
        </w:rPr>
        <w: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Each Holder by accepting a Security acknowledges and agrees that the foregoing subordination provisions are, and are intended to be, an inducement and a consideration to each holder of any Senior Debt, whether such Senior Debt was created or acquired before or after the issuance of the Securities, to acquire and continue to hold, or to continue to hold, such Senior Debt and such holder of Senior Debt shall be deemed conclusively to have relied on such subordination provisions in acquiring and continuing to hold, or in continuing to hold, such Senior Debt, and no amendment or modification of the provisions contained herein shall diminish the rights of such holders of Senior Debt unless such holders shall have agreed in writing hereto.</w:t>
      </w:r>
    </w:p>
    <w:p>
      <w:pPr>
        <w:spacing w:after="0" w:line="15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13.17</w:t>
      </w:r>
      <w:r>
        <w:rPr>
          <w:sz w:val="20"/>
          <w:szCs w:val="20"/>
          <w:color w:val="auto"/>
        </w:rPr>
        <w:tab/>
      </w:r>
      <w:r>
        <w:rPr>
          <w:rFonts w:ascii="Arial" w:cs="Arial" w:eastAsia="Arial" w:hAnsi="Arial"/>
          <w:sz w:val="15"/>
          <w:szCs w:val="15"/>
          <w:u w:val="single" w:color="auto"/>
          <w:color w:val="auto"/>
        </w:rPr>
        <w:t>Certain Conversions and Repurchases Deemed Payment</w:t>
      </w:r>
      <w:r>
        <w:rPr>
          <w:rFonts w:ascii="Arial" w:cs="Arial" w:eastAsia="Arial" w:hAnsi="Arial"/>
          <w:sz w:val="15"/>
          <w:szCs w:val="15"/>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purposes of this Article XIII only, (i) the issuance and delivery of junior securities upon conversion of Securities in accordance with Article XII or upon the repurchase of Securities in accordance with Article XIV shall not be deemed to constitute a payment or distribution on account of the principal of or premium or interest (including Liquidated Damages, if any) on Securities or on account of the purchase or other acquisition of Securities, and (ii) the payment, issuance or delivery of cash (except in satisfaction of fractional shares pursuant to Section 12.3 or 14.3(7)), property or securities (other than junior securities) upon conversion of a Security shall be deemed to constitute payment on account of the principal of such Security. For the purposes of this Section, the term “junior securities” means (a) shares of any stock of any class of the Company and securities into which the Securities are convertible pursuant to Article XII and (b) securities of the Company which are subordinated in right of payment to all Senior Debt that may be outstanding at the time of issuance or delivery of such securities to substantially the same extent as, or to a greater extent than, the Securities are so subordinated as provided in this Article XIII. Nothing contained in this Article or elsewhere in this Indenture or in the Securities is intended to or shall impair, as among the Company, its creditors other than holders of Senior Debt and the Holders of the Securities, the right, which is absolute and unconditional, of the Holder of any Security to convert such Security in accordance with Article XII or to exchange such Security for Applicable Stock in accordance with Article XIV if the Company elects to satisfy the obligations under Article XIV by the delivery of Applicable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REPURCHASE OF SECURITIES AT THE OPTION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 UPON A CHANGE IN CONTROL</w:t>
      </w:r>
    </w:p>
    <w:p>
      <w:pPr>
        <w:sectPr>
          <w:pgSz w:w="11900" w:h="16838" w:orient="portrait"/>
          <w:cols w:equalWidth="0" w:num="1">
            <w:col w:w="11420"/>
          </w:cols>
          <w:pgMar w:left="240" w:top="341" w:right="239" w:bottom="0" w:gutter="0" w:footer="0" w:header="0"/>
        </w:sectPr>
      </w:pPr>
    </w:p>
    <w:bookmarkStart w:id="69" w:name="page70"/>
    <w:bookmarkEnd w:id="69"/>
    <w:p>
      <w:pPr>
        <w:spacing w:after="0"/>
        <w:tabs>
          <w:tab w:leader="none" w:pos="196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6"/>
          <w:szCs w:val="16"/>
          <w:u w:val="single" w:color="auto"/>
          <w:color w:val="auto"/>
        </w:rPr>
        <w:t>Right to Require Repurchase</w:t>
      </w:r>
      <w:r>
        <w:rPr>
          <w:rFonts w:ascii="Arial" w:cs="Arial" w:eastAsia="Arial" w:hAnsi="Arial"/>
          <w:sz w:val="16"/>
          <w:szCs w:val="16"/>
          <w:color w:val="auto"/>
        </w:rPr>
        <w:t>.</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the event that a Change in Control (as defined in Section 14.2) shall occur, then each Holder shall have the right, at the Holder’s option, but subject to the provisions of Section 14.2, to require the Company to repurchase, and upon the exercise of such right the Company shall repurchase, all of such Holder’s Securities not theretofore called for redemption, or any portion of the principal amount thereof that is equal to U.S. $1,000 or any integral multiple of U.S. $1,000 in excess thereof (provided that no single Security may be repurchased in part unless the portion of the principal amount of such Security to be Outstanding after such repurchase is equal to U.S. $1,000 or integral multiples of U.S. $1,000 in excess thereof), on the date (the “Repurchase Date”) that is 30 days after the date of the Company Notice (as defined in Section 14.3) at a purchase price equal to 100% of the principal amount of the Securities to be repurchased plus interest (including Liquidated Damages, if any) accrued to, but excluding, the Repurchase Date (the “Repurchase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installments of interest on Securities whose Stated Maturity is on or prior to the Repurchase Date shall be payable to the Holders of such Securities, or one or more Predecessor Securities, registered as such on the relevant Record Date according to their terms and the provisions of Section 3.7. Such right to require the repurchase of the Securities shall not continue after a discharge of the Company from its obligations with respect to the Securities in accordance with Article IV, unless a Change in Control shall have occurred prior to such discharge. At the option of the Company, the Repurchase Price may be paid in cash or, subject to the fulfillment by the Company of the conditions set forth Section 14.2, by delivery of shares of Applicable Stock having a fair market value equal to the Repurchase Price. Whenever in this Indenture (including Sections 2.2, 3.1, 5.1(1) and 5.8)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Indenture shall not be construed as excluding the Repurchase Price in those provisions of this Indenture when such express mention is not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purposes of Article XIII such reference shall be deemed to include reference to the Repurchase Price only to the extent the Repurchase Price is payable in cash.</w:t>
      </w:r>
    </w:p>
    <w:p>
      <w:pPr>
        <w:spacing w:after="0" w:line="19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u w:val="single" w:color="auto"/>
          <w:color w:val="auto"/>
        </w:rPr>
        <w:t>Conditions to the Company’s Election to Pay the Repurchase Price in Applicable Stock</w:t>
      </w:r>
      <w:r>
        <w:rPr>
          <w:rFonts w:ascii="Arial" w:cs="Arial" w:eastAsia="Arial" w:hAnsi="Arial"/>
          <w:sz w:val="16"/>
          <w:szCs w:val="16"/>
          <w:color w:val="auto"/>
        </w:rPr>
        <w:t>.</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may elect to pay the Repurchase Price by delivery of shares of Applicable Stock pursuant to Section 14.1 if and only if the following conditions shall have been satisfied:</w:t>
      </w:r>
    </w:p>
    <w:p>
      <w:pPr>
        <w:spacing w:after="0" w:line="170" w:lineRule="exact"/>
        <w:rPr>
          <w:sz w:val="20"/>
          <w:szCs w:val="20"/>
          <w:color w:val="auto"/>
        </w:rPr>
      </w:pPr>
    </w:p>
    <w:p>
      <w:pPr>
        <w:ind w:right="20" w:firstLine="656"/>
        <w:spacing w:after="0" w:line="277" w:lineRule="auto"/>
        <w:tabs>
          <w:tab w:leader="none" w:pos="13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shares of Applicable Stock deliverable in payment of the Repurchase Price shall have a fair market value as of the Repurchase Date of not less than the Repurchase Price.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purposes of Section 14.1 and this Section 14.2, the fair market value of shares of Common Stock shall be determined by the Company and shall be equal to 95% of the average of the Closing Prices Per Share of the Applicable Stock for the five consecutive Trading Days immediately preceding the second Trading Day prior to the Repurchase Date;</w:t>
      </w:r>
    </w:p>
    <w:p>
      <w:pPr>
        <w:spacing w:after="0" w:line="181" w:lineRule="exact"/>
        <w:rPr>
          <w:sz w:val="20"/>
          <w:szCs w:val="20"/>
          <w:color w:val="auto"/>
        </w:rPr>
      </w:pPr>
    </w:p>
    <w:p>
      <w:pPr>
        <w:ind w:right="80" w:firstLine="656"/>
        <w:spacing w:after="0" w:line="255" w:lineRule="auto"/>
        <w:tabs>
          <w:tab w:leader="none" w:pos="13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Repurchase Price shall be paid only in cash in the event any shares of Applicable Stock to be issued upon repurchase of Securities hereunder (i) require registration under any federal securities law before such shares may be freely transferable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93" w:lineRule="exact"/>
        <w:rPr>
          <w:rFonts w:ascii="Arial" w:cs="Arial" w:eastAsia="Arial" w:hAnsi="Arial"/>
          <w:sz w:val="18"/>
          <w:szCs w:val="18"/>
          <w:color w:val="auto"/>
        </w:rPr>
      </w:pPr>
    </w:p>
    <w:p>
      <w:pPr>
        <w:ind w:right="620" w:firstLine="656"/>
        <w:spacing w:after="0" w:line="308" w:lineRule="auto"/>
        <w:tabs>
          <w:tab w:leader="none" w:pos="13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Payment of the Repurchase Price may not be made in Applicable Stock unless such stock is, or shall have been listed on a national securities exchange or approved for quotation on the Nasdaq National Market, in either case, prior to the Repurchase Date; and</w:t>
      </w:r>
    </w:p>
    <w:p>
      <w:pPr>
        <w:spacing w:after="0" w:line="146" w:lineRule="exact"/>
        <w:rPr>
          <w:rFonts w:ascii="Arial" w:cs="Arial" w:eastAsia="Arial" w:hAnsi="Arial"/>
          <w:sz w:val="17"/>
          <w:szCs w:val="17"/>
          <w:color w:val="auto"/>
        </w:rPr>
      </w:pPr>
    </w:p>
    <w:p>
      <w:pPr>
        <w:ind w:right="80" w:firstLine="656"/>
        <w:spacing w:after="0" w:line="276" w:lineRule="auto"/>
        <w:tabs>
          <w:tab w:leader="none" w:pos="13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shares of Applicable Stock that may be issued upon repurchase of Securities will be issued out of the Company’s authorized but unissued Common Stock or, in the event of a merger, consolidation, or other similar transaction involving the Company that is otherwise permitted under the terms of this Indenture in which the Company is not the surviving corporation, out of the authorized but unissued common stock, common equity interests, ordinary shares or American Depositary Shares of the surviving corporation or its direct or indirect parent corporation and, will upon issue, be duly and validly issued and fully paid and non-assessable and free of any preemptive or similar rights.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all of the conditions set forth in this Section 14.2 are not satisfied in accordance with the terms thereof, the Repurchase Price shall be paid by the Company only in cash.</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u w:val="single" w:color="auto"/>
          <w:color w:val="auto"/>
        </w:rPr>
        <w:t>Notices; Method of Exercising Repurchase Right, Etc</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02" w:lineRule="auto"/>
        <w:tabs>
          <w:tab w:leader="none" w:pos="13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Unless the Company shall have theretofore called for redemption all of the Outstanding Securities, on or before the 30th day after the occurrence of a Change in Control, the Company or, at the request and expense of the Company on or before the 15th day after such occurrence, the Trustee, shall give to all Holders of Securities, in the manner provided in Section 1.6, notice (the “Company Notice”) of the occurrence of the Change in Control and of the repurchase right set forth herein arising as a result thereof. The Company shall also deliver a copy of such Company Notice to the Trustee.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Each Company Notice shall state:</w:t>
      </w:r>
    </w:p>
    <w:p>
      <w:pPr>
        <w:spacing w:after="0" w:line="225" w:lineRule="exact"/>
        <w:rPr>
          <w:sz w:val="20"/>
          <w:szCs w:val="20"/>
          <w:color w:val="auto"/>
        </w:rPr>
      </w:pPr>
    </w:p>
    <w:p>
      <w:pPr>
        <w:ind w:left="2020" w:hanging="715"/>
        <w:spacing w:after="0"/>
        <w:tabs>
          <w:tab w:leader="none" w:pos="2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5620" w:right="5220" w:hanging="4315"/>
        <w:spacing w:after="0" w:line="624" w:lineRule="auto"/>
        <w:tabs>
          <w:tab w:leader="none" w:pos="20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date by which the repurchase right must be exercised; 96</w:t>
      </w:r>
    </w:p>
    <w:p>
      <w:pPr>
        <w:spacing w:after="0" w:line="339" w:lineRule="exact"/>
        <w:rPr>
          <w:rFonts w:ascii="Arial" w:cs="Arial" w:eastAsia="Arial" w:hAnsi="Arial"/>
          <w:sz w:val="16"/>
          <w:szCs w:val="16"/>
          <w:color w:val="auto"/>
        </w:rPr>
      </w:pPr>
    </w:p>
    <w:p>
      <w:pPr>
        <w:ind w:left="2020" w:hanging="715"/>
        <w:spacing w:after="0"/>
        <w:tabs>
          <w:tab w:leader="none" w:pos="20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Repurchase Price, and whether the Repurchase Price shall be paid by the Company in cash or by delivery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Applicable Stock;</w:t>
      </w:r>
    </w:p>
    <w:p>
      <w:pPr>
        <w:sectPr>
          <w:pgSz w:w="11900" w:h="16838" w:orient="portrait"/>
          <w:cols w:equalWidth="0" w:num="1">
            <w:col w:w="11380"/>
          </w:cols>
          <w:pgMar w:left="240" w:top="125" w:right="279" w:bottom="0" w:gutter="0" w:footer="0" w:header="0"/>
        </w:sectPr>
      </w:pPr>
    </w:p>
    <w:bookmarkStart w:id="70" w:name="page71"/>
    <w:bookmarkEnd w:id="70"/>
    <w:p>
      <w:pPr>
        <w:ind w:right="220" w:firstLine="1305"/>
        <w:spacing w:after="0" w:line="264" w:lineRule="auto"/>
        <w:tabs>
          <w:tab w:leader="none" w:pos="20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description of the procedure that a Holder must follow to exercise a repurchase right, and the place or places where such Securities are to be surrendered for payment of the Repurchase Price and accrued interest (including Liquidated Damages, if any), if any to the Repurchase Date;</w:t>
      </w:r>
    </w:p>
    <w:p>
      <w:pPr>
        <w:spacing w:after="0" w:line="181" w:lineRule="exact"/>
        <w:rPr>
          <w:rFonts w:ascii="Arial" w:cs="Arial" w:eastAsia="Arial" w:hAnsi="Arial"/>
          <w:sz w:val="18"/>
          <w:szCs w:val="18"/>
          <w:color w:val="auto"/>
        </w:rPr>
      </w:pPr>
    </w:p>
    <w:p>
      <w:pPr>
        <w:ind w:right="160" w:firstLine="1305"/>
        <w:spacing w:after="0" w:line="264" w:lineRule="auto"/>
        <w:tabs>
          <w:tab w:leader="none" w:pos="20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on the Repurchase Date the Repurchase Price, and accrued interest (including Liquidated Damages, if any), if any to the Repurchase Date, will become due and payable upon each such Security designated by the Holder to be repurchased, and that interest thereon shall cease to accrue on and after said date;</w:t>
      </w:r>
    </w:p>
    <w:p>
      <w:pPr>
        <w:spacing w:after="0" w:line="181" w:lineRule="exact"/>
        <w:rPr>
          <w:rFonts w:ascii="Arial" w:cs="Arial" w:eastAsia="Arial" w:hAnsi="Arial"/>
          <w:sz w:val="18"/>
          <w:szCs w:val="18"/>
          <w:color w:val="auto"/>
        </w:rPr>
      </w:pPr>
    </w:p>
    <w:p>
      <w:pPr>
        <w:ind w:right="60" w:firstLine="1305"/>
        <w:spacing w:after="0" w:line="277" w:lineRule="auto"/>
        <w:tabs>
          <w:tab w:leader="none" w:pos="20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Conversion Rate then in effect, the date on which the right to convert the principal amount of the Securities to be repurchased will terminate and the place or places where such Securities may be surrendered for conversion;</w:t>
      </w:r>
    </w:p>
    <w:p>
      <w:pPr>
        <w:spacing w:after="0" w:line="170" w:lineRule="exact"/>
        <w:rPr>
          <w:rFonts w:ascii="Arial" w:cs="Arial" w:eastAsia="Arial" w:hAnsi="Arial"/>
          <w:sz w:val="18"/>
          <w:szCs w:val="18"/>
          <w:color w:val="auto"/>
        </w:rPr>
      </w:pPr>
    </w:p>
    <w:p>
      <w:pPr>
        <w:ind w:right="20" w:firstLine="1305"/>
        <w:spacing w:after="0" w:line="264" w:lineRule="auto"/>
        <w:tabs>
          <w:tab w:leader="none" w:pos="20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place or places that the Security certificate with the Election of Holder to Require Repurchase as specified in Section 2.2 shall be delivered, and if the Security is a Restricted Securities Certificate the place or places that the Surrender Certificate required by Section 14.3(9) shall be delivered; and</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Holder’s right to withdraw a completed Company Notice and the procedures for withdrawing a Company Notice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clause (2) below.</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failure of the Company to give the foregoing notices or defect therein shall limit any Holder’ s right to exercise a repurchase right or affect the validity of the proceedings for the repurchase of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provisions or other provisions of this Article XIV are inconsistent with applicable law, such law shall govern.</w:t>
      </w:r>
    </w:p>
    <w:p>
      <w:pPr>
        <w:spacing w:after="0" w:line="225" w:lineRule="exact"/>
        <w:rPr>
          <w:sz w:val="20"/>
          <w:szCs w:val="20"/>
          <w:color w:val="auto"/>
        </w:rPr>
      </w:pPr>
    </w:p>
    <w:p>
      <w:pPr>
        <w:ind w:firstLine="656"/>
        <w:spacing w:after="0" w:line="271" w:lineRule="auto"/>
        <w:tabs>
          <w:tab w:leader="none" w:pos="1353"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exercise a repurchase right, a Holder shall deliver to the Trustee on or before the second Business Day immediately preceding the 30th day after the date of the Company Notice (i) written notice of the Holder’s exercise of such right, which notice shall set forth the name of the Holder, the principal amount of the Securities to be repurchased (and, if any Security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shares of Applicable Stock, the name or names (with addresses) in which the certificate or certificates for shares of Applicable Stock shall be issued, and (ii) the Securities with respect to which the repurchase right is being exercised. Notwithstanding anything in this Indenture to the contrary, any Holder which has delivered a completed Company Notice to the Trustee shall have the right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withdraw such Company Notice by delivery of a written notice of withdrawal delivered to the Corporate Trust Office of the Trustee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Notice at any time prior to the close of business on the second Business Day immediately preceding the Repurchase Date specifying:</w:t>
      </w:r>
    </w:p>
    <w:p>
      <w:pPr>
        <w:spacing w:after="0" w:line="222" w:lineRule="exact"/>
        <w:rPr>
          <w:sz w:val="20"/>
          <w:szCs w:val="20"/>
          <w:color w:val="auto"/>
        </w:rPr>
      </w:pPr>
    </w:p>
    <w:p>
      <w:pPr>
        <w:ind w:left="2020" w:hanging="715"/>
        <w:spacing w:after="0"/>
        <w:tabs>
          <w:tab w:leader="none" w:pos="2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certificate number, if any, of the Security in respect of which such notice of withdrawal is being submitted;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principal of the Security with respect to which such notice of withdrawal is being submitted; and</w:t>
      </w:r>
    </w:p>
    <w:p>
      <w:pPr>
        <w:spacing w:after="0" w:line="225" w:lineRule="exact"/>
        <w:rPr>
          <w:rFonts w:ascii="Arial" w:cs="Arial" w:eastAsia="Arial" w:hAnsi="Arial"/>
          <w:sz w:val="18"/>
          <w:szCs w:val="18"/>
          <w:color w:val="auto"/>
        </w:rPr>
      </w:pPr>
    </w:p>
    <w:p>
      <w:pPr>
        <w:ind w:right="580" w:firstLine="1305"/>
        <w:spacing w:after="0" w:line="277" w:lineRule="auto"/>
        <w:tabs>
          <w:tab w:leader="none" w:pos="20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principal, if any, of such Security which remains subject to the original Purchase Notice and which has been or will be delivered for purchase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promptly notify the Company of the receipt by it of any Company Notice or written notice of withdrawal thereof.</w:t>
      </w:r>
    </w:p>
    <w:p>
      <w:pPr>
        <w:spacing w:after="0" w:line="225" w:lineRule="exact"/>
        <w:rPr>
          <w:sz w:val="20"/>
          <w:szCs w:val="20"/>
          <w:color w:val="auto"/>
        </w:rPr>
      </w:pPr>
    </w:p>
    <w:p>
      <w:pPr>
        <w:ind w:right="500" w:firstLine="720"/>
        <w:spacing w:after="0" w:line="277" w:lineRule="auto"/>
        <w:rPr>
          <w:sz w:val="20"/>
          <w:szCs w:val="20"/>
          <w:color w:val="auto"/>
        </w:rPr>
      </w:pPr>
      <w:r>
        <w:rPr>
          <w:rFonts w:ascii="Arial" w:cs="Arial" w:eastAsia="Arial" w:hAnsi="Arial"/>
          <w:sz w:val="18"/>
          <w:szCs w:val="18"/>
          <w:color w:val="auto"/>
        </w:rPr>
        <w:t>The right of the Holder to convert the Securities with respect to which the repurchase right is being exercised shall continue until the close of business on the Business Day immediately preceding the Repurchase Date.</w:t>
      </w:r>
    </w:p>
    <w:p>
      <w:pPr>
        <w:spacing w:after="0" w:line="170" w:lineRule="exact"/>
        <w:rPr>
          <w:sz w:val="20"/>
          <w:szCs w:val="20"/>
          <w:color w:val="auto"/>
        </w:rPr>
      </w:pPr>
    </w:p>
    <w:p>
      <w:pPr>
        <w:ind w:firstLine="656"/>
        <w:spacing w:after="0" w:line="273" w:lineRule="auto"/>
        <w:tabs>
          <w:tab w:leader="none" w:pos="13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the event a repurchase right shall be exercised in accordance with the terms hereof, the Company shall pay or cause to be paid to the Trustee the Repurchase Price in cash or shares of Applicable Stock, as provided above, for payment to the Holder on the Repurchase Date or, if shares of Applicable Stock are to be paid, on the date that is 30 days after the date of the Company Notice, together with accrued and unpaid interest to the Repurchase Date payable with respect to the Securities as to which the repurchase right has been exercised;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that mature on or prior to the Repurchase Date shall be payable in cash to the Holders of such Securities, or one or more Predecessor Securities, registered as such at the close of business on the relevant Regular Record Date.</w:t>
      </w:r>
    </w:p>
    <w:p>
      <w:pPr>
        <w:spacing w:after="0" w:line="178" w:lineRule="exact"/>
        <w:rPr>
          <w:rFonts w:ascii="Arial" w:cs="Arial" w:eastAsia="Arial" w:hAnsi="Arial"/>
          <w:sz w:val="17"/>
          <w:szCs w:val="17"/>
          <w:color w:val="auto"/>
        </w:rPr>
      </w:pPr>
    </w:p>
    <w:p>
      <w:pPr>
        <w:ind w:right="100" w:firstLine="656"/>
        <w:spacing w:after="0" w:line="259"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Security (or portion thereof) surrendered for repurchase shall not be so paid on the Repurchase Date, the principal amount of such Security (or portion thereof, as the case may be) shall, until paid, bear interest to the extent permitted by applicable law from the Repurchase Date at the rate of 2.50% per annum, and each Security shall remain convertible into Common Stock until the principal of such Security (or portion thereof, as the case may be) shall have been paid or duly provided for.</w:t>
      </w:r>
    </w:p>
    <w:p>
      <w:pPr>
        <w:spacing w:after="0" w:line="186" w:lineRule="exact"/>
        <w:rPr>
          <w:rFonts w:ascii="Arial" w:cs="Arial" w:eastAsia="Arial" w:hAnsi="Arial"/>
          <w:sz w:val="18"/>
          <w:szCs w:val="18"/>
          <w:color w:val="auto"/>
        </w:rPr>
      </w:pPr>
    </w:p>
    <w:p>
      <w:pPr>
        <w:ind w:right="20" w:firstLine="656"/>
        <w:spacing w:after="0" w:line="279" w:lineRule="auto"/>
        <w:tabs>
          <w:tab w:leader="none" w:pos="13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Security that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containing identical terms and conditions, each in an authorized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denomination in aggregate principal amount equal to and in exchange for the unrepurchased portion of the principal of the Security so surrendered.</w:t>
      </w:r>
    </w:p>
    <w:p>
      <w:pPr>
        <w:spacing w:after="0" w:line="237" w:lineRule="exact"/>
        <w:rPr>
          <w:sz w:val="20"/>
          <w:szCs w:val="20"/>
          <w:color w:val="auto"/>
        </w:rPr>
      </w:pPr>
    </w:p>
    <w:p>
      <w:pPr>
        <w:jc w:val="both"/>
        <w:ind w:right="60" w:firstLine="656"/>
        <w:spacing w:after="0" w:line="342" w:lineRule="auto"/>
        <w:tabs>
          <w:tab w:leader="none" w:pos="13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issuance of shares of Applicable Stock in respect of the Repurchase Price shall be deemed to have been effected immediately prior to the close of business on the Repurchase Date and the Person or Persons in whose name or names any certificate or certificates for shares of Applicable Stock</w:t>
      </w:r>
    </w:p>
    <w:p>
      <w:pPr>
        <w:sectPr>
          <w:pgSz w:w="11900" w:h="16838" w:orient="portrait"/>
          <w:cols w:equalWidth="0" w:num="1">
            <w:col w:w="11380"/>
          </w:cols>
          <w:pgMar w:left="240" w:top="125" w:right="279" w:bottom="0" w:gutter="0" w:footer="0" w:header="0"/>
        </w:sectPr>
      </w:pPr>
    </w:p>
    <w:bookmarkStart w:id="71" w:name="page72"/>
    <w:bookmarkEnd w:id="71"/>
    <w:p>
      <w:pPr>
        <w:ind w:right="320"/>
        <w:spacing w:after="0" w:line="297" w:lineRule="auto"/>
        <w:rPr>
          <w:sz w:val="20"/>
          <w:szCs w:val="20"/>
          <w:color w:val="auto"/>
        </w:rPr>
      </w:pPr>
      <w:r>
        <w:rPr>
          <w:rFonts w:ascii="Arial" w:cs="Arial" w:eastAsia="Arial" w:hAnsi="Arial"/>
          <w:sz w:val="16"/>
          <w:szCs w:val="16"/>
          <w:color w:val="auto"/>
        </w:rPr>
        <w:t xml:space="preserve">shall be issuable upon such repurchase shall be deemed to have become on the Repurchase Date the holder or holders of record of the shares represented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surrender for repurchase on a date when the stock transfer 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Applicable Stock issued upon repurchase of any Security declared prior to the Repurchase Date.</w:t>
      </w:r>
    </w:p>
    <w:p>
      <w:pPr>
        <w:spacing w:after="0" w:line="158" w:lineRule="exact"/>
        <w:rPr>
          <w:sz w:val="20"/>
          <w:szCs w:val="20"/>
          <w:color w:val="auto"/>
        </w:rPr>
      </w:pPr>
    </w:p>
    <w:p>
      <w:pPr>
        <w:ind w:right="20" w:firstLine="656"/>
        <w:spacing w:after="0" w:line="272" w:lineRule="auto"/>
        <w:tabs>
          <w:tab w:leader="none" w:pos="13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fractions of shares shall be issued upon repurchase of Securities. If more than one Security shall be repurchased from the same Holder and the Repurchase Price shall be payable in shares of Applicable Stock, the number of full shares that shall be issuable upon such repurchase shall be computed on the basis of the aggregate principal amount of the Securities so repurchased. Instead of any fractional share of Applicable Stock that would otherwise be issuable on the repurchase of any Security or Securities, the Company will deliver to the applicable Holder its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Applicable Stock is the Closing Price Per Share of the Applicable Stock on the Trading Day immediately preceding the Repurchase Date.</w:t>
      </w:r>
    </w:p>
    <w:p>
      <w:pPr>
        <w:spacing w:after="0" w:line="177" w:lineRule="exact"/>
        <w:rPr>
          <w:rFonts w:ascii="Arial" w:cs="Arial" w:eastAsia="Arial" w:hAnsi="Arial"/>
          <w:sz w:val="17"/>
          <w:szCs w:val="17"/>
          <w:color w:val="auto"/>
        </w:rPr>
      </w:pPr>
    </w:p>
    <w:p>
      <w:pPr>
        <w:ind w:right="160" w:firstLine="656"/>
        <w:spacing w:after="0" w:line="293" w:lineRule="auto"/>
        <w:tabs>
          <w:tab w:leader="none" w:pos="13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Any issuance and delivery of certificates for shares of Applicable Stock on repurchase of Securities shall be made without charge to the Holder of Securities being repurchased for such certificates or for any tax or duty in respect of the issuance or delivery of such certificates or the securities represented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any tax or duty that may be payable in respect of (i) income of the Holder or (ii) any transfer involved in the issuance or delivery of certificates for shares of Applicable Stock in a name other than that of the Holder of the Securities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64" w:lineRule="exact"/>
        <w:rPr>
          <w:rFonts w:ascii="Arial" w:cs="Arial" w:eastAsia="Arial" w:hAnsi="Arial"/>
          <w:sz w:val="16"/>
          <w:szCs w:val="16"/>
          <w:color w:val="auto"/>
        </w:rPr>
      </w:pPr>
    </w:p>
    <w:p>
      <w:pPr>
        <w:ind w:right="180" w:firstLine="656"/>
        <w:spacing w:after="0" w:line="302" w:lineRule="auto"/>
        <w:tabs>
          <w:tab w:leader="none" w:pos="13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shares of Applicable Stock to be delivered upon repurchase of a Security are to be registered in a name other than that of the beneficial owner of such Security, then such Holder must deliver to the Trustee a Surrender Certificate, dated the date of surrender of such Restricted Security and signed by such beneficial owner, as to compliance with the restrictions on transfer applicable to such Restricted Security. Neither the Trustee nor any Registrar or Transfer Agent or other agents shall be required to register in a name other than that of the beneficial owner shares of Applicable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Stock issued upon repurchase of any such Restricted Security not so accompanied by a properly completed Surrender Certificate.</w:t>
      </w:r>
    </w:p>
    <w:p>
      <w:pPr>
        <w:spacing w:after="0" w:line="225" w:lineRule="exact"/>
        <w:rPr>
          <w:sz w:val="20"/>
          <w:szCs w:val="20"/>
          <w:color w:val="auto"/>
        </w:rPr>
      </w:pPr>
    </w:p>
    <w:p>
      <w:pPr>
        <w:ind w:firstLine="656"/>
        <w:spacing w:after="0" w:line="277"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Securities delivered for repurchase shall be delivered to the Trustee to be canceled at the direction of the Trustee, which shall dispose of the same as provided in Section 3.9.</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7"/>
          <w:szCs w:val="17"/>
          <w:u w:val="single" w:color="auto"/>
          <w:color w:val="auto"/>
        </w:rPr>
        <w:t>Certain Definitions</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Article XIV,</w:t>
      </w:r>
    </w:p>
    <w:p>
      <w:pPr>
        <w:spacing w:after="0" w:line="225" w:lineRule="exact"/>
        <w:rPr>
          <w:sz w:val="20"/>
          <w:szCs w:val="20"/>
          <w:color w:val="auto"/>
        </w:rPr>
      </w:pPr>
    </w:p>
    <w:p>
      <w:pPr>
        <w:ind w:right="200" w:firstLine="8"/>
        <w:spacing w:after="0" w:line="277"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“beneficial owner” shall be determined in accordance with Rule 13d-3, as in effect on the date of the original execution of this Indenture, promulgated by the Commission pursuant to the Exchange Act;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“Change in Control” shall be deemed to have occurred at the time, after the original issuance of the Securities, of:</w:t>
      </w:r>
    </w:p>
    <w:p>
      <w:pPr>
        <w:spacing w:after="0" w:line="225" w:lineRule="exact"/>
        <w:rPr>
          <w:rFonts w:ascii="Arial" w:cs="Arial" w:eastAsia="Arial" w:hAnsi="Arial"/>
          <w:sz w:val="18"/>
          <w:szCs w:val="18"/>
          <w:color w:val="auto"/>
        </w:rPr>
      </w:pPr>
    </w:p>
    <w:p>
      <w:pPr>
        <w:ind w:right="20" w:firstLine="1305"/>
        <w:spacing w:after="0" w:line="259" w:lineRule="auto"/>
        <w:tabs>
          <w:tab w:leader="none" w:pos="200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any Person acquires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other than any such acquisition by the Company, any subsidiary of the Company or any employee benefit plan of the Company; or</w:t>
      </w:r>
    </w:p>
    <w:p>
      <w:pPr>
        <w:spacing w:after="0" w:line="186" w:lineRule="exact"/>
        <w:rPr>
          <w:rFonts w:ascii="Arial" w:cs="Arial" w:eastAsia="Arial" w:hAnsi="Arial"/>
          <w:sz w:val="18"/>
          <w:szCs w:val="18"/>
          <w:color w:val="auto"/>
        </w:rPr>
      </w:pPr>
    </w:p>
    <w:p>
      <w:pPr>
        <w:ind w:right="80" w:firstLine="1305"/>
        <w:spacing w:after="0" w:line="291" w:lineRule="auto"/>
        <w:tabs>
          <w:tab w:leader="none" w:pos="2011"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the Company merges or consolidates with or into any other Person, any merger of another Person into the Company, or any sale, transfer or lease of all or substantially all of the assets of the Company to another Person (other than to one or more wholly-owned subsidiaries of the Company), other than any such transaction (A) pursuant to which the holders of 50% or more of the total voting power of all shares of the Company’s capital stock entitled to vote generally in the election of directors immediately prior to such transaction have or have the entitlement to receive, directly or indirectly, at least 50% or more of the total voting power of all shares of capital stock entitled to vote generally in the election of directors of the continuing or surviving corporation immediately after such transaction or (B) any transaction which is effected solely to change the jurisdiction of incorporation of the Company and results in a reclassification, conversion or exchange of outstanding shares of Common Stock into solely shares of common stock;</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be deemed to have occurred if either (I)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(i) above) or the period of 10 consecutive Trading Days ending immediately before the Change in Control (in the case of a Change in Control under clause (ii) above) shall equal or exceed 110% of the Conversion Price of the Securities in effect on each such Trading Day or (II) all of the consideration (excluding cash payments for fractional shares and cash payments made pursuant to dissenters’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appraisal rights) in a merger or consolidation otherwise constituting a Change in Control under clause (i) above and/or clause (ii) above consists of shares of common stock, depository receipts or other certificates representing common equity interests traded on a national securities exchange or quoted on the Nasdaq National Market (or will be so traded or quoted immediately following such Change in Control) and as a result of such transaction or transactions the notes become convertible into such common stock, depository receipts or other certificates representing common equity interests; and</w:t>
      </w:r>
    </w:p>
    <w:p>
      <w:pPr>
        <w:spacing w:after="0" w:line="154" w:lineRule="exact"/>
        <w:rPr>
          <w:sz w:val="20"/>
          <w:szCs w:val="20"/>
          <w:color w:val="auto"/>
        </w:rPr>
      </w:pPr>
    </w:p>
    <w:p>
      <w:pPr>
        <w:ind w:right="160" w:firstLine="656"/>
        <w:spacing w:after="0" w:line="277" w:lineRule="auto"/>
        <w:tabs>
          <w:tab w:leader="none" w:pos="13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purposes of Section 14.4(2)(i), the term “person” shall include any syndicate or group which would be deemed to be a “person” under Section 13(d)(3) of the Exchange Act, as in effect on the date of the original execution of this Indenture.</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u w:val="single" w:color="auto"/>
          <w:color w:val="auto"/>
        </w:rPr>
        <w:t>Consolidation, Merger, etc</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2" w:name="page73"/>
    <w:bookmarkEnd w:id="72"/>
    <w:p>
      <w:pPr>
        <w:ind w:right="40"/>
        <w:spacing w:after="0" w:line="268" w:lineRule="auto"/>
        <w:rPr>
          <w:sz w:val="20"/>
          <w:szCs w:val="20"/>
          <w:color w:val="auto"/>
        </w:rPr>
      </w:pPr>
      <w:r>
        <w:rPr>
          <w:rFonts w:ascii="Arial" w:cs="Arial" w:eastAsia="Arial" w:hAnsi="Arial"/>
          <w:sz w:val="17"/>
          <w:szCs w:val="17"/>
          <w:color w:val="auto"/>
        </w:rPr>
        <w:t>In the case of any merger, consolidation, sale, conveyance, transfer or lease of all or substantially all of the assets of the Company to which Section 12.11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Indenture relating to the right of Holders to cause the Company to repurchase the Securities following a Change in Control, including without limitation the applicable provisions of this Article XIV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in Control to the common stock and the issuer thereof if different from the Company and Common Stock of the Company (in lieu of the Company and the Common Stock of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LISTS AND REPORTS BY TRUSTEE AND COMPANY; NON-RECOURSE</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40" w:firstLine="656"/>
        <w:spacing w:after="0" w:line="277" w:lineRule="auto"/>
        <w:tabs>
          <w:tab w:leader="none" w:pos="13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semi-annually, not more than 15 days after the Regular Record Date, a list, in such form as the Trustee may reasonably require, of the names and addresses of the Holders of Securities as of such Regular Record Date; and</w:t>
      </w:r>
    </w:p>
    <w:p>
      <w:pPr>
        <w:spacing w:after="0" w:line="170" w:lineRule="exact"/>
        <w:rPr>
          <w:rFonts w:ascii="Arial" w:cs="Arial" w:eastAsia="Arial" w:hAnsi="Arial"/>
          <w:sz w:val="18"/>
          <w:szCs w:val="18"/>
          <w:color w:val="auto"/>
        </w:rPr>
      </w:pPr>
    </w:p>
    <w:p>
      <w:pPr>
        <w:ind w:firstLine="656"/>
        <w:spacing w:after="0" w:line="277" w:lineRule="auto"/>
        <w:tabs>
          <w:tab w:leader="none" w:pos="13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such other times as the Trustee may reasonably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list need be furnished so long as the Trustee is acting as Security Registrar.</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15.2</w:t>
      </w:r>
      <w:r>
        <w:rPr>
          <w:sz w:val="20"/>
          <w:szCs w:val="20"/>
          <w:color w:val="auto"/>
        </w:rPr>
        <w:tab/>
      </w:r>
      <w:r>
        <w:rPr>
          <w:rFonts w:ascii="Arial" w:cs="Arial" w:eastAsia="Arial" w:hAnsi="Arial"/>
          <w:sz w:val="16"/>
          <w:szCs w:val="16"/>
          <w:u w:val="single" w:color="auto"/>
          <w:color w:val="auto"/>
        </w:rPr>
        <w:t>Preservation of Information</w:t>
      </w:r>
      <w:r>
        <w:rPr>
          <w:rFonts w:ascii="Arial" w:cs="Arial" w:eastAsia="Arial" w:hAnsi="Arial"/>
          <w:sz w:val="16"/>
          <w:szCs w:val="16"/>
          <w:color w:val="auto"/>
        </w:rPr>
        <w:t>.</w:t>
      </w:r>
    </w:p>
    <w:p>
      <w:pPr>
        <w:spacing w:after="0" w:line="225" w:lineRule="exact"/>
        <w:rPr>
          <w:sz w:val="20"/>
          <w:szCs w:val="20"/>
          <w:color w:val="auto"/>
        </w:rPr>
      </w:pPr>
    </w:p>
    <w:p>
      <w:pPr>
        <w:jc w:val="both"/>
        <w:ind w:right="380" w:firstLine="656"/>
        <w:spacing w:after="0" w:line="312" w:lineRule="auto"/>
        <w:tabs>
          <w:tab w:leader="none" w:pos="135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15.1 and the names and addresses of Holders received by the Trustee in its capacity as Security Registrar. The Trustee may destroy any list, if any, furnished to it as provided in Section 15.1 upon receipt of a new list so furnished.</w:t>
      </w:r>
    </w:p>
    <w:p>
      <w:pPr>
        <w:spacing w:after="0" w:line="146" w:lineRule="exact"/>
        <w:rPr>
          <w:rFonts w:ascii="Arial" w:cs="Arial" w:eastAsia="Arial" w:hAnsi="Arial"/>
          <w:sz w:val="16"/>
          <w:szCs w:val="16"/>
          <w:color w:val="auto"/>
        </w:rPr>
      </w:pPr>
    </w:p>
    <w:p>
      <w:pPr>
        <w:ind w:right="20" w:firstLine="656"/>
        <w:spacing w:after="0" w:line="264" w:lineRule="auto"/>
        <w:tabs>
          <w:tab w:leader="none" w:pos="13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After this Indenture has been qualified under the Trust Indenture Act, the rights of Holders to communicate with other Holders with respect to their rights under this Indenture or under the Securities, and the corresponding rights, and duties of the Trustee, shall be as provided by the Trust Indenture Act.</w:t>
      </w:r>
    </w:p>
    <w:p>
      <w:pPr>
        <w:spacing w:after="0" w:line="181" w:lineRule="exact"/>
        <w:rPr>
          <w:rFonts w:ascii="Arial" w:cs="Arial" w:eastAsia="Arial" w:hAnsi="Arial"/>
          <w:sz w:val="18"/>
          <w:szCs w:val="18"/>
          <w:color w:val="auto"/>
        </w:rPr>
      </w:pPr>
    </w:p>
    <w:p>
      <w:pPr>
        <w:ind w:right="80" w:firstLine="656"/>
        <w:spacing w:after="0" w:line="264" w:lineRule="auto"/>
        <w:tabs>
          <w:tab w:leader="none" w:pos="13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15.3</w:t>
      </w:r>
      <w:r>
        <w:rPr>
          <w:sz w:val="20"/>
          <w:szCs w:val="20"/>
          <w:color w:val="auto"/>
        </w:rPr>
        <w:tab/>
      </w:r>
      <w:r>
        <w:rPr>
          <w:rFonts w:ascii="Arial" w:cs="Arial" w:eastAsia="Arial" w:hAnsi="Arial"/>
          <w:sz w:val="16"/>
          <w:szCs w:val="16"/>
          <w:u w:val="single" w:color="auto"/>
          <w:color w:val="auto"/>
        </w:rPr>
        <w:t>Reports by Trustee</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342" w:lineRule="auto"/>
        <w:tabs>
          <w:tab w:leader="none" w:pos="13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After this Indenture has been qualified under the Trust Indenture Act, the Trustee shall transmit to Holders such reports concerning the Trustee and its actions under this Indenture as may be required pursuant to the Trust Indenture Act at the times and in the manner provided pursuant thereto.</w:t>
      </w:r>
    </w:p>
    <w:p>
      <w:pPr>
        <w:spacing w:after="0" w:line="123" w:lineRule="exact"/>
        <w:rPr>
          <w:rFonts w:ascii="Arial" w:cs="Arial" w:eastAsia="Arial" w:hAnsi="Arial"/>
          <w:sz w:val="16"/>
          <w:szCs w:val="16"/>
          <w:color w:val="auto"/>
        </w:rPr>
      </w:pPr>
    </w:p>
    <w:p>
      <w:pPr>
        <w:jc w:val="both"/>
        <w:ind w:right="180" w:firstLine="656"/>
        <w:spacing w:after="0" w:line="264" w:lineRule="auto"/>
        <w:tabs>
          <w:tab w:leader="none" w:pos="13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After this Indenture has been qualified under the Trust Indenture Act, a copy of each such report shall, at the time of such transmission to Holders, be filed by the Trustee with each stock exchange upon which the Securities are listed, with the Commission and with the Company. The Company will notify the Trustee when the Securities are listed on any stock exchange.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15.4</w:t>
      </w:r>
      <w:r>
        <w:rPr>
          <w:sz w:val="20"/>
          <w:szCs w:val="20"/>
          <w:color w:val="auto"/>
        </w:rPr>
        <w:tab/>
      </w:r>
      <w:r>
        <w:rPr>
          <w:rFonts w:ascii="Arial" w:cs="Arial" w:eastAsia="Arial" w:hAnsi="Arial"/>
          <w:sz w:val="16"/>
          <w:szCs w:val="16"/>
          <w:u w:val="single" w:color="auto"/>
          <w:color w:val="auto"/>
        </w:rPr>
        <w:t>Reports by Company</w:t>
      </w:r>
      <w:r>
        <w:rPr>
          <w:rFonts w:ascii="Arial" w:cs="Arial" w:eastAsia="Arial" w:hAnsi="Arial"/>
          <w:sz w:val="16"/>
          <w:szCs w:val="16"/>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After this Indenture has been qualified under the Trust Indenture Act, the Company shall file with the Trustee and the Commission, and transmit to Holders, such information, documents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6"/>
          <w:szCs w:val="16"/>
          <w:u w:val="single" w:color="auto"/>
          <w:color w:val="auto"/>
        </w:rPr>
        <w:t>Indenture and Securities Solely Corporate Obligations</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73" w:name="page74"/>
    <w:bookmarkEnd w:id="73"/>
    <w:p>
      <w:pPr>
        <w:ind w:right="80"/>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361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ectPr>
          <w:pgSz w:w="11900" w:h="16838" w:orient="portrait"/>
          <w:cols w:equalWidth="0" w:num="1">
            <w:col w:w="11440"/>
          </w:cols>
          <w:pgMar w:left="240" w:top="125" w:right="219" w:bottom="312" w:gutter="0" w:footer="0" w:header="0"/>
        </w:sectPr>
      </w:pP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Wilbur G. Stover, Jr.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ectPr>
          <w:pgSz w:w="11900" w:h="16838" w:orient="portrait"/>
          <w:cols w:equalWidth="0" w:num="2">
            <w:col w:w="8880" w:space="720"/>
            <w:col w:w="1840"/>
          </w:cols>
          <w:pgMar w:left="240" w:top="125" w:right="219" w:bottom="312"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WELLS FARGO BANK MINNESOTA, NATIONAL ASSOCIATION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8040" w:type="dxa"/>
            <w:vAlign w:val="bottom"/>
            <w:gridSpan w:val="2"/>
          </w:tcPr>
          <w:p>
            <w:pPr>
              <w:ind w:left="4180"/>
              <w:spacing w:after="0"/>
              <w:rPr>
                <w:sz w:val="20"/>
                <w:szCs w:val="20"/>
                <w:color w:val="auto"/>
              </w:rPr>
            </w:pPr>
            <w:r>
              <w:rPr>
                <w:rFonts w:ascii="Arial" w:cs="Arial" w:eastAsia="Arial" w:hAnsi="Arial"/>
                <w:sz w:val="18"/>
                <w:szCs w:val="18"/>
                <w:color w:val="auto"/>
              </w:rPr>
              <w:t>By:  /s/ Michael G. Slade</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320" w:type="dxa"/>
            <w:vAlign w:val="bottom"/>
          </w:tcPr>
          <w:p>
            <w:pPr>
              <w:spacing w:after="0"/>
              <w:rPr>
                <w:sz w:val="16"/>
                <w:szCs w:val="16"/>
                <w:color w:val="auto"/>
              </w:rPr>
            </w:pPr>
          </w:p>
        </w:tc>
        <w:tc>
          <w:tcPr>
            <w:tcW w:w="4560" w:type="dxa"/>
            <w:vAlign w:val="bottom"/>
          </w:tcPr>
          <w:p>
            <w:pPr>
              <w:ind w:left="4180"/>
              <w:spacing w:after="0"/>
              <w:rPr>
                <w:sz w:val="20"/>
                <w:szCs w:val="20"/>
                <w:color w:val="auto"/>
              </w:rPr>
            </w:pPr>
            <w:r>
              <w:rPr>
                <w:rFonts w:ascii="Arial" w:cs="Arial" w:eastAsia="Arial" w:hAnsi="Arial"/>
                <w:sz w:val="17"/>
                <w:szCs w:val="17"/>
                <w:color w:val="auto"/>
                <w:w w:val="71"/>
              </w:rPr>
              <w:t>Name:</w:t>
            </w:r>
          </w:p>
        </w:tc>
        <w:tc>
          <w:tcPr>
            <w:tcW w:w="348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Michael G. Slade</w:t>
            </w:r>
          </w:p>
        </w:tc>
        <w:tc>
          <w:tcPr>
            <w:tcW w:w="20" w:type="dxa"/>
            <w:vAlign w:val="bottom"/>
          </w:tcPr>
          <w:p>
            <w:pPr>
              <w:spacing w:after="0"/>
              <w:rPr>
                <w:sz w:val="16"/>
                <w:szCs w:val="16"/>
                <w:color w:val="auto"/>
              </w:rPr>
            </w:pPr>
          </w:p>
        </w:tc>
      </w:tr>
      <w:tr>
        <w:trPr>
          <w:trHeight w:val="230"/>
        </w:trPr>
        <w:tc>
          <w:tcPr>
            <w:tcW w:w="1320" w:type="dxa"/>
            <w:vAlign w:val="bottom"/>
          </w:tcPr>
          <w:p>
            <w:pPr>
              <w:spacing w:after="0"/>
              <w:rPr>
                <w:sz w:val="20"/>
                <w:szCs w:val="20"/>
                <w:color w:val="auto"/>
              </w:rPr>
            </w:pPr>
          </w:p>
        </w:tc>
        <w:tc>
          <w:tcPr>
            <w:tcW w:w="8040" w:type="dxa"/>
            <w:vAlign w:val="bottom"/>
            <w:gridSpan w:val="2"/>
          </w:tcPr>
          <w:p>
            <w:pPr>
              <w:ind w:left="4180"/>
              <w:spacing w:after="0"/>
              <w:rPr>
                <w:sz w:val="20"/>
                <w:szCs w:val="20"/>
                <w:color w:val="auto"/>
              </w:rPr>
            </w:pPr>
            <w:r>
              <w:rPr>
                <w:rFonts w:ascii="Arial" w:cs="Arial" w:eastAsia="Arial" w:hAnsi="Arial"/>
                <w:sz w:val="18"/>
                <w:szCs w:val="18"/>
                <w:color w:val="auto"/>
              </w:rPr>
              <w:t>Title:</w:t>
            </w:r>
          </w:p>
        </w:tc>
        <w:tc>
          <w:tcPr>
            <w:tcW w:w="2060" w:type="dxa"/>
            <w:vAlign w:val="bottom"/>
          </w:tcPr>
          <w:p>
            <w:pPr>
              <w:ind w:left="240"/>
              <w:spacing w:after="0"/>
              <w:rPr>
                <w:sz w:val="20"/>
                <w:szCs w:val="20"/>
                <w:color w:val="auto"/>
              </w:rPr>
            </w:pPr>
            <w:r>
              <w:rPr>
                <w:rFonts w:ascii="Arial" w:cs="Arial" w:eastAsia="Arial" w:hAnsi="Arial"/>
                <w:sz w:val="18"/>
                <w:szCs w:val="18"/>
                <w:color w:val="auto"/>
                <w:w w:val="97"/>
              </w:rPr>
              <w:t>Corporate Trust Officer</w:t>
            </w:r>
          </w:p>
        </w:tc>
        <w:tc>
          <w:tcPr>
            <w:tcW w:w="2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4560" w:type="dxa"/>
            <w:vAlign w:val="bottom"/>
          </w:tcPr>
          <w:p>
            <w:pPr>
              <w:jc w:val="center"/>
              <w:ind w:left="4131"/>
              <w:spacing w:after="0"/>
              <w:rPr>
                <w:sz w:val="20"/>
                <w:szCs w:val="20"/>
                <w:color w:val="auto"/>
              </w:rPr>
            </w:pPr>
            <w:r>
              <w:rPr>
                <w:rFonts w:ascii="Arial" w:cs="Arial" w:eastAsia="Arial" w:hAnsi="Arial"/>
                <w:sz w:val="18"/>
                <w:szCs w:val="18"/>
                <w:color w:val="auto"/>
                <w:w w:val="86"/>
              </w:rPr>
              <w:t>104</w:t>
            </w:r>
          </w:p>
        </w:tc>
        <w:tc>
          <w:tcPr>
            <w:tcW w:w="3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320" w:type="dxa"/>
            <w:vAlign w:val="bottom"/>
            <w:tcBorders>
              <w:bottom w:val="single" w:sz="8" w:color="808080"/>
            </w:tcBorders>
          </w:tcPr>
          <w:p>
            <w:pPr>
              <w:spacing w:after="0"/>
              <w:rPr>
                <w:sz w:val="9"/>
                <w:szCs w:val="9"/>
                <w:color w:val="auto"/>
              </w:rPr>
            </w:pPr>
          </w:p>
        </w:tc>
        <w:tc>
          <w:tcPr>
            <w:tcW w:w="8040" w:type="dxa"/>
            <w:vAlign w:val="bottom"/>
            <w:tcBorders>
              <w:bottom w:val="single" w:sz="8" w:color="808080"/>
            </w:tcBorders>
            <w:gridSpan w:val="2"/>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40"/>
        </w:trPr>
        <w:tc>
          <w:tcPr>
            <w:tcW w:w="1320" w:type="dxa"/>
            <w:vAlign w:val="bottom"/>
          </w:tcPr>
          <w:p>
            <w:pPr>
              <w:spacing w:after="0"/>
              <w:rPr>
                <w:sz w:val="24"/>
                <w:szCs w:val="24"/>
                <w:color w:val="auto"/>
              </w:rPr>
            </w:pPr>
          </w:p>
        </w:tc>
        <w:tc>
          <w:tcPr>
            <w:tcW w:w="8040" w:type="dxa"/>
            <w:vAlign w:val="bottom"/>
            <w:gridSpan w:val="2"/>
          </w:tcPr>
          <w:p>
            <w:pPr>
              <w:jc w:val="center"/>
              <w:ind w:left="651"/>
              <w:spacing w:after="0"/>
              <w:rPr>
                <w:sz w:val="20"/>
                <w:szCs w:val="20"/>
                <w:color w:val="auto"/>
              </w:rPr>
            </w:pPr>
            <w:r>
              <w:rPr>
                <w:rFonts w:ascii="Arial" w:cs="Arial" w:eastAsia="Arial" w:hAnsi="Arial"/>
                <w:sz w:val="18"/>
                <w:szCs w:val="18"/>
                <w:color w:val="auto"/>
                <w:w w:val="94"/>
              </w:rPr>
              <w:t>ANNEX A -- Form of Unrestricted Securities Certificate</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8040" w:type="dxa"/>
            <w:vAlign w:val="bottom"/>
            <w:gridSpan w:val="2"/>
          </w:tcPr>
          <w:p>
            <w:pPr>
              <w:jc w:val="center"/>
              <w:ind w:left="651"/>
              <w:spacing w:after="0"/>
              <w:rPr>
                <w:sz w:val="20"/>
                <w:szCs w:val="20"/>
                <w:color w:val="auto"/>
              </w:rPr>
            </w:pPr>
            <w:r>
              <w:rPr>
                <w:rFonts w:ascii="Arial" w:cs="Arial" w:eastAsia="Arial" w:hAnsi="Arial"/>
                <w:sz w:val="18"/>
                <w:szCs w:val="18"/>
                <w:color w:val="auto"/>
                <w:w w:val="94"/>
              </w:rPr>
              <w:t>UNRESTRICTED SECURITIES CERTIFICATE</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8040" w:type="dxa"/>
            <w:vAlign w:val="bottom"/>
            <w:gridSpan w:val="2"/>
          </w:tcPr>
          <w:p>
            <w:pPr>
              <w:jc w:val="center"/>
              <w:ind w:left="651"/>
              <w:spacing w:after="0"/>
              <w:rPr>
                <w:sz w:val="20"/>
                <w:szCs w:val="20"/>
                <w:color w:val="auto"/>
              </w:rPr>
            </w:pPr>
            <w:r>
              <w:rPr>
                <w:rFonts w:ascii="Arial" w:cs="Arial" w:eastAsia="Arial" w:hAnsi="Arial"/>
                <w:sz w:val="18"/>
                <w:szCs w:val="18"/>
                <w:color w:val="auto"/>
                <w:w w:val="90"/>
              </w:rPr>
              <w:t>(For removal of Restricted Securities Legend pursuant to Section 3.5(3))</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9360" w:type="dxa"/>
            <w:vAlign w:val="bottom"/>
            <w:gridSpan w:val="3"/>
          </w:tcPr>
          <w:p>
            <w:pPr>
              <w:spacing w:after="0"/>
              <w:rPr>
                <w:sz w:val="20"/>
                <w:szCs w:val="20"/>
                <w:color w:val="auto"/>
              </w:rPr>
            </w:pPr>
            <w:r>
              <w:rPr>
                <w:rFonts w:ascii="Arial" w:cs="Arial" w:eastAsia="Arial" w:hAnsi="Arial"/>
                <w:sz w:val="18"/>
                <w:szCs w:val="18"/>
                <w:color w:val="auto"/>
              </w:rPr>
              <w:t>Wells Fargo Bank Minnesota, National Association</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rPr>
              <w:t>Corporate Trust Operations</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6"/>
              </w:rPr>
              <w:t>MAC N9303-121</w:t>
            </w:r>
          </w:p>
        </w:tc>
        <w:tc>
          <w:tcPr>
            <w:tcW w:w="4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rPr>
              <w:t>Sixth and Marquette</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Minneapolis, Minnesota 55479</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20" w:type="dxa"/>
            <w:vAlign w:val="bottom"/>
          </w:tcPr>
          <w:p>
            <w:pPr>
              <w:ind w:left="660"/>
              <w:spacing w:after="0"/>
              <w:rPr>
                <w:sz w:val="20"/>
                <w:szCs w:val="20"/>
                <w:color w:val="auto"/>
              </w:rPr>
            </w:pPr>
            <w:r>
              <w:rPr>
                <w:rFonts w:ascii="Arial" w:cs="Arial" w:eastAsia="Arial" w:hAnsi="Arial"/>
                <w:sz w:val="18"/>
                <w:szCs w:val="18"/>
                <w:color w:val="auto"/>
              </w:rPr>
              <w:t>RE:</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w w:val="94"/>
              </w:rPr>
              <w:t>2.50% Convertible Subordinated Notes Due February 1, 2010 of Micron Technology, Inc. (the “Securities”)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-2130425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-2130425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Reference is made to the Indenture, dated as of February 4, 2003 (the “Indenture”), from Micron Technology, Inc (the “Company”) to Wells Fargo Bank Minnesota, National Association, as Trustee. Terms used herein and defined in the Indenture or in Rule 144 under the U.S. Securities Act of 1933 (the “Securities Act”) are used herein as so defined.</w:t>
      </w:r>
    </w:p>
    <w:p>
      <w:pPr>
        <w:sectPr>
          <w:pgSz w:w="11900" w:h="16838" w:orient="portrait"/>
          <w:cols w:equalWidth="0" w:num="1">
            <w:col w:w="11440"/>
          </w:cols>
          <w:pgMar w:left="240" w:top="125" w:right="219" w:bottom="312"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relates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Securities, which are evidenced by the following certificate(s) (the “Specified</w:t>
      </w:r>
    </w:p>
    <w:p>
      <w:pPr>
        <w:spacing w:after="0" w:line="453" w:lineRule="exact"/>
        <w:rPr>
          <w:sz w:val="20"/>
          <w:szCs w:val="20"/>
          <w:color w:val="auto"/>
        </w:rPr>
      </w:pPr>
    </w:p>
    <w:p>
      <w:pPr>
        <w:sectPr>
          <w:pgSz w:w="11900" w:h="16838" w:orient="portrait"/>
          <w:cols w:equalWidth="0" w:num="2">
            <w:col w:w="2700" w:space="720"/>
            <w:col w:w="8020"/>
          </w:cols>
          <w:pgMar w:left="240" w:top="125" w:right="219" w:bottom="312" w:gutter="0" w:footer="0" w:header="0"/>
          <w:type w:val="continuous"/>
        </w:sectPr>
      </w:pPr>
    </w:p>
    <w:p>
      <w:pPr>
        <w:spacing w:after="0" w:line="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CUSIP No. 595112 AF 0</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CERTIFICATE No(s).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7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Owner has requested that the Specified Securities be exchanged for Securities bearing no Restricted Securities Legend pursuant to Section 3.5(3) of the Indenture. In connection with such exchange, the Owner hereby certifies that the exchange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312" w:gutter="0" w:footer="0" w:header="0"/>
          <w:type w:val="continuous"/>
        </w:sectPr>
      </w:pPr>
    </w:p>
    <w:bookmarkStart w:id="74" w:name="page75"/>
    <w:bookmarkEnd w:id="74"/>
    <w:p>
      <w:pPr>
        <w:ind w:right="140"/>
        <w:spacing w:after="0" w:line="277" w:lineRule="auto"/>
        <w:rPr>
          <w:sz w:val="20"/>
          <w:szCs w:val="20"/>
          <w:color w:val="auto"/>
        </w:rPr>
      </w:pPr>
      <w:r>
        <w:rPr>
          <w:rFonts w:ascii="Arial" w:cs="Arial" w:eastAsia="Arial" w:hAnsi="Arial"/>
          <w:sz w:val="18"/>
          <w:szCs w:val="18"/>
          <w:color w:val="auto"/>
        </w:rPr>
        <w:t>also acknowledges that any future transfers of the Specified Securities must comply with all applicable securities laws of the states of the United States and other jurisdictions.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 and the 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4474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(Print the name of the Undersigned, as such term is defined in the second paragraph of this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4690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45707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7073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-130810</wp:posOffset>
            </wp:positionV>
            <wp:extent cx="31470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the Undersigned is a corporation, partnership or fiduciary, the title of the person signing on behalf of the Undersigned must be stated.)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B -- Form of Surrender Certificate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certification contemplated by Section 12.2 or 14.3(9) relating to compliance with certain restrictions relating to transfers of Restricted Securities, such certification shall be provided substantially in the form of the following certificate, with only such changes thereto as shall be approved by the Company and Goldman, Sachs &amp; Co.:</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2.50% CONVERTIBLE SUBORDINATED NOTES DUE FEBRUARY 1, 2010</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is to certify that as of the date hereof with respect to U.S. $ principal amount of the above-captioned securities surrendered on the date hereof (the “Surrendered Securities”) for registration of transfer, or for conversion or repurchase where the securities issuable upon such conversion or repurchase are to be registered in a name other than that of the undersigned Holder (each such transaction being a “transfer”), the undersigned Holder (as defined in the Indenture) certifies that the transfer of Surrendered Securities associated with such transfer complies with the restrictive legend set forth on the face of the Surrendered Securities for the reason checked below:</w:t>
      </w:r>
    </w:p>
    <w:p>
      <w:pPr>
        <w:spacing w:after="0" w:line="188"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of the Surrendered Securities complies with Rule 144A under the Securities Act; or</w:t>
      </w:r>
    </w:p>
    <w:p>
      <w:pPr>
        <w:spacing w:after="0" w:line="225" w:lineRule="exact"/>
        <w:rPr>
          <w:rFonts w:ascii="Arial" w:cs="Arial" w:eastAsia="Arial" w:hAnsi="Arial"/>
          <w:sz w:val="18"/>
          <w:szCs w:val="18"/>
          <w:color w:val="auto"/>
        </w:rPr>
      </w:pPr>
    </w:p>
    <w:p>
      <w:pPr>
        <w:ind w:left="660" w:hanging="652"/>
        <w:spacing w:after="0" w:line="277" w:lineRule="auto"/>
        <w:tabs>
          <w:tab w:leader="none" w:pos="5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of the Surrendered Securities complies with Rule 144 under the United States Securities Act of 1933, as amended (the “Securities Act”); or</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transfer of the Surrendered Securities has been made to an institution that is an “accredited investor” within the meaning of Rule 501(a)(1), (2),</w:t>
      </w:r>
    </w:p>
    <w:p>
      <w:pPr>
        <w:spacing w:after="0" w:line="46" w:lineRule="exact"/>
        <w:rPr>
          <w:rFonts w:ascii="Arial" w:cs="Arial" w:eastAsia="Arial" w:hAnsi="Arial"/>
          <w:sz w:val="16"/>
          <w:szCs w:val="16"/>
          <w:color w:val="auto"/>
        </w:rPr>
      </w:pPr>
    </w:p>
    <w:p>
      <w:pPr>
        <w:ind w:left="660"/>
        <w:spacing w:after="0" w:line="302" w:lineRule="auto"/>
        <w:rPr>
          <w:rFonts w:ascii="Arial" w:cs="Arial" w:eastAsia="Arial" w:hAnsi="Arial"/>
          <w:sz w:val="16"/>
          <w:szCs w:val="16"/>
          <w:color w:val="auto"/>
        </w:rPr>
      </w:pPr>
      <w:r>
        <w:rPr>
          <w:rFonts w:ascii="Arial" w:cs="Arial" w:eastAsia="Arial" w:hAnsi="Arial"/>
          <w:sz w:val="16"/>
          <w:szCs w:val="16"/>
          <w:color w:val="auto"/>
        </w:rPr>
        <w:t>(3) or (7) under the Securities Act in a transaction exempt from the registration requirements of the Securities Act and a signed letter containing certain representations and agreements relating to restrictions on transfer of the Securities (and if such transfer is for an aggregate principal amount less than $250,000 an opinion of counsel acceptable to the Company if requested by the Company, that such transfer is exempt from registration); or</w:t>
      </w:r>
    </w:p>
    <w:p>
      <w:pPr>
        <w:spacing w:after="0" w:line="155" w:lineRule="exact"/>
        <w:rPr>
          <w:rFonts w:ascii="Arial" w:cs="Arial" w:eastAsia="Arial" w:hAnsi="Arial"/>
          <w:sz w:val="16"/>
          <w:szCs w:val="16"/>
          <w:color w:val="auto"/>
        </w:rPr>
      </w:pPr>
    </w:p>
    <w:p>
      <w:pPr>
        <w:ind w:left="660" w:right="420" w:hanging="652"/>
        <w:spacing w:after="0" w:line="277" w:lineRule="auto"/>
        <w:tabs>
          <w:tab w:leader="none" w:pos="5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of the Surrendered Securities has been made pursuant to an exemption from registration under the Securities Act and an opinion of counsel has been delivered to the Company with respect to such transfer.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be dated the date of surrender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16808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10.141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 Convertible Subordinated Notes due February 1, 2010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Registration Rights Agreement</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February 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2765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155 Linfield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Purchasers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II to the Purchase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Micron Technology, Inc., a Delaware corporation (the “Company”), proposes to issue and sell to the Purchasers (as defined herein) upon the terms set forth in the Purchase Agreement (as defined herein) its 2.50% Convertible Subordinated Notes due February 1, 2010 (the “Securities”). As an inducement to the Purchasers to enter into the Purchase Agreement and in satisfaction of a condition to the obligations of the Purchasers thereunder, the Company agrees with the Purchasers for the benefit of Holders (as defined herein) from time to time of the Registrable Securities (as defined herein) as follows:</w:t>
      </w:r>
    </w:p>
    <w:p>
      <w:pPr>
        <w:spacing w:after="0" w:line="154" w:lineRule="exact"/>
        <w:rPr>
          <w:sz w:val="20"/>
          <w:szCs w:val="20"/>
          <w:color w:val="auto"/>
        </w:rPr>
      </w:pPr>
    </w:p>
    <w:p>
      <w:pPr>
        <w:ind w:left="1380" w:hanging="724"/>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00" w:firstLine="656"/>
        <w:spacing w:after="0" w:line="277" w:lineRule="auto"/>
        <w:tabs>
          <w:tab w:leader="none" w:pos="134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ascribed to them in the Purchase Agreement. As used in this Agreement, the following defined terms shall have the following meanings: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of any specified person means any other person which, directly or indirectly, is in control of, is controlled by, or is under common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means the First Delivery Date as defined in the Purchase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xml:space="preserve"> means the United States Securities and Exchange Commission, or any other federal agency at the time administering the Exchange Act or the Securities Act, whichever is the relevant statute for the particular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means the Company’s common stock, par value $0.10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means The Depository Trust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the Shelf Registration Statement is declared effective.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Failure” </w:t>
      </w:r>
      <w:r>
        <w:rPr>
          <w:rFonts w:ascii="Arial" w:cs="Arial" w:eastAsia="Arial" w:hAnsi="Arial"/>
          <w:sz w:val="18"/>
          <w:szCs w:val="18"/>
          <w:color w:val="auto"/>
        </w:rPr>
        <w:t>has the meaning assigned thereto in Section 6(b)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“Effectiveness Period” </w:t>
      </w:r>
      <w:r>
        <w:rPr>
          <w:rFonts w:ascii="Arial" w:cs="Arial" w:eastAsia="Arial" w:hAnsi="Arial"/>
          <w:sz w:val="18"/>
          <w:szCs w:val="18"/>
          <w:color w:val="auto"/>
        </w:rPr>
        <w:t>has the meaning assigned thereto in Section 2(b)(i) hereof.</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“Effective Time” </w:t>
      </w:r>
      <w:r>
        <w:rPr>
          <w:rFonts w:ascii="Arial" w:cs="Arial" w:eastAsia="Arial" w:hAnsi="Arial"/>
          <w:sz w:val="18"/>
          <w:szCs w:val="18"/>
          <w:color w:val="auto"/>
        </w:rPr>
        <w:t>means the time at which the Commission declares the Shelf Registration Statement effective or at which the Shelf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otherwise becomes effective.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“Electing Holder” </w:t>
      </w:r>
      <w:r>
        <w:rPr>
          <w:rFonts w:ascii="Arial" w:cs="Arial" w:eastAsia="Arial" w:hAnsi="Arial"/>
          <w:sz w:val="18"/>
          <w:szCs w:val="18"/>
          <w:color w:val="auto"/>
        </w:rPr>
        <w:t>has the meaning assigned thereto in Section 3(a)(ii)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any person that is the record owner of Registrable Securities (and includes any person that has a beneficial interest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Security in book-entry form).</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the Indenture, dated as of February 4, 2003, between the Company and Wells Fargo Bank Minnesota, National Association,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supplemented from time to time in accordance with its terms.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“Liquidated Damages” </w:t>
      </w:r>
      <w:r>
        <w:rPr>
          <w:rFonts w:ascii="Arial" w:cs="Arial" w:eastAsia="Arial" w:hAnsi="Arial"/>
          <w:sz w:val="18"/>
          <w:szCs w:val="18"/>
          <w:color w:val="auto"/>
        </w:rPr>
        <w:t>has the meaning assigned thereto in Section 6(a) hereof.</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“Notice and Questionnaire” </w:t>
      </w:r>
      <w:r>
        <w:rPr>
          <w:rFonts w:ascii="Arial" w:cs="Arial" w:eastAsia="Arial" w:hAnsi="Arial"/>
          <w:sz w:val="18"/>
          <w:szCs w:val="18"/>
          <w:color w:val="auto"/>
        </w:rPr>
        <w:t>means a Notice of Registration Statement and Selling Securityholder Questionnaire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Appendix A hereto.</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 individual, partnership, corporation, trust or unincorporated organization, or a government or agency or political subdivision thereof.</w:t>
      </w:r>
    </w:p>
    <w:p>
      <w:pPr>
        <w:sectPr>
          <w:pgSz w:w="11900" w:h="16838" w:orient="portrait"/>
          <w:cols w:equalWidth="0" w:num="1">
            <w:col w:w="11420"/>
          </w:cols>
          <w:pgMar w:left="240" w:top="121" w:right="239" w:bottom="0" w:gutter="0" w:footer="0" w:header="0"/>
        </w:sectPr>
      </w:pPr>
    </w:p>
    <w:bookmarkStart w:id="76" w:name="page77"/>
    <w:bookmarkEnd w:id="76"/>
    <w:p>
      <w:pPr>
        <w:spacing w:after="0" w:line="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“Prospectus” </w:t>
      </w:r>
      <w:r>
        <w:rPr>
          <w:rFonts w:ascii="Arial" w:cs="Arial" w:eastAsia="Arial" w:hAnsi="Arial"/>
          <w:sz w:val="18"/>
          <w:szCs w:val="18"/>
          <w:color w:val="auto"/>
        </w:rPr>
        <w:t>means the prospectus (including, without limitation, any preliminary prospectus, any final prospectus and any prospectus that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discloses information previously omitted from a prospectus filed as part of an effective registration statement in reliance upon Rule 430A under the Securities Act) included in the Shelf Registration Statement, as amended or supplemented by any prospectus supplement with respect to the terms of the offering of any portion of the Registrable Securities covered by the Shelf Registration Statement and by all other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means the purchase agreement, dated as of January 29, 2003, between the Purchasers and the Company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“Purchasers” </w:t>
      </w:r>
      <w:r>
        <w:rPr>
          <w:rFonts w:ascii="Arial" w:cs="Arial" w:eastAsia="Arial" w:hAnsi="Arial"/>
          <w:sz w:val="18"/>
          <w:szCs w:val="18"/>
          <w:color w:val="auto"/>
        </w:rPr>
        <w:t>means the Initial Purchasers named in Schedule II of the Purchase Agreement.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“Registrable Securities” </w:t>
      </w:r>
      <w:r>
        <w:rPr>
          <w:rFonts w:ascii="Arial" w:cs="Arial" w:eastAsia="Arial" w:hAnsi="Arial"/>
          <w:sz w:val="18"/>
          <w:szCs w:val="18"/>
          <w:color w:val="auto"/>
        </w:rPr>
        <w:t>means all or any portion of the Securities issued from time to time under the Indenture in registered form and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issuable upon conversion, repurchase or redemption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security ceases to be a Registrable Security when it is no longer a Restricted Security.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“Registration Default” </w:t>
      </w:r>
      <w:r>
        <w:rPr>
          <w:rFonts w:ascii="Arial" w:cs="Arial" w:eastAsia="Arial" w:hAnsi="Arial"/>
          <w:sz w:val="18"/>
          <w:szCs w:val="18"/>
          <w:color w:val="auto"/>
        </w:rPr>
        <w:t>has the meaning assigned thereto in Section 6(a) hereof.</w:t>
      </w:r>
    </w:p>
    <w:p>
      <w:pPr>
        <w:spacing w:after="0" w:line="225"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i w:val="1"/>
          <w:iCs w:val="1"/>
          <w:color w:val="auto"/>
        </w:rPr>
        <w:t xml:space="preserve">“Restricted Security” </w:t>
      </w:r>
      <w:r>
        <w:rPr>
          <w:rFonts w:ascii="Arial" w:cs="Arial" w:eastAsia="Arial" w:hAnsi="Arial"/>
          <w:sz w:val="16"/>
          <w:szCs w:val="16"/>
          <w:color w:val="auto"/>
        </w:rPr>
        <w:t>means any Security or share of Common Stock issuable upon conversion thereof except any such Security or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(i) has been effectively registered under the Securities Act and sold in a manner contemplated by the Shelf Registration Statement,</w:t>
      </w:r>
    </w:p>
    <w:p>
      <w:pPr>
        <w:ind w:firstLine="8"/>
        <w:spacing w:after="0" w:line="277" w:lineRule="auto"/>
        <w:tabs>
          <w:tab w:leader="none" w:pos="2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the Indenture.</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“Rules and Regulations” </w:t>
      </w:r>
      <w:r>
        <w:rPr>
          <w:rFonts w:ascii="Arial" w:cs="Arial" w:eastAsia="Arial" w:hAnsi="Arial"/>
          <w:sz w:val="18"/>
          <w:szCs w:val="18"/>
          <w:color w:val="auto"/>
        </w:rPr>
        <w:t>means the published rules and regulations of the Commission promulgated under the Securities Act or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as in effect at any relevant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United States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“Shelf Registration” </w:t>
      </w:r>
      <w:r>
        <w:rPr>
          <w:rFonts w:ascii="Arial" w:cs="Arial" w:eastAsia="Arial" w:hAnsi="Arial"/>
          <w:sz w:val="18"/>
          <w:szCs w:val="18"/>
          <w:color w:val="auto"/>
        </w:rPr>
        <w:t>means a registration effected pursuant to Section 2 hereof.</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means a “shelf” registration statement filed under the Securities Act providing for the registration of, and the sale on</w:t>
      </w:r>
      <w:r>
        <w:rPr>
          <w:rFonts w:ascii="Arial" w:cs="Arial" w:eastAsia="Arial" w:hAnsi="Arial"/>
          <w:sz w:val="18"/>
          <w:szCs w:val="18"/>
          <w:i w:val="1"/>
          <w:iCs w:val="1"/>
          <w:color w:val="auto"/>
        </w:rPr>
        <w:t xml:space="preserve"> </w:t>
      </w:r>
      <w:r>
        <w:rPr>
          <w:rFonts w:ascii="Arial" w:cs="Arial" w:eastAsia="Arial" w:hAnsi="Arial"/>
          <w:sz w:val="18"/>
          <w:szCs w:val="18"/>
          <w:color w:val="auto"/>
        </w:rPr>
        <w:t>a continuous or delayed basis by the 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“Trust Indenture Act” </w:t>
      </w:r>
      <w:r>
        <w:rPr>
          <w:rFonts w:ascii="Arial" w:cs="Arial" w:eastAsia="Arial" w:hAnsi="Arial"/>
          <w:sz w:val="18"/>
          <w:szCs w:val="18"/>
          <w:color w:val="auto"/>
        </w:rPr>
        <w:t>means the Trust Indenture Act of 1939, or any successor thereto, and the rules, regulations and forms promulgated thereunder,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as the same shall be amended from time to time.</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“underwriter”</w:t>
      </w:r>
      <w:r>
        <w:rPr>
          <w:rFonts w:ascii="Arial" w:cs="Arial" w:eastAsia="Arial" w:hAnsi="Arial"/>
          <w:sz w:val="18"/>
          <w:szCs w:val="18"/>
          <w:color w:val="auto"/>
        </w:rPr>
        <w:t xml:space="preserve"> means any underwriter of Registrable Securities in connection with an offering thereof under a Shelf Registration Statement.</w:t>
      </w:r>
    </w:p>
    <w:p>
      <w:pPr>
        <w:spacing w:after="0" w:line="170" w:lineRule="exact"/>
        <w:rPr>
          <w:sz w:val="20"/>
          <w:szCs w:val="20"/>
          <w:color w:val="auto"/>
        </w:rPr>
      </w:pPr>
    </w:p>
    <w:p>
      <w:pPr>
        <w:ind w:right="40" w:firstLine="656"/>
        <w:spacing w:after="0" w:line="264" w:lineRule="auto"/>
        <w:tabs>
          <w:tab w:leader="none" w:pos="13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Wherever there is a reference in this Agreement to a percentage of the “principal amount” of Registrable Securities or to a percentage of Registrable Securities, Common Stock shall be treated as representing the principal amount of Securities that were surrendered for conversion or exchange in order to receive such number of shares of Common Stock.</w:t>
      </w:r>
    </w:p>
    <w:p>
      <w:pPr>
        <w:spacing w:after="0" w:line="181" w:lineRule="exact"/>
        <w:rPr>
          <w:sz w:val="20"/>
          <w:szCs w:val="20"/>
          <w:color w:val="auto"/>
        </w:rPr>
      </w:pPr>
    </w:p>
    <w:p>
      <w:pPr>
        <w:ind w:left="1380" w:hanging="724"/>
        <w:spacing w:after="0"/>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right="220" w:firstLine="656"/>
        <w:spacing w:after="0" w:line="299" w:lineRule="auto"/>
        <w:tabs>
          <w:tab w:leader="none" w:pos="13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shall use its reasonable efforts to file, no later than 90 calendar days following the Closing Date, with the Commission a Shelf Registration Statement relating to the offer and sale of the Registrable Securities by the Holders from time to time in accordance with the methods of distribution elected by such Holders and set forth in such Shelf Registration Statement and, thereafter, shall use its reasonable efforts to cause such Shelf</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Registration Statement to be declared effective under the Securities Act no later than 180 calendar days following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upon written notice to all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Holder shall be entitled to be named as a selling securityholder in the Shelf Registration Statement or to use the Prospectus forming a part thereof for resales of Registrable Securities unless such Holder is an Electing Holder.</w:t>
      </w:r>
    </w:p>
    <w:p>
      <w:pPr>
        <w:spacing w:after="0" w:line="158" w:lineRule="exact"/>
        <w:rPr>
          <w:sz w:val="20"/>
          <w:szCs w:val="20"/>
          <w:color w:val="auto"/>
        </w:rPr>
      </w:pPr>
    </w:p>
    <w:p>
      <w:pPr>
        <w:ind w:left="1360" w:hanging="704"/>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use its reasonable efforts:</w:t>
      </w:r>
    </w:p>
    <w:p>
      <w:pPr>
        <w:spacing w:after="0" w:line="225" w:lineRule="exact"/>
        <w:rPr>
          <w:rFonts w:ascii="Arial" w:cs="Arial" w:eastAsia="Arial" w:hAnsi="Arial"/>
          <w:sz w:val="18"/>
          <w:szCs w:val="18"/>
          <w:color w:val="auto"/>
        </w:rPr>
      </w:pPr>
    </w:p>
    <w:p>
      <w:pPr>
        <w:ind w:left="660" w:right="80" w:firstLine="645"/>
        <w:spacing w:after="0" w:line="279" w:lineRule="auto"/>
        <w:tabs>
          <w:tab w:leader="none" w:pos="201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to keep the Shelf Registration Statement continuously effective in order to permit the Prospectus forming a part thereof to be usable by Holders until the earliest of (1) such time as there are no Registrable Securities outstanding; (2) the expiration of the period referred to in Rule 144(k) of the Securities Act with respect to all Registrable Securities held by Persons that are not Affiliates of the Company; and (3) two years from the Closing Date (such period being referred to herein as the “Effectiveness Period”); and</w:t>
      </w:r>
    </w:p>
    <w:p>
      <w:pPr>
        <w:spacing w:after="0" w:line="171" w:lineRule="exact"/>
        <w:rPr>
          <w:rFonts w:ascii="Arial" w:cs="Arial" w:eastAsia="Arial" w:hAnsi="Arial"/>
          <w:sz w:val="17"/>
          <w:szCs w:val="17"/>
          <w:color w:val="auto"/>
        </w:rPr>
      </w:pPr>
    </w:p>
    <w:p>
      <w:pPr>
        <w:ind w:left="660" w:firstLine="645"/>
        <w:spacing w:after="0" w:line="381" w:lineRule="auto"/>
        <w:tabs>
          <w:tab w:leader="none" w:pos="2023" w:val="left"/>
        </w:tabs>
        <w:numPr>
          <w:ilvl w:val="1"/>
          <w:numId w:val="114"/>
        </w:numPr>
        <w:rPr>
          <w:rFonts w:ascii="Arial" w:cs="Arial" w:eastAsia="Arial" w:hAnsi="Arial"/>
          <w:sz w:val="15"/>
          <w:szCs w:val="15"/>
          <w:color w:val="auto"/>
        </w:rPr>
      </w:pPr>
      <w:r>
        <w:rPr>
          <w:rFonts w:ascii="Arial" w:cs="Arial" w:eastAsia="Arial" w:hAnsi="Arial"/>
          <w:sz w:val="15"/>
          <w:szCs w:val="15"/>
          <w:color w:val="auto"/>
        </w:rPr>
        <w:t>if at any time the Securities, pursuant to Article XII of the Indenture, are convertible into securities other than Common Stock, to cause, or to cause any successor under the Indenture to cause, such securities to be included in the Shelf Registration Statement no later than the date</w:t>
      </w:r>
    </w:p>
    <w:p>
      <w:pPr>
        <w:sectPr>
          <w:pgSz w:w="11900" w:h="16890" w:orient="portrait"/>
          <w:cols w:equalWidth="0" w:num="1">
            <w:col w:w="11380"/>
          </w:cols>
          <w:pgMar w:left="240" w:top="125" w:right="279" w:bottom="0" w:gutter="0" w:footer="0" w:header="0"/>
        </w:sectPr>
      </w:pPr>
    </w:p>
    <w:bookmarkStart w:id="77" w:name="page78"/>
    <w:bookmarkEnd w:id="77"/>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which the Securities may then be convertible into such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40" w:firstLine="656"/>
        <w:spacing w:after="0" w:line="273" w:lineRule="auto"/>
        <w:tabs>
          <w:tab w:leader="none" w:pos="132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may suspend the use of the Prospectus for a period not to exceed 45 days in any 90-day period or an aggregate of 90 days in any 365-day period if the Board of Directors of the Company, or the Chief Executive Officer or the Chief Financial Officer of the Company, shall have determined in good faith that because of valid business reasons (not including avoidance of the Company’s obligations hereunder), including, without limitations, the acquisition or divestiture of assets, pending corporate developments, public filings with the Commission and similar events, it is in the interest of the Company to suspend such use, and prior to suspending such use the Company provides the Electing Holders with written notice of such suspension, which notice need not specify the nature of the event giving rise to such suspension.</w:t>
      </w:r>
    </w:p>
    <w:p>
      <w:pPr>
        <w:spacing w:after="0" w:line="178" w:lineRule="exact"/>
        <w:rPr>
          <w:sz w:val="20"/>
          <w:szCs w:val="20"/>
          <w:color w:val="auto"/>
        </w:rPr>
      </w:pPr>
    </w:p>
    <w:p>
      <w:pPr>
        <w:ind w:left="1360" w:hanging="724"/>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Registration Procedures</w:t>
      </w:r>
      <w:r>
        <w:rPr>
          <w:rFonts w:ascii="Arial" w:cs="Arial" w:eastAsia="Arial" w:hAnsi="Arial"/>
          <w:sz w:val="18"/>
          <w:szCs w:val="18"/>
          <w:color w:val="auto"/>
        </w:rPr>
        <w:t>. In connection with the Shelf Registration Statement, the following provisions shall apply:</w:t>
      </w:r>
    </w:p>
    <w:p>
      <w:pPr>
        <w:spacing w:after="0" w:line="225" w:lineRule="exact"/>
        <w:rPr>
          <w:sz w:val="20"/>
          <w:szCs w:val="20"/>
          <w:color w:val="auto"/>
        </w:rPr>
      </w:pPr>
    </w:p>
    <w:p>
      <w:pPr>
        <w:ind w:left="-20" w:right="40" w:firstLine="656"/>
        <w:spacing w:after="0" w:line="268" w:lineRule="auto"/>
        <w:tabs>
          <w:tab w:leader="none" w:pos="132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 Not less than 30 calendar days prior to the Effective Time of the Shelf Registration Statement, the Company shall mail the Notice and Questionnaire to the Holders of Registrable Securities. No Holder shall be entitled to be named as a selling securityholder in the Shelf Registration Statement as of the Effective Time, and no Holder shall be entitled to use the Prospectus forming a part thereof for offers and resales of Registrable Securities at any time, unless such Holder has returned a completed and signed Notice and Questionnaire to the Company by the deadline for response set forth therein; </w:t>
      </w:r>
      <w:r>
        <w:rPr>
          <w:rFonts w:ascii="Arial" w:cs="Arial" w:eastAsia="Arial" w:hAnsi="Arial"/>
          <w:sz w:val="17"/>
          <w:szCs w:val="17"/>
          <w:i w:val="1"/>
          <w:iCs w:val="1"/>
          <w:color w:val="auto"/>
        </w:rPr>
        <w:t>provided, however</w:t>
      </w:r>
      <w:r>
        <w:rPr>
          <w:rFonts w:ascii="Arial" w:cs="Arial" w:eastAsia="Arial" w:hAnsi="Arial"/>
          <w:sz w:val="17"/>
          <w:szCs w:val="17"/>
          <w:color w:val="auto"/>
        </w:rPr>
        <w:t>, Holders of Registrable Securities shall have at least 28 calendar days from the date on which the Notice and Questionnaire is first mailed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such Holders to return a completed and signed Notice and Questionnaire to the Company. Notwithstanding the foregoing, upon the request of any Holder of Registrable Securities that did not return a Notice and Questionnaire on a timely basis or did not receive a Notice and Questionnaire because it was a subsequent transferee of Registrable Securities after the Company mailed the Notice and Questionnaire, (x) the Company shall distribute a Notice and Questionnaire to such Holders at the address set forth in the request and (y) upon receipt of a properly completed Notice and Questionnaire from such Holder, the Company shall use its reasonable efforts to name such Holder as a selling securityholder in the Shelf Registration Statement by means of a pre-effective amendment or, if permitted by the Commission, by means of a Prospectus supplement to the Shelf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have no obligation to pay Liquidated Damages to such Holder for its failure to file a pre-effective amendment or Prospectus supplement and;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the Company will have no obligation to add a Holder to the Shelf Registration Statement if a post-effective amendment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name such Holder as a selling securityholder.</w:t>
      </w:r>
    </w:p>
    <w:p>
      <w:pPr>
        <w:spacing w:after="0" w:line="185" w:lineRule="exact"/>
        <w:rPr>
          <w:rFonts w:ascii="Arial" w:cs="Arial" w:eastAsia="Arial" w:hAnsi="Arial"/>
          <w:sz w:val="17"/>
          <w:szCs w:val="17"/>
          <w:color w:val="auto"/>
        </w:rPr>
      </w:pPr>
    </w:p>
    <w:p>
      <w:pPr>
        <w:ind w:left="640" w:right="100" w:firstLine="645"/>
        <w:spacing w:after="0" w:line="277" w:lineRule="auto"/>
        <w:tabs>
          <w:tab w:leader="none" w:pos="200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term “Electing Holder” shall mean any Holder of Registrable Securities that has returned a completed and signed Notice and Questionnaire to the Company in accordance with Section 3(a)(i)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right="20" w:firstLine="656"/>
        <w:spacing w:after="0" w:line="259" w:lineRule="auto"/>
        <w:tabs>
          <w:tab w:leader="none" w:pos="13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furnish to each Electing Holder, prior to the Effective Time, a copy of the Shelf Registration Statement as initially filed with the Commission and, if such Electing Holder so requests in writing, copies of each amendment thereto. Prior to the Effective Time, the Company shall use its reasonable efforts to take into account and reflect in an amendment to the Shelf Registration Statement any comments on the Shelf Registration Statement as initially filed as the Electing Holders and as their counsel reasonably may propose.</w:t>
      </w:r>
    </w:p>
    <w:p>
      <w:pPr>
        <w:spacing w:after="0" w:line="186" w:lineRule="exact"/>
        <w:rPr>
          <w:rFonts w:ascii="Arial" w:cs="Arial" w:eastAsia="Arial" w:hAnsi="Arial"/>
          <w:sz w:val="18"/>
          <w:szCs w:val="18"/>
          <w:color w:val="auto"/>
        </w:rPr>
      </w:pPr>
    </w:p>
    <w:p>
      <w:pPr>
        <w:ind w:left="-20" w:firstLine="656"/>
        <w:spacing w:after="0" w:line="271" w:lineRule="auto"/>
        <w:tabs>
          <w:tab w:leader="none" w:pos="132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shall as promptly as reasonably practicable take such action as may be necessary so that (i) each of the Shelf Registration Statement and any amendment thereto and the Prospectus forming a part thereof and any amendment or supplement thereto (and each report or other document incorporated therein by reference in each case) complies as to form in all material respects with the Securities Act and the Exchange Act and the applicable Rules and Regulations thereunder, (ii) each of the Shelf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a part of the Shelf Registration Statement, and any amendment or supplement to such Prospectus, does not at any time during the Effectiveness Period include an untrue statement of a material fact or omit to state a material fact necessary in order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left="-20" w:right="480" w:firstLine="656"/>
        <w:spacing w:after="0" w:line="277" w:lineRule="auto"/>
        <w:tabs>
          <w:tab w:leader="none" w:pos="13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as promptly as reasonably practicable advise each Electing Holder, and shall confirm such advice in writing if so requested by any such Electing Holder:</w:t>
      </w:r>
    </w:p>
    <w:p>
      <w:pPr>
        <w:spacing w:after="0" w:line="170" w:lineRule="exact"/>
        <w:rPr>
          <w:rFonts w:ascii="Arial" w:cs="Arial" w:eastAsia="Arial" w:hAnsi="Arial"/>
          <w:sz w:val="18"/>
          <w:szCs w:val="18"/>
          <w:color w:val="auto"/>
        </w:rPr>
      </w:pPr>
    </w:p>
    <w:p>
      <w:pPr>
        <w:ind w:left="640" w:right="20" w:firstLine="645"/>
        <w:spacing w:after="0" w:line="264" w:lineRule="auto"/>
        <w:tabs>
          <w:tab w:leader="none" w:pos="199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when a Shelf Registration Statement and any amendment thereto has been filed with the Commission and when a Shelf Registration Statement or any post-effective amendment thereto has become effective, in each case making a public announcement thereof by release made to Reuters Economic Services and Bloomberg Business News;</w:t>
      </w:r>
    </w:p>
    <w:p>
      <w:pPr>
        <w:spacing w:after="0" w:line="181" w:lineRule="exact"/>
        <w:rPr>
          <w:rFonts w:ascii="Arial" w:cs="Arial" w:eastAsia="Arial" w:hAnsi="Arial"/>
          <w:sz w:val="18"/>
          <w:szCs w:val="18"/>
          <w:color w:val="auto"/>
        </w:rPr>
      </w:pPr>
    </w:p>
    <w:p>
      <w:pPr>
        <w:ind w:left="640" w:right="80" w:firstLine="645"/>
        <w:spacing w:after="0" w:line="277" w:lineRule="auto"/>
        <w:tabs>
          <w:tab w:leader="none" w:pos="200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Shelf Registration Statement or the Prospectus included therein or for additional information;</w:t>
      </w:r>
    </w:p>
    <w:p>
      <w:pPr>
        <w:spacing w:after="0" w:line="170" w:lineRule="exact"/>
        <w:rPr>
          <w:rFonts w:ascii="Arial" w:cs="Arial" w:eastAsia="Arial" w:hAnsi="Arial"/>
          <w:sz w:val="18"/>
          <w:szCs w:val="18"/>
          <w:color w:val="auto"/>
        </w:rPr>
      </w:pPr>
    </w:p>
    <w:p>
      <w:pPr>
        <w:ind w:left="640" w:right="480" w:firstLine="645"/>
        <w:spacing w:after="0" w:line="277" w:lineRule="auto"/>
        <w:tabs>
          <w:tab w:leader="none" w:pos="20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Shelf Registration Statement or the initiation of any proceedings for such purpose;</w:t>
      </w:r>
    </w:p>
    <w:p>
      <w:pPr>
        <w:spacing w:after="0" w:line="170" w:lineRule="exact"/>
        <w:rPr>
          <w:rFonts w:ascii="Arial" w:cs="Arial" w:eastAsia="Arial" w:hAnsi="Arial"/>
          <w:sz w:val="18"/>
          <w:szCs w:val="18"/>
          <w:color w:val="auto"/>
        </w:rPr>
      </w:pPr>
    </w:p>
    <w:p>
      <w:pPr>
        <w:ind w:left="640" w:right="200" w:firstLine="645"/>
        <w:spacing w:after="0" w:line="277" w:lineRule="auto"/>
        <w:tabs>
          <w:tab w:leader="none" w:pos="199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of the receipt by the Company of any notification with respect to the suspension of the qualification of the securities included in the Shelf Registration Statement for sale in any jurisdiction or the initiation of any proceeding for such purpose; and</w:t>
      </w:r>
    </w:p>
    <w:p>
      <w:pPr>
        <w:spacing w:after="0" w:line="170" w:lineRule="exact"/>
        <w:rPr>
          <w:rFonts w:ascii="Arial" w:cs="Arial" w:eastAsia="Arial" w:hAnsi="Arial"/>
          <w:sz w:val="18"/>
          <w:szCs w:val="18"/>
          <w:color w:val="auto"/>
        </w:rPr>
      </w:pPr>
    </w:p>
    <w:p>
      <w:pPr>
        <w:ind w:left="1980" w:hanging="695"/>
        <w:spacing w:after="0"/>
        <w:tabs>
          <w:tab w:leader="none" w:pos="1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of the happening of any event or the existence of any state of facts (but not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580"/>
        <w:spacing w:after="0" w:line="342" w:lineRule="auto"/>
        <w:rPr>
          <w:sz w:val="20"/>
          <w:szCs w:val="20"/>
          <w:color w:val="auto"/>
        </w:rPr>
      </w:pPr>
      <w:r>
        <w:rPr>
          <w:rFonts w:ascii="Arial" w:cs="Arial" w:eastAsia="Arial" w:hAnsi="Arial"/>
          <w:sz w:val="16"/>
          <w:szCs w:val="16"/>
          <w:color w:val="auto"/>
        </w:rPr>
        <w:t>as to the substance of any such event or such state of facts) that requires the making of any changes in the Shelf Registration Statement or the Prospectus included therein so that, as of such date, such Shelf Registration Statement and Prospectus do not contain an untrue statement of a</w:t>
      </w:r>
    </w:p>
    <w:p>
      <w:pPr>
        <w:sectPr>
          <w:pgSz w:w="11900" w:h="16840" w:orient="portrait"/>
          <w:cols w:equalWidth="0" w:num="1">
            <w:col w:w="11400"/>
          </w:cols>
          <w:pgMar w:left="260" w:top="125" w:right="239" w:bottom="0" w:gutter="0" w:footer="0" w:header="0"/>
        </w:sectPr>
      </w:pPr>
    </w:p>
    <w:bookmarkStart w:id="78" w:name="page79"/>
    <w:bookmarkEnd w:id="78"/>
    <w:p>
      <w:pPr>
        <w:ind w:left="660" w:right="100"/>
        <w:spacing w:after="0" w:line="286" w:lineRule="auto"/>
        <w:rPr>
          <w:sz w:val="20"/>
          <w:szCs w:val="20"/>
          <w:color w:val="auto"/>
        </w:rPr>
      </w:pPr>
      <w:r>
        <w:rPr>
          <w:rFonts w:ascii="Arial" w:cs="Arial" w:eastAsia="Arial" w:hAnsi="Arial"/>
          <w:sz w:val="17"/>
          <w:szCs w:val="17"/>
          <w:color w:val="auto"/>
        </w:rPr>
        <w:t>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Electing Holders to suspend the use of the Prospectus until the requisite changes have been made).</w:t>
      </w:r>
    </w:p>
    <w:p>
      <w:pPr>
        <w:spacing w:after="0" w:line="166" w:lineRule="exact"/>
        <w:rPr>
          <w:sz w:val="20"/>
          <w:szCs w:val="20"/>
          <w:color w:val="auto"/>
        </w:rPr>
      </w:pPr>
    </w:p>
    <w:p>
      <w:pPr>
        <w:ind w:right="100" w:firstLine="656"/>
        <w:spacing w:after="0" w:line="277" w:lineRule="auto"/>
        <w:tabs>
          <w:tab w:leader="none" w:pos="13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use its reasonable efforts to prevent the issuance, and if issued to obtain the withdrawal at the earliest possible time, of any order suspending the effectiveness of the Shelf Registration Statement.</w:t>
      </w:r>
    </w:p>
    <w:p>
      <w:pPr>
        <w:spacing w:after="0" w:line="170" w:lineRule="exact"/>
        <w:rPr>
          <w:rFonts w:ascii="Arial" w:cs="Arial" w:eastAsia="Arial" w:hAnsi="Arial"/>
          <w:sz w:val="18"/>
          <w:szCs w:val="18"/>
          <w:color w:val="auto"/>
        </w:rPr>
      </w:pPr>
    </w:p>
    <w:p>
      <w:pPr>
        <w:ind w:firstLine="656"/>
        <w:spacing w:after="0" w:line="259" w:lineRule="auto"/>
        <w:tabs>
          <w:tab w:leader="none" w:pos="13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furnish to each Electing Holder, without charge, at least one copy of the Shelf Registration Statement, all post-effective amendments thereto, including financial statements and schedules, and any Prospectus supplement in which such Electing Holder is named as a selling securityholder, and, if such Electing Holder so requests in writing, all reports, other documents and exhibits that are filed with or incorporated by reference in the Shelf Registration Statement.</w:t>
      </w:r>
    </w:p>
    <w:p>
      <w:pPr>
        <w:spacing w:after="0" w:line="186" w:lineRule="exact"/>
        <w:rPr>
          <w:rFonts w:ascii="Arial" w:cs="Arial" w:eastAsia="Arial" w:hAnsi="Arial"/>
          <w:sz w:val="18"/>
          <w:szCs w:val="18"/>
          <w:color w:val="auto"/>
        </w:rPr>
      </w:pPr>
    </w:p>
    <w:p>
      <w:pPr>
        <w:ind w:right="60" w:firstLine="656"/>
        <w:spacing w:after="0" w:line="297" w:lineRule="auto"/>
        <w:tabs>
          <w:tab w:leader="none" w:pos="13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during the Effectiveness Period, deliver to each Electing Holder, without charge, as many copies of the Prospectus (including each preliminary Prospectus) included in the Shelf Registration Statement and any amendment or supplement thereto as such Electing Holder may reasonably request; and the Company consents (except during the periods specified in Section 2(c) above or during the continuance of any event described in Section 3(d)(v) above) to the use of the Prospectus and any amendment or supplement thereto by each of the Electing Holders in connection with the offering and sale of the Registrable Securities covered by the Prospectus and any amendment or supplement thereto during the Effectiveness Period.</w:t>
      </w:r>
    </w:p>
    <w:p>
      <w:pPr>
        <w:spacing w:after="0" w:line="158" w:lineRule="exact"/>
        <w:rPr>
          <w:rFonts w:ascii="Arial" w:cs="Arial" w:eastAsia="Arial" w:hAnsi="Arial"/>
          <w:sz w:val="16"/>
          <w:szCs w:val="16"/>
          <w:color w:val="auto"/>
        </w:rPr>
      </w:pPr>
    </w:p>
    <w:p>
      <w:pPr>
        <w:ind w:firstLine="656"/>
        <w:spacing w:after="0" w:line="271" w:lineRule="auto"/>
        <w:tabs>
          <w:tab w:leader="none" w:pos="13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Prior to any offering of Registrable Securities pursuant to the Shelf Registration Statement, the Company shall (i) register or qualify or cooperate with the Electing Holders and their respective counsel in connection with the 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 underwriter, if any, to complete its distribution of Registrable Securities pursuant to the Shelf Registration Statement, and (iii) take any and all other actions necessary or advisable to enable the disposition in such jurisdictions of such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no event shall the Company be obligated to (A) qualify as a foreign corporation or as a dealer in securities in any jurisdiction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it would not otherwise be required to so qualify but for this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3(h) or (B) file any general consent to service of process in any jurisdiction where it is not as of the date hereof so subject.</w:t>
      </w:r>
    </w:p>
    <w:p>
      <w:pPr>
        <w:spacing w:after="0" w:line="225" w:lineRule="exact"/>
        <w:rPr>
          <w:sz w:val="20"/>
          <w:szCs w:val="20"/>
          <w:color w:val="auto"/>
        </w:rPr>
      </w:pPr>
    </w:p>
    <w:p>
      <w:pPr>
        <w:ind w:right="20" w:firstLine="656"/>
        <w:spacing w:after="0" w:line="255" w:lineRule="auto"/>
        <w:tabs>
          <w:tab w:leader="none" w:pos="13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any Registrable Securities shall be in book-entry only form, the Company shall cooperate with the Electing Holders to facilitate the timely preparation and delivery of certificates representing Registrable Securities to be sold pursuant to the Shelf Registration Statement, which certificates, if so required by any securities exchange upon which any Registrable Securities are listed, shall be penned, lithographed or engraved, or produced by any combination of such methods, on steel engraved borders, and which certificates shall be free of any restrictive legends and in such permitted denominations and registered in such names as Electing Holders may request in connection with the sale of Registrable Securities pursuant to the Shelf Registration Statement.</w:t>
      </w:r>
    </w:p>
    <w:p>
      <w:pPr>
        <w:spacing w:after="0" w:line="193" w:lineRule="exact"/>
        <w:rPr>
          <w:rFonts w:ascii="Arial" w:cs="Arial" w:eastAsia="Arial" w:hAnsi="Arial"/>
          <w:sz w:val="18"/>
          <w:szCs w:val="18"/>
          <w:color w:val="auto"/>
        </w:rPr>
      </w:pPr>
    </w:p>
    <w:p>
      <w:pPr>
        <w:ind w:firstLine="656"/>
        <w:spacing w:after="0" w:line="253" w:lineRule="auto"/>
        <w:tabs>
          <w:tab w:leader="none" w:pos="13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Upon the occurrence of any fact or event contemplated by paragraph 3(d)(v) above, the Company shall as promptly as reasonably practicable prepare a post-effective amendment to any Shelf Registration Statement or an amendment or supplement to the related Prospectus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file such amendment, supplement or document if the Board of Directors of the Company (or the Chief Executive Officer or the Chief Financial Officer of the Company) has made a determination pursuant to Section 2(c), for so long as the suspension pursuant to Section 2(c) is continuing. If the Company notifies the Electing Holders of the occurrence of any fact or event contemplated by paragraph 3(d)(v) above, the Electing Holder shall suspend the use of the Prospectus until the requisite changes to the Prospectus have been made.</w:t>
      </w:r>
    </w:p>
    <w:p>
      <w:pPr>
        <w:spacing w:after="0" w:line="197" w:lineRule="exact"/>
        <w:rPr>
          <w:rFonts w:ascii="Arial" w:cs="Arial" w:eastAsia="Arial" w:hAnsi="Arial"/>
          <w:sz w:val="18"/>
          <w:szCs w:val="18"/>
          <w:color w:val="auto"/>
        </w:rPr>
      </w:pPr>
    </w:p>
    <w:p>
      <w:pPr>
        <w:ind w:right="420" w:firstLine="656"/>
        <w:spacing w:after="0" w:line="277" w:lineRule="auto"/>
        <w:tabs>
          <w:tab w:leader="none" w:pos="13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later than the Effective Time of the Shelf Registration Statement, the Company shall provide a CUSIP number for the Registrable Securities that are debt securities.</w:t>
      </w:r>
    </w:p>
    <w:p>
      <w:pPr>
        <w:spacing w:after="0" w:line="170" w:lineRule="exact"/>
        <w:rPr>
          <w:rFonts w:ascii="Arial" w:cs="Arial" w:eastAsia="Arial" w:hAnsi="Arial"/>
          <w:sz w:val="18"/>
          <w:szCs w:val="18"/>
          <w:color w:val="auto"/>
        </w:rPr>
      </w:pPr>
    </w:p>
    <w:p>
      <w:pPr>
        <w:ind w:right="140" w:firstLine="656"/>
        <w:spacing w:after="0" w:line="273" w:lineRule="auto"/>
        <w:tabs>
          <w:tab w:leader="none" w:pos="13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 shall use its reasonable efforts to comply with all applicable Rules and Regulations, and to make generally available to its securityholders as soon as reasonably practicable, but in any event not later than eighteen months after (i) the effective date (as defined in Rule 158(c) under the Securities Act) of the Shelf Registration Statement, (ii) the effective date of each post-effective amendment to the Shelf Registration Statement, and (iii) the date of each filing by the Company with the Commission of an Annual Report on Form 10-K that is incorporated by reference in the Shelf Registration Statement, an earnings statement of the Company and its subsidiaries complying with Section 11(a) of the Securities Act and the rules and regulations of the Commission thereunder (including, at the option of the Company, Rule 158).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56"/>
        <w:spacing w:after="0" w:line="291" w:lineRule="auto"/>
        <w:tabs>
          <w:tab w:leader="none" w:pos="135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 later than the Effective Time of the Shelf Registration Statement, the Company shall cause the Indenture to be qualified under the Trust Indenture Act as soon as reasonably practicable; in connection with such qualification, the Company shall cooperate with the Trustee under the Indenture and the Holders (each as defined in the Indenture) to effect such changes to the Indenture as may be required for such Indenture to be so qualified in accordance with the terms of the Trust Indenture Act; and the Company shall execute, and shall use all reasonable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 Company shall appoint a new trustee thereunder pursuant to the applicable provisions of the Indenture.</w:t>
      </w:r>
    </w:p>
    <w:p>
      <w:pPr>
        <w:spacing w:after="0" w:line="167" w:lineRule="exact"/>
        <w:rPr>
          <w:rFonts w:ascii="Arial" w:cs="Arial" w:eastAsia="Arial" w:hAnsi="Arial"/>
          <w:sz w:val="16"/>
          <w:szCs w:val="16"/>
          <w:color w:val="auto"/>
        </w:rPr>
      </w:pPr>
    </w:p>
    <w:p>
      <w:pPr>
        <w:ind w:right="20" w:firstLine="656"/>
        <w:spacing w:after="0" w:line="264" w:lineRule="auto"/>
        <w:tabs>
          <w:tab w:leader="none" w:pos="135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will use its reasonable efforts to cause the Common Stock issuable upon conversion of the Securities to be listed on the New York Stock Exchange or other stock exchange or trading system on which the Common Stock primarily trades on or prior to the Effective Time of the Shelf Registration Statement hereunder.</w:t>
      </w:r>
    </w:p>
    <w:p>
      <w:pPr>
        <w:sectPr>
          <w:pgSz w:w="11900" w:h="16838" w:orient="portrait"/>
          <w:cols w:equalWidth="0" w:num="1">
            <w:col w:w="11420"/>
          </w:cols>
          <w:pgMar w:left="240" w:top="125" w:right="239" w:bottom="0" w:gutter="0" w:footer="0" w:header="0"/>
        </w:sectPr>
      </w:pPr>
    </w:p>
    <w:bookmarkStart w:id="79" w:name="page80"/>
    <w:bookmarkEnd w:id="79"/>
    <w:p>
      <w:pPr>
        <w:ind w:right="260" w:firstLine="656"/>
        <w:spacing w:after="0" w:line="255" w:lineRule="auto"/>
        <w:tabs>
          <w:tab w:leader="none" w:pos="136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Expenses. </w:t>
      </w:r>
      <w:r>
        <w:rPr>
          <w:rFonts w:ascii="Arial" w:cs="Arial" w:eastAsia="Arial" w:hAnsi="Arial"/>
          <w:sz w:val="18"/>
          <w:szCs w:val="18"/>
          <w:color w:val="auto"/>
        </w:rPr>
        <w:t>Except as otherwise provided in Section 3, the Company shall bear all fees and expenses incurred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performance of its obligations under Sections 2 and 3 hereof and shall bear or reimburse the Electing Holders for the reasonable fees and disbursements of a single counsel selected by a plurality of all Electing Holders who own an aggregate of not less than 25% of the Registrable Securities covered by the Shelf Registration Statement to act as counsel therefore in connection therewith. Each Electing Holder shall pay all underwriting discounts and commissions and transfer taxes, if any, relating to the sale or disposition of such Electing Holder’s Registrable Securities pursuant to the Shelf Registration Statement.</w:t>
      </w:r>
    </w:p>
    <w:p>
      <w:pPr>
        <w:spacing w:after="0" w:line="193" w:lineRule="exact"/>
        <w:rPr>
          <w:rFonts w:ascii="Arial" w:cs="Arial" w:eastAsia="Arial" w:hAnsi="Arial"/>
          <w:sz w:val="18"/>
          <w:szCs w:val="18"/>
          <w:color w:val="auto"/>
        </w:rPr>
      </w:pPr>
    </w:p>
    <w:p>
      <w:pPr>
        <w:ind w:left="1380" w:hanging="724"/>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225" w:lineRule="exact"/>
        <w:rPr>
          <w:sz w:val="20"/>
          <w:szCs w:val="20"/>
          <w:color w:val="auto"/>
        </w:rPr>
      </w:pPr>
    </w:p>
    <w:p>
      <w:pPr>
        <w:ind w:firstLine="656"/>
        <w:spacing w:after="0" w:line="271" w:lineRule="auto"/>
        <w:tabs>
          <w:tab w:leader="none" w:pos="1343"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Indemnification by the Company</w:t>
      </w:r>
      <w:r>
        <w:rPr>
          <w:rFonts w:ascii="Arial" w:cs="Arial" w:eastAsia="Arial" w:hAnsi="Arial"/>
          <w:sz w:val="17"/>
          <w:szCs w:val="17"/>
          <w:color w:val="auto"/>
        </w:rPr>
        <w:t>. Upon the registration of the Registrable Securities pursuant to Section 2 hereof, the Company shall</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indemnify and hold harmless each Electing Holder and each underwriter, selling agent or other securities professional, if any, which facilitates the disposition of Registrable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being sometimes referred to as an “Indemnified Person”)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 statement or alleged untrue statement of a material fact contained in any Shelf Registration Statement under which such Registrable Securities are to be registered under the Securities Act, or any Prospectus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contained therein or furnished by the Company to any Indemnified Person, or any amendment or supplement thereto, or arise out of or are based upon the omission or alleged omission to state therein a material fact required to be stated therein or necessary to make the statements therein not misleading, and the Company hereby agrees to reimburse such Indemnified Person for any legal or other expenses reasonably incurred by them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to any such Indemnified Person in any such case to the extent that any such loss, claim, damage or liability arises out of or is based upon an untrue statement or alleged untrue statement or omission or alleged omission made in such Shelf Registration Statement or Prospectus, or amendment or supplement, in reliance upon and in conformity with written information furnished to the Company by such Indemnified Person expressly for use therein.</w:t>
      </w:r>
    </w:p>
    <w:p>
      <w:pPr>
        <w:spacing w:after="0" w:line="167" w:lineRule="exact"/>
        <w:rPr>
          <w:sz w:val="20"/>
          <w:szCs w:val="20"/>
          <w:color w:val="auto"/>
        </w:rPr>
      </w:pPr>
    </w:p>
    <w:p>
      <w:pPr>
        <w:ind w:firstLine="656"/>
        <w:spacing w:after="0" w:line="286" w:lineRule="auto"/>
        <w:tabs>
          <w:tab w:leader="none" w:pos="1353"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Indemnification by the Electing Holders and any Agents and Underwriters</w:t>
      </w:r>
      <w:r>
        <w:rPr>
          <w:rFonts w:ascii="Arial" w:cs="Arial" w:eastAsia="Arial" w:hAnsi="Arial"/>
          <w:sz w:val="16"/>
          <w:szCs w:val="16"/>
          <w:color w:val="auto"/>
        </w:rPr>
        <w:t>. Each Electing Holder agrees, as a consequence of the inclusion</w:t>
      </w:r>
      <w:r>
        <w:rPr>
          <w:rFonts w:ascii="Arial" w:cs="Arial" w:eastAsia="Arial" w:hAnsi="Arial"/>
          <w:sz w:val="16"/>
          <w:szCs w:val="16"/>
          <w:i w:val="1"/>
          <w:iCs w:val="1"/>
          <w:color w:val="auto"/>
        </w:rPr>
        <w:t xml:space="preserve"> </w:t>
      </w:r>
      <w:r>
        <w:rPr>
          <w:rFonts w:ascii="Arial" w:cs="Arial" w:eastAsia="Arial" w:hAnsi="Arial"/>
          <w:sz w:val="16"/>
          <w:szCs w:val="16"/>
          <w:color w:val="auto"/>
        </w:rPr>
        <w:t>of any of such Electing Holder’s Registrable Securities in such Shelf Registration Statement, and each underwriter, selling agent or other securities professional, if any, which facilitates the disposition of Registrable Securities shall agree, as a consequence of facilitating such disposition of Registrable Securities, severally and not jointly, to (i) indemnify and hold harmless the Company, its directors, officers who sign any Shelf Registration Statement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Shelf Registration Statement or Prospectus, or any amendment or supplement,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Electing Holder, underwriter, selling agent or other securities professional expressly for use therein, and (ii) reimburse the Company for any legal or other expenses reasonably incurred by the Company in connection with investigating or defending any such action or claim as such expenses are incurred.</w:t>
      </w:r>
    </w:p>
    <w:p>
      <w:pPr>
        <w:spacing w:after="0" w:line="174" w:lineRule="exact"/>
        <w:rPr>
          <w:rFonts w:ascii="Arial" w:cs="Arial" w:eastAsia="Arial" w:hAnsi="Arial"/>
          <w:sz w:val="16"/>
          <w:szCs w:val="16"/>
          <w:color w:val="auto"/>
        </w:rPr>
      </w:pPr>
    </w:p>
    <w:p>
      <w:pPr>
        <w:ind w:right="20" w:firstLine="656"/>
        <w:spacing w:after="0" w:line="257" w:lineRule="auto"/>
        <w:tabs>
          <w:tab w:leader="none" w:pos="1343"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Notices of Claims, Etc</w:t>
      </w:r>
      <w:r>
        <w:rPr>
          <w:rFonts w:ascii="Arial" w:cs="Arial" w:eastAsia="Arial" w:hAnsi="Arial"/>
          <w:sz w:val="18"/>
          <w:szCs w:val="18"/>
          <w:color w:val="auto"/>
        </w:rPr>
        <w:t>. Promptly after receipt by an indemnified party under subsection (a) or (b) above of notice of the commencement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such indemnified party shall, if a claim in respect thereof is to be made against an indemnifying party under this Section 5, notify such indemnifying party in writing of the commencement thereof; but the omission so to notify the indemnifying party shall not relieve it from any liability which it may have to any indemnified party otherwise than under the indemnification provisions of or contemplated by subsection (a) or (b) above. In case any such action shall be brought against any indemnified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party and it shall notify an indemnifying party of the commencement thereof, such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such indemnifying party shall not be liable to such indemnified party under this Section 5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9" w:lineRule="exact"/>
        <w:rPr>
          <w:sz w:val="20"/>
          <w:szCs w:val="20"/>
          <w:color w:val="auto"/>
        </w:rPr>
      </w:pPr>
    </w:p>
    <w:p>
      <w:pPr>
        <w:ind w:right="100" w:firstLine="656"/>
        <w:spacing w:after="0" w:line="287" w:lineRule="auto"/>
        <w:tabs>
          <w:tab w:leader="none" w:pos="1353"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5 is unavailable to or insufficient to hold harmless an indemnified party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 pursuant to this Section 5(d) were determined by pro rata allocation (even if the Electing Holders or any underwriters, selling agents or other securities professionals or all of them were treated as one entity for such purpose) or by any other method of allocation which does not take account of the equitable considerations referred to in this Section 5(d). The</w:t>
      </w:r>
    </w:p>
    <w:p>
      <w:pPr>
        <w:sectPr>
          <w:pgSz w:w="11900" w:h="16838" w:orient="portrait"/>
          <w:cols w:equalWidth="0" w:num="1">
            <w:col w:w="11420"/>
          </w:cols>
          <w:pgMar w:left="240" w:top="125" w:right="239" w:bottom="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auto"/>
        </w:rPr>
        <w:t>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who was not guilty of such fraudulent misrepresentation. The obligations of the Electing Holders and any underwriters, selling agents or other securities professionals in this Section 5(d) to contribute shall be several in proportion to the percentage of principal amount of Registrable Securities registered or underwritten, as the case may be, by them and not joint.</w:t>
      </w:r>
    </w:p>
    <w:p>
      <w:pPr>
        <w:spacing w:after="0" w:line="181" w:lineRule="exact"/>
        <w:rPr>
          <w:sz w:val="20"/>
          <w:szCs w:val="20"/>
          <w:color w:val="auto"/>
        </w:rPr>
      </w:pPr>
    </w:p>
    <w:p>
      <w:pPr>
        <w:jc w:val="both"/>
        <w:ind w:right="60" w:firstLine="656"/>
        <w:spacing w:after="0" w:line="259" w:lineRule="auto"/>
        <w:tabs>
          <w:tab w:leader="none" w:pos="134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5, in no event will any Electing Holder be required to undertake liability to any person under this Section 5 for any amounts in excess of the dollar amount of the proceeds to be received by such Holder from the sale of such Holder’s Registrable Securities (after deducting any fees, discounts and commissions applicable thereto) pursuant to any Shelf Registration Statement under which such Registrable Securities are to be registered under the Securities Act.</w:t>
      </w:r>
    </w:p>
    <w:p>
      <w:pPr>
        <w:spacing w:after="0" w:line="186" w:lineRule="exact"/>
        <w:rPr>
          <w:rFonts w:ascii="Arial" w:cs="Arial" w:eastAsia="Arial" w:hAnsi="Arial"/>
          <w:sz w:val="18"/>
          <w:szCs w:val="18"/>
          <w:color w:val="auto"/>
        </w:rPr>
      </w:pPr>
    </w:p>
    <w:p>
      <w:pPr>
        <w:jc w:val="both"/>
        <w:ind w:right="240" w:firstLine="656"/>
        <w:spacing w:after="0" w:line="259" w:lineRule="auto"/>
        <w:tabs>
          <w:tab w:leader="none" w:pos="13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5 shall be in addition to any liability which the Company may otherwise have to any Indemnified Person and the obligations of any Indemnified Person under this Section 5 shall be in addition to any liability which such Indemnified Person may otherwise have to the Company. The remedies provided in this Section 5 are not exclusive and shall not limit any rights or remedies which may otherwise be available to an indemnified party at law or in equity.</w:t>
      </w:r>
    </w:p>
    <w:p>
      <w:pPr>
        <w:spacing w:after="0" w:line="187" w:lineRule="exact"/>
        <w:rPr>
          <w:sz w:val="20"/>
          <w:szCs w:val="20"/>
          <w:color w:val="auto"/>
        </w:rPr>
      </w:pPr>
    </w:p>
    <w:p>
      <w:pPr>
        <w:ind w:left="1380" w:hanging="724"/>
        <w:spacing w:after="0"/>
        <w:tabs>
          <w:tab w:leader="none" w:pos="13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Liquidated Damages.</w:t>
      </w:r>
    </w:p>
    <w:p>
      <w:pPr>
        <w:spacing w:after="0" w:line="225" w:lineRule="exact"/>
        <w:rPr>
          <w:sz w:val="20"/>
          <w:szCs w:val="20"/>
          <w:color w:val="auto"/>
        </w:rPr>
      </w:pPr>
    </w:p>
    <w:p>
      <w:pPr>
        <w:ind w:firstLine="656"/>
        <w:spacing w:after="0" w:line="289" w:lineRule="auto"/>
        <w:tabs>
          <w:tab w:leader="none" w:pos="134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Pursuant to Section 2(a) hereof, the Company may, upon written notice to all Holders, postpone having the Shelf Registration Statement declared effective for a reasonable period not to exceed 90 days if the Company possesses material non-public information, the disclosure of which would, in the reasonable judgment of the Company, have a material adverse effect on the Company and its subsidiaries taken as a whole. Notwithstanding any such postponement, if (i) on or prior to the 90th day following the Closing Date, a Shelf Registration Statement has not been filed with the Commission or (ii) on or prior to the 180th day following the Closing Date, such Shelf Registration Statement is not declared effective by the Commission (each, a “Registration Default”), the Company shall be required to pay liquidated damages (“Liquidated Damages”), from and including the day following such Registration Default until such Shelf Registration Statement is either so filed or so filed and subsequently declared effective, as applicable, at a rate per annum equal to an additional one-quarter of one percent (0.25%) of the principal amount of Registrable Securities, to and including the 90th day following such Registration Default and one-half of one percent (0.50%) thereof from and after the 91st day following such Registration Default.</w:t>
      </w:r>
    </w:p>
    <w:p>
      <w:pPr>
        <w:spacing w:after="0" w:line="166" w:lineRule="exact"/>
        <w:rPr>
          <w:rFonts w:ascii="Arial" w:cs="Arial" w:eastAsia="Arial" w:hAnsi="Arial"/>
          <w:sz w:val="16"/>
          <w:szCs w:val="16"/>
          <w:color w:val="auto"/>
        </w:rPr>
      </w:pPr>
    </w:p>
    <w:p>
      <w:pPr>
        <w:ind w:right="80" w:firstLine="656"/>
        <w:spacing w:after="0" w:line="259" w:lineRule="auto"/>
        <w:tabs>
          <w:tab w:leader="none" w:pos="13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that the Shelf Registration Statement ceases to be effective (or the Electing Holders of Registrable Securities are otherwise prevented or restricted by the Company from effecting sales pursuant thereto) (an “Effective Failure”) for more than 45 days, whether or not consecutive, in any 90-day period, or for more than 90 days, whether or not consecutive, during any 365-day period, then the Company shall pay Liquidated Damages to the Electing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Holders at a rate per annum equal to an additional one-half of one percent (0.50%) of the principal amount of Registrable Securities from the 46th day of the applicable 90-day period or the 91st day of the applicable 365-day period, as the case may be, that such Shelf Registration Statement ceases to be effective (or the Electing Holders of Registrable Securities are otherwise prevented or restricted by the Company from effecting sales pursuant thereto) until the earlier of</w:t>
      </w:r>
    </w:p>
    <w:p>
      <w:pPr>
        <w:ind w:right="120" w:firstLine="8"/>
        <w:spacing w:after="0" w:line="273" w:lineRule="auto"/>
        <w:tabs>
          <w:tab w:leader="none" w:pos="21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the Shelf Registration Statement again becomes effective or the Electing Holders of Registrable Securities are again able to make sales under the Shelf Registration Statement or (2) the time the Effectiveness Period expires. For the purpose of determining an Effective Failure, days on which the Company has been obligated to pay Liquidated Damages on the Registrable Securities owned by such Electing Holders in accordance with the foregoing in respect of a prior Effective Failure within the applicable 90-day or 365-day period, as the case may be, shall not be included.</w:t>
      </w:r>
    </w:p>
    <w:p>
      <w:pPr>
        <w:spacing w:after="0" w:line="176" w:lineRule="exact"/>
        <w:rPr>
          <w:rFonts w:ascii="Arial" w:cs="Arial" w:eastAsia="Arial" w:hAnsi="Arial"/>
          <w:sz w:val="17"/>
          <w:szCs w:val="17"/>
          <w:color w:val="auto"/>
        </w:rPr>
      </w:pPr>
    </w:p>
    <w:p>
      <w:pPr>
        <w:ind w:right="100" w:firstLine="656"/>
        <w:spacing w:after="0" w:line="255" w:lineRule="auto"/>
        <w:tabs>
          <w:tab w:leader="none" w:pos="134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amounts to be paid as Liquidated Damages pursuant to paragraphs (a) or (b) of this Section 6 shall be paid semi-annually in arrears, with the first semi-annual payment due on the first Interest Payment Date (as defined in the Indenture), as applicable, following the date of such Registration Default. Such Liquidated Damages will accrue (1) in respect of the Securities that are Registrable Securities at the rates set forth in paragraphs (a) or (b) of this Section 6, as applicable, on the principal amount of such Securities and (2) in respect of shares of Common Stock (issued upon conversion of the Securities) that are Registrable Securities, at the rates set forth in paragraphs (a) or (b) of this Section 6, as applicable, applied to the Conversion Price (as defined in the Indenture) at that time.</w:t>
      </w:r>
    </w:p>
    <w:p>
      <w:pPr>
        <w:spacing w:after="0" w:line="193" w:lineRule="exact"/>
        <w:rPr>
          <w:rFonts w:ascii="Arial" w:cs="Arial" w:eastAsia="Arial" w:hAnsi="Arial"/>
          <w:sz w:val="18"/>
          <w:szCs w:val="18"/>
          <w:color w:val="auto"/>
        </w:rPr>
      </w:pPr>
    </w:p>
    <w:p>
      <w:pPr>
        <w:ind w:right="100" w:firstLine="656"/>
        <w:spacing w:after="0" w:line="273" w:lineRule="auto"/>
        <w:tabs>
          <w:tab w:leader="none" w:pos="135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Liquidated Damages as set forth in this Section 6 shall be the exclusive remedy at law or in equity or otherwise available to the Holders of Registrable Securities for such Registration Default or Effective Failure. In no event shall the Company be required to pay Liquidated Damages in excess of the applicable maximum amount of one-half of one percent (0.50%) set forth above, regardless of whether one or multiple Registration Defaults exist, and Holders shall be precluded from pursuing or obtaining specific performance or other equitable relief with respect to this Agreement. No Liquidated Damages shall accrue as to any Registrable Security from and after the earlier of (i) the date on which such security is no longer a Registrable Security and (ii) the time the Effectiveness Period expires.</w:t>
      </w:r>
    </w:p>
    <w:p>
      <w:pPr>
        <w:spacing w:after="0" w:line="178" w:lineRule="exact"/>
        <w:rPr>
          <w:sz w:val="20"/>
          <w:szCs w:val="20"/>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right="40" w:firstLine="656"/>
        <w:spacing w:after="0" w:line="277" w:lineRule="auto"/>
        <w:tabs>
          <w:tab w:leader="none" w:pos="134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Other Registration Rights. </w:t>
      </w:r>
      <w:r>
        <w:rPr>
          <w:rFonts w:ascii="Arial" w:cs="Arial" w:eastAsia="Arial" w:hAnsi="Arial"/>
          <w:sz w:val="18"/>
          <w:szCs w:val="18"/>
          <w:color w:val="auto"/>
        </w:rPr>
        <w:t>The Company may grant registration rights that would permit any person that is a third party the right to piggy-back on any Shelf Registration Statement.</w:t>
      </w:r>
    </w:p>
    <w:p>
      <w:pPr>
        <w:spacing w:after="0" w:line="170" w:lineRule="exact"/>
        <w:rPr>
          <w:rFonts w:ascii="Arial" w:cs="Arial" w:eastAsia="Arial" w:hAnsi="Arial"/>
          <w:sz w:val="18"/>
          <w:szCs w:val="18"/>
          <w:color w:val="auto"/>
        </w:rPr>
      </w:pPr>
    </w:p>
    <w:p>
      <w:pPr>
        <w:ind w:right="120" w:firstLine="656"/>
        <w:spacing w:after="0" w:line="277" w:lineRule="auto"/>
        <w:tabs>
          <w:tab w:leader="none" w:pos="135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Except as provided in Section 6(d), the parties hereto acknowledge that there would be no adequate remedy at law</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fails to perform any</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1" w:name="page82"/>
    <w:bookmarkEnd w:id="81"/>
    <w:p>
      <w:pPr>
        <w:ind w:right="140"/>
        <w:spacing w:after="0" w:line="259" w:lineRule="auto"/>
        <w:rPr>
          <w:sz w:val="20"/>
          <w:szCs w:val="20"/>
          <w:color w:val="auto"/>
        </w:rPr>
      </w:pPr>
      <w:r>
        <w:rPr>
          <w:rFonts w:ascii="Arial" w:cs="Arial" w:eastAsia="Arial" w:hAnsi="Arial"/>
          <w:sz w:val="18"/>
          <w:szCs w:val="18"/>
          <w:color w:val="auto"/>
        </w:rPr>
        <w:t>of its obligations hereunder and that the Purchasers and the Holders from time to time may be irreparably harmed by any such failure, and accordingly agree that the Purchasers and such Holders, in addition to any other remedy to which they may be entitled at law or in equity, shall be entitled to compel specific performance of the obligations of the Company under this Registration Rights Agreement in accordance with the terms and conditions of this Registration Rights Agreement, in any court of the United States or any State thereof having jurisdiction.</w:t>
      </w:r>
    </w:p>
    <w:p>
      <w:pPr>
        <w:spacing w:after="0" w:line="187" w:lineRule="exact"/>
        <w:rPr>
          <w:sz w:val="20"/>
          <w:szCs w:val="20"/>
          <w:color w:val="auto"/>
        </w:rPr>
      </w:pPr>
    </w:p>
    <w:p>
      <w:pPr>
        <w:ind w:firstLine="656"/>
        <w:spacing w:after="0" w:line="276" w:lineRule="auto"/>
        <w:tabs>
          <w:tab w:leader="none" w:pos="1343"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Amendments and Waivers. </w:t>
      </w:r>
      <w:r>
        <w:rPr>
          <w:rFonts w:ascii="Arial" w:cs="Arial" w:eastAsia="Arial" w:hAnsi="Arial"/>
          <w:sz w:val="17"/>
          <w:szCs w:val="17"/>
          <w:color w:val="auto"/>
        </w:rPr>
        <w:t>This Agreement, including this Section 7(c), may be amended, and waivers or consents to departures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hereof may be given, only by a written instrument duly executed by the Company and the Holders of a majority in aggregate principal amount of Registrable Securities then outstanding. Each Holder of Registrable Securities outstanding at the time of any such amendment, waiver or consent or thereafter shall be bound by any amendment, waiver or consent effected pursuant to this Section 7(c), whether or not any notice, writing or marking indicating such amendment, waiver or consent appears on the Registrable Securities or is delivered to such Holder.</w:t>
      </w:r>
    </w:p>
    <w:p>
      <w:pPr>
        <w:spacing w:after="0" w:line="172" w:lineRule="exact"/>
        <w:rPr>
          <w:rFonts w:ascii="Arial" w:cs="Arial" w:eastAsia="Arial" w:hAnsi="Arial"/>
          <w:sz w:val="17"/>
          <w:szCs w:val="17"/>
          <w:color w:val="auto"/>
        </w:rPr>
      </w:pPr>
    </w:p>
    <w:p>
      <w:pPr>
        <w:ind w:left="1360" w:hanging="704"/>
        <w:spacing w:after="0"/>
        <w:tabs>
          <w:tab w:leader="none" w:pos="13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provided for or permitted hereunder shall be given as provided in the Indenture.</w:t>
      </w:r>
    </w:p>
    <w:p>
      <w:pPr>
        <w:spacing w:after="0" w:line="225" w:lineRule="exact"/>
        <w:rPr>
          <w:rFonts w:ascii="Arial" w:cs="Arial" w:eastAsia="Arial" w:hAnsi="Arial"/>
          <w:sz w:val="18"/>
          <w:szCs w:val="18"/>
          <w:color w:val="auto"/>
        </w:rPr>
      </w:pPr>
    </w:p>
    <w:p>
      <w:pPr>
        <w:ind w:right="20" w:firstLine="656"/>
        <w:spacing w:after="0" w:line="254" w:lineRule="auto"/>
        <w:tabs>
          <w:tab w:leader="none" w:pos="1343"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Parties in Interest. </w:t>
      </w:r>
      <w:r>
        <w:rPr>
          <w:rFonts w:ascii="Arial" w:cs="Arial" w:eastAsia="Arial" w:hAnsi="Arial"/>
          <w:sz w:val="18"/>
          <w:szCs w:val="18"/>
          <w:color w:val="auto"/>
        </w:rPr>
        <w:t>The parties to this Agreement intend that all Holders of Registrable Securities shall be entitled to receive the benefits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 hereto and any Holder from time to time of the Registrable Securities to the aforesaid extent. In the event that any transferee of any Holder of Registrable Securities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192" w:lineRule="exact"/>
        <w:rPr>
          <w:rFonts w:ascii="Arial" w:cs="Arial" w:eastAsia="Arial" w:hAnsi="Arial"/>
          <w:sz w:val="18"/>
          <w:szCs w:val="18"/>
          <w:color w:val="auto"/>
        </w:rPr>
      </w:pPr>
    </w:p>
    <w:p>
      <w:pPr>
        <w:ind w:right="140" w:firstLine="656"/>
        <w:spacing w:after="0" w:line="308" w:lineRule="auto"/>
        <w:tabs>
          <w:tab w:leader="none" w:pos="1368"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any number of counterparts and by the parties hereto in separate counterparts,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when so executed shall be deemed to be an original and all of which taken together shall constitute one and the same agreement.</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Headings. </w:t>
      </w:r>
      <w:r>
        <w:rPr>
          <w:rFonts w:ascii="Arial" w:cs="Arial" w:eastAsia="Arial" w:hAnsi="Arial"/>
          <w:sz w:val="17"/>
          <w:szCs w:val="17"/>
          <w:color w:val="auto"/>
        </w:rPr>
        <w:t>The headings in this Agreement are for convenience of reference only and shall not limit or otherwise affect the meaning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06" w:lineRule="exact"/>
        <w:rPr>
          <w:rFonts w:ascii="Arial" w:cs="Arial" w:eastAsia="Arial" w:hAnsi="Arial"/>
          <w:sz w:val="17"/>
          <w:szCs w:val="17"/>
          <w:color w:val="auto"/>
        </w:rPr>
      </w:pPr>
    </w:p>
    <w:p>
      <w:pPr>
        <w:ind w:left="1380" w:hanging="724"/>
        <w:spacing w:after="0"/>
        <w:tabs>
          <w:tab w:leader="none" w:pos="13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Governing Law. </w:t>
      </w:r>
      <w:r>
        <w:rPr>
          <w:rFonts w:ascii="Arial" w:cs="Arial" w:eastAsia="Arial" w:hAnsi="Arial"/>
          <w:sz w:val="17"/>
          <w:szCs w:val="17"/>
          <w:b w:val="1"/>
          <w:bCs w:val="1"/>
          <w:color w:val="auto"/>
        </w:rPr>
        <w:t>This Agreement shall be governed by and construed in accordance with the laws of the State of New York.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60" w:firstLine="656"/>
        <w:spacing w:after="0" w:line="259" w:lineRule="auto"/>
        <w:tabs>
          <w:tab w:leader="none" w:pos="1358"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In the event that any one or more of the provisions contained herein, or the application thereof in any circumstances,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hereto shall be enforceable to the fullest extent permitted by law.</w:t>
      </w:r>
    </w:p>
    <w:p>
      <w:pPr>
        <w:spacing w:after="0" w:line="186" w:lineRule="exact"/>
        <w:rPr>
          <w:rFonts w:ascii="Arial" w:cs="Arial" w:eastAsia="Arial" w:hAnsi="Arial"/>
          <w:sz w:val="18"/>
          <w:szCs w:val="18"/>
          <w:color w:val="auto"/>
        </w:rPr>
      </w:pPr>
    </w:p>
    <w:p>
      <w:pPr>
        <w:jc w:val="both"/>
        <w:ind w:right="160" w:firstLine="656"/>
        <w:spacing w:after="0" w:line="302" w:lineRule="auto"/>
        <w:tabs>
          <w:tab w:leader="none" w:pos="1358"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Survival</w:t>
      </w:r>
      <w:r>
        <w:rPr>
          <w:rFonts w:ascii="Arial" w:cs="Arial" w:eastAsia="Arial" w:hAnsi="Arial"/>
          <w:sz w:val="16"/>
          <w:szCs w:val="16"/>
          <w:color w:val="auto"/>
        </w:rPr>
        <w:t>. The respective indemnities, agreements, representations, warranties and other provisions set forth in this Agreement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hereto shall remain in full force and effect, regardless of any investigation (or any statement as to the results thereof) made by or on behalf of any Electing Holder, any director, officer or partner of such Holder, any agent or underwriter, any director, officer or partner of such agent or underwriter, or any controlling person of any of the foregoing, and shall survive the transfer and registration of the Registrable Securities of such Holder.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that the foregoing correctly sets forth the agreement between the Company and you.</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 G. Stover, Jr.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SALOMON SMITH BARNEY INC.</w:t>
      </w:r>
    </w:p>
    <w:p>
      <w:pPr>
        <w:spacing w:after="0" w:line="200" w:lineRule="exact"/>
        <w:rPr>
          <w:sz w:val="20"/>
          <w:szCs w:val="20"/>
          <w:color w:val="auto"/>
        </w:rPr>
      </w:pPr>
    </w:p>
    <w:p>
      <w:pPr>
        <w:spacing w:after="0" w:line="2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Goldman, Sachs &amp; Co.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2212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ectPr>
          <w:pgSz w:w="11900" w:h="16838" w:orient="portrait"/>
          <w:cols w:equalWidth="0" w:num="1">
            <w:col w:w="11420"/>
          </w:cols>
          <w:pgMar w:left="240" w:top="557" w:right="239" w:bottom="153"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By: LEHMAN BROTHERS INC.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V. Keene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V.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2212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this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INSTRUCTION TO DTC PARTICIPANTS</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 2003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URGENT - IMMEDIATE ATTENTION REQUESTED</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DEADLINE FOR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-10160</wp:posOffset>
            </wp:positionV>
            <wp:extent cx="19399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spacing w:after="0" w:line="205"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The Depository Trust Company (“DTC”) has identified you as a DTC Participant through which beneficial interests in the Micron Technology, Inc. (the “Company”) 2.50% Convertible Subordinated Notes due February 1, 2010 (the “Securities”) are held.</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Company is in the process of registering the Securities under the Securities Act of 1933 for resale by the beneficial owners thereof. In order to have their Securities included in the registration statement, beneficial owners must complete and return the enclosed Notice of Registration Statement and Selling Securityholder Questionnaire.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It is important that beneficial owners of the Securities receive a copy of the enclosed materials as soon as possible</w:t>
      </w:r>
      <w:r>
        <w:rPr>
          <w:rFonts w:ascii="Arial" w:cs="Arial" w:eastAsia="Arial" w:hAnsi="Arial"/>
          <w:sz w:val="16"/>
          <w:szCs w:val="16"/>
          <w:color w:val="auto"/>
        </w:rPr>
        <w:t xml:space="preserve"> as their rights to have the</w:t>
      </w:r>
    </w:p>
    <w:p>
      <w:pPr>
        <w:spacing w:after="0" w:line="4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Securities included in the registration statement depend upon their returning the Notice and Questionnaire by . Please forward a copy of the enclosed documents to each beneficial owner that holds interests in the Securities through you. If you require more copies of the enclosed materials or have any questions pertaining to this matter, please contact Senior Assistant General Counsel, Micron Technology, Inc., 8000 South Federal Way Boise, ID 83707,</w:t>
      </w:r>
    </w:p>
    <w:p>
      <w:pPr>
        <w:spacing w:after="0" w:line="2" w:lineRule="exact"/>
        <w:rPr>
          <w:sz w:val="20"/>
          <w:szCs w:val="20"/>
          <w:color w:val="auto"/>
        </w:rPr>
      </w:pPr>
    </w:p>
    <w:p>
      <w:pPr>
        <w:spacing w:after="0"/>
        <w:tabs>
          <w:tab w:leader="none" w:pos="1500" w:val="left"/>
          <w:tab w:leader="none" w:pos="290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or (208)</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Registration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Selling Securityholder Questionnaire</w:t>
      </w:r>
    </w:p>
    <w:p>
      <w:pPr>
        <w:spacing w:after="0" w:line="2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 2003</w:t>
      </w:r>
    </w:p>
    <w:p>
      <w:pPr>
        <w:spacing w:after="0" w:line="225"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Micron Technology, Inc. (the “</w:t>
      </w:r>
      <w:r>
        <w:rPr>
          <w:rFonts w:ascii="Arial" w:cs="Arial" w:eastAsia="Arial" w:hAnsi="Arial"/>
          <w:sz w:val="17"/>
          <w:szCs w:val="17"/>
          <w:i w:val="1"/>
          <w:iCs w:val="1"/>
          <w:color w:val="auto"/>
        </w:rPr>
        <w:t>Company</w:t>
      </w:r>
      <w:r>
        <w:rPr>
          <w:rFonts w:ascii="Arial" w:cs="Arial" w:eastAsia="Arial" w:hAnsi="Arial"/>
          <w:sz w:val="17"/>
          <w:szCs w:val="17"/>
          <w:color w:val="auto"/>
        </w:rPr>
        <w:t>”) has filed with the United States Securities and Exchange Commission (the “Commission”) a registration statement on Form S-3 (the “</w:t>
      </w:r>
      <w:r>
        <w:rPr>
          <w:rFonts w:ascii="Arial" w:cs="Arial" w:eastAsia="Arial" w:hAnsi="Arial"/>
          <w:sz w:val="17"/>
          <w:szCs w:val="17"/>
          <w:i w:val="1"/>
          <w:iCs w:val="1"/>
          <w:color w:val="auto"/>
        </w:rPr>
        <w:t>Shelf Registration Statement</w:t>
      </w:r>
      <w:r>
        <w:rPr>
          <w:rFonts w:ascii="Arial" w:cs="Arial" w:eastAsia="Arial" w:hAnsi="Arial"/>
          <w:sz w:val="17"/>
          <w:szCs w:val="17"/>
          <w:color w:val="auto"/>
        </w:rPr>
        <w:t>”) for the registration and resale under Rule 415 of the United States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of the Company’s 2.50% Convertible Subordinated Notes due February 1, 2010 (the “</w:t>
      </w:r>
      <w:r>
        <w:rPr>
          <w:rFonts w:ascii="Arial" w:cs="Arial" w:eastAsia="Arial" w:hAnsi="Arial"/>
          <w:sz w:val="17"/>
          <w:szCs w:val="17"/>
          <w:i w:val="1"/>
          <w:iCs w:val="1"/>
          <w:color w:val="auto"/>
        </w:rPr>
        <w:t>Securities</w:t>
      </w:r>
      <w:r>
        <w:rPr>
          <w:rFonts w:ascii="Arial" w:cs="Arial" w:eastAsia="Arial" w:hAnsi="Arial"/>
          <w:sz w:val="17"/>
          <w:szCs w:val="17"/>
          <w:color w:val="auto"/>
        </w:rPr>
        <w:t>”) and the shares of common stock, par value $0.10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issuable upon conversion thereof, in accordance with the Registration Rights Agreement, dated as of the date of the original issuance of the Securities (the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between the Company and the purchasers named therein. A copy of the Registration Rights Agreement is attached hereto. All capitalized terms not otherwise defined herein shall have the meanings ascribed thereto in the Registration Rights Agreement.</w:t>
      </w:r>
    </w:p>
    <w:p>
      <w:pPr>
        <w:spacing w:after="0" w:line="178"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In order to have Registrable Securities included in the Shelf Registration Statement (or a supplement or amendment thereto), this Notice of Registration Statement and Selling Securityholder Questionnaire (“</w:t>
      </w:r>
      <w:r>
        <w:rPr>
          <w:rFonts w:ascii="Arial" w:cs="Arial" w:eastAsia="Arial" w:hAnsi="Arial"/>
          <w:sz w:val="16"/>
          <w:szCs w:val="16"/>
          <w:i w:val="1"/>
          <w:iCs w:val="1"/>
          <w:color w:val="auto"/>
        </w:rPr>
        <w:t>Notice and Questionnaire</w:t>
      </w:r>
      <w:r>
        <w:rPr>
          <w:rFonts w:ascii="Arial" w:cs="Arial" w:eastAsia="Arial" w:hAnsi="Arial"/>
          <w:sz w:val="16"/>
          <w:szCs w:val="16"/>
          <w:color w:val="auto"/>
        </w:rPr>
        <w:t>”) must be completed, executed and delivered to the Company at the address set forth herein for receipt ON OR BEFORE [insert date that is 28 days from the date of the Notice and Questionnaire]. Beneficial owners of Registrable Securities who do not complete, execute and return this Notice and Questionnaire by such date (i) will not be named as selling securityholders in the Shelf Registration Statement and (ii) may not use the Prospectus forming a part thereof for resales of Registrable Securities.</w:t>
      </w:r>
    </w:p>
    <w:p>
      <w:pPr>
        <w:spacing w:after="0" w:line="158"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Notwithstanding the foregoing, upon the request of any Holder of Registrable Securities that did not return a Notice and Questionnaire on a timely basis or did not receive a Notice and Questionnaire because it was a subsequent transferee of Registrable Securities after the Company mailed the Notice and Questionnaire, (x) the Company shall distribute a Notice and Questionnaire to such Holders at the address set forth in the request and (y) upon receipt of a properly completed Notice and Questionnaire from such Holder, the Company shall use its reasonable efforts to name such Holder as a selling securityholder in the Shelf Registration Statement by means of a pre-effective amendment or, if permitted by the Commission, by means of a Prospectus supplement to the Shelf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have no obligation to pay Liquidated Damages to such Holder for its failure to file a pre-effective amendment or Prospectus supplement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33"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Company will have no obligation to add a Holder to the Shelf Registration Statement if a post-effective amendment would be necessary to name such Holder as a selling securityholder.</w:t>
      </w:r>
    </w:p>
    <w:p>
      <w:pPr>
        <w:spacing w:after="0" w:line="170"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ELECTION</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undersigned holder (the “Selling Securityholder”) of Registrable Securities hereby elects to include in the Shelf Registration Statement the Registrable Securities beneficially owned by it and listed below in Item (3). The undersigned, by signing and returning this Notice and Questionnaire, agrees to be bound with respect to such Registrable Securities by the terms and conditions of this Notice and Questionnaire and the Registration Rights Agreement as if the undersigned Selling Securityholder were an original party thereto.</w:t>
      </w:r>
    </w:p>
    <w:p>
      <w:pPr>
        <w:spacing w:after="0" w:line="187"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Upon any sale of Registrable Securities pursuant to the Shelf Registration Statement, the Selling Securityholder will be required to deliver to the Company and the Trustee the Notice of Transfer (completed and signed) set forth in Exhibit 1 to this Notice and Questionnaire.</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Selling Securityholder hereby provides the following information to the Company and represents and warrants that such information is accurate and complete: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QUESTIONNAIRE</w:t>
      </w:r>
    </w:p>
    <w:p>
      <w:pPr>
        <w:spacing w:after="0" w:line="225" w:lineRule="exact"/>
        <w:rPr>
          <w:sz w:val="20"/>
          <w:szCs w:val="20"/>
          <w:color w:val="auto"/>
        </w:rPr>
      </w:pPr>
    </w:p>
    <w:p>
      <w:pPr>
        <w:ind w:left="360" w:hanging="340"/>
        <w:spacing w:after="0"/>
        <w:tabs>
          <w:tab w:leader="none" w:pos="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Full Legal Name of Selling Securityholder: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502"/>
        <w:spacing w:after="0"/>
        <w:tabs>
          <w:tab w:leader="none" w:pos="8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in (a) above) of Registrable Securities Listed in Item (3) Below:</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right="320" w:hanging="502"/>
        <w:spacing w:after="0" w:line="277" w:lineRule="auto"/>
        <w:tabs>
          <w:tab w:leader="none" w:pos="8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Full Legal Name of DTC Participant (if applicable and if not the same as (b) above) Through Which Registrable Securities Listed in Item (3) Below are Held:</w:t>
      </w:r>
    </w:p>
    <w:p>
      <w:pPr>
        <w:spacing w:after="0" w:line="386" w:lineRule="exact"/>
        <w:rPr>
          <w:rFonts w:ascii="Arial" w:cs="Arial" w:eastAsia="Arial" w:hAnsi="Arial"/>
          <w:sz w:val="18"/>
          <w:szCs w:val="18"/>
          <w:color w:val="auto"/>
        </w:rPr>
      </w:pPr>
    </w:p>
    <w:p>
      <w:pPr>
        <w:ind w:left="860" w:hanging="840"/>
        <w:spacing w:after="0"/>
        <w:tabs>
          <w:tab w:leader="none" w:pos="8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Address for Notices to Selling Securityholder: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Telephone:</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Fax:</w:t>
      </w:r>
    </w:p>
    <w:p>
      <w:pPr>
        <w:spacing w:after="0" w:line="9" w:lineRule="exact"/>
        <w:rPr>
          <w:rFonts w:ascii="Arial" w:cs="Arial" w:eastAsia="Arial" w:hAnsi="Arial"/>
          <w:sz w:val="18"/>
          <w:szCs w:val="18"/>
          <w:color w:val="auto"/>
        </w:rPr>
      </w:pPr>
    </w:p>
    <w:p>
      <w:pPr>
        <w:ind w:left="860" w:right="9340"/>
        <w:spacing w:after="0" w:line="290" w:lineRule="auto"/>
        <w:rPr>
          <w:rFonts w:ascii="Arial" w:cs="Arial" w:eastAsia="Arial" w:hAnsi="Arial"/>
          <w:sz w:val="18"/>
          <w:szCs w:val="18"/>
          <w:color w:val="auto"/>
        </w:rPr>
      </w:pPr>
      <w:r>
        <w:rPr>
          <w:rFonts w:ascii="Arial" w:cs="Arial" w:eastAsia="Arial" w:hAnsi="Arial"/>
          <w:sz w:val="17"/>
          <w:szCs w:val="17"/>
          <w:color w:val="auto"/>
        </w:rPr>
        <w:t>Contact Person: Email:</w:t>
      </w:r>
    </w:p>
    <w:p>
      <w:pPr>
        <w:spacing w:after="0" w:line="161" w:lineRule="exact"/>
        <w:rPr>
          <w:rFonts w:ascii="Arial" w:cs="Arial" w:eastAsia="Arial" w:hAnsi="Arial"/>
          <w:sz w:val="18"/>
          <w:szCs w:val="18"/>
          <w:color w:val="auto"/>
        </w:rPr>
      </w:pPr>
    </w:p>
    <w:p>
      <w:pPr>
        <w:ind w:left="860" w:hanging="840"/>
        <w:spacing w:after="0"/>
        <w:tabs>
          <w:tab w:leader="none" w:pos="8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Beneficial Ownership of Securities:</w:t>
      </w:r>
    </w:p>
    <w:p>
      <w:pPr>
        <w:spacing w:after="0" w:line="225" w:lineRule="exact"/>
        <w:rPr>
          <w:rFonts w:ascii="Arial" w:cs="Arial" w:eastAsia="Arial" w:hAnsi="Arial"/>
          <w:sz w:val="18"/>
          <w:szCs w:val="18"/>
          <w:color w:val="auto"/>
        </w:rPr>
      </w:pPr>
    </w:p>
    <w:p>
      <w:pPr>
        <w:ind w:left="860" w:right="14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Except as set forth below in this Item (3), the undersigned Selling Securityholder does not beneficially own any Securities or shares of Common Stock issued upon conversion, repurchase or redemption of any Securities.</w:t>
      </w:r>
    </w:p>
    <w:p>
      <w:pPr>
        <w:spacing w:after="0" w:line="170" w:lineRule="exact"/>
        <w:rPr>
          <w:rFonts w:ascii="Arial" w:cs="Arial" w:eastAsia="Arial" w:hAnsi="Arial"/>
          <w:sz w:val="18"/>
          <w:szCs w:val="18"/>
          <w:color w:val="auto"/>
        </w:rPr>
      </w:pPr>
    </w:p>
    <w:p>
      <w:pPr>
        <w:ind w:left="860" w:right="2320" w:hanging="502"/>
        <w:spacing w:after="0" w:line="277" w:lineRule="auto"/>
        <w:tabs>
          <w:tab w:leader="none" w:pos="8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Principal amount of Registrable Securities (as defined in the Registration Rights Agreement) beneficially owned: CUSIP No(s). of such Registrable Securities:</w:t>
      </w:r>
    </w:p>
    <w:p>
      <w:pPr>
        <w:spacing w:after="0" w:line="170"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Number of shares of Common Stock (if any) issued upon conversion, repurchase or redemption of Registrable Securities: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502"/>
        <w:spacing w:after="0"/>
        <w:tabs>
          <w:tab w:leader="none" w:pos="8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Principal amount of Securities other than Registrable Securities beneficially owned:</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CUSIP No(s). of such other Securities:</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Number of shares of Common Stock (if any) issued upon conversion of such other Securities: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right="1500" w:hanging="515"/>
        <w:spacing w:after="0" w:line="528"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Principal amount of Registrable Securities which the undersigned wishes to be included in the Shelf Registration Statement: CUSIP No(s). of such Registrable Securities to be included in the Shelf Registration Statement:</w:t>
      </w:r>
    </w:p>
    <w:p>
      <w:pPr>
        <w:sectPr>
          <w:pgSz w:w="11900" w:h="16838" w:orient="portrait"/>
          <w:cols w:equalWidth="0" w:num="1">
            <w:col w:w="11340"/>
          </w:cols>
          <w:pgMar w:left="240" w:top="557" w:right="319" w:bottom="0" w:gutter="0" w:footer="0" w:header="0"/>
        </w:sectPr>
      </w:pPr>
    </w:p>
    <w:bookmarkStart w:id="84" w:name="page85"/>
    <w:bookmarkEnd w:id="84"/>
    <w:p>
      <w:pPr>
        <w:ind w:left="900" w:right="80"/>
        <w:spacing w:after="0" w:line="277" w:lineRule="auto"/>
        <w:rPr>
          <w:sz w:val="20"/>
          <w:szCs w:val="20"/>
          <w:color w:val="auto"/>
        </w:rPr>
      </w:pPr>
      <w:r>
        <w:rPr>
          <w:rFonts w:ascii="Arial" w:cs="Arial" w:eastAsia="Arial" w:hAnsi="Arial"/>
          <w:sz w:val="18"/>
          <w:szCs w:val="18"/>
          <w:color w:val="auto"/>
        </w:rPr>
        <w:t>Number of shares of Common Stock (if any) issued upon conversion of Registrable Securities which are to be included in the Shelf Registration Statement:</w:t>
      </w:r>
    </w:p>
    <w:p>
      <w:pPr>
        <w:spacing w:after="0" w:line="170" w:lineRule="exact"/>
        <w:rPr>
          <w:sz w:val="20"/>
          <w:szCs w:val="20"/>
          <w:color w:val="auto"/>
        </w:rPr>
      </w:pPr>
    </w:p>
    <w:p>
      <w:pPr>
        <w:ind w:left="900" w:hanging="880"/>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Beneficial Ownership of Other Securities of the Company:</w:t>
      </w:r>
    </w:p>
    <w:p>
      <w:pPr>
        <w:spacing w:after="0" w:line="225" w:lineRule="exact"/>
        <w:rPr>
          <w:rFonts w:ascii="Arial" w:cs="Arial" w:eastAsia="Arial" w:hAnsi="Arial"/>
          <w:sz w:val="18"/>
          <w:szCs w:val="18"/>
          <w:color w:val="auto"/>
        </w:rPr>
      </w:pPr>
    </w:p>
    <w:p>
      <w:pPr>
        <w:ind w:left="900" w:right="540"/>
        <w:spacing w:after="0" w:line="342" w:lineRule="auto"/>
        <w:rPr>
          <w:rFonts w:ascii="Arial" w:cs="Arial" w:eastAsia="Arial" w:hAnsi="Arial"/>
          <w:sz w:val="18"/>
          <w:szCs w:val="18"/>
          <w:color w:val="auto"/>
        </w:rPr>
      </w:pPr>
      <w:r>
        <w:rPr>
          <w:rFonts w:ascii="Arial" w:cs="Arial" w:eastAsia="Arial" w:hAnsi="Arial"/>
          <w:sz w:val="16"/>
          <w:szCs w:val="16"/>
          <w:i w:val="1"/>
          <w:iCs w:val="1"/>
          <w:color w:val="auto"/>
        </w:rPr>
        <w:t>Except as set forth below in this Item (4), the undersigned Selling Securityholder is not the beneficial or registered owner of any shares of Common Stock or any other securities of the Company, other than the Securities and shares of Common Stock listed above in Item (3).</w:t>
      </w:r>
    </w:p>
    <w:p>
      <w:pPr>
        <w:spacing w:after="0" w:line="1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State any exceptions here: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880"/>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Relationships with the Company:</w:t>
      </w:r>
    </w:p>
    <w:p>
      <w:pPr>
        <w:spacing w:after="0" w:line="225" w:lineRule="exact"/>
        <w:rPr>
          <w:rFonts w:ascii="Arial" w:cs="Arial" w:eastAsia="Arial" w:hAnsi="Arial"/>
          <w:sz w:val="18"/>
          <w:szCs w:val="18"/>
          <w:color w:val="auto"/>
        </w:rPr>
      </w:pPr>
    </w:p>
    <w:p>
      <w:pPr>
        <w:ind w:left="900" w:right="12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Except as set forth below, neither the Selling Securityholder nor any of its affiliates, officers, directors or principal equity holders (5% or more) has held any position or office or has had any other material relationship with the Company (or its predecessors or affiliates) during the past three years.</w:t>
      </w:r>
    </w:p>
    <w:p>
      <w:pPr>
        <w:spacing w:after="0" w:line="18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State any exceptions here: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880"/>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Plan of Distribution:</w:t>
      </w:r>
    </w:p>
    <w:p>
      <w:pPr>
        <w:spacing w:after="0" w:line="225" w:lineRule="exact"/>
        <w:rPr>
          <w:rFonts w:ascii="Arial" w:cs="Arial" w:eastAsia="Arial" w:hAnsi="Arial"/>
          <w:sz w:val="18"/>
          <w:szCs w:val="18"/>
          <w:color w:val="auto"/>
        </w:rPr>
      </w:pPr>
    </w:p>
    <w:p>
      <w:pPr>
        <w:ind w:left="900" w:right="80"/>
        <w:spacing w:after="0" w:line="270" w:lineRule="auto"/>
        <w:rPr>
          <w:rFonts w:ascii="Arial" w:cs="Arial" w:eastAsia="Arial" w:hAnsi="Arial"/>
          <w:sz w:val="18"/>
          <w:szCs w:val="18"/>
          <w:color w:val="auto"/>
        </w:rPr>
      </w:pPr>
      <w:r>
        <w:rPr>
          <w:rFonts w:ascii="Arial" w:cs="Arial" w:eastAsia="Arial" w:hAnsi="Arial"/>
          <w:sz w:val="17"/>
          <w:szCs w:val="17"/>
          <w:i w:val="1"/>
          <w:iCs w:val="1"/>
          <w:color w:val="auto"/>
        </w:rPr>
        <w:t>Except as set forth below, the undersigned Selling Securityholder intends to distribute the Registrable Securities listed above in Item (3) 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 or quotation service on which the Registrable Securities may be listed or quoted at the time of sale, (ii) in the over-the-counter market, (iii) in transactions otherwise than on such exchanges or services or in the over-the-counter market, or (iv) through the writing of options. In connection with sales of the Registrable Securities or otherwise, the Selling Securityholder may enter into hedging transactions with broker-dealers, which may in turn engage in short sales of the Registrable Securities in the course of</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80" w:right="260"/>
        <w:spacing w:after="0" w:line="342" w:lineRule="auto"/>
        <w:rPr>
          <w:sz w:val="20"/>
          <w:szCs w:val="20"/>
          <w:color w:val="auto"/>
        </w:rPr>
      </w:pPr>
      <w:r>
        <w:rPr>
          <w:rFonts w:ascii="Arial" w:cs="Arial" w:eastAsia="Arial" w:hAnsi="Arial"/>
          <w:sz w:val="16"/>
          <w:szCs w:val="16"/>
          <w:i w:val="1"/>
          <w:iCs w:val="1"/>
          <w:color w:val="auto"/>
        </w:rPr>
        <w:t>hedging the positions they assume. The Selling Securityholder may also sell Registrable Securities short and deliver Registrable Securities to close out such short positions, or loan or pledge Registrable Securities to broker-dealers that in turn may sell such securities.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State any exceptions here: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Note: In no event may such method(s) of distribution take the form of an underwritten offering of the Registrable Securities without the prior agreement of the Company.</w:t>
      </w:r>
    </w:p>
    <w:p>
      <w:pPr>
        <w:spacing w:after="0" w:line="170"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By signing below, the Selling Securityholder acknowledges that it understands its obligation to comply, and agrees that it will comply, with the prospectus delivery and other provisions of the Securities Act and the Exchange Act and the rules and regulations thereunder, particularly Regulation M.</w:t>
      </w:r>
    </w:p>
    <w:p>
      <w:pPr>
        <w:spacing w:after="0" w:line="124"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In the event that the Selling Securityholder transfers all or any portion of the Registrable Securities listed in Item (3) above after the date on which such information is provided to the Company, the Selling Securityholder agrees to notify the transferee(s) at the time of the transfer of its rights and obligations under this Notice and Questionnaire and the Registration Rights Agreement.</w:t>
      </w:r>
    </w:p>
    <w:p>
      <w:pPr>
        <w:spacing w:after="0" w:line="181"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Company in connection with the preparation of the Shelf Registration Statement and related Prospectus.</w:t>
      </w:r>
    </w:p>
    <w:p>
      <w:pPr>
        <w:spacing w:after="0" w:line="14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In accordance with the Selling Securityholder’s obligation under the Registration Rights Agreement to provide such information as may be required by law for inclusion in the Shelf Registration Statement, the Selling Securityholder agrees to promptly notify the Company of any inaccuracies or changes in the information provided herein which may occur subsequent to the date hereof at any time while the Shelf Registration Statement remains in effect. All notices hereunder and pursuant to the Registration Rights Agreement shall be made in writing, by hand-delivery, first-class mail, or air courier guaranteeing overnight delivery as follows: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Senior Assistant General Counsel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613" w:gutter="0" w:footer="0" w:header="0"/>
        </w:sectPr>
      </w:pPr>
    </w:p>
    <w:bookmarkStart w:id="85" w:name="page86"/>
    <w:bookmarkEnd w:id="85"/>
    <w:p>
      <w:pPr>
        <w:ind w:right="140" w:firstLine="1297"/>
        <w:spacing w:after="0" w:line="257" w:lineRule="auto"/>
        <w:rPr>
          <w:sz w:val="20"/>
          <w:szCs w:val="20"/>
          <w:color w:val="auto"/>
        </w:rPr>
      </w:pPr>
      <w:r>
        <w:rPr>
          <w:rFonts w:ascii="Arial" w:cs="Arial" w:eastAsia="Arial" w:hAnsi="Arial"/>
          <w:sz w:val="18"/>
          <w:szCs w:val="18"/>
          <w:color w:val="auto"/>
        </w:rPr>
        <w:t>Once this Notice and Questionnaire is executed by the Selling Securityholder and received by the Company, the terms of this Notice and Questionnaire, and the representations and warranties contained herein, shall be binding on, shall inure to the benefit of and shall be enforceable by the respective successors, heirs, personal representatives, and assigns of the Company and the Selling Securityholder (with respect to the Registrable Securities beneficially owned by such Selling Securityholder and listed in Item (3) above). This Agreement shall be governed in all respects by the laws of the State of New York.</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Selling Securityholder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(Print/type full legal name of beneficial owner of Registrable Securities)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gridSpan w:val="4"/>
          </w:tcPr>
          <w:p>
            <w:pPr>
              <w:spacing w:after="0"/>
              <w:rPr>
                <w:sz w:val="20"/>
                <w:szCs w:val="20"/>
                <w:color w:val="auto"/>
              </w:rPr>
            </w:pPr>
            <w:r>
              <w:rPr>
                <w:rFonts w:ascii="Arial" w:cs="Arial" w:eastAsia="Arial" w:hAnsi="Arial"/>
                <w:sz w:val="18"/>
                <w:szCs w:val="18"/>
                <w:color w:val="auto"/>
                <w:w w:val="99"/>
              </w:rPr>
              <w:t>PLEASE RETURN THE COMPLETED AND EXECUTED NOTICE AND QUESTIONNAIRE FOR RECEIPT ON OR BEFORE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TO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THE COMPANY AT:</w:t>
            </w:r>
          </w:p>
        </w:tc>
        <w:tc>
          <w:tcPr>
            <w:tcW w:w="2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196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Micron Technology, Inc.</w:t>
            </w: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8000 South Federal Way</w:t>
            </w: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Boise, ID 83716</w:t>
            </w: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Attention: Senior Assistant General Counsel</w:t>
            </w: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5"/>
        </w:trPr>
        <w:tc>
          <w:tcPr>
            <w:tcW w:w="19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721"/>
        </w:trPr>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8"/>
              </w:rPr>
              <w:t>Exhibit 1</w:t>
            </w:r>
          </w:p>
        </w:tc>
      </w:tr>
      <w:tr>
        <w:trPr>
          <w:trHeight w:val="234"/>
        </w:trPr>
        <w:tc>
          <w:tcPr>
            <w:tcW w:w="1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to Appendix A</w:t>
            </w:r>
          </w:p>
        </w:tc>
      </w:tr>
      <w:tr>
        <w:trPr>
          <w:trHeight w:val="432"/>
        </w:trPr>
        <w:tc>
          <w:tcPr>
            <w:tcW w:w="1960" w:type="dxa"/>
            <w:vAlign w:val="bottom"/>
          </w:tcPr>
          <w:p>
            <w:pPr>
              <w:spacing w:after="0"/>
              <w:rPr>
                <w:sz w:val="24"/>
                <w:szCs w:val="24"/>
                <w:color w:val="auto"/>
              </w:rPr>
            </w:pPr>
          </w:p>
        </w:tc>
        <w:tc>
          <w:tcPr>
            <w:tcW w:w="7900" w:type="dxa"/>
            <w:vAlign w:val="bottom"/>
            <w:gridSpan w:val="3"/>
          </w:tcPr>
          <w:p>
            <w:pPr>
              <w:ind w:left="960"/>
              <w:spacing w:after="0"/>
              <w:rPr>
                <w:sz w:val="20"/>
                <w:szCs w:val="20"/>
                <w:color w:val="auto"/>
              </w:rPr>
            </w:pPr>
            <w:r>
              <w:rPr>
                <w:rFonts w:ascii="Arial" w:cs="Arial" w:eastAsia="Arial" w:hAnsi="Arial"/>
                <w:sz w:val="18"/>
                <w:szCs w:val="18"/>
                <w:color w:val="auto"/>
              </w:rPr>
              <w:t>NOTICE OF TRANSFER PURSUANT TO REGISTRATION STATEMENT</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Micron Technology, Inc.</w:t>
            </w: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8000 South Federal Way</w:t>
            </w:r>
          </w:p>
        </w:tc>
        <w:tc>
          <w:tcPr>
            <w:tcW w:w="2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Boise, ID 83716</w:t>
            </w:r>
          </w:p>
        </w:tc>
        <w:tc>
          <w:tcPr>
            <w:tcW w:w="2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Attention: Senior Assistant General Counsel</w:t>
            </w:r>
          </w:p>
        </w:tc>
        <w:tc>
          <w:tcPr>
            <w:tcW w:w="1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Wells Fargo Bank Minnesota, National Association</w:t>
            </w: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MAC N9303-121</w:t>
            </w:r>
          </w:p>
        </w:tc>
        <w:tc>
          <w:tcPr>
            <w:tcW w:w="2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2"/>
              </w:rPr>
              <w:t>Sixth &amp; Marquette Avenue</w:t>
            </w:r>
          </w:p>
        </w:tc>
        <w:tc>
          <w:tcPr>
            <w:tcW w:w="2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Minneapolis, MN 55479</w:t>
            </w:r>
          </w:p>
        </w:tc>
        <w:tc>
          <w:tcPr>
            <w:tcW w:w="2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Attention: Corporate Trust Services</w:t>
            </w: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7900" w:type="dxa"/>
            <w:vAlign w:val="bottom"/>
            <w:gridSpan w:val="3"/>
          </w:tcPr>
          <w:p>
            <w:pPr>
              <w:ind w:left="20"/>
              <w:spacing w:after="0"/>
              <w:rPr>
                <w:sz w:val="20"/>
                <w:szCs w:val="20"/>
                <w:color w:val="auto"/>
              </w:rPr>
            </w:pPr>
            <w:r>
              <w:rPr>
                <w:rFonts w:ascii="Arial" w:cs="Arial" w:eastAsia="Arial" w:hAnsi="Arial"/>
                <w:sz w:val="18"/>
                <w:szCs w:val="18"/>
                <w:color w:val="auto"/>
                <w:w w:val="91"/>
              </w:rPr>
              <w:t>Micron Technology, Inc. (the “Company”) 2.50% Convertible Subordinated Notes due February 1, 2010 (the</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“Notes”)</w:t>
            </w:r>
          </w:p>
        </w:tc>
        <w:tc>
          <w:tcPr>
            <w:tcW w:w="780" w:type="dxa"/>
            <w:vAlign w:val="bottom"/>
          </w:tcPr>
          <w:p>
            <w:pPr>
              <w:spacing w:after="0"/>
              <w:rPr>
                <w:sz w:val="24"/>
                <w:szCs w:val="24"/>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Dear Sirs:</w:t>
            </w: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4140" w:type="dxa"/>
            <w:vAlign w:val="bottom"/>
            <w:gridSpan w:val="2"/>
          </w:tcPr>
          <w:p>
            <w:pPr>
              <w:ind w:left="1300"/>
              <w:spacing w:after="0"/>
              <w:rPr>
                <w:sz w:val="20"/>
                <w:szCs w:val="20"/>
                <w:color w:val="auto"/>
              </w:rPr>
            </w:pPr>
            <w:r>
              <w:rPr>
                <w:rFonts w:ascii="Arial" w:cs="Arial" w:eastAsia="Arial" w:hAnsi="Arial"/>
                <w:sz w:val="18"/>
                <w:szCs w:val="18"/>
                <w:color w:val="auto"/>
              </w:rPr>
              <w:t>Please be advised that</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has transferred $</w:t>
            </w:r>
          </w:p>
        </w:tc>
        <w:tc>
          <w:tcPr>
            <w:tcW w:w="5320" w:type="dxa"/>
            <w:vAlign w:val="bottom"/>
            <w:gridSpan w:val="3"/>
          </w:tcPr>
          <w:p>
            <w:pPr>
              <w:jc w:val="right"/>
              <w:spacing w:after="0"/>
              <w:rPr>
                <w:sz w:val="20"/>
                <w:szCs w:val="20"/>
                <w:color w:val="auto"/>
              </w:rPr>
            </w:pPr>
            <w:r>
              <w:rPr>
                <w:rFonts w:ascii="Arial" w:cs="Arial" w:eastAsia="Arial" w:hAnsi="Arial"/>
                <w:sz w:val="18"/>
                <w:szCs w:val="18"/>
                <w:color w:val="auto"/>
                <w:w w:val="95"/>
              </w:rPr>
              <w:t>aggregate principal amount of the above-referenced Notes or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-3365500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 the Company’s common stock, issued upon conversion, repurchase or redemption of Notes, pursuant to an effective Registration Statement on Form S-3</w:t>
      </w:r>
    </w:p>
    <w:p>
      <w:pPr>
        <w:spacing w:after="0" w:line="3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(File No. 333-</w:t>
      </w:r>
      <w:r>
        <w:rPr>
          <w:sz w:val="20"/>
          <w:szCs w:val="20"/>
          <w:color w:val="auto"/>
        </w:rPr>
        <w:tab/>
      </w:r>
      <w:r>
        <w:rPr>
          <w:rFonts w:ascii="Arial" w:cs="Arial" w:eastAsia="Arial" w:hAnsi="Arial"/>
          <w:sz w:val="16"/>
          <w:szCs w:val="16"/>
          <w:color w:val="auto"/>
        </w:rPr>
        <w:t>) filed by the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that the prospectus delivery requirements, if any, of the Securities Act of 1933, as amended, have been satisfied with respect to the transfer</w:t>
      </w:r>
    </w:p>
    <w:p>
      <w:pPr>
        <w:spacing w:after="0" w:line="32" w:lineRule="exact"/>
        <w:rPr>
          <w:sz w:val="20"/>
          <w:szCs w:val="20"/>
          <w:color w:val="auto"/>
        </w:rPr>
      </w:pPr>
    </w:p>
    <w:p>
      <w:pPr>
        <w:spacing w:after="0"/>
        <w:tabs>
          <w:tab w:leader="none" w:pos="11340" w:val="left"/>
        </w:tabs>
        <w:rPr>
          <w:sz w:val="20"/>
          <w:szCs w:val="20"/>
          <w:color w:val="auto"/>
        </w:rPr>
      </w:pPr>
      <w:r>
        <w:rPr>
          <w:rFonts w:ascii="Arial" w:cs="Arial" w:eastAsia="Arial" w:hAnsi="Arial"/>
          <w:sz w:val="16"/>
          <w:szCs w:val="16"/>
          <w:color w:val="auto"/>
        </w:rPr>
        <w:t>described above and that the above-named beneficial owner of the Notes or common stock is named as a selling securityholder in the Prospectus dated</w:t>
      </w:r>
      <w:r>
        <w:rPr>
          <w:sz w:val="20"/>
          <w:szCs w:val="20"/>
          <w:color w:val="auto"/>
        </w:rPr>
        <w:tab/>
      </w:r>
      <w:r>
        <w:rPr>
          <w:rFonts w:ascii="Arial" w:cs="Arial" w:eastAsia="Arial" w:hAnsi="Arial"/>
          <w:sz w:val="14"/>
          <w:szCs w:val="14"/>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in amendments or supplements thereto, and that the aggregate principal amount of the Notes or number of shares of common stock transferred are </w:t>
      </w:r>
      <w:r>
        <w:rPr>
          <w:rFonts w:ascii="Arial" w:cs="Arial" w:eastAsia="Arial" w:hAnsi="Arial"/>
          <w:sz w:val="16"/>
          <w:szCs w:val="16"/>
          <w:b w:val="1"/>
          <w:bCs w:val="1"/>
          <w:color w:val="auto"/>
        </w:rPr>
        <w: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portion of] </w:t>
      </w:r>
      <w:r>
        <w:rPr>
          <w:rFonts w:ascii="Arial" w:cs="Arial" w:eastAsia="Arial" w:hAnsi="Arial"/>
          <w:sz w:val="18"/>
          <w:szCs w:val="18"/>
          <w:color w:val="auto"/>
        </w:rPr>
        <w:t>the Notes or shares of common stock listed in such Prospectus as amended or supplemented opposite such owner’s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-130810</wp:posOffset>
            </wp:positionV>
            <wp:extent cx="20751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ectPr>
          <w:pgSz w:w="11900" w:h="16838" w:orient="portrait"/>
          <w:cols w:equalWidth="0" w:num="1">
            <w:col w:w="11440"/>
          </w:cols>
          <w:pgMar w:left="240" w:top="125" w:right="219" w:bottom="179" w:gutter="0" w:footer="0" w:header="0"/>
        </w:sect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79" w:gutter="0" w:footer="0" w:header="0"/>
          <w:type w:val="continuous"/>
        </w:sectPr>
      </w:pPr>
    </w:p>
    <w:bookmarkStart w:id="86" w:name="page87"/>
    <w:bookmarkEnd w:id="86"/>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Steven R. Appleton, certify, pursuant to 18 U.S.C. Section 1350, as adopted pursuant to Section 906 of the Sarbanes-Oxley Act of 2002, that the quarterly report of Micron Technology, Inc. on Form 10-Q for the quarter ended February 27,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April 11, 2003</w:t>
            </w:r>
          </w:p>
        </w:tc>
        <w:tc>
          <w:tcPr>
            <w:tcW w:w="7100" w:type="dxa"/>
            <w:vAlign w:val="bottom"/>
            <w:gridSpan w:val="2"/>
          </w:tcPr>
          <w:p>
            <w:pPr>
              <w:ind w:left="2440"/>
              <w:spacing w:after="0"/>
              <w:rPr>
                <w:sz w:val="20"/>
                <w:szCs w:val="20"/>
                <w:color w:val="auto"/>
              </w:rPr>
            </w:pPr>
            <w:r>
              <w:rPr>
                <w:rFonts w:ascii="Arial" w:cs="Arial" w:eastAsia="Arial" w:hAnsi="Arial"/>
                <w:sz w:val="18"/>
                <w:szCs w:val="18"/>
                <w:color w:val="auto"/>
              </w:rPr>
              <w:t>By:   /S/ STEVEN R. APPLETON</w:t>
            </w:r>
          </w:p>
        </w:tc>
      </w:tr>
      <w:tr>
        <w:trPr>
          <w:trHeight w:val="195"/>
        </w:trPr>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Steven R. Appleton</w:t>
            </w:r>
          </w:p>
        </w:tc>
      </w:tr>
      <w:tr>
        <w:trPr>
          <w:trHeight w:val="216"/>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30"/>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Wilbur G. Stover, Jr., certify, pursuant to 18 U.S.C. Section 1350, as adopted pursuant to Section 906 of the Sarbanes-Oxley Act of 2002, that the quarterly report of Micron Technology, Inc. on Form 10-Q for the quarter ended February 27,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Date: April 11, 2003</w:t>
            </w:r>
          </w:p>
        </w:tc>
        <w:tc>
          <w:tcPr>
            <w:tcW w:w="7100" w:type="dxa"/>
            <w:vAlign w:val="bottom"/>
            <w:gridSpan w:val="2"/>
          </w:tcPr>
          <w:p>
            <w:pPr>
              <w:ind w:left="2440"/>
              <w:spacing w:after="0"/>
              <w:rPr>
                <w:sz w:val="20"/>
                <w:szCs w:val="20"/>
                <w:color w:val="auto"/>
              </w:rPr>
            </w:pPr>
            <w:r>
              <w:rPr>
                <w:rFonts w:ascii="Arial" w:cs="Arial" w:eastAsia="Arial" w:hAnsi="Arial"/>
                <w:sz w:val="18"/>
                <w:szCs w:val="18"/>
                <w:color w:val="auto"/>
              </w:rPr>
              <w:t>By:   /S/ WILBUR G. STOVER, JR.</w:t>
            </w:r>
          </w:p>
        </w:tc>
        <w:tc>
          <w:tcPr>
            <w:tcW w:w="340" w:type="dxa"/>
            <w:vAlign w:val="bottom"/>
          </w:tcPr>
          <w:p>
            <w:pPr>
              <w:spacing w:after="0"/>
              <w:rPr>
                <w:sz w:val="20"/>
                <w:szCs w:val="20"/>
                <w:color w:val="auto"/>
              </w:rPr>
            </w:pPr>
          </w:p>
        </w:tc>
      </w:tr>
      <w:tr>
        <w:trPr>
          <w:trHeight w:val="195"/>
        </w:trPr>
        <w:tc>
          <w:tcPr>
            <w:tcW w:w="4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Wilbur G. Stover, Jr.</w:t>
            </w:r>
          </w:p>
        </w:tc>
        <w:tc>
          <w:tcPr>
            <w:tcW w:w="34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Vice President of Finance and</w:t>
            </w:r>
          </w:p>
        </w:tc>
        <w:tc>
          <w:tcPr>
            <w:tcW w:w="3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340" w:type="dxa"/>
            <w:vAlign w:val="bottom"/>
          </w:tcPr>
          <w:p>
            <w:pPr>
              <w:spacing w:after="0"/>
              <w:rPr>
                <w:sz w:val="20"/>
                <w:szCs w:val="20"/>
                <w:color w:val="auto"/>
              </w:rPr>
            </w:pPr>
          </w:p>
        </w:tc>
      </w:tr>
      <w:tr>
        <w:trPr>
          <w:trHeight w:val="537"/>
        </w:trPr>
        <w:tc>
          <w:tcPr>
            <w:tcW w:w="400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1"/>
      <w:numFmt w:val="lowerLetter"/>
      <w:start w:val="39"/>
    </w:lvl>
  </w:abstractNum>
  <w:abstractNum w:abstractNumId="2">
    <w:nsid w:val="5F5E7FD0"/>
    <w:multiLevelType w:val="hybridMultilevel"/>
    <w:lvl w:ilvl="0">
      <w:lvlJc w:val="left"/>
      <w:lvlText w:val="%1"/>
      <w:numFmt w:val="lowerLetter"/>
      <w:start w:val="39"/>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1)"/>
      <w:numFmt w:val="lowerLetter"/>
      <w:start w:val="1"/>
    </w:lvl>
  </w:abstractNum>
  <w:abstractNum w:abstractNumId="10">
    <w:nsid w:val="5DC79EA8"/>
    <w:multiLevelType w:val="hybridMultilevel"/>
    <w:lvl w:ilvl="0">
      <w:lvlJc w:val="left"/>
      <w:lvlText w:val="(%1)"/>
      <w:numFmt w:val="lowerLetter"/>
      <w:start w:val="2"/>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1"/>
    </w:lvl>
    <w:lvl w:ilvl="1">
      <w:lvlJc w:val="left"/>
      <w:lvlText w:val="%2."/>
      <w:numFmt w:val="lowerLetter"/>
      <w:start w:val="1"/>
    </w:lvl>
  </w:abstractNum>
  <w:abstractNum w:abstractNumId="13">
    <w:nsid w:val="51D9C564"/>
    <w:multiLevelType w:val="hybridMultilevel"/>
    <w:lvl w:ilvl="0">
      <w:lvlJc w:val="left"/>
      <w:lvlText w:val="%1."/>
      <w:numFmt w:val="decimal"/>
      <w:start w:val="5"/>
    </w:lvl>
    <w:lvl w:ilvl="1">
      <w:lvlJc w:val="left"/>
      <w:lvlText w:val="%2."/>
      <w:numFmt w:val="lowerLetter"/>
      <w:start w:val="1"/>
    </w:lvl>
  </w:abstractNum>
  <w:abstractNum w:abstractNumId="14">
    <w:nsid w:val="613EFDC5"/>
    <w:multiLevelType w:val="hybridMultilevel"/>
    <w:lvl w:ilvl="0">
      <w:lvlJc w:val="left"/>
      <w:lvlText w:val="%1."/>
      <w:numFmt w:val="decimal"/>
      <w:start w:val="1"/>
    </w:lvl>
    <w:lvl w:ilvl="1">
      <w:lvlJc w:val="left"/>
      <w:lvlText w:val="%2."/>
      <w:numFmt w:val="lowerLetter"/>
      <w:start w:val="1"/>
    </w:lvl>
  </w:abstractNum>
  <w:abstractNum w:abstractNumId="15">
    <w:nsid w:val="BF72B14"/>
    <w:multiLevelType w:val="hybridMultilevel"/>
    <w:lvl w:ilvl="0">
      <w:lvlJc w:val="left"/>
      <w:lvlText w:val="(%1)"/>
      <w:numFmt w:val="decimal"/>
      <w:start w:val="1"/>
    </w:lvl>
  </w:abstractNum>
  <w:abstractNum w:abstractNumId="16">
    <w:nsid w:val="11447B73"/>
    <w:multiLevelType w:val="hybridMultilevel"/>
    <w:lvl w:ilvl="0">
      <w:lvlJc w:val="left"/>
      <w:lvlText w:val="(%1)"/>
      <w:numFmt w:val="decimal"/>
      <w:start w:val="3"/>
    </w:lvl>
  </w:abstractNum>
  <w:abstractNum w:abstractNumId="17">
    <w:nsid w:val="42963E5A"/>
    <w:multiLevelType w:val="hybridMultilevel"/>
    <w:lvl w:ilvl="0">
      <w:lvlJc w:val="left"/>
      <w:lvlText w:val="(%1)"/>
      <w:numFmt w:val="lowerRoman"/>
      <w:start w:val="1"/>
    </w:lvl>
  </w:abstractNum>
  <w:abstractNum w:abstractNumId="18">
    <w:nsid w:val="A0382C5"/>
    <w:multiLevelType w:val="hybridMultilevel"/>
    <w:lvl w:ilvl="0">
      <w:lvlJc w:val="left"/>
      <w:lvlText w:val="(%1)"/>
      <w:numFmt w:val="decimal"/>
      <w:start w:val="1"/>
    </w:lvl>
  </w:abstractNum>
  <w:abstractNum w:abstractNumId="19">
    <w:nsid w:val="8F2B15E"/>
    <w:multiLevelType w:val="hybridMultilevel"/>
    <w:lvl w:ilvl="0">
      <w:lvlJc w:val="left"/>
      <w:lvlText w:val="(%1)"/>
      <w:numFmt w:val="decimal"/>
      <w:start w:val="2"/>
    </w:lvl>
  </w:abstractNum>
  <w:abstractNum w:abstractNumId="20">
    <w:nsid w:val="1A32234B"/>
    <w:multiLevelType w:val="hybridMultilevel"/>
    <w:lvl w:ilvl="0">
      <w:lvlJc w:val="left"/>
      <w:lvlText w:val="(%1)"/>
      <w:numFmt w:val="decimal"/>
      <w:start w:val="1"/>
    </w:lvl>
  </w:abstractNum>
  <w:abstractNum w:abstractNumId="21">
    <w:nsid w:val="3B0FD379"/>
    <w:multiLevelType w:val="hybridMultilevel"/>
    <w:lvl w:ilvl="0">
      <w:lvlJc w:val="left"/>
      <w:lvlText w:val="(%1)"/>
      <w:numFmt w:val="decimal"/>
      <w:start w:val="3"/>
    </w:lvl>
  </w:abstractNum>
  <w:abstractNum w:abstractNumId="22">
    <w:nsid w:val="68EB2F63"/>
    <w:multiLevelType w:val="hybridMultilevel"/>
    <w:lvl w:ilvl="0">
      <w:lvlJc w:val="left"/>
      <w:lvlText w:val="(%1)"/>
      <w:numFmt w:val="decimal"/>
      <w:start w:val="6"/>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decimal"/>
      <w:start w:val="2"/>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1"/>
    </w:lvl>
    <w:lvl w:ilvl="1">
      <w:lvlJc w:val="left"/>
      <w:lvlText w:val="(%2)"/>
      <w:numFmt w:val="lowerRoman"/>
      <w:start w:val="1"/>
    </w:lvl>
  </w:abstractNum>
  <w:abstractNum w:abstractNumId="29">
    <w:nsid w:val="71EA1109"/>
    <w:multiLevelType w:val="hybridMultilevel"/>
    <w:lvl w:ilvl="0">
      <w:lvlJc w:val="left"/>
      <w:lvlText w:val="(%1)"/>
      <w:numFmt w:val="lowerRoman"/>
      <w:start w:val="2"/>
    </w:lvl>
  </w:abstractNum>
  <w:abstractNum w:abstractNumId="30">
    <w:nsid w:val="100F59DC"/>
    <w:multiLevelType w:val="hybridMultilevel"/>
    <w:lvl w:ilvl="0">
      <w:lvlJc w:val="left"/>
      <w:lvlText w:val="%1"/>
      <w:numFmt w:val="decimal"/>
      <w:start w:val="1"/>
    </w:lvl>
    <w:lvl w:ilvl="1">
      <w:lvlJc w:val="left"/>
      <w:lvlText w:val="(%2)"/>
      <w:numFmt w:val="lowerRoman"/>
      <w:start w:val="5"/>
    </w:lvl>
  </w:abstractNum>
  <w:abstractNum w:abstractNumId="31">
    <w:nsid w:val="7FB7E0AA"/>
    <w:multiLevelType w:val="hybridMultilevel"/>
    <w:lvl w:ilvl="0">
      <w:lvlJc w:val="left"/>
      <w:lvlText w:val="(%1)"/>
      <w:numFmt w:val="decimal"/>
      <w:start w:val="2"/>
    </w:lvl>
    <w:lvl w:ilvl="1">
      <w:lvlJc w:val="left"/>
      <w:lvlText w:val="%2"/>
      <w:numFmt w:val="lowerRoman"/>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4">
    <w:nsid w:val="94211F2"/>
    <w:multiLevelType w:val="hybridMultilevel"/>
    <w:lvl w:ilvl="0">
      <w:lvlJc w:val="left"/>
      <w:lvlText w:val="%1"/>
      <w:numFmt w:val="decimal"/>
      <w:start w:val="1"/>
    </w:lvl>
    <w:lvl w:ilvl="1">
      <w:lvlJc w:val="left"/>
      <w:lvlText w:val="(%2)"/>
      <w:numFmt w:val="lowerRoman"/>
      <w:start w:val="3"/>
    </w:lvl>
  </w:abstractNum>
  <w:abstractNum w:abstractNumId="35">
    <w:nsid w:val="885E1B"/>
    <w:multiLevelType w:val="hybridMultilevel"/>
    <w:lvl w:ilvl="0">
      <w:lvlJc w:val="left"/>
      <w:lvlText w:val="(%1)"/>
      <w:numFmt w:val="decimal"/>
      <w:start w:val="3"/>
    </w:lvl>
    <w:lvl w:ilvl="1">
      <w:lvlJc w:val="left"/>
      <w:lvlText w:val="(%2)"/>
      <w:numFmt w:val="lowerRoman"/>
      <w:start w:val="1"/>
    </w:lvl>
  </w:abstractNum>
  <w:abstractNum w:abstractNumId="36">
    <w:nsid w:val="76272110"/>
    <w:multiLevelType w:val="hybridMultilevel"/>
    <w:lvl w:ilvl="0">
      <w:lvlJc w:val="left"/>
      <w:lvlText w:val="(%1)"/>
      <w:numFmt w:val="lowerRoman"/>
      <w:start w:val="5"/>
    </w:lvl>
  </w:abstractNum>
  <w:abstractNum w:abstractNumId="37">
    <w:nsid w:val="4C04A8AF"/>
    <w:multiLevelType w:val="hybridMultilevel"/>
    <w:lvl w:ilvl="0">
      <w:lvlJc w:val="left"/>
      <w:lvlText w:val="%1"/>
      <w:numFmt w:val="decimal"/>
      <w:start w:val="1"/>
    </w:lvl>
    <w:lvl w:ilvl="1">
      <w:lvlJc w:val="left"/>
      <w:lvlText w:val="(%2)"/>
      <w:numFmt w:val="lowerRoman"/>
      <w:start w:val="6"/>
    </w:lvl>
  </w:abstractNum>
  <w:abstractNum w:abstractNumId="38">
    <w:nsid w:val="1716703B"/>
    <w:multiLevelType w:val="hybridMultilevel"/>
    <w:lvl w:ilvl="0">
      <w:lvlJc w:val="left"/>
      <w:lvlText w:val="(%1)"/>
      <w:numFmt w:val="decimal"/>
      <w:start w:val="4"/>
    </w:lvl>
    <w:lvl w:ilvl="1">
      <w:lvlJc w:val="left"/>
      <w:lvlText w:val="%2"/>
      <w:numFmt w:val="lowerRoman"/>
      <w:start w:val="1"/>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1)"/>
      <w:numFmt w:val="decimal"/>
      <w:start w:val="2"/>
    </w:lvl>
  </w:abstractNum>
  <w:abstractNum w:abstractNumId="42">
    <w:nsid w:val="68EBC550"/>
    <w:multiLevelType w:val="hybridMultilevel"/>
    <w:lvl w:ilvl="0">
      <w:lvlJc w:val="left"/>
      <w:lvlText w:val="(%1)"/>
      <w:numFmt w:val="decimal"/>
      <w:start w:val="1"/>
    </w:lvl>
    <w:lvl w:ilvl="1">
      <w:lvlJc w:val="left"/>
      <w:lvlText w:val="(%2)"/>
      <w:numFmt w:val="lowerRoman"/>
      <w:start w:val="1"/>
    </w:lvl>
  </w:abstractNum>
  <w:abstractNum w:abstractNumId="43">
    <w:nsid w:val="2DF6D648"/>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44">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5">
    <w:nsid w:val="4A2AC315"/>
    <w:multiLevelType w:val="hybridMultilevel"/>
    <w:lvl w:ilvl="0">
      <w:lvlJc w:val="left"/>
      <w:lvlText w:val="(%1)"/>
      <w:numFmt w:val="lowerLetter"/>
      <w:start w:val="3"/>
    </w:lvl>
  </w:abstractNum>
  <w:abstractNum w:abstractNumId="46">
    <w:nsid w:val="39EE015C"/>
    <w:multiLevelType w:val="hybridMultilevel"/>
    <w:lvl w:ilvl="0">
      <w:lvlJc w:val="left"/>
      <w:lvlText w:val="(%1)"/>
      <w:numFmt w:val="decimal"/>
      <w:start w:val="2"/>
    </w:lvl>
  </w:abstractNum>
  <w:abstractNum w:abstractNumId="47">
    <w:nsid w:val="57FC4FBB"/>
    <w:multiLevelType w:val="hybridMultilevel"/>
    <w:lvl w:ilvl="0">
      <w:lvlJc w:val="left"/>
      <w:lvlText w:val="(%1)"/>
      <w:numFmt w:val="decimal"/>
      <w:start w:val="1"/>
    </w:lvl>
  </w:abstractNum>
  <w:abstractNum w:abstractNumId="48">
    <w:nsid w:val="CC1016F"/>
    <w:multiLevelType w:val="hybridMultilevel"/>
    <w:lvl w:ilvl="0">
      <w:lvlJc w:val="left"/>
      <w:lvlText w:val="(%1)"/>
      <w:numFmt w:val="decimal"/>
      <w:start w:val="6"/>
    </w:lvl>
  </w:abstractNum>
  <w:abstractNum w:abstractNumId="49">
    <w:nsid w:val="43F18422"/>
    <w:multiLevelType w:val="hybridMultilevel"/>
    <w:lvl w:ilvl="0">
      <w:lvlJc w:val="left"/>
      <w:lvlText w:val="(%1)"/>
      <w:numFmt w:val="decimal"/>
      <w:start w:val="1"/>
    </w:lvl>
    <w:lvl w:ilvl="1">
      <w:lvlJc w:val="left"/>
      <w:lvlText w:val="(%2)"/>
      <w:numFmt w:val="lowerRoman"/>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1)"/>
      <w:numFmt w:val="decimal"/>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1)"/>
      <w:numFmt w:val="decimal"/>
      <w:start w:val="3"/>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1"/>
      <w:numFmt w:val="decimal"/>
      <w:start w:val="1"/>
    </w:lvl>
    <w:lvl w:ilvl="1">
      <w:lvlJc w:val="left"/>
      <w:lvlText w:val="(%2)"/>
      <w:numFmt w:val="lowerRoman"/>
      <w:start w:val="1"/>
    </w:lvl>
  </w:abstractNum>
  <w:abstractNum w:abstractNumId="57">
    <w:nsid w:val="488AC1A"/>
    <w:multiLevelType w:val="hybridMultilevel"/>
    <w:lvl w:ilvl="0">
      <w:lvlJc w:val="left"/>
      <w:lvlText w:val="(%1)"/>
      <w:numFmt w:val="decimal"/>
      <w:start w:val="2"/>
    </w:lvl>
    <w:lvl w:ilvl="1">
      <w:lvlJc w:val="left"/>
      <w:lvlText w:val="(%2)"/>
      <w:numFmt w:val="lowerRoman"/>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1)"/>
      <w:numFmt w:val="decimal"/>
      <w:start w:val="6"/>
    </w:lvl>
  </w:abstractNum>
  <w:abstractNum w:abstractNumId="60">
    <w:nsid w:val="7672BD23"/>
    <w:multiLevelType w:val="hybridMultilevel"/>
    <w:lvl w:ilvl="0">
      <w:lvlJc w:val="left"/>
      <w:lvlText w:val="(%1)"/>
      <w:numFmt w:val="decimal"/>
      <w:start w:val="1"/>
    </w:lvl>
  </w:abstractNum>
  <w:abstractNum w:abstractNumId="61">
    <w:nsid w:val="6FC75AF8"/>
    <w:multiLevelType w:val="hybridMultilevel"/>
    <w:lvl w:ilvl="0">
      <w:lvlJc w:val="left"/>
      <w:lvlText w:val="(%1)"/>
      <w:numFmt w:val="decimal"/>
      <w:start w:val="2"/>
    </w:lvl>
  </w:abstractNum>
  <w:abstractNum w:abstractNumId="62">
    <w:nsid w:val="6A5F7029"/>
    <w:multiLevelType w:val="hybridMultilevel"/>
    <w:lvl w:ilvl="0">
      <w:lvlJc w:val="left"/>
      <w:lvlText w:val="(%1)"/>
      <w:numFmt w:val="decimal"/>
      <w:start w:val="1"/>
    </w:lvl>
    <w:lvl w:ilvl="1">
      <w:lvlJc w:val="left"/>
      <w:lvlText w:val="(%2)"/>
      <w:numFmt w:val="lowerRoman"/>
      <w:start w:val="1"/>
    </w:lvl>
  </w:abstractNum>
  <w:abstractNum w:abstractNumId="63">
    <w:nsid w:val="7D5E18F8"/>
    <w:multiLevelType w:val="hybridMultilevel"/>
    <w:lvl w:ilvl="0">
      <w:lvlJc w:val="left"/>
      <w:lvlText w:val="(%1)"/>
      <w:numFmt w:val="decimal"/>
      <w:start w:val="6"/>
    </w:lvl>
  </w:abstractNum>
  <w:abstractNum w:abstractNumId="64">
    <w:nsid w:val="5F3534A4"/>
    <w:multiLevelType w:val="hybridMultilevel"/>
    <w:lvl w:ilvl="0">
      <w:lvlJc w:val="left"/>
      <w:lvlText w:val="(%1)"/>
      <w:numFmt w:val="decimal"/>
      <w:start w:val="7"/>
    </w:lvl>
  </w:abstractNum>
  <w:abstractNum w:abstractNumId="65">
    <w:nsid w:val="73A1821B"/>
    <w:multiLevelType w:val="hybridMultilevel"/>
    <w:lvl w:ilvl="0">
      <w:lvlJc w:val="left"/>
      <w:lvlText w:val="(%1)"/>
      <w:numFmt w:val="decimal"/>
      <w:start w:val="1"/>
    </w:lvl>
  </w:abstractNum>
  <w:abstractNum w:abstractNumId="66">
    <w:nsid w:val="7DE67713"/>
    <w:multiLevelType w:val="hybridMultilevel"/>
    <w:lvl w:ilvl="0">
      <w:lvlJc w:val="left"/>
      <w:lvlText w:val="(%1)"/>
      <w:numFmt w:val="decimal"/>
      <w:start w:val="2"/>
    </w:lvl>
  </w:abstractNum>
  <w:abstractNum w:abstractNumId="67">
    <w:nsid w:val="555C55B5"/>
    <w:multiLevelType w:val="hybridMultilevel"/>
    <w:lvl w:ilvl="0">
      <w:lvlJc w:val="left"/>
      <w:lvlText w:val="(%1)"/>
      <w:numFmt w:val="decimal"/>
      <w:start w:val="1"/>
    </w:lvl>
  </w:abstractNum>
  <w:abstractNum w:abstractNumId="68">
    <w:nsid w:val="3FA62ACA"/>
    <w:multiLevelType w:val="hybridMultilevel"/>
    <w:lvl w:ilvl="0">
      <w:lvlJc w:val="left"/>
      <w:lvlText w:val="(%1)"/>
      <w:numFmt w:val="decimal"/>
      <w:start w:val="5"/>
    </w:lvl>
  </w:abstractNum>
  <w:abstractNum w:abstractNumId="69">
    <w:nsid w:val="14FCE74E"/>
    <w:multiLevelType w:val="hybridMultilevel"/>
    <w:lvl w:ilvl="0">
      <w:lvlJc w:val="left"/>
      <w:lvlText w:val="(%1)"/>
      <w:numFmt w:val="decimal"/>
      <w:start w:val="7"/>
    </w:lvl>
  </w:abstractNum>
  <w:abstractNum w:abstractNumId="70">
    <w:nsid w:val="6A3DD3E8"/>
    <w:multiLevelType w:val="hybridMultilevel"/>
    <w:lvl w:ilvl="0">
      <w:lvlJc w:val="left"/>
      <w:lvlText w:val="(%1)"/>
      <w:numFmt w:val="decimal"/>
      <w:start w:val="1"/>
    </w:lvl>
  </w:abstractNum>
  <w:abstractNum w:abstractNumId="71">
    <w:nsid w:val="71C91298"/>
    <w:multiLevelType w:val="hybridMultilevel"/>
    <w:lvl w:ilvl="0">
      <w:lvlJc w:val="left"/>
      <w:lvlText w:val="(%1)"/>
      <w:numFmt w:val="decimal"/>
      <w:start w:val="1"/>
    </w:lvl>
  </w:abstractNum>
  <w:abstractNum w:abstractNumId="72">
    <w:nsid w:val="9DAF632"/>
    <w:multiLevelType w:val="hybridMultilevel"/>
    <w:lvl w:ilvl="0">
      <w:lvlJc w:val="left"/>
      <w:lvlText w:val="(%1)"/>
      <w:numFmt w:val="decimal"/>
      <w:start w:val="2"/>
    </w:lvl>
  </w:abstractNum>
  <w:abstractNum w:abstractNumId="73">
    <w:nsid w:val="53299938"/>
    <w:multiLevelType w:val="hybridMultilevel"/>
    <w:lvl w:ilvl="0">
      <w:lvlJc w:val="left"/>
      <w:lvlText w:val="(%1)"/>
      <w:numFmt w:val="decimal"/>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2"/>
    </w:lvl>
  </w:abstractNum>
  <w:abstractNum w:abstractNumId="78">
    <w:nsid w:val="288F1A34"/>
    <w:multiLevelType w:val="hybridMultilevel"/>
    <w:lvl w:ilvl="0">
      <w:lvlJc w:val="left"/>
      <w:lvlText w:val="%1"/>
      <w:numFmt w:val="lowerRoman"/>
      <w:start w:val="1"/>
    </w:lvl>
    <w:lvl w:ilvl="1">
      <w:lvlJc w:val="left"/>
      <w:lvlText w:val="(%2)"/>
      <w:numFmt w:val="decimal"/>
      <w:start w:val="3"/>
    </w:lvl>
  </w:abstractNum>
  <w:abstractNum w:abstractNumId="79">
    <w:nsid w:val="2A155DBC"/>
    <w:multiLevelType w:val="hybridMultilevel"/>
    <w:lvl w:ilvl="0">
      <w:lvlJc w:val="left"/>
      <w:lvlText w:val="(%1)"/>
      <w:numFmt w:val="lowerRoman"/>
      <w:start w:val="4"/>
    </w:lvl>
    <w:lvl w:ilvl="1">
      <w:lvlJc w:val="left"/>
      <w:lvlText w:val="%2"/>
      <w:numFmt w:val="decimal"/>
      <w:start w:val="1"/>
    </w:lvl>
  </w:abstractNum>
  <w:abstractNum w:abstractNumId="80">
    <w:nsid w:val="1D9F6E5F"/>
    <w:multiLevelType w:val="hybridMultilevel"/>
    <w:lvl w:ilvl="0">
      <w:lvlJc w:val="left"/>
      <w:lvlText w:val="(%1)"/>
      <w:numFmt w:val="decimal"/>
      <w:start w:val="5"/>
    </w:lvl>
  </w:abstractNum>
  <w:abstractNum w:abstractNumId="81">
    <w:nsid w:val="97E1B4E"/>
    <w:multiLevelType w:val="hybridMultilevel"/>
    <w:lvl w:ilvl="0">
      <w:lvlJc w:val="left"/>
      <w:lvlText w:val="(%1)"/>
      <w:numFmt w:val="lowerLetter"/>
      <w:start w:val="25"/>
    </w:lvl>
    <w:lvl w:ilvl="1">
      <w:lvlJc w:val="left"/>
      <w:lvlText w:val="(%2)"/>
      <w:numFmt w:val="decimal"/>
      <w:start w:val="6"/>
    </w:lvl>
  </w:abstractNum>
  <w:abstractNum w:abstractNumId="82">
    <w:nsid w:val="51088277"/>
    <w:multiLevelType w:val="hybridMultilevel"/>
    <w:lvl w:ilvl="0">
      <w:lvlJc w:val="left"/>
      <w:lvlText w:val="(%1)"/>
      <w:numFmt w:val="lowerRoman"/>
      <w:start w:val="2"/>
    </w:lvl>
    <w:lvl w:ilvl="1">
      <w:lvlJc w:val="left"/>
      <w:lvlText w:val="(%2)"/>
      <w:numFmt w:val="decimal"/>
      <w:start w:val="7"/>
    </w:lvl>
  </w:abstractNum>
  <w:abstractNum w:abstractNumId="83">
    <w:nsid w:val="1CA0C5FA"/>
    <w:multiLevelType w:val="hybridMultilevel"/>
    <w:lvl w:ilvl="0">
      <w:lvlJc w:val="left"/>
      <w:lvlText w:val="(%1)"/>
      <w:numFmt w:val="decimal"/>
      <w:start w:val="9"/>
    </w:lvl>
  </w:abstractNum>
  <w:abstractNum w:abstractNumId="84">
    <w:nsid w:val="53584BCB"/>
    <w:multiLevelType w:val="hybridMultilevel"/>
    <w:lvl w:ilvl="0">
      <w:lvlJc w:val="left"/>
      <w:lvlText w:val="(%1)"/>
      <w:numFmt w:val="decimal"/>
      <w:start w:val="1"/>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1)"/>
      <w:numFmt w:val="decimal"/>
      <w:start w:val="4"/>
    </w:lvl>
  </w:abstractNum>
  <w:abstractNum w:abstractNumId="87">
    <w:nsid w:val="23D86AAC"/>
    <w:multiLevelType w:val="hybridMultilevel"/>
    <w:lvl w:ilvl="0">
      <w:lvlJc w:val="left"/>
      <w:lvlText w:val="(%1)"/>
      <w:numFmt w:val="lowerRoman"/>
      <w:start w:val="1"/>
    </w:lvl>
  </w:abstractNum>
  <w:abstractNum w:abstractNumId="88">
    <w:nsid w:val="45E6D486"/>
    <w:multiLevelType w:val="hybridMultilevel"/>
    <w:lvl w:ilvl="0">
      <w:lvlJc w:val="left"/>
      <w:lvlText w:val="(%1)"/>
      <w:numFmt w:val="lowerRoman"/>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2"/>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lowerRoman"/>
      <w:start w:val="1"/>
    </w:lvl>
  </w:abstractNum>
  <w:abstractNum w:abstractNumId="94">
    <w:nsid w:val="39B7AAA2"/>
    <w:multiLevelType w:val="hybridMultilevel"/>
    <w:lvl w:ilvl="0">
      <w:lvlJc w:val="left"/>
      <w:lvlText w:val="(%1)"/>
      <w:numFmt w:val="lowerRoman"/>
      <w:start w:val="4"/>
    </w:lvl>
  </w:abstractNum>
  <w:abstractNum w:abstractNumId="95">
    <w:nsid w:val="2B0D8DBE"/>
    <w:multiLevelType w:val="hybridMultilevel"/>
    <w:lvl w:ilvl="0">
      <w:lvlJc w:val="left"/>
      <w:lvlText w:val="(%1)"/>
      <w:numFmt w:val="decimal"/>
      <w:start w:val="2"/>
    </w:lvl>
  </w:abstractNum>
  <w:abstractNum w:abstractNumId="96">
    <w:nsid w:val="6C80EC70"/>
    <w:multiLevelType w:val="hybridMultilevel"/>
    <w:lvl w:ilvl="0">
      <w:lvlJc w:val="left"/>
      <w:lvlText w:val="(%1)"/>
      <w:numFmt w:val="lowerRoman"/>
      <w:start w:val="1"/>
    </w:lvl>
  </w:abstractNum>
  <w:abstractNum w:abstractNumId="97">
    <w:nsid w:val="379E21B5"/>
    <w:multiLevelType w:val="hybridMultilevel"/>
    <w:lvl w:ilvl="0">
      <w:lvlJc w:val="left"/>
      <w:lvlText w:val="(%1)"/>
      <w:numFmt w:val="decimal"/>
      <w:start w:val="3"/>
    </w:lvl>
  </w:abstractNum>
  <w:abstractNum w:abstractNumId="98">
    <w:nsid w:val="69E373"/>
    <w:multiLevelType w:val="hybridMultilevel"/>
    <w:lvl w:ilvl="0">
      <w:lvlJc w:val="left"/>
      <w:lvlText w:val="(%1)"/>
      <w:numFmt w:val="decimal"/>
      <w:start w:val="6"/>
    </w:lvl>
  </w:abstractNum>
  <w:abstractNum w:abstractNumId="99">
    <w:nsid w:val="2C27173B"/>
    <w:multiLevelType w:val="hybridMultilevel"/>
    <w:lvl w:ilvl="0">
      <w:lvlJc w:val="left"/>
      <w:lvlText w:val="(%1)"/>
      <w:numFmt w:val="decimal"/>
      <w:start w:val="7"/>
    </w:lvl>
  </w:abstractNum>
  <w:abstractNum w:abstractNumId="100">
    <w:nsid w:val="4C9B0904"/>
    <w:multiLevelType w:val="hybridMultilevel"/>
    <w:lvl w:ilvl="0">
      <w:lvlJc w:val="left"/>
      <w:lvlText w:val="(%1)"/>
      <w:numFmt w:val="decimal"/>
      <w:start w:val="10"/>
    </w:lvl>
  </w:abstractNum>
  <w:abstractNum w:abstractNumId="101">
    <w:nsid w:val="6AA7B75C"/>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102">
    <w:nsid w:val="1DF029D3"/>
    <w:multiLevelType w:val="hybridMultilevel"/>
    <w:lvl w:ilvl="0">
      <w:lvlJc w:val="left"/>
      <w:lvlText w:val="(%1)"/>
      <w:numFmt w:val="decimal"/>
      <w:start w:val="3"/>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1"/>
    </w:lvl>
  </w:abstractNum>
  <w:abstractNum w:abstractNumId="105">
    <w:nsid w:val="3DB012B3"/>
    <w:multiLevelType w:val="hybridMultilevel"/>
    <w:lvl w:ilvl="0">
      <w:lvlJc w:val="left"/>
      <w:lvlText w:val="(%1)"/>
      <w:numFmt w:val="decimal"/>
      <w:start w:val="1"/>
    </w:lvl>
  </w:abstractNum>
  <w:abstractNum w:abstractNumId="106">
    <w:nsid w:val="2708C9AF"/>
    <w:multiLevelType w:val="hybridMultilevel"/>
    <w:lvl w:ilvl="0">
      <w:lvlJc w:val="left"/>
      <w:lvlText w:val="o"/>
      <w:numFmt w:val="bullet"/>
      <w:start w:val="1"/>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Roman"/>
      <w:start w:val="2"/>
    </w:lvl>
  </w:abstractNum>
  <w:abstractNum w:abstractNumId="110">
    <w:nsid w:val="53B0A9E"/>
    <w:multiLevelType w:val="hybridMultilevel"/>
    <w:lvl w:ilvl="0">
      <w:lvlJc w:val="left"/>
      <w:lvlText w:val="(%1)"/>
      <w:numFmt w:val="lowerLetter"/>
      <w:start w:val="2"/>
    </w:lvl>
  </w:abstractNum>
  <w:abstractNum w:abstractNumId="111">
    <w:nsid w:val="34FD6B4F"/>
    <w:multiLevelType w:val="hybridMultilevel"/>
    <w:lvl w:ilvl="0">
      <w:lvlJc w:val="left"/>
      <w:lvlText w:val="%1."/>
      <w:numFmt w:val="decimal"/>
      <w:start w:val="2"/>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2"/>
    </w:lvl>
    <w:lvl w:ilvl="1">
      <w:lvlJc w:val="left"/>
      <w:lvlText w:val="(%2)"/>
      <w:numFmt w:val="lowerRoman"/>
      <w:start w:val="1"/>
    </w:lvl>
  </w:abstractNum>
  <w:abstractNum w:abstractNumId="114">
    <w:nsid w:val="519E3149"/>
    <w:multiLevelType w:val="hybridMultilevel"/>
    <w:lvl w:ilvl="0">
      <w:lvlJc w:val="left"/>
      <w:lvlText w:val="(%1)"/>
      <w:numFmt w:val="lowerLetter"/>
      <w:start w:val="3"/>
    </w:lvl>
  </w:abstractNum>
  <w:abstractNum w:abstractNumId="115">
    <w:nsid w:val="2C6E4AFD"/>
    <w:multiLevelType w:val="hybridMultilevel"/>
    <w:lvl w:ilvl="0">
      <w:lvlJc w:val="left"/>
      <w:lvlText w:val="%1."/>
      <w:numFmt w:val="decimal"/>
      <w:start w:val="3"/>
    </w:lvl>
  </w:abstractNum>
  <w:abstractNum w:abstractNumId="116">
    <w:nsid w:val="17A1B582"/>
    <w:multiLevelType w:val="hybridMultilevel"/>
    <w:lvl w:ilvl="0">
      <w:lvlJc w:val="left"/>
      <w:lvlText w:val="(%1)"/>
      <w:numFmt w:val="lowerLetter"/>
      <w:start w:val="1"/>
    </w:lvl>
    <w:lvl w:ilvl="1">
      <w:lvlJc w:val="left"/>
      <w:lvlText w:val="(%2)"/>
      <w:numFmt w:val="lowerLetter"/>
      <w:start w:val="35"/>
    </w:lvl>
  </w:abstractNum>
  <w:abstractNum w:abstractNumId="117">
    <w:nsid w:val="4DF72E4E"/>
    <w:multiLevelType w:val="hybridMultilevel"/>
    <w:lvl w:ilvl="0">
      <w:lvlJc w:val="left"/>
      <w:lvlText w:val="(%1)"/>
      <w:numFmt w:val="lowerLetter"/>
      <w:start w:val="2"/>
    </w:lvl>
    <w:lvl w:ilvl="1">
      <w:lvlJc w:val="left"/>
      <w:lvlText w:val="(%2)"/>
      <w:numFmt w:val="lowerRoman"/>
      <w:start w:val="1"/>
    </w:lvl>
  </w:abstractNum>
  <w:abstractNum w:abstractNumId="118">
    <w:nsid w:val="5046B5A9"/>
    <w:multiLevelType w:val="hybridMultilevel"/>
    <w:lvl w:ilvl="0">
      <w:lvlJc w:val="left"/>
      <w:lvlText w:val="(%1)"/>
      <w:numFmt w:val="lowerLetter"/>
      <w:start w:val="5"/>
    </w:lvl>
  </w:abstractNum>
  <w:abstractNum w:abstractNumId="119">
    <w:nsid w:val="5D888A08"/>
    <w:multiLevelType w:val="hybridMultilevel"/>
    <w:lvl w:ilvl="0">
      <w:lvlJc w:val="left"/>
      <w:lvlText w:val="(%1)"/>
      <w:numFmt w:val="lowerLetter"/>
      <w:start w:val="9"/>
    </w:lvl>
  </w:abstractNum>
  <w:abstractNum w:abstractNumId="120">
    <w:nsid w:val="2A082C70"/>
    <w:multiLevelType w:val="hybridMultilevel"/>
    <w:lvl w:ilvl="0">
      <w:lvlJc w:val="left"/>
      <w:lvlText w:val="(%1)"/>
      <w:numFmt w:val="lowerLetter"/>
      <w:start w:val="13"/>
    </w:lvl>
  </w:abstractNum>
  <w:abstractNum w:abstractNumId="121">
    <w:nsid w:val="5EC6AFD4"/>
    <w:multiLevelType w:val="hybridMultilevel"/>
    <w:lvl w:ilvl="0">
      <w:lvlJc w:val="left"/>
      <w:lvlText w:val="%1."/>
      <w:numFmt w:val="decimal"/>
      <w:start w:val="4"/>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Letter"/>
      <w:start w:val="2"/>
    </w:lvl>
  </w:abstractNum>
  <w:abstractNum w:abstractNumId="124">
    <w:nsid w:val="57A61A29"/>
    <w:multiLevelType w:val="hybridMultilevel"/>
    <w:lvl w:ilvl="0">
      <w:lvlJc w:val="left"/>
      <w:lvlText w:val="(%1)"/>
      <w:numFmt w:val="lowerLetter"/>
      <w:start w:val="4"/>
    </w:lvl>
  </w:abstractNum>
  <w:abstractNum w:abstractNumId="125">
    <w:nsid w:val="5399C654"/>
    <w:multiLevelType w:val="hybridMultilevel"/>
    <w:lvl w:ilvl="0">
      <w:lvlJc w:val="left"/>
      <w:lvlText w:val="(%1)"/>
      <w:numFmt w:val="lowerLetter"/>
      <w:start w:val="5"/>
    </w:lvl>
  </w:abstractNum>
  <w:abstractNum w:abstractNumId="126">
    <w:nsid w:val="20EE1348"/>
    <w:multiLevelType w:val="hybridMultilevel"/>
    <w:lvl w:ilvl="0">
      <w:lvlJc w:val="left"/>
      <w:lvlText w:val="%1."/>
      <w:numFmt w:val="decimal"/>
      <w:start w:val="6"/>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9"/>
    </w:lvl>
    <w:lvl w:ilvl="1">
      <w:lvlJc w:val="left"/>
      <w:lvlText w:val="(%2)"/>
      <w:numFmt w:val="lowerLetter"/>
      <w:start w:val="3"/>
    </w:lvl>
  </w:abstractNum>
  <w:abstractNum w:abstractNumId="129">
    <w:nsid w:val="2157F6BC"/>
    <w:multiLevelType w:val="hybridMultilevel"/>
    <w:lvl w:ilvl="0">
      <w:lvlJc w:val="left"/>
      <w:lvlText w:val="%1."/>
      <w:numFmt w:val="decimal"/>
      <w:start w:val="7"/>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lowerLetter"/>
      <w:start w:val="3"/>
    </w:lvl>
  </w:abstractNum>
  <w:abstractNum w:abstractNumId="132">
    <w:nsid w:val="BFFAE18"/>
    <w:multiLevelType w:val="hybridMultilevel"/>
    <w:lvl w:ilvl="0">
      <w:lvlJc w:val="left"/>
      <w:lvlText w:val="(%1)"/>
      <w:numFmt w:val="lowerLetter"/>
      <w:start w:val="9"/>
    </w:lvl>
  </w:abstractNum>
  <w:abstractNum w:abstractNumId="133">
    <w:nsid w:val="E3E47A8"/>
    <w:multiLevelType w:val="hybridMultilevel"/>
    <w:lvl w:ilvl="0">
      <w:lvlJc w:val="left"/>
      <w:lvlText w:val="(%1)"/>
      <w:numFmt w:val="decimal"/>
      <w:start w:val="1"/>
    </w:lvl>
    <w:lvl w:ilvl="1">
      <w:lvlJc w:val="left"/>
      <w:lvlText w:val="(%2)"/>
      <w:numFmt w:val="lowerLetter"/>
      <w:start w:val="2"/>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lowerLetter"/>
      <w:start w:val="3"/>
    </w:lvl>
  </w:abstractNum>
  <w:abstractNum w:abstractNumId="136">
    <w:nsid w:val="4BEE5A5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2019-12-13T13:15:32Z</dcterms:created>
  <dcterms:modified xsi:type="dcterms:W3CDTF">2019-12-13T13:15:32Z</dcterms:modified>
</cp:coreProperties>
</file>