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099"/>
        <w:spacing w:after="0"/>
        <w:rPr>
          <w:sz w:val="20"/>
          <w:szCs w:val="20"/>
          <w:color w:val="auto"/>
        </w:rPr>
      </w:pPr>
      <w:r>
        <w:rPr>
          <w:rFonts w:ascii="Courier New" w:cs="Courier New" w:eastAsia="Courier New" w:hAnsi="Courier New"/>
          <w:sz w:val="18"/>
          <w:szCs w:val="18"/>
          <w:color w:val="auto"/>
        </w:rPr>
        <w:t>Page 1 of 5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098"/>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998"/>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MICRON TECHNOLOGY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COM NEW</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595112103</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2012</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1" w:right="31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21" w:right="8099" w:hanging="311"/>
        <w:spacing w:after="0" w:line="279" w:lineRule="auto"/>
        <w:tabs>
          <w:tab w:leader="none" w:pos="52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1" w:right="26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01"/>
        <w:spacing w:after="0"/>
        <w:tabs>
          <w:tab w:leader="none" w:pos="3041" w:val="left"/>
          <w:tab w:leader="none" w:pos="5981"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201"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ectPr>
          <w:pgSz w:w="11900" w:h="16838" w:orient="portrait"/>
          <w:cols w:equalWidth="0" w:num="1">
            <w:col w:w="10000"/>
          </w:cols>
          <w:pgMar w:left="459" w:top="244" w:right="1440" w:bottom="0" w:gutter="0" w:footer="0" w:header="0"/>
        </w:sectPr>
      </w:pPr>
    </w:p>
    <w:p>
      <w:pPr>
        <w:spacing w:after="0" w:line="207" w:lineRule="exact"/>
        <w:rPr>
          <w:sz w:val="24"/>
          <w:szCs w:val="24"/>
          <w:color w:val="auto"/>
        </w:rPr>
      </w:pPr>
    </w:p>
    <w:p>
      <w:pPr>
        <w:jc w:val="center"/>
        <w:ind w:left="641"/>
        <w:spacing w:after="0"/>
        <w:rPr>
          <w:sz w:val="20"/>
          <w:szCs w:val="20"/>
          <w:color w:val="auto"/>
        </w:rPr>
      </w:pPr>
      <w:r>
        <w:rPr>
          <w:rFonts w:ascii="Courier New" w:cs="Courier New" w:eastAsia="Courier New" w:hAnsi="Courier New"/>
          <w:sz w:val="16"/>
          <w:szCs w:val="16"/>
          <w:color w:val="auto"/>
        </w:rPr>
        <w:t>AllianceBernstein LP</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13-3434400</w:t>
      </w:r>
    </w:p>
    <w:p>
      <w:pPr>
        <w:spacing w:after="0" w:line="200" w:lineRule="exact"/>
        <w:rPr>
          <w:sz w:val="24"/>
          <w:szCs w:val="24"/>
          <w:color w:val="auto"/>
        </w:rPr>
      </w:pPr>
    </w:p>
    <w:p>
      <w:pPr>
        <w:sectPr>
          <w:pgSz w:w="11900" w:h="16838" w:orient="portrait"/>
          <w:cols w:equalWidth="0" w:num="2">
            <w:col w:w="2741" w:space="620"/>
            <w:col w:w="6639"/>
          </w:cols>
          <w:pgMar w:left="459" w:top="244" w:right="1440" w:bottom="0" w:gutter="0" w:footer="0" w:header="0"/>
          <w:type w:val="continuous"/>
        </w:sectPr>
      </w:pPr>
    </w:p>
    <w:p>
      <w:pPr>
        <w:spacing w:after="0" w:line="2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2. CHECK THE APPROPRIATE BOX IF A MEMBER OF A GROUP *</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[X]</w:t>
      </w:r>
    </w:p>
    <w:p>
      <w:pPr>
        <w:spacing w:after="0" w:line="200" w:lineRule="exact"/>
        <w:rPr>
          <w:sz w:val="24"/>
          <w:szCs w:val="24"/>
          <w:color w:val="auto"/>
        </w:rPr>
      </w:pPr>
    </w:p>
    <w:p>
      <w:pPr>
        <w:sectPr>
          <w:pgSz w:w="11900" w:h="16838" w:orient="portrait"/>
          <w:cols w:equalWidth="0" w:num="2">
            <w:col w:w="6541" w:space="720"/>
            <w:col w:w="2739"/>
          </w:cols>
          <w:pgMar w:left="459" w:top="244" w:right="1440" w:bottom="0" w:gutter="0" w:footer="0" w:header="0"/>
          <w:type w:val="continuous"/>
        </w:sectPr>
      </w:pPr>
    </w:p>
    <w:p>
      <w:pPr>
        <w:spacing w:after="0" w:line="18" w:lineRule="exact"/>
        <w:rPr>
          <w:sz w:val="24"/>
          <w:szCs w:val="24"/>
          <w:color w:val="auto"/>
        </w:rPr>
      </w:pPr>
    </w:p>
    <w:p>
      <w:pPr>
        <w:ind w:left="321" w:hanging="321"/>
        <w:spacing w:after="0"/>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1" w:right="5899" w:hanging="321"/>
        <w:spacing w:after="0" w:line="235" w:lineRule="auto"/>
        <w:tabs>
          <w:tab w:leader="none" w:pos="3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0" w:lineRule="exact"/>
        <w:rPr>
          <w:sz w:val="24"/>
          <w:szCs w:val="24"/>
          <w:color w:val="auto"/>
        </w:rPr>
      </w:pPr>
    </w:p>
    <w:p>
      <w:pPr>
        <w:spacing w:after="0" w:line="205"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84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NUMBER OF SHARES</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35,071,770</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AS OF</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 2012</w:t>
            </w: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BY EACH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42,194,755</w:t>
            </w:r>
          </w:p>
        </w:tc>
      </w:tr>
      <w:tr>
        <w:trPr>
          <w:trHeight w:val="203"/>
        </w:trPr>
        <w:tc>
          <w:tcPr>
            <w:tcW w:w="2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23,948</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w w:val="96"/>
              </w:rPr>
              <w:t>9. AGGREGATE AMOUNT</w:t>
            </w:r>
          </w:p>
        </w:tc>
        <w:tc>
          <w:tcPr>
            <w:tcW w:w="4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42,218,703</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 PERSON</w:t>
            </w: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ectPr>
          <w:pgSz w:w="11900" w:h="16838" w:orient="portrait"/>
          <w:cols w:equalWidth="0" w:num="1">
            <w:col w:w="10000"/>
          </w:cols>
          <w:pgMar w:left="459" w:top="244" w:right="1440" w:bottom="0" w:gutter="0" w:footer="0" w:header="0"/>
          <w:type w:val="continuous"/>
        </w:sectPr>
      </w:pPr>
    </w:p>
    <w:bookmarkStart w:id="1" w:name="page2"/>
    <w:bookmarkEnd w:id="1"/>
    <w:p>
      <w:pPr>
        <w:ind w:left="427"/>
        <w:spacing w:after="0"/>
        <w:rPr>
          <w:sz w:val="20"/>
          <w:szCs w:val="20"/>
          <w:color w:val="auto"/>
        </w:rPr>
      </w:pPr>
      <w:r>
        <w:rPr>
          <w:rFonts w:ascii="Courier New" w:cs="Courier New" w:eastAsia="Courier New" w:hAnsi="Courier New"/>
          <w:sz w:val="18"/>
          <w:szCs w:val="18"/>
          <w:color w:val="auto"/>
        </w:rPr>
        <w:t>(Not to be construed as an admission of beneficial ownership)</w:t>
      </w:r>
    </w:p>
    <w:p>
      <w:pPr>
        <w:spacing w:after="0" w:line="20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CHECK BOX IF THE</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9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50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[X]</w:t>
            </w:r>
          </w:p>
        </w:tc>
      </w:tr>
      <w:tr>
        <w:trPr>
          <w:trHeight w:val="810"/>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w w:val="99"/>
              </w:rPr>
              <w:t>PERCENT OF CLASS</w:t>
            </w:r>
          </w:p>
        </w:tc>
        <w:tc>
          <w:tcPr>
            <w:tcW w:w="5040" w:type="dxa"/>
            <w:vAlign w:val="bottom"/>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4.1%</w:t>
            </w:r>
          </w:p>
        </w:tc>
      </w:tr>
    </w:tbl>
    <w:p>
      <w:pPr>
        <w:spacing w:after="0" w:line="207" w:lineRule="exact"/>
        <w:rPr>
          <w:sz w:val="20"/>
          <w:szCs w:val="20"/>
          <w:color w:val="auto"/>
        </w:rPr>
      </w:pPr>
    </w:p>
    <w:p>
      <w:pPr>
        <w:ind w:left="427" w:right="6939" w:hanging="427"/>
        <w:spacing w:after="0" w:line="235" w:lineRule="auto"/>
        <w:tabs>
          <w:tab w:leader="none" w:pos="4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IA</w:t>
      </w:r>
    </w:p>
    <w:p>
      <w:pPr>
        <w:spacing w:after="0" w:line="202" w:lineRule="exact"/>
        <w:rPr>
          <w:rFonts w:ascii="Courier New" w:cs="Courier New" w:eastAsia="Courier New" w:hAnsi="Courier New"/>
          <w:sz w:val="18"/>
          <w:szCs w:val="18"/>
          <w:color w:val="auto"/>
        </w:rPr>
      </w:pP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595112103</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13G</w:t>
            </w:r>
          </w:p>
        </w:tc>
        <w:tc>
          <w:tcPr>
            <w:tcW w:w="2940" w:type="dxa"/>
            <w:vAlign w:val="bottom"/>
          </w:tcPr>
          <w:p>
            <w:pPr>
              <w:ind w:left="1160"/>
              <w:spacing w:after="0"/>
              <w:rPr>
                <w:sz w:val="20"/>
                <w:szCs w:val="20"/>
                <w:color w:val="auto"/>
              </w:rPr>
            </w:pPr>
            <w:r>
              <w:rPr>
                <w:rFonts w:ascii="Courier New" w:cs="Courier New" w:eastAsia="Courier New" w:hAnsi="Courier New"/>
                <w:sz w:val="18"/>
                <w:szCs w:val="18"/>
                <w:color w:val="auto"/>
                <w:w w:val="95"/>
              </w:rPr>
              <w:t>Page 3 of 5 Pages</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32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154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2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MICRON TECHNOLOGY INC</w:t>
            </w:r>
          </w:p>
        </w:tc>
        <w:tc>
          <w:tcPr>
            <w:tcW w:w="1540" w:type="dxa"/>
            <w:vAlign w:val="bottom"/>
          </w:tcPr>
          <w:p>
            <w:pPr>
              <w:spacing w:after="0"/>
              <w:rPr>
                <w:sz w:val="17"/>
                <w:szCs w:val="17"/>
                <w:color w:val="auto"/>
              </w:rPr>
            </w:pPr>
          </w:p>
        </w:tc>
        <w:tc>
          <w:tcPr>
            <w:tcW w:w="294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8000 S. Federal Way PO Box 6</w:t>
      </w:r>
    </w:p>
    <w:p>
      <w:pPr>
        <w:ind w:left="1060"/>
        <w:spacing w:after="0"/>
        <w:rPr>
          <w:sz w:val="20"/>
          <w:szCs w:val="20"/>
          <w:color w:val="auto"/>
        </w:rPr>
      </w:pPr>
      <w:r>
        <w:rPr>
          <w:rFonts w:ascii="Courier New" w:cs="Courier New" w:eastAsia="Courier New" w:hAnsi="Courier New"/>
          <w:sz w:val="18"/>
          <w:szCs w:val="18"/>
          <w:color w:val="auto"/>
        </w:rPr>
        <w:t>Boise, ID 83716-9632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Name of Person Filing and Address of Principal Business Office:</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AllianceBernstein L.P</w:t>
      </w:r>
    </w:p>
    <w:p>
      <w:pPr>
        <w:ind w:left="1060"/>
        <w:spacing w:after="0" w:line="238" w:lineRule="auto"/>
        <w:rPr>
          <w:sz w:val="20"/>
          <w:szCs w:val="20"/>
          <w:color w:val="auto"/>
        </w:rPr>
      </w:pPr>
      <w:r>
        <w:rPr>
          <w:rFonts w:ascii="Courier New" w:cs="Courier New" w:eastAsia="Courier New" w:hAnsi="Courier New"/>
          <w:sz w:val="18"/>
          <w:szCs w:val="18"/>
          <w:color w:val="auto"/>
        </w:rPr>
        <w:t>1345 Avenue of the Americas</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NewYork, N.Y.</w:t>
      </w:r>
      <w:r>
        <w:rPr>
          <w:sz w:val="20"/>
          <w:szCs w:val="20"/>
          <w:color w:val="auto"/>
        </w:rPr>
        <w:tab/>
      </w:r>
      <w:r>
        <w:rPr>
          <w:rFonts w:ascii="Courier New" w:cs="Courier New" w:eastAsia="Courier New" w:hAnsi="Courier New"/>
          <w:sz w:val="16"/>
          <w:szCs w:val="16"/>
          <w:color w:val="auto"/>
        </w:rPr>
        <w:t>10105</w:t>
      </w:r>
    </w:p>
    <w:p>
      <w:pPr>
        <w:spacing w:after="0" w:line="200" w:lineRule="exact"/>
        <w:rPr>
          <w:sz w:val="20"/>
          <w:szCs w:val="20"/>
          <w:color w:val="auto"/>
        </w:rPr>
      </w:pPr>
    </w:p>
    <w:p>
      <w:pPr>
        <w:spacing w:after="0" w:line="209" w:lineRule="exact"/>
        <w:rPr>
          <w:sz w:val="20"/>
          <w:szCs w:val="20"/>
          <w:color w:val="auto"/>
        </w:rPr>
      </w:pPr>
    </w:p>
    <w:p>
      <w:pPr>
        <w:jc w:val="both"/>
        <w:ind w:left="120" w:right="2419"/>
        <w:spacing w:after="0" w:line="236" w:lineRule="auto"/>
        <w:rPr>
          <w:sz w:val="20"/>
          <w:szCs w:val="20"/>
          <w:color w:val="auto"/>
        </w:rPr>
      </w:pPr>
      <w:r>
        <w:rPr>
          <w:rFonts w:ascii="Courier New" w:cs="Courier New" w:eastAsia="Courier New" w:hAnsi="Courier New"/>
          <w:sz w:val="18"/>
          <w:szCs w:val="18"/>
          <w:color w:val="auto"/>
        </w:rPr>
        <w:t>(All media outlets, please contact Andrea Prochniak at AllianceBernstein (212-756-4542) with any questions. All other questions can be directed to Section13USFilings@alliancebernstein.com.)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Delaware</w:t>
      </w:r>
    </w:p>
    <w:p>
      <w:pPr>
        <w:spacing w:after="0" w:line="202"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2(d) Title of Class of Securities:</w:t>
      </w:r>
      <w:r>
        <w:rPr>
          <w:sz w:val="20"/>
          <w:szCs w:val="20"/>
          <w:color w:val="auto"/>
        </w:rPr>
        <w:tab/>
      </w:r>
      <w:r>
        <w:rPr>
          <w:rFonts w:ascii="Courier New" w:cs="Courier New" w:eastAsia="Courier New" w:hAnsi="Courier New"/>
          <w:sz w:val="16"/>
          <w:szCs w:val="16"/>
          <w:color w:val="auto"/>
        </w:rPr>
        <w:t>COM NEW</w:t>
      </w:r>
    </w:p>
    <w:p>
      <w:pPr>
        <w:spacing w:after="0" w:line="201"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 Cusip Number:</w:t>
      </w:r>
      <w:r>
        <w:rPr>
          <w:sz w:val="20"/>
          <w:szCs w:val="20"/>
          <w:color w:val="auto"/>
        </w:rPr>
        <w:tab/>
      </w:r>
      <w:r>
        <w:rPr>
          <w:rFonts w:ascii="Courier New" w:cs="Courier New" w:eastAsia="Courier New" w:hAnsi="Courier New"/>
          <w:sz w:val="16"/>
          <w:szCs w:val="16"/>
          <w:color w:val="auto"/>
        </w:rPr>
        <w:t>595112103</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 w:leader="none" w:pos="3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Registered Investment Advisor</w:t>
      </w:r>
    </w:p>
    <w:p>
      <w:pPr>
        <w:sectPr>
          <w:pgSz w:w="11900" w:h="16838" w:orient="portrait"/>
          <w:cols w:equalWidth="0" w:num="1">
            <w:col w:w="10219"/>
          </w:cols>
          <w:pgMar w:left="240" w:top="717" w:right="1440" w:bottom="1440" w:gutter="0" w:footer="0" w:header="0"/>
        </w:sectPr>
      </w:pPr>
    </w:p>
    <w:bookmarkStart w:id="3" w:name="page4"/>
    <w:bookmarkEnd w:id="3"/>
    <w:p>
      <w:pPr>
        <w:ind w:left="3700"/>
        <w:spacing w:after="0"/>
        <w:tabs>
          <w:tab w:leader="none" w:pos="63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 as of 12/31/2012</w:t>
      </w:r>
    </w:p>
    <w:p>
      <w:pPr>
        <w:spacing w:after="0" w:line="207" w:lineRule="exact"/>
        <w:rPr>
          <w:sz w:val="20"/>
          <w:szCs w:val="20"/>
          <w:color w:val="auto"/>
        </w:rPr>
      </w:pPr>
    </w:p>
    <w:p>
      <w:pPr>
        <w:ind w:left="1060" w:right="2619" w:hanging="420"/>
        <w:spacing w:after="0" w:line="236"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42,218,703 shares of common stock acquired solely for investment purposes on behalf of client discretionary investment advisory accounts*</w:t>
      </w:r>
    </w:p>
    <w:p>
      <w:pPr>
        <w:spacing w:after="0" w:line="203"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4.1%</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254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ind w:left="12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(iv)</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Power</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20"/>
                <w:szCs w:val="20"/>
                <w:color w:val="auto"/>
              </w:rPr>
            </w:pPr>
            <w:r>
              <w:rPr>
                <w:rFonts w:ascii="Courier New" w:cs="Courier New" w:eastAsia="Courier New" w:hAnsi="Courier New"/>
                <w:sz w:val="18"/>
                <w:szCs w:val="18"/>
                <w:color w:val="auto"/>
              </w:rPr>
              <w:t>AllianceBernstein</w:t>
            </w:r>
          </w:p>
        </w:tc>
        <w:tc>
          <w:tcPr>
            <w:tcW w:w="2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35,071,770</w:t>
            </w:r>
          </w:p>
        </w:tc>
        <w:tc>
          <w:tcPr>
            <w:tcW w:w="10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w:t>
            </w:r>
          </w:p>
        </w:tc>
        <w:tc>
          <w:tcPr>
            <w:tcW w:w="16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42,194,755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23,948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*AllianceBernstein L.P. is a majority owned subsidiary of AXA Financial, Inc. and an indirect majority owned subsidiary of AXA SA. AllianceBernstein operates under independent management and makes independent decisions from AXA and AXA Financial and their respective subsidiaries and AXA and AXA Financial calculate and report beneficial ownership separately from AllianceBernstein pursuant to guidance provided by the Securities and Exchange Commission in Release Number 34-39538 (January 12, 1998).</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may be deemed to share beneficial ownership with AXA</w:t>
      </w:r>
    </w:p>
    <w:p>
      <w:pPr>
        <w:spacing w:after="0" w:line="238" w:lineRule="auto"/>
        <w:rPr>
          <w:sz w:val="20"/>
          <w:szCs w:val="20"/>
          <w:color w:val="auto"/>
        </w:rPr>
      </w:pPr>
      <w:r>
        <w:rPr>
          <w:rFonts w:ascii="Courier New" w:cs="Courier New" w:eastAsia="Courier New" w:hAnsi="Courier New"/>
          <w:sz w:val="18"/>
          <w:szCs w:val="18"/>
          <w:color w:val="auto"/>
        </w:rPr>
        <w:t>reporting persons by virtue of 23,948 shares of common stock acquired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behalf of the general and special accounts of the affiliated entities for which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serves as a subadvisor. Each of AllianceBernstein and the</w:t>
      </w:r>
    </w:p>
    <w:p>
      <w:pPr>
        <w:spacing w:after="0" w:line="238" w:lineRule="auto"/>
        <w:rPr>
          <w:sz w:val="20"/>
          <w:szCs w:val="20"/>
          <w:color w:val="auto"/>
        </w:rPr>
      </w:pPr>
      <w:r>
        <w:rPr>
          <w:rFonts w:ascii="Courier New" w:cs="Courier New" w:eastAsia="Courier New" w:hAnsi="Courier New"/>
          <w:sz w:val="18"/>
          <w:szCs w:val="18"/>
          <w:color w:val="auto"/>
        </w:rPr>
        <w:t>AXA entities reporting herein acquired their shares of common stock for</w:t>
      </w:r>
    </w:p>
    <w:p>
      <w:pPr>
        <w:spacing w:after="0"/>
        <w:rPr>
          <w:sz w:val="20"/>
          <w:szCs w:val="20"/>
          <w:color w:val="auto"/>
        </w:rPr>
      </w:pPr>
      <w:r>
        <w:rPr>
          <w:rFonts w:ascii="Courier New" w:cs="Courier New" w:eastAsia="Courier New" w:hAnsi="Courier New"/>
          <w:sz w:val="18"/>
          <w:szCs w:val="18"/>
          <w:color w:val="auto"/>
        </w:rPr>
        <w:t>investment purposes in the ordinary course of their investment management</w:t>
      </w:r>
    </w:p>
    <w:p>
      <w:pPr>
        <w:spacing w:after="0" w:line="237" w:lineRule="auto"/>
        <w:rPr>
          <w:sz w:val="20"/>
          <w:szCs w:val="20"/>
          <w:color w:val="auto"/>
        </w:rPr>
      </w:pPr>
      <w:r>
        <w:rPr>
          <w:rFonts w:ascii="Courier New" w:cs="Courier New" w:eastAsia="Courier New" w:hAnsi="Courier New"/>
          <w:sz w:val="18"/>
          <w:szCs w:val="18"/>
          <w:color w:val="auto"/>
        </w:rPr>
        <w:t>and insurance businesses.</w:t>
      </w:r>
    </w:p>
    <w:p>
      <w:pPr>
        <w:sectPr>
          <w:pgSz w:w="11900" w:h="16838" w:orient="portrait"/>
          <w:cols w:equalWidth="0" w:num="1">
            <w:col w:w="10219"/>
          </w:cols>
          <w:pgMar w:left="240" w:top="514" w:right="1440" w:bottom="1440" w:gutter="0" w:footer="0" w:header="0"/>
        </w:sectPr>
      </w:pPr>
    </w:p>
    <w:bookmarkStart w:id="4" w:name="page5"/>
    <w:bookmarkEnd w:id="4"/>
    <w:p>
      <w:pPr>
        <w:ind w:left="6440"/>
        <w:spacing w:after="0"/>
        <w:rPr>
          <w:sz w:val="20"/>
          <w:szCs w:val="20"/>
          <w:color w:val="auto"/>
        </w:rPr>
      </w:pPr>
      <w:r>
        <w:rPr>
          <w:rFonts w:ascii="Courier New" w:cs="Courier New" w:eastAsia="Courier New" w:hAnsi="Courier New"/>
          <w:sz w:val="18"/>
          <w:szCs w:val="18"/>
          <w:color w:val="auto"/>
        </w:rPr>
        <w:t>Page 5 of 5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If this statement is being filed to report the fact that as of the date</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hereof the reporting person has ceased to be the beneficial owner of</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more than five percent of the class of securities, check the following.</w:t>
      </w:r>
    </w:p>
    <w:p>
      <w:pPr>
        <w:spacing w:after="0" w:line="218"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[X]</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7600" w:space="200"/>
            <w:col w:w="2419"/>
          </w:cols>
          <w:pgMar w:left="240" w:top="717" w:right="1440" w:bottom="1440" w:gutter="0" w:footer="0" w:header="0"/>
          <w:type w:val="continuous"/>
        </w:sectPr>
      </w:pPr>
    </w:p>
    <w:p>
      <w:pPr>
        <w:spacing w:after="0" w:line="24" w:lineRule="exact"/>
        <w:rPr>
          <w:sz w:val="20"/>
          <w:szCs w:val="20"/>
          <w:color w:val="auto"/>
        </w:rPr>
      </w:pPr>
    </w:p>
    <w:p>
      <w:pPr>
        <w:ind w:left="860"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54" w:lineRule="exact"/>
        <w:rPr>
          <w:sz w:val="20"/>
          <w:szCs w:val="20"/>
          <w:color w:val="auto"/>
        </w:rPr>
      </w:pPr>
    </w:p>
    <w:p>
      <w:pPr>
        <w:sectPr>
          <w:pgSz w:w="11900" w:h="16838" w:orient="portrait"/>
          <w:cols w:equalWidth="0" w:num="2">
            <w:col w:w="7800" w:space="0"/>
            <w:col w:w="2419"/>
          </w:cols>
          <w:pgMar w:left="240" w:top="717" w:right="1440"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2">
            <w:col w:w="6960" w:space="640"/>
            <w:col w:w="261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740" w:space="220"/>
            <w:col w:w="5920" w:space="720"/>
            <w:col w:w="261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11, 2013, ALLIANCEBERNSTEIN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Laurence Bertan</w:t>
      </w:r>
    </w:p>
    <w:p>
      <w:pPr>
        <w:spacing w:after="0" w:line="201" w:lineRule="exact"/>
        <w:rPr>
          <w:sz w:val="20"/>
          <w:szCs w:val="20"/>
          <w:color w:val="auto"/>
        </w:rPr>
      </w:pPr>
    </w:p>
    <w:p>
      <w:pPr>
        <w:ind w:left="2960"/>
        <w:spacing w:after="0"/>
        <w:tabs>
          <w:tab w:leader="none" w:pos="3680" w:val="left"/>
        </w:tabs>
        <w:rPr>
          <w:sz w:val="20"/>
          <w:szCs w:val="20"/>
          <w:color w:val="auto"/>
        </w:rPr>
      </w:pPr>
      <w:r>
        <w:rPr>
          <w:rFonts w:ascii="Courier New" w:cs="Courier New" w:eastAsia="Courier New" w:hAnsi="Courier New"/>
          <w:sz w:val="18"/>
          <w:szCs w:val="18"/>
          <w:color w:val="auto"/>
        </w:rPr>
        <w:t>Name:</w:t>
        <w:tab/>
        <w:t>Laurence Bertan</w:t>
      </w:r>
    </w:p>
    <w:p>
      <w:pPr>
        <w:ind w:left="2960"/>
        <w:spacing w:after="0" w:line="238" w:lineRule="auto"/>
        <w:rPr>
          <w:sz w:val="20"/>
          <w:szCs w:val="20"/>
          <w:color w:val="auto"/>
        </w:rPr>
      </w:pPr>
      <w:r>
        <w:rPr>
          <w:rFonts w:ascii="Courier New" w:cs="Courier New" w:eastAsia="Courier New" w:hAnsi="Courier New"/>
          <w:sz w:val="18"/>
          <w:szCs w:val="18"/>
          <w:color w:val="auto"/>
        </w:rPr>
        <w:t>Title: SVP and Head of Regulatory Reporting</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X"/>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12"/>
    </w:lvl>
    <w:lvl w:ilvl="1">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2019-12-05T20:50:48Z</dcterms:created>
  <dcterms:modified xsi:type="dcterms:W3CDTF">2019-12-05T20:50:48Z</dcterms:modified>
</cp:coreProperties>
</file>