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28,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0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4" w:lineRule="exact"/>
        <w:rPr>
          <w:sz w:val="24"/>
          <w:szCs w:val="24"/>
          <w:color w:val="auto"/>
        </w:rPr>
      </w:pPr>
    </w:p>
    <w:p>
      <w:pPr>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3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 September 28, 2021, we announced the financial results for our fourth quarter and full year of fiscal 2021 ended September 2, 2021. The full text of the press release issued in connection with the announcement is attached as Exhibit 99.1 to this Current Report on Form 8-K.</w:t>
      </w:r>
    </w:p>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8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688"/>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3"/>
        </w:trPr>
        <w:tc>
          <w:tcPr>
            <w:tcW w:w="11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3"/>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issued on September 28, 2021</w:t>
              </w:r>
            </w:hyperlink>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25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51"/>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7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3920" w:type="dxa"/>
            <w:vAlign w:val="bottom"/>
          </w:tcPr>
          <w:p>
            <w:pPr>
              <w:spacing w:after="0"/>
              <w:rPr>
                <w:sz w:val="20"/>
                <w:szCs w:val="20"/>
                <w:color w:val="auto"/>
              </w:rPr>
            </w:pPr>
            <w:r>
              <w:rPr>
                <w:rFonts w:ascii="Arial" w:cs="Arial" w:eastAsia="Arial" w:hAnsi="Arial"/>
                <w:sz w:val="18"/>
                <w:szCs w:val="18"/>
                <w:color w:val="auto"/>
              </w:rPr>
              <w:t>Date:   September 28, 2021</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92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92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FULL YEAR OF FISCAL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Fiscal 2021 marks record year for mobile, auto and industrial markets</w:t>
      </w:r>
    </w:p>
    <w:p>
      <w:pPr>
        <w:spacing w:after="0" w:line="23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Sept. 28, 2021 – Micron Technology, Inc. (Nasdaq: MU) today announced results for its fourth quarter and full year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2021, which ended Sept. 2, 2021.</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Q4 2021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$8.27 billion versus $7.42 billion for the prior quarter and $6.06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$2.72 billion, or $2.39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$2.78 billion, or $2.42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$3.88 billion versus $3.56 billion for the prior quarter and $2.27 billion for the same period last year</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Fiscal 2021 highlights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$27.71 billion versus $21.44 billion for the prior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$5.86 billion, or $5.14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$6.98 billion, or $6.06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$12.47 billion versus $8.31 billion for the prior year</w:t>
      </w:r>
    </w:p>
    <w:p>
      <w:pPr>
        <w:spacing w:after="0" w:line="239"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“Micron’s outstanding fourth quarter execution capped a year of several key milestones,” said Micron Technology President and CEO Sanjay Mehrotra. “In fiscal 2021, we established DRAM and NAND technology leadership, drove record revenues across multiple markets, and initiated a quarterly dividend. The demand outlook for 2022 is strong, and Micron is delivering innovative solutions to our customers, fueling our long-term growth.”</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FQ4-21</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FQ3-21</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FQ4-20</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FQ3-21</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FQ4-20</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8,274</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7,422</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8,274</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7,422</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6,056</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3,912</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3,126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3,185</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2,111</w:t>
            </w:r>
          </w:p>
        </w:tc>
      </w:tr>
      <w:tr>
        <w:trPr>
          <w:trHeight w:val="229"/>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47.3 %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42.1 %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34.1 %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47.9 %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42.9 %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34.9 %</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809</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2,955</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3,073</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2,364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1,302</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35.7 %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24.2 %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37.1 %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31.9 %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21.5 %</w:t>
            </w:r>
          </w:p>
        </w:tc>
      </w:tr>
      <w:tr>
        <w:trPr>
          <w:trHeight w:val="229"/>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2,720</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1,735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2,778</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2,173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1,229</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Annual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00" w:type="dxa"/>
            <w:vAlign w:val="bottom"/>
          </w:tcPr>
          <w:p>
            <w:pPr>
              <w:spacing w:after="0"/>
              <w:rPr>
                <w:sz w:val="22"/>
                <w:szCs w:val="22"/>
                <w:color w:val="auto"/>
              </w:rPr>
            </w:pPr>
          </w:p>
        </w:tc>
        <w:tc>
          <w:tcPr>
            <w:tcW w:w="15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840" w:type="dxa"/>
            <w:vAlign w:val="bottom"/>
            <w:tcBorders>
              <w:bottom w:val="single" w:sz="8" w:color="0090DA"/>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r>
      <w:tr>
        <w:trPr>
          <w:trHeight w:val="250"/>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21</w:t>
            </w:r>
          </w:p>
        </w:tc>
        <w:tc>
          <w:tcPr>
            <w:tcW w:w="3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FY 20</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FY 21</w:t>
            </w:r>
          </w:p>
        </w:tc>
        <w:tc>
          <w:tcPr>
            <w:tcW w:w="24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20</w:t>
            </w:r>
          </w:p>
        </w:tc>
      </w:tr>
      <w:tr>
        <w:trPr>
          <w:trHeight w:val="34"/>
        </w:trPr>
        <w:tc>
          <w:tcPr>
            <w:tcW w:w="64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340" w:type="dxa"/>
            <w:vAlign w:val="bottom"/>
            <w:tcBorders>
              <w:top w:val="single" w:sz="8" w:color="0090DA"/>
            </w:tcBorders>
          </w:tcPr>
          <w:p>
            <w:pPr>
              <w:spacing w:after="0"/>
              <w:rPr>
                <w:sz w:val="2"/>
                <w:szCs w:val="2"/>
                <w:color w:val="auto"/>
              </w:rPr>
            </w:pPr>
          </w:p>
        </w:tc>
        <w:tc>
          <w:tcPr>
            <w:tcW w:w="8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29"/>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27,705</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21,435</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   27,705</w:t>
            </w:r>
          </w:p>
        </w:tc>
        <w:tc>
          <w:tcPr>
            <w:tcW w:w="24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21,435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10,423</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6,552</w:t>
            </w:r>
          </w:p>
        </w:tc>
        <w:tc>
          <w:tcPr>
            <w:tcW w:w="1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10,987</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6,718</w:t>
            </w:r>
          </w:p>
        </w:tc>
      </w:tr>
      <w:tr>
        <w:trPr>
          <w:trHeight w:val="229"/>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37.6 %</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30.6 %</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39.7 %</w:t>
            </w: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31.3 %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4,140</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3,320</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3,299</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6,283</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7,667</w:t>
            </w: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3,419</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22.7 %</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27.7 %</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16.0 %</w:t>
            </w:r>
          </w:p>
        </w:tc>
      </w:tr>
      <w:tr>
        <w:trPr>
          <w:trHeight w:val="230"/>
        </w:trPr>
        <w:tc>
          <w:tcPr>
            <w:tcW w:w="6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11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5,861</w:t>
            </w:r>
          </w:p>
        </w:tc>
        <w:tc>
          <w:tcPr>
            <w:tcW w:w="340" w:type="dxa"/>
            <w:vAlign w:val="bottom"/>
            <w:shd w:val="clear" w:color="auto" w:fill="DDDDDD"/>
          </w:tcPr>
          <w:p>
            <w:pPr>
              <w:spacing w:after="0"/>
              <w:rPr>
                <w:sz w:val="19"/>
                <w:szCs w:val="19"/>
                <w:color w:val="auto"/>
              </w:rPr>
            </w:pPr>
          </w:p>
        </w:tc>
        <w:tc>
          <w:tcPr>
            <w:tcW w:w="8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6,976</w:t>
            </w:r>
          </w:p>
        </w:tc>
        <w:tc>
          <w:tcPr>
            <w:tcW w:w="24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3,235</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5.14</w:t>
            </w:r>
          </w:p>
        </w:tc>
        <w:tc>
          <w:tcPr>
            <w:tcW w:w="3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2.83</w:t>
            </w:r>
          </w:p>
        </w:tc>
      </w:tr>
    </w:tbl>
    <w:p>
      <w:pPr>
        <w:spacing w:after="0" w:line="32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$2.01 billion for the fourth quarter of 2021 and $9.72 billion for the full year of 2021,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$1.88 billion for the fourth quarter of 2021 and $2.75 billion for the full year of 2021. Micron repurchased approximately 13.9 million shares of its common stock for $1.05 billion during the fourth quarter of 2021 and 15.6 million shares of its common stock for $1.20 billion during the full year of 2021 and ended the year with cash, marketable investments, and restricted cash of $10.46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$3.69 billion.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9"/>
        </w:trPr>
        <w:tc>
          <w:tcPr>
            <w:tcW w:w="638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first quarter of 2022:</w:t>
            </w:r>
          </w:p>
        </w:tc>
        <w:tc>
          <w:tcPr>
            <w:tcW w:w="2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7"/>
        </w:trPr>
        <w:tc>
          <w:tcPr>
            <w:tcW w:w="63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FQ1-22</w:t>
            </w:r>
          </w:p>
        </w:tc>
        <w:tc>
          <w:tcPr>
            <w:tcW w:w="262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$7.65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$7.65 billion ± $200 million</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tcPr>
          <w:p>
            <w:pPr>
              <w:jc w:val="right"/>
              <w:spacing w:after="0"/>
              <w:rPr>
                <w:sz w:val="20"/>
                <w:szCs w:val="20"/>
                <w:color w:val="auto"/>
              </w:rPr>
            </w:pPr>
            <w:r>
              <w:rPr>
                <w:rFonts w:ascii="Arial" w:cs="Arial" w:eastAsia="Arial" w:hAnsi="Arial"/>
                <w:sz w:val="18"/>
                <w:szCs w:val="18"/>
                <w:color w:val="auto"/>
              </w:rPr>
              <w:t>46.0% ± 1%</w:t>
            </w:r>
          </w:p>
        </w:tc>
        <w:tc>
          <w:tcPr>
            <w:tcW w:w="2240" w:type="dxa"/>
            <w:vAlign w:val="bottom"/>
          </w:tcPr>
          <w:p>
            <w:pPr>
              <w:jc w:val="right"/>
              <w:spacing w:after="0"/>
              <w:rPr>
                <w:sz w:val="20"/>
                <w:szCs w:val="20"/>
                <w:color w:val="auto"/>
              </w:rPr>
            </w:pPr>
            <w:r>
              <w:rPr>
                <w:rFonts w:ascii="Arial" w:cs="Arial" w:eastAsia="Arial" w:hAnsi="Arial"/>
                <w:sz w:val="18"/>
                <w:szCs w:val="18"/>
                <w:color w:val="auto"/>
              </w:rPr>
              <w:t>47.0% ± 1%</w:t>
            </w:r>
          </w:p>
        </w:tc>
      </w:tr>
      <w:tr>
        <w:trPr>
          <w:trHeight w:val="230"/>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$986 million ± $25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$915 million ± $25 million</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20" w:type="dxa"/>
            <w:vAlign w:val="bottom"/>
          </w:tcPr>
          <w:p>
            <w:pPr>
              <w:jc w:val="right"/>
              <w:spacing w:after="0"/>
              <w:rPr>
                <w:sz w:val="20"/>
                <w:szCs w:val="20"/>
                <w:color w:val="auto"/>
              </w:rPr>
            </w:pPr>
            <w:r>
              <w:rPr>
                <w:rFonts w:ascii="Arial" w:cs="Arial" w:eastAsia="Arial" w:hAnsi="Arial"/>
                <w:sz w:val="18"/>
                <w:szCs w:val="18"/>
                <w:color w:val="auto"/>
              </w:rPr>
              <w:t>$2.00 ± $0.10</w:t>
            </w:r>
          </w:p>
        </w:tc>
        <w:tc>
          <w:tcPr>
            <w:tcW w:w="2240" w:type="dxa"/>
            <w:vAlign w:val="bottom"/>
          </w:tcPr>
          <w:p>
            <w:pPr>
              <w:jc w:val="right"/>
              <w:spacing w:after="0"/>
              <w:rPr>
                <w:sz w:val="20"/>
                <w:szCs w:val="20"/>
                <w:color w:val="auto"/>
              </w:rPr>
            </w:pPr>
            <w:r>
              <w:rPr>
                <w:rFonts w:ascii="Arial" w:cs="Arial" w:eastAsia="Arial" w:hAnsi="Arial"/>
                <w:sz w:val="18"/>
                <w:szCs w:val="18"/>
                <w:color w:val="auto"/>
              </w:rPr>
              <w:t>$2.10 ± $0.10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 xml:space="preserve">Micron will host a conference call on Tuesday, Sept. 28, 2021 at 2:30 p.m. MT to discuss its fourth quarter financial results and provide forward-looking guidance for its first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A webcast replay will be available for one year after the call. For Investor Relations and other company updates, follow @MicronTech on Twitter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67"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Micron, the Micron logo, and all other Micron trademarks are the property of Micron Technology, Inc.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the completion of and timing for closing the pending sale of our Lehi facility,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300" w:type="dxa"/>
            <w:vAlign w:val="bottom"/>
          </w:tcPr>
          <w:p>
            <w:pPr>
              <w:spacing w:after="0"/>
              <w:rPr>
                <w:sz w:val="19"/>
                <w:szCs w:val="19"/>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185"/>
        </w:trPr>
        <w:tc>
          <w:tcPr>
            <w:tcW w:w="4580" w:type="dxa"/>
            <w:vAlign w:val="bottom"/>
          </w:tcPr>
          <w:p>
            <w:pPr>
              <w:spacing w:after="0"/>
              <w:rPr>
                <w:sz w:val="16"/>
                <w:szCs w:val="16"/>
                <w:color w:val="auto"/>
              </w:rPr>
            </w:pPr>
          </w:p>
        </w:tc>
        <w:tc>
          <w:tcPr>
            <w:tcW w:w="13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2,</w:t>
            </w:r>
          </w:p>
        </w:tc>
        <w:tc>
          <w:tcPr>
            <w:tcW w:w="24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3,</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3,</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2,</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3,</w:t>
            </w:r>
          </w:p>
        </w:tc>
      </w:tr>
      <w:tr>
        <w:trPr>
          <w:trHeight w:val="229"/>
        </w:trPr>
        <w:tc>
          <w:tcPr>
            <w:tcW w:w="458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34"/>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8,274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6,056</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r>
      <w:tr>
        <w:trPr>
          <w:trHeight w:val="256"/>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3,003</w:t>
            </w:r>
          </w:p>
        </w:tc>
      </w:tr>
      <w:tr>
        <w:trPr>
          <w:trHeight w:val="257"/>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6,218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57"/>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2,710</w:t>
            </w:r>
          </w:p>
        </w:tc>
      </w:tr>
      <w:tr>
        <w:trPr>
          <w:trHeight w:val="257"/>
        </w:trPr>
        <w:tc>
          <w:tcPr>
            <w:tcW w:w="458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458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attributable to Micron</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2,720</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988</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2,687</w:t>
            </w: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r>
      <w:tr>
        <w:trPr>
          <w:trHeight w:val="257"/>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2,</w:t>
            </w:r>
          </w:p>
        </w:tc>
        <w:tc>
          <w:tcPr>
            <w:tcW w:w="24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0090DA"/>
            </w:tcBorders>
            <w:vMerge w:val="continue"/>
          </w:tcPr>
          <w:p>
            <w:pPr>
              <w:spacing w:after="0"/>
              <w:rPr>
                <w:sz w:val="19"/>
                <w:szCs w:val="19"/>
                <w:color w:val="auto"/>
              </w:rPr>
            </w:pPr>
          </w:p>
        </w:tc>
        <w:tc>
          <w:tcPr>
            <w:tcW w:w="28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7,759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18,561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32,209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D1D2D4"/>
          </w:tcPr>
          <w:p>
            <w:pPr>
              <w:spacing w:after="0"/>
              <w:rPr>
                <w:sz w:val="15"/>
                <w:szCs w:val="15"/>
                <w:color w:val="auto"/>
              </w:rPr>
            </w:pPr>
          </w:p>
        </w:tc>
        <w:tc>
          <w:tcPr>
            <w:tcW w:w="28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4,427</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13,684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196"/>
        </w:trPr>
        <w:tc>
          <w:tcPr>
            <w:tcW w:w="7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9,285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39,051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42,259</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3"/>
        </w:trPr>
        <w:tc>
          <w:tcPr>
            <w:tcW w:w="724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2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2,</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Noncash restructure and asset impairment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(10,030)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Payments to acquire treasury stock</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Inventory</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was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a $128 million reduction to net income, and an $0.11 reduction to diluted earnings per share for both the second quarter and the year ended 2021.</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Beginning in the second quarter of 2021, we changed the classification of spare parts for equipment to better align with the manner in which they are used in operations. As a result, we now present spare parts as other current assets and no longer as a component of raw materials inventories. This reclassification was applied on a retrospective basis. As a result, $254 million of spare parts were presented in other current assets as of September 2, 2021, and we reclassified $256 million and $234 million of spare parts from inventories to other current assets in the accompanying balance sheets as of June 3, 2021 and September 3,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Lehi, Utah, Fab and 3D XPoint</w:t>
      </w:r>
    </w:p>
    <w:p>
      <w:pPr>
        <w:spacing w:after="0" w:line="27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at scale. Accordingly, we ceased development of 3D XPoint technology and engaged in discussions with potential buyers for the sale of our facility located in Lehi that was dedicated to 3D XPoint production. As a result, we classified the property, plant, and equipment as held for sale and ceased depreciating the assets. On June 30, 2021, we announced that we have entered into a definitive agreement to sell our Lehi facility to Texas Instruments for cash consideration of $900 million. The sale is anticipated to close later this calendar year.</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(and a tax benefit of $104 million included in income tax (provision) benefit) to write down the assets held for sale to the expected consideration, net of estimated selling costs, to be realized from the sale of these assets and liabilities. The impairment charge was based on Level 3 inputs including expected consideration and the composition of assets included in the sale, which were derived from the agreement with TI. In the second quarter of 2021, we also recognized a charge of $49 million to cost of goods sold to write down 3D XPoint inventory due to our decision to cease further development of this technology.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 2021, the significant balances of assets held for sale in connection with our Lehi facility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9800" w:type="dxa"/>
            <w:vAlign w:val="bottom"/>
          </w:tcPr>
          <w:p>
            <w:pPr>
              <w:ind w:left="240"/>
              <w:spacing w:after="0"/>
              <w:rPr>
                <w:sz w:val="20"/>
                <w:szCs w:val="20"/>
                <w:color w:val="auto"/>
              </w:rPr>
            </w:pPr>
            <w:r>
              <w:rPr>
                <w:rFonts w:ascii="Arial" w:cs="Arial" w:eastAsia="Arial" w:hAnsi="Arial"/>
                <w:sz w:val="18"/>
                <w:szCs w:val="18"/>
                <w:color w:val="auto"/>
              </w:rPr>
              <w:t>Lehi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
        </w:trPr>
        <w:tc>
          <w:tcPr>
            <w:tcW w:w="9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2, 2021, we also had a $50 million finance lease obligation included in the current portion of long-term debt and $11 million of other liabilities that we expect to transfer with the sale. The expected cash consideration, net of estimated selling expenses, approximates the carrying value of the net assets and liabilities expected to transfer in the sale, after giving effect to the impairment charge discussed above.</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6" w:right="339" w:bottom="1440" w:gutter="0" w:footer="0" w:header="0"/>
        </w:sectPr>
      </w:pPr>
    </w:p>
    <w:bookmarkStart w:id="10" w:name="page11"/>
    <w:bookmarkEnd w:id="10"/>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300" w:type="dxa"/>
            <w:vAlign w:val="bottom"/>
          </w:tcPr>
          <w:p>
            <w:pPr>
              <w:spacing w:after="0"/>
              <w:rPr>
                <w:sz w:val="19"/>
                <w:szCs w:val="19"/>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3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2,</w:t>
            </w:r>
          </w:p>
        </w:tc>
        <w:tc>
          <w:tcPr>
            <w:tcW w:w="24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3,</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3,</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2,</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2,068</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3,964</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3,185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2,111</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10,987</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4,140</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2,955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6,283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GAAP net income attributable to Micron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5,861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(Gain) loss on debt repurchases and conversions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8"/>
        </w:trPr>
        <w:tc>
          <w:tcPr>
            <w:tcW w:w="4580" w:type="dxa"/>
            <w:vAlign w:val="bottom"/>
          </w:tcPr>
          <w:p>
            <w:pPr>
              <w:ind w:left="140"/>
              <w:spacing w:after="0" w:line="189" w:lineRule="exact"/>
              <w:rPr>
                <w:sz w:val="20"/>
                <w:szCs w:val="20"/>
                <w:color w:val="auto"/>
              </w:rPr>
            </w:pPr>
            <w:r>
              <w:rPr>
                <w:rFonts w:ascii="Arial" w:cs="Arial" w:eastAsia="Arial" w:hAnsi="Arial"/>
                <w:sz w:val="18"/>
                <w:szCs w:val="18"/>
                <w:color w:val="auto"/>
              </w:rPr>
              <w:t>Estimated tax effects of above and other tax</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D1D2D4"/>
            </w:tcBorders>
          </w:tcPr>
          <w:p>
            <w:pPr>
              <w:ind w:left="30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 attributable to Micron</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2,778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1,229</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6,976</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b w:val="1"/>
                <w:bCs w:val="1"/>
                <w:color w:val="auto"/>
              </w:rPr>
              <w:t>GAAP weighted-average common shares</w:t>
            </w:r>
          </w:p>
        </w:tc>
        <w:tc>
          <w:tcPr>
            <w:tcW w:w="22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D1D2D4"/>
          </w:tcPr>
          <w:p>
            <w:pPr>
              <w:ind w:left="180"/>
              <w:spacing w:after="0"/>
              <w:rPr>
                <w:sz w:val="20"/>
                <w:szCs w:val="20"/>
                <w:color w:val="auto"/>
              </w:rPr>
            </w:pPr>
            <w:r>
              <w:rPr>
                <w:rFonts w:ascii="Arial" w:cs="Arial" w:eastAsia="Arial" w:hAnsi="Arial"/>
                <w:sz w:val="18"/>
                <w:szCs w:val="18"/>
                <w:b w:val="1"/>
                <w:bCs w:val="1"/>
                <w:color w:val="auto"/>
              </w:rPr>
              <w:t>outstanding - Diluted</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188"/>
        </w:trPr>
        <w:tc>
          <w:tcPr>
            <w:tcW w:w="4580" w:type="dxa"/>
            <w:vAlign w:val="bottom"/>
          </w:tcPr>
          <w:p>
            <w:pPr>
              <w:ind w:left="140"/>
              <w:spacing w:after="0" w:line="189" w:lineRule="exact"/>
              <w:rPr>
                <w:sz w:val="20"/>
                <w:szCs w:val="20"/>
                <w:color w:val="auto"/>
              </w:rPr>
            </w:pPr>
            <w:r>
              <w:rPr>
                <w:rFonts w:ascii="Arial" w:cs="Arial" w:eastAsia="Arial" w:hAnsi="Arial"/>
                <w:sz w:val="18"/>
                <w:szCs w:val="18"/>
                <w:color w:val="auto"/>
              </w:rPr>
              <w:t>Adjustment for stock-based compensation and capped</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tcBorders>
              <w:bottom w:val="single" w:sz="8" w:color="D1D2D4"/>
            </w:tcBorders>
          </w:tcPr>
          <w:p>
            <w:pPr>
              <w:ind w:left="300"/>
              <w:spacing w:after="0"/>
              <w:rPr>
                <w:sz w:val="20"/>
                <w:szCs w:val="20"/>
                <w:color w:val="auto"/>
              </w:rPr>
            </w:pPr>
            <w:r>
              <w:rPr>
                <w:rFonts w:ascii="Arial" w:cs="Arial" w:eastAsia="Arial" w:hAnsi="Arial"/>
                <w:sz w:val="18"/>
                <w:szCs w:val="18"/>
                <w:color w:val="auto"/>
              </w:rPr>
              <w:t>calls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5"/>
        </w:trPr>
        <w:tc>
          <w:tcPr>
            <w:tcW w:w="4580" w:type="dxa"/>
            <w:vAlign w:val="bottom"/>
            <w:shd w:val="clear" w:color="auto" w:fill="D1D2D4"/>
          </w:tcPr>
          <w:p>
            <w:pPr>
              <w:ind w:left="20"/>
              <w:spacing w:after="0" w:line="156" w:lineRule="exact"/>
              <w:rPr>
                <w:sz w:val="20"/>
                <w:szCs w:val="20"/>
                <w:color w:val="auto"/>
              </w:rPr>
            </w:pPr>
            <w:r>
              <w:rPr>
                <w:rFonts w:ascii="Arial" w:cs="Arial" w:eastAsia="Arial" w:hAnsi="Arial"/>
                <w:sz w:val="18"/>
                <w:szCs w:val="18"/>
                <w:b w:val="1"/>
                <w:bCs w:val="1"/>
                <w:color w:val="auto"/>
              </w:rPr>
              <w:t>Non-GAAP weighted-average common shares</w:t>
            </w:r>
          </w:p>
        </w:tc>
        <w:tc>
          <w:tcPr>
            <w:tcW w:w="220" w:type="dxa"/>
            <w:vAlign w:val="bottom"/>
            <w:shd w:val="clear" w:color="auto" w:fill="D1D2D4"/>
          </w:tcPr>
          <w:p>
            <w:pPr>
              <w:spacing w:after="0"/>
              <w:rPr>
                <w:sz w:val="13"/>
                <w:szCs w:val="13"/>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1,147</w:t>
            </w:r>
          </w:p>
        </w:tc>
        <w:tc>
          <w:tcPr>
            <w:tcW w:w="240" w:type="dxa"/>
            <w:vAlign w:val="bottom"/>
            <w:shd w:val="clear" w:color="auto" w:fill="D1D2D4"/>
          </w:tcPr>
          <w:p>
            <w:pPr>
              <w:spacing w:after="0"/>
              <w:rPr>
                <w:sz w:val="13"/>
                <w:szCs w:val="13"/>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D1D2D4"/>
          </w:tcPr>
          <w:p>
            <w:pPr>
              <w:spacing w:after="0"/>
              <w:rPr>
                <w:sz w:val="13"/>
                <w:szCs w:val="13"/>
                <w:color w:val="auto"/>
              </w:rPr>
            </w:pPr>
          </w:p>
        </w:tc>
        <w:tc>
          <w:tcPr>
            <w:tcW w:w="11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D1D2D4"/>
          </w:tcPr>
          <w:p>
            <w:pPr>
              <w:spacing w:after="0"/>
              <w:rPr>
                <w:sz w:val="13"/>
                <w:szCs w:val="13"/>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1,151</w:t>
            </w:r>
          </w:p>
        </w:tc>
        <w:tc>
          <w:tcPr>
            <w:tcW w:w="300" w:type="dxa"/>
            <w:vAlign w:val="bottom"/>
            <w:shd w:val="clear" w:color="auto" w:fill="D1D2D4"/>
          </w:tcPr>
          <w:p>
            <w:pPr>
              <w:spacing w:after="0"/>
              <w:rPr>
                <w:sz w:val="13"/>
                <w:szCs w:val="13"/>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D1D2D4"/>
            </w:tcBorders>
            <w:shd w:val="clear" w:color="auto" w:fill="D1D2D4"/>
          </w:tcPr>
          <w:p>
            <w:pPr>
              <w:ind w:left="180"/>
              <w:spacing w:after="0" w:line="202" w:lineRule="exact"/>
              <w:rPr>
                <w:sz w:val="20"/>
                <w:szCs w:val="20"/>
                <w:color w:val="auto"/>
              </w:rPr>
            </w:pPr>
            <w:r>
              <w:rPr>
                <w:rFonts w:ascii="Arial" w:cs="Arial" w:eastAsia="Arial" w:hAnsi="Arial"/>
                <w:sz w:val="18"/>
                <w:szCs w:val="18"/>
                <w:b w:val="1"/>
                <w:bCs w:val="1"/>
                <w:color w:val="auto"/>
              </w:rPr>
              <w:t>outstanding - Diluted</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vMerge w:val="continue"/>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vMerge w:val="continue"/>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vMerge w:val="continue"/>
            <w:shd w:val="clear" w:color="auto" w:fill="D1D2D4"/>
          </w:tcPr>
          <w:p>
            <w:pPr>
              <w:spacing w:after="0"/>
              <w:rPr>
                <w:sz w:val="19"/>
                <w:szCs w:val="19"/>
                <w:color w:val="auto"/>
              </w:rPr>
            </w:pP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vMerge w:val="continue"/>
            <w:shd w:val="clear" w:color="auto" w:fill="D1D2D4"/>
          </w:tcPr>
          <w:p>
            <w:pPr>
              <w:spacing w:after="0"/>
              <w:rPr>
                <w:sz w:val="19"/>
                <w:szCs w:val="19"/>
                <w:color w:val="auto"/>
              </w:rPr>
            </w:pP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0.87</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6.06</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45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86"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8860" w:type="dxa"/>
            <w:vAlign w:val="bottom"/>
            <w:gridSpan w:val="8"/>
          </w:tcPr>
          <w:p>
            <w:pPr>
              <w:jc w:val="right"/>
              <w:ind w:right="9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0"/>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24"/>
                <w:szCs w:val="24"/>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300" w:type="dxa"/>
            <w:vAlign w:val="bottom"/>
          </w:tcPr>
          <w:p>
            <w:pPr>
              <w:spacing w:after="0"/>
              <w:rPr>
                <w:sz w:val="24"/>
                <w:szCs w:val="24"/>
                <w:color w:val="auto"/>
              </w:rPr>
            </w:pPr>
          </w:p>
        </w:tc>
        <w:tc>
          <w:tcPr>
            <w:tcW w:w="23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185"/>
        </w:trPr>
        <w:tc>
          <w:tcPr>
            <w:tcW w:w="4580" w:type="dxa"/>
            <w:vAlign w:val="bottom"/>
          </w:tcPr>
          <w:p>
            <w:pPr>
              <w:spacing w:after="0"/>
              <w:rPr>
                <w:sz w:val="16"/>
                <w:szCs w:val="16"/>
                <w:color w:val="auto"/>
              </w:rPr>
            </w:pPr>
          </w:p>
        </w:tc>
        <w:tc>
          <w:tcPr>
            <w:tcW w:w="13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2,</w:t>
            </w:r>
          </w:p>
        </w:tc>
        <w:tc>
          <w:tcPr>
            <w:tcW w:w="24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3,</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3,</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2,</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3,</w:t>
            </w:r>
          </w:p>
        </w:tc>
      </w:tr>
      <w:tr>
        <w:trPr>
          <w:trHeight w:val="229"/>
        </w:trPr>
        <w:tc>
          <w:tcPr>
            <w:tcW w:w="458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34"/>
        </w:trPr>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3,884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2,271</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8,306</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Investments in capital expenditures, net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580" w:type="dxa"/>
            <w:vAlign w:val="bottom"/>
            <w:shd w:val="clear" w:color="auto" w:fill="D1D2D4"/>
          </w:tcPr>
          <w:p>
            <w:pPr>
              <w:ind w:left="140"/>
              <w:spacing w:after="0" w:line="230" w:lineRule="exact"/>
              <w:rPr>
                <w:sz w:val="20"/>
                <w:szCs w:val="20"/>
                <w:color w:val="auto"/>
              </w:rPr>
            </w:pPr>
            <w:r>
              <w:rPr>
                <w:rFonts w:ascii="Arial" w:cs="Arial" w:eastAsia="Arial" w:hAnsi="Arial"/>
                <w:sz w:val="18"/>
                <w:szCs w:val="18"/>
                <w:color w:val="auto"/>
              </w:rPr>
              <w:t>Expenditures for property, plant, and equipment, net</w:t>
            </w:r>
            <w:r>
              <w:rPr>
                <w:rFonts w:ascii="Arial" w:cs="Arial" w:eastAsia="Arial" w:hAnsi="Arial"/>
                <w:sz w:val="23"/>
                <w:szCs w:val="23"/>
                <w:color w:val="auto"/>
                <w:vertAlign w:val="superscript"/>
              </w:rPr>
              <w:t>(1)</w:t>
            </w:r>
          </w:p>
        </w:tc>
        <w:tc>
          <w:tcPr>
            <w:tcW w:w="2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(9,922)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(8,154)</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45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Amounts funded by partners</w:t>
            </w:r>
          </w:p>
        </w:tc>
        <w:tc>
          <w:tcPr>
            <w:tcW w:w="2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1"/>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340" w:right="180" w:hanging="332"/>
        <w:spacing w:after="0" w:line="229" w:lineRule="auto"/>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$4 million for the fourth quarter of 2021, $74 million for the third quarter of 2021, $12 million for the fourth quarter of 2020, $108 million for the full year of 2021, and $69 million for the full year of 2020.</w:t>
      </w:r>
    </w:p>
    <w:tbl>
      <w:tblPr>
        <w:tblLayout w:type="fixed"/>
        <w:tblInd w:w="0" w:type="dxa"/>
        <w:tblCellMar>
          <w:top w:w="0" w:type="dxa"/>
          <w:left w:w="0" w:type="dxa"/>
          <w:bottom w:w="0" w:type="dxa"/>
          <w:right w:w="0" w:type="dxa"/>
        </w:tblCellMar>
      </w:tblPr>
      <w:tr>
        <w:trPr>
          <w:trHeight w:val="204"/>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4800" w:type="dxa"/>
            <w:vAlign w:val="bottom"/>
          </w:tcPr>
          <w:p>
            <w:pPr>
              <w:jc w:val="center"/>
              <w:ind w:left="3110"/>
              <w:spacing w:after="0" w:line="204" w:lineRule="exact"/>
              <w:rPr>
                <w:sz w:val="20"/>
                <w:szCs w:val="20"/>
                <w:color w:val="auto"/>
              </w:rPr>
            </w:pPr>
            <w:r>
              <w:rPr>
                <w:rFonts w:ascii="Arial" w:cs="Arial" w:eastAsia="Arial" w:hAnsi="Arial"/>
                <w:sz w:val="18"/>
                <w:szCs w:val="18"/>
                <w:b w:val="1"/>
                <w:bCs w:val="1"/>
                <w:color w:val="auto"/>
                <w:w w:val="99"/>
              </w:rPr>
              <w:t>September 2,</w:t>
            </w:r>
          </w:p>
        </w:tc>
        <w:tc>
          <w:tcPr>
            <w:tcW w:w="108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June 3,</w:t>
            </w:r>
          </w:p>
        </w:tc>
        <w:tc>
          <w:tcPr>
            <w:tcW w:w="1460" w:type="dxa"/>
            <w:vAlign w:val="bottom"/>
          </w:tcPr>
          <w:p>
            <w:pPr>
              <w:jc w:val="center"/>
              <w:ind w:left="30"/>
              <w:spacing w:after="0" w:line="204" w:lineRule="exact"/>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0090DA"/>
            </w:tcBorders>
            <w:vMerge w:val="continue"/>
          </w:tcPr>
          <w:p>
            <w:pPr>
              <w:spacing w:after="0"/>
              <w:rPr>
                <w:sz w:val="19"/>
                <w:szCs w:val="19"/>
                <w:color w:val="auto"/>
              </w:rPr>
            </w:pPr>
          </w:p>
        </w:tc>
        <w:tc>
          <w:tcPr>
            <w:tcW w:w="4800" w:type="dxa"/>
            <w:vAlign w:val="bottom"/>
            <w:tcBorders>
              <w:bottom w:val="single" w:sz="8" w:color="0090DA"/>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8,633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8,349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8,142</w:t>
            </w:r>
          </w:p>
        </w:tc>
      </w:tr>
      <w:tr>
        <w:trPr>
          <w:trHeight w:val="229"/>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-479425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-187960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notes and other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5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ectPr>
          <w:pgSz w:w="11900" w:h="16838" w:orient="portrait"/>
          <w:cols w:equalWidth="0" w:num="1">
            <w:col w:w="1124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886" w:right="339" w:bottom="1440" w:gutter="0" w:footer="0" w:header="0"/>
          <w:type w:val="continuous"/>
        </w:sectPr>
      </w:pPr>
    </w:p>
    <w:bookmarkStart w:id="12" w:name="page13"/>
    <w:bookmarkEnd w:id="12"/>
    <w:p>
      <w:pPr>
        <w:ind w:right="40"/>
        <w:spacing w:after="0" w:line="254"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Non-GAAP diluted shares also include the impact of capped calls, which are anti-dilutive in GAAP earnings per share but are expected to mitigate the dilutive effect of convertible notes, based on the average share price for the period the capped calls were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FQ1-22</w:t>
            </w:r>
          </w:p>
        </w:tc>
        <w:tc>
          <w:tcPr>
            <w:tcW w:w="2300" w:type="dxa"/>
            <w:vAlign w:val="bottom"/>
            <w:gridSpan w:val="2"/>
          </w:tcPr>
          <w:p>
            <w:pPr>
              <w:ind w:left="420"/>
              <w:spacing w:after="0"/>
              <w:rPr>
                <w:sz w:val="20"/>
                <w:szCs w:val="20"/>
                <w:color w:val="auto"/>
              </w:rPr>
            </w:pPr>
            <w:r>
              <w:rPr>
                <w:rFonts w:ascii="Arial" w:cs="Arial" w:eastAsia="Arial" w:hAnsi="Arial"/>
                <w:sz w:val="18"/>
                <w:szCs w:val="18"/>
                <w:b w:val="1"/>
                <w:bCs w:val="1"/>
                <w:color w:val="auto"/>
              </w:rPr>
              <w:t>GAAP Outlook</w:t>
            </w:r>
          </w:p>
        </w:tc>
        <w:tc>
          <w:tcPr>
            <w:tcW w:w="25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Adjustments</w:t>
            </w:r>
          </w:p>
        </w:tc>
        <w:tc>
          <w:tcPr>
            <w:tcW w:w="216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20" w:type="dxa"/>
            <w:vAlign w:val="bottom"/>
            <w:tcBorders>
              <w:top w:val="single" w:sz="8" w:color="0090DA"/>
            </w:tcBorders>
          </w:tcPr>
          <w:p>
            <w:pPr>
              <w:spacing w:after="0"/>
              <w:rPr>
                <w:sz w:val="2"/>
                <w:szCs w:val="2"/>
                <w:color w:val="auto"/>
              </w:rPr>
            </w:pPr>
          </w:p>
        </w:tc>
        <w:tc>
          <w:tcPr>
            <w:tcW w:w="22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2160" w:type="dxa"/>
            <w:vAlign w:val="bottom"/>
            <w:tcBorders>
              <w:top w:val="single" w:sz="8" w:color="0090DA"/>
            </w:tcBorders>
          </w:tcPr>
          <w:p>
            <w:pPr>
              <w:spacing w:after="0"/>
              <w:rPr>
                <w:sz w:val="2"/>
                <w:szCs w:val="2"/>
                <w:color w:val="auto"/>
              </w:rPr>
            </w:pPr>
          </w:p>
        </w:tc>
      </w:tr>
      <w:tr>
        <w:trPr>
          <w:trHeight w:val="229"/>
        </w:trPr>
        <w:tc>
          <w:tcPr>
            <w:tcW w:w="4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$7.65 billion ± $200 million</w:t>
            </w:r>
          </w:p>
        </w:tc>
        <w:tc>
          <w:tcPr>
            <w:tcW w:w="2560" w:type="dxa"/>
            <w:vAlign w:val="bottom"/>
            <w:gridSpan w:val="3"/>
            <w:shd w:val="clear" w:color="auto" w:fill="D1D2D4"/>
          </w:tcPr>
          <w:p>
            <w:pPr>
              <w:jc w:val="right"/>
              <w:ind w:right="13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$7.65 billion ± $200 million</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00" w:type="dxa"/>
            <w:vAlign w:val="bottom"/>
          </w:tcPr>
          <w:p>
            <w:pPr>
              <w:jc w:val="right"/>
              <w:spacing w:after="0"/>
              <w:rPr>
                <w:sz w:val="20"/>
                <w:szCs w:val="20"/>
                <w:color w:val="auto"/>
              </w:rPr>
            </w:pPr>
            <w:r>
              <w:rPr>
                <w:rFonts w:ascii="Arial" w:cs="Arial" w:eastAsia="Arial" w:hAnsi="Arial"/>
                <w:sz w:val="18"/>
                <w:szCs w:val="18"/>
                <w:color w:val="auto"/>
              </w:rPr>
              <w:t>46.0% ± 1%</w:t>
            </w:r>
          </w:p>
        </w:tc>
        <w:tc>
          <w:tcPr>
            <w:tcW w:w="100" w:type="dxa"/>
            <w:vAlign w:val="bottom"/>
          </w:tcPr>
          <w:p>
            <w:pPr>
              <w:spacing w:after="0"/>
              <w:rPr>
                <w:sz w:val="19"/>
                <w:szCs w:val="19"/>
                <w:color w:val="auto"/>
              </w:rPr>
            </w:pPr>
          </w:p>
        </w:tc>
        <w:tc>
          <w:tcPr>
            <w:tcW w:w="2560" w:type="dxa"/>
            <w:vAlign w:val="bottom"/>
            <w:gridSpan w:val="3"/>
          </w:tcPr>
          <w:p>
            <w:pPr>
              <w:jc w:val="right"/>
              <w:ind w:right="1100"/>
              <w:spacing w:after="0"/>
              <w:rPr>
                <w:sz w:val="20"/>
                <w:szCs w:val="20"/>
                <w:color w:val="auto"/>
              </w:rPr>
            </w:pPr>
            <w:r>
              <w:rPr>
                <w:rFonts w:ascii="Arial" w:cs="Arial" w:eastAsia="Arial" w:hAnsi="Arial"/>
                <w:sz w:val="18"/>
                <w:szCs w:val="18"/>
                <w:color w:val="auto"/>
              </w:rPr>
              <w:t>1% A</w:t>
            </w:r>
          </w:p>
        </w:tc>
        <w:tc>
          <w:tcPr>
            <w:tcW w:w="2160" w:type="dxa"/>
            <w:vAlign w:val="bottom"/>
          </w:tcPr>
          <w:p>
            <w:pPr>
              <w:jc w:val="right"/>
              <w:spacing w:after="0"/>
              <w:rPr>
                <w:sz w:val="20"/>
                <w:szCs w:val="20"/>
                <w:color w:val="auto"/>
              </w:rPr>
            </w:pPr>
            <w:r>
              <w:rPr>
                <w:rFonts w:ascii="Arial" w:cs="Arial" w:eastAsia="Arial" w:hAnsi="Arial"/>
                <w:sz w:val="18"/>
                <w:szCs w:val="18"/>
                <w:color w:val="auto"/>
              </w:rPr>
              <w:t>47.0% ± 1%</w:t>
            </w:r>
          </w:p>
        </w:tc>
      </w:tr>
      <w:tr>
        <w:trPr>
          <w:trHeight w:val="230"/>
        </w:trPr>
        <w:tc>
          <w:tcPr>
            <w:tcW w:w="4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30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$986 million ± $25 million</w:t>
            </w:r>
          </w:p>
        </w:tc>
        <w:tc>
          <w:tcPr>
            <w:tcW w:w="2560" w:type="dxa"/>
            <w:vAlign w:val="bottom"/>
            <w:gridSpan w:val="3"/>
            <w:shd w:val="clear" w:color="auto" w:fill="D1D2D4"/>
          </w:tcPr>
          <w:p>
            <w:pPr>
              <w:jc w:val="right"/>
              <w:ind w:right="1100"/>
              <w:spacing w:after="0"/>
              <w:rPr>
                <w:sz w:val="20"/>
                <w:szCs w:val="20"/>
                <w:color w:val="auto"/>
              </w:rPr>
            </w:pPr>
            <w:r>
              <w:rPr>
                <w:rFonts w:ascii="Arial" w:cs="Arial" w:eastAsia="Arial" w:hAnsi="Arial"/>
                <w:sz w:val="18"/>
                <w:szCs w:val="18"/>
                <w:color w:val="auto"/>
              </w:rPr>
              <w:t>$71 million B</w:t>
            </w:r>
          </w:p>
        </w:tc>
        <w:tc>
          <w:tcPr>
            <w:tcW w:w="2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$915 million ± $25 million</w:t>
            </w:r>
          </w:p>
        </w:tc>
      </w:tr>
      <w:tr>
        <w:trPr>
          <w:trHeight w:val="301"/>
        </w:trPr>
        <w:tc>
          <w:tcPr>
            <w:tcW w:w="422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200" w:type="dxa"/>
            <w:vAlign w:val="bottom"/>
          </w:tcPr>
          <w:p>
            <w:pPr>
              <w:jc w:val="right"/>
              <w:spacing w:after="0"/>
              <w:rPr>
                <w:sz w:val="20"/>
                <w:szCs w:val="20"/>
                <w:color w:val="auto"/>
              </w:rPr>
            </w:pPr>
            <w:r>
              <w:rPr>
                <w:rFonts w:ascii="Arial" w:cs="Arial" w:eastAsia="Arial" w:hAnsi="Arial"/>
                <w:sz w:val="18"/>
                <w:szCs w:val="18"/>
                <w:color w:val="auto"/>
              </w:rPr>
              <w:t>$2.00 ± $0.10</w:t>
            </w:r>
          </w:p>
        </w:tc>
        <w:tc>
          <w:tcPr>
            <w:tcW w:w="100" w:type="dxa"/>
            <w:vAlign w:val="bottom"/>
          </w:tcPr>
          <w:p>
            <w:pPr>
              <w:spacing w:after="0"/>
              <w:rPr>
                <w:sz w:val="24"/>
                <w:szCs w:val="24"/>
                <w:color w:val="auto"/>
              </w:rPr>
            </w:pPr>
          </w:p>
        </w:tc>
        <w:tc>
          <w:tcPr>
            <w:tcW w:w="2560" w:type="dxa"/>
            <w:vAlign w:val="bottom"/>
            <w:gridSpan w:val="3"/>
          </w:tcPr>
          <w:p>
            <w:pPr>
              <w:jc w:val="right"/>
              <w:ind w:right="640"/>
              <w:spacing w:after="0"/>
              <w:rPr>
                <w:sz w:val="20"/>
                <w:szCs w:val="20"/>
                <w:color w:val="auto"/>
              </w:rPr>
            </w:pPr>
            <w:r>
              <w:rPr>
                <w:rFonts w:ascii="Arial" w:cs="Arial" w:eastAsia="Arial" w:hAnsi="Arial"/>
                <w:sz w:val="18"/>
                <w:szCs w:val="18"/>
                <w:color w:val="auto"/>
              </w:rPr>
              <w:t>$0.10 A, B, C</w:t>
            </w:r>
          </w:p>
        </w:tc>
        <w:tc>
          <w:tcPr>
            <w:tcW w:w="2160" w:type="dxa"/>
            <w:vAlign w:val="bottom"/>
          </w:tcPr>
          <w:p>
            <w:pPr>
              <w:jc w:val="right"/>
              <w:spacing w:after="0"/>
              <w:rPr>
                <w:sz w:val="20"/>
                <w:szCs w:val="20"/>
                <w:color w:val="auto"/>
              </w:rPr>
            </w:pPr>
            <w:r>
              <w:rPr>
                <w:rFonts w:ascii="Arial" w:cs="Arial" w:eastAsia="Arial" w:hAnsi="Arial"/>
                <w:sz w:val="18"/>
                <w:szCs w:val="18"/>
                <w:color w:val="auto"/>
              </w:rPr>
              <w:t>$2.10 ± $0.10</w:t>
            </w:r>
          </w:p>
        </w:tc>
      </w:tr>
      <w:tr>
        <w:trPr>
          <w:trHeight w:val="226"/>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422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20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23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2160" w:type="dxa"/>
            <w:vAlign w:val="bottom"/>
            <w:tcBorders>
              <w:bottom w:val="single" w:sz="8" w:color="0090DA"/>
            </w:tcBorders>
          </w:tcPr>
          <w:p>
            <w:pPr>
              <w:spacing w:after="0"/>
              <w:rPr>
                <w:sz w:val="19"/>
                <w:szCs w:val="19"/>
                <w:color w:val="auto"/>
              </w:rPr>
            </w:pPr>
          </w:p>
        </w:tc>
      </w:tr>
      <w:tr>
        <w:trPr>
          <w:trHeight w:val="34"/>
        </w:trPr>
        <w:tc>
          <w:tcPr>
            <w:tcW w:w="4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4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2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560" w:type="dxa"/>
            <w:vAlign w:val="bottom"/>
            <w:gridSpan w:val="3"/>
            <w:shd w:val="clear" w:color="auto" w:fill="D1D2D4"/>
          </w:tcPr>
          <w:p>
            <w:pPr>
              <w:jc w:val="right"/>
              <w:ind w:right="40"/>
              <w:spacing w:after="0"/>
              <w:rPr>
                <w:sz w:val="20"/>
                <w:szCs w:val="20"/>
                <w:color w:val="auto"/>
              </w:rPr>
            </w:pPr>
            <w:r>
              <w:rPr>
                <w:rFonts w:ascii="Arial" w:cs="Arial" w:eastAsia="Arial" w:hAnsi="Arial"/>
                <w:sz w:val="18"/>
                <w:szCs w:val="18"/>
                <w:color w:val="auto"/>
              </w:rPr>
              <w:t>$</w:t>
            </w:r>
          </w:p>
        </w:tc>
        <w:tc>
          <w:tcPr>
            <w:tcW w:w="2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2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520" w:type="dxa"/>
            <w:vAlign w:val="bottom"/>
            <w:gridSpan w:val="3"/>
            <w:shd w:val="clear" w:color="auto" w:fill="D1D2D4"/>
          </w:tcPr>
          <w:p>
            <w:pPr>
              <w:ind w:left="20"/>
              <w:spacing w:after="0"/>
              <w:rPr>
                <w:sz w:val="20"/>
                <w:szCs w:val="20"/>
                <w:color w:val="auto"/>
              </w:rPr>
            </w:pPr>
            <w:r>
              <w:rPr>
                <w:rFonts w:ascii="Arial" w:cs="Arial" w:eastAsia="Arial" w:hAnsi="Arial"/>
                <w:sz w:val="18"/>
                <w:szCs w:val="18"/>
                <w:color w:val="auto"/>
              </w:rPr>
              <w:t>C  Tax effects of the above items and other tax adjustments</w:t>
            </w:r>
          </w:p>
        </w:tc>
        <w:tc>
          <w:tcPr>
            <w:tcW w:w="23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2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
        </w:trPr>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60" w:hanging="332"/>
        <w:spacing w:after="0" w:line="220"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2021-09-28T16:04:46Z</dcterms:created>
  <dcterms:modified xsi:type="dcterms:W3CDTF">2021-09-28T16:04:46Z</dcterms:modified>
</cp:coreProperties>
</file>