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152400</wp:posOffset>
            </wp:positionH>
            <wp:positionV relativeFrom="page">
              <wp:posOffset>406400</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February 23, 2009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725805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7"/>
          <w:szCs w:val="17"/>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24" w:lineRule="exact"/>
        <w:rPr>
          <w:sz w:val="20"/>
          <w:szCs w:val="20"/>
          <w:color w:val="auto"/>
        </w:rPr>
      </w:pPr>
    </w:p>
    <w:p>
      <w:pPr>
        <w:jc w:val="both"/>
        <w:ind w:right="220"/>
        <w:spacing w:after="0" w:line="266" w:lineRule="auto"/>
        <w:rPr>
          <w:sz w:val="20"/>
          <w:szCs w:val="20"/>
          <w:color w:val="auto"/>
        </w:rPr>
      </w:pPr>
      <w:r>
        <w:rPr>
          <w:rFonts w:ascii="Arial" w:cs="Arial" w:eastAsia="Arial" w:hAnsi="Arial"/>
          <w:sz w:val="17"/>
          <w:szCs w:val="17"/>
          <w:color w:val="auto"/>
        </w:rPr>
        <w:t>On February 23, 2009, the Company announced that it will phase out 200mm wafer manufacturing operations at its Boise, Idaho, facility. This action will reduce employment at the Company’s Idaho sites by approximately 500 employees in the near term and by as many as 2,000 positions by the end of the Company’s fiscal year.</w:t>
      </w:r>
    </w:p>
    <w:p>
      <w:pPr>
        <w:spacing w:after="0" w:line="20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connection with these activities, the Company will incur cash restructuring charges of approximately $50 million, comprised primarily of severance and other employee related costs. The Company expects to generate a gross annualized operating cash benefit of $150 million in connection with the phase out of its 200mm wafer manufacturing operations in Boise. The net operating cash flow effect is expected to be neutral for fiscal 2009.</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full text of the press release issued in connection with the Company’s announcement is attached as Exhibit 99.1 to this Current Report on Form 8-K.</w:t>
      </w:r>
    </w:p>
    <w:p>
      <w:pPr>
        <w:spacing w:after="0" w:line="200" w:lineRule="exact"/>
        <w:rPr>
          <w:sz w:val="20"/>
          <w:szCs w:val="20"/>
          <w:color w:val="auto"/>
        </w:rPr>
      </w:pPr>
    </w:p>
    <w:p>
      <w:pPr>
        <w:spacing w:after="0" w:line="287" w:lineRule="exact"/>
        <w:rPr>
          <w:sz w:val="20"/>
          <w:szCs w:val="20"/>
          <w:color w:val="auto"/>
        </w:rPr>
      </w:pPr>
    </w:p>
    <w:p>
      <w:pPr>
        <w:ind w:right="180"/>
        <w:spacing w:after="0" w:line="292" w:lineRule="auto"/>
        <w:rPr>
          <w:sz w:val="20"/>
          <w:szCs w:val="20"/>
          <w:color w:val="auto"/>
        </w:rPr>
      </w:pPr>
      <w:r>
        <w:rPr>
          <w:rFonts w:ascii="Arial" w:cs="Arial" w:eastAsia="Arial" w:hAnsi="Arial"/>
          <w:sz w:val="15"/>
          <w:szCs w:val="15"/>
          <w:i w:val="1"/>
          <w:iCs w:val="1"/>
          <w:color w:val="auto"/>
        </w:rPr>
        <w:t>This Current Report on Form 8-K contains forward-looking statements regarding future employment levels restructuring charges, operating cash benefit and operating cash.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w:t>
      </w:r>
    </w:p>
    <w:p>
      <w:pPr>
        <w:spacing w:after="0" w:line="1" w:lineRule="exact"/>
        <w:rPr>
          <w:sz w:val="20"/>
          <w:szCs w:val="20"/>
          <w:color w:val="auto"/>
        </w:rPr>
      </w:pPr>
    </w:p>
    <w:p>
      <w:pPr>
        <w:ind w:right="160" w:firstLine="3"/>
        <w:spacing w:after="0" w:line="258" w:lineRule="auto"/>
        <w:tabs>
          <w:tab w:leader="none" w:pos="253"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These documents contain and identify important factors that could cause the actual results for the Company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200" w:lineRule="exact"/>
        <w:rPr>
          <w:sz w:val="20"/>
          <w:szCs w:val="20"/>
          <w:color w:val="auto"/>
        </w:rPr>
      </w:pPr>
    </w:p>
    <w:p>
      <w:pPr>
        <w:spacing w:after="0" w:line="23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7"/>
                <w:szCs w:val="17"/>
                <w:color w:val="auto"/>
              </w:rPr>
              <w:t>(d)</w:t>
            </w:r>
          </w:p>
        </w:tc>
        <w:tc>
          <w:tcPr>
            <w:tcW w:w="9940" w:type="dxa"/>
            <w:vAlign w:val="bottom"/>
          </w:tcPr>
          <w:p>
            <w:pPr>
              <w:ind w:left="40"/>
              <w:spacing w:after="0"/>
              <w:rPr>
                <w:sz w:val="20"/>
                <w:szCs w:val="20"/>
                <w:color w:val="auto"/>
              </w:rPr>
            </w:pPr>
            <w:r>
              <w:rPr>
                <w:rFonts w:ascii="Arial" w:cs="Arial" w:eastAsia="Arial" w:hAnsi="Arial"/>
                <w:sz w:val="17"/>
                <w:szCs w:val="17"/>
                <w:color w:val="auto"/>
              </w:rPr>
              <w:t>Exhibits.</w:t>
            </w:r>
          </w:p>
        </w:tc>
      </w:tr>
      <w:tr>
        <w:trPr>
          <w:trHeight w:val="413"/>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0" w:type="dxa"/>
            <w:vAlign w:val="bottom"/>
            <w:gridSpan w:val="2"/>
          </w:tcPr>
          <w:p>
            <w:pPr>
              <w:ind w:left="20"/>
              <w:spacing w:after="0"/>
              <w:rPr>
                <w:sz w:val="20"/>
                <w:szCs w:val="20"/>
                <w:color w:val="auto"/>
              </w:rPr>
            </w:pPr>
            <w:r>
              <w:rPr>
                <w:rFonts w:ascii="Arial" w:cs="Arial" w:eastAsia="Arial" w:hAnsi="Arial"/>
                <w:sz w:val="17"/>
                <w:szCs w:val="17"/>
                <w:color w:val="auto"/>
              </w:rPr>
              <w:t>The following exhibits are filed herewith:</w:t>
            </w:r>
          </w:p>
        </w:tc>
      </w:tr>
      <w:tr>
        <w:trPr>
          <w:trHeight w:val="679"/>
        </w:trPr>
        <w:tc>
          <w:tcPr>
            <w:tcW w:w="1480" w:type="dxa"/>
            <w:vAlign w:val="bottom"/>
            <w:gridSpan w:val="3"/>
          </w:tcPr>
          <w:p>
            <w:pPr>
              <w:spacing w:after="0"/>
              <w:rPr>
                <w:sz w:val="20"/>
                <w:szCs w:val="20"/>
                <w:color w:val="auto"/>
              </w:rPr>
            </w:pPr>
            <w:r>
              <w:rPr>
                <w:rFonts w:ascii="Arial" w:cs="Arial" w:eastAsia="Arial" w:hAnsi="Arial"/>
                <w:sz w:val="17"/>
                <w:szCs w:val="17"/>
                <w:b w:val="1"/>
                <w:bCs w:val="1"/>
                <w:color w:val="auto"/>
              </w:rPr>
              <w:t>Exhibit No.</w:t>
            </w:r>
          </w:p>
        </w:tc>
        <w:tc>
          <w:tcPr>
            <w:tcW w:w="9940" w:type="dxa"/>
            <w:vAlign w:val="bottom"/>
          </w:tcPr>
          <w:p>
            <w:pPr>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20" w:type="dxa"/>
            <w:vAlign w:val="bottom"/>
          </w:tcPr>
          <w:p>
            <w:pPr>
              <w:spacing w:after="0"/>
              <w:rPr>
                <w:sz w:val="18"/>
                <w:szCs w:val="18"/>
                <w:color w:val="auto"/>
              </w:rPr>
            </w:pPr>
          </w:p>
        </w:tc>
        <w:tc>
          <w:tcPr>
            <w:tcW w:w="1200" w:type="dxa"/>
            <w:vAlign w:val="bottom"/>
            <w:tcBorders>
              <w:top w:val="single" w:sz="8" w:color="auto"/>
            </w:tcBorders>
          </w:tcPr>
          <w:p>
            <w:pPr>
              <w:jc w:val="right"/>
              <w:ind w:right="354"/>
              <w:spacing w:after="0"/>
              <w:rPr>
                <w:sz w:val="20"/>
                <w:szCs w:val="20"/>
                <w:color w:val="auto"/>
              </w:rPr>
            </w:pPr>
            <w:r>
              <w:rPr>
                <w:rFonts w:ascii="Arial" w:cs="Arial" w:eastAsia="Arial" w:hAnsi="Arial"/>
                <w:sz w:val="17"/>
                <w:szCs w:val="17"/>
                <w:color w:val="auto"/>
              </w:rPr>
              <w:t>99.1</w:t>
            </w:r>
          </w:p>
        </w:tc>
        <w:tc>
          <w:tcPr>
            <w:tcW w:w="260" w:type="dxa"/>
            <w:vAlign w:val="bottom"/>
          </w:tcPr>
          <w:p>
            <w:pPr>
              <w:spacing w:after="0"/>
              <w:rPr>
                <w:sz w:val="18"/>
                <w:szCs w:val="18"/>
                <w:color w:val="auto"/>
              </w:rPr>
            </w:pPr>
          </w:p>
        </w:tc>
        <w:tc>
          <w:tcPr>
            <w:tcW w:w="99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Press Release issued on February 23, 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spacing w:after="0"/>
              <w:rPr>
                <w:sz w:val="19"/>
                <w:szCs w:val="19"/>
                <w:color w:val="auto"/>
              </w:rPr>
            </w:pPr>
          </w:p>
        </w:tc>
        <w:tc>
          <w:tcPr>
            <w:tcW w:w="7660" w:type="dxa"/>
            <w:vAlign w:val="bottom"/>
            <w:gridSpan w:val="2"/>
          </w:tcPr>
          <w:p>
            <w:pPr>
              <w:ind w:left="318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3760" w:type="dxa"/>
            <w:vAlign w:val="bottom"/>
          </w:tcPr>
          <w:p>
            <w:pPr>
              <w:spacing w:after="0"/>
              <w:rPr>
                <w:sz w:val="20"/>
                <w:szCs w:val="20"/>
                <w:color w:val="auto"/>
              </w:rPr>
            </w:pPr>
            <w:r>
              <w:rPr>
                <w:rFonts w:ascii="Arial" w:cs="Arial" w:eastAsia="Arial" w:hAnsi="Arial"/>
                <w:sz w:val="17"/>
                <w:szCs w:val="17"/>
                <w:color w:val="auto"/>
              </w:rPr>
              <w:t>Date:  February 23, 2009</w:t>
            </w:r>
          </w:p>
        </w:tc>
        <w:tc>
          <w:tcPr>
            <w:tcW w:w="4040" w:type="dxa"/>
            <w:vAlign w:val="bottom"/>
          </w:tcPr>
          <w:p>
            <w:pPr>
              <w:ind w:left="3180"/>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3760" w:type="dxa"/>
            <w:vAlign w:val="bottom"/>
          </w:tcPr>
          <w:p>
            <w:pPr>
              <w:spacing w:after="0"/>
              <w:rPr>
                <w:sz w:val="16"/>
                <w:szCs w:val="16"/>
                <w:color w:val="auto"/>
              </w:rPr>
            </w:pPr>
          </w:p>
        </w:tc>
        <w:tc>
          <w:tcPr>
            <w:tcW w:w="4040" w:type="dxa"/>
            <w:vAlign w:val="bottom"/>
          </w:tcPr>
          <w:p>
            <w:pPr>
              <w:ind w:left="3180"/>
              <w:spacing w:after="0" w:line="194" w:lineRule="exact"/>
              <w:rPr>
                <w:sz w:val="20"/>
                <w:szCs w:val="20"/>
                <w:color w:val="auto"/>
              </w:rPr>
            </w:pPr>
            <w:r>
              <w:rPr>
                <w:rFonts w:ascii="Arial" w:cs="Arial" w:eastAsia="Arial" w:hAnsi="Arial"/>
                <w:sz w:val="17"/>
                <w:szCs w:val="17"/>
                <w:color w:val="auto"/>
              </w:rPr>
              <w:t>Name:</w:t>
            </w:r>
          </w:p>
        </w:tc>
        <w:tc>
          <w:tcPr>
            <w:tcW w:w="36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3760" w:type="dxa"/>
            <w:vAlign w:val="bottom"/>
          </w:tcPr>
          <w:p>
            <w:pPr>
              <w:spacing w:after="0"/>
              <w:rPr>
                <w:sz w:val="17"/>
                <w:szCs w:val="17"/>
                <w:color w:val="auto"/>
              </w:rPr>
            </w:pPr>
          </w:p>
        </w:tc>
        <w:tc>
          <w:tcPr>
            <w:tcW w:w="4040" w:type="dxa"/>
            <w:vAlign w:val="bottom"/>
          </w:tcPr>
          <w:p>
            <w:pPr>
              <w:ind w:left="3180"/>
              <w:spacing w:after="0"/>
              <w:rPr>
                <w:sz w:val="20"/>
                <w:szCs w:val="20"/>
                <w:color w:val="auto"/>
              </w:rPr>
            </w:pPr>
            <w:r>
              <w:rPr>
                <w:rFonts w:ascii="Arial" w:cs="Arial" w:eastAsia="Arial" w:hAnsi="Arial"/>
                <w:sz w:val="17"/>
                <w:szCs w:val="17"/>
                <w:color w:val="auto"/>
              </w:rPr>
              <w:t>Title:</w:t>
            </w:r>
          </w:p>
        </w:tc>
        <w:tc>
          <w:tcPr>
            <w:tcW w:w="36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37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Vice President of Finance</w:t>
            </w:r>
          </w:p>
        </w:tc>
      </w:tr>
      <w:tr>
        <w:trPr>
          <w:trHeight w:val="813"/>
        </w:trPr>
        <w:tc>
          <w:tcPr>
            <w:tcW w:w="3760" w:type="dxa"/>
            <w:vAlign w:val="bottom"/>
          </w:tcPr>
          <w:p>
            <w:pPr>
              <w:spacing w:after="0"/>
              <w:rPr>
                <w:sz w:val="24"/>
                <w:szCs w:val="24"/>
                <w:color w:val="auto"/>
              </w:rPr>
            </w:pPr>
          </w:p>
        </w:tc>
        <w:tc>
          <w:tcPr>
            <w:tcW w:w="4040" w:type="dxa"/>
            <w:vAlign w:val="bottom"/>
          </w:tcPr>
          <w:p>
            <w:pPr>
              <w:ind w:left="1920"/>
              <w:spacing w:after="0"/>
              <w:rPr>
                <w:sz w:val="20"/>
                <w:szCs w:val="20"/>
                <w:color w:val="auto"/>
              </w:rPr>
            </w:pPr>
            <w:r>
              <w:rPr>
                <w:rFonts w:ascii="Arial" w:cs="Arial" w:eastAsia="Arial" w:hAnsi="Arial"/>
                <w:sz w:val="17"/>
                <w:szCs w:val="17"/>
                <w:color w:val="auto"/>
              </w:rPr>
              <w:t>3</w:t>
            </w:r>
          </w:p>
        </w:tc>
        <w:tc>
          <w:tcPr>
            <w:tcW w:w="3620" w:type="dxa"/>
            <w:vAlign w:val="bottom"/>
          </w:tcPr>
          <w:p>
            <w:pPr>
              <w:spacing w:after="0"/>
              <w:rPr>
                <w:sz w:val="24"/>
                <w:szCs w:val="24"/>
                <w:color w:val="auto"/>
              </w:rPr>
            </w:pPr>
          </w:p>
        </w:tc>
      </w:tr>
      <w:tr>
        <w:trPr>
          <w:trHeight w:val="114"/>
        </w:trPr>
        <w:tc>
          <w:tcPr>
            <w:tcW w:w="3760" w:type="dxa"/>
            <w:vAlign w:val="bottom"/>
            <w:tcBorders>
              <w:bottom w:val="single" w:sz="8" w:color="808080"/>
            </w:tcBorders>
          </w:tcPr>
          <w:p>
            <w:pPr>
              <w:spacing w:after="0"/>
              <w:rPr>
                <w:sz w:val="9"/>
                <w:szCs w:val="9"/>
                <w:color w:val="auto"/>
              </w:rPr>
            </w:pPr>
          </w:p>
        </w:tc>
        <w:tc>
          <w:tcPr>
            <w:tcW w:w="4040" w:type="dxa"/>
            <w:vAlign w:val="bottom"/>
            <w:tcBorders>
              <w:bottom w:val="single" w:sz="8" w:color="808080"/>
            </w:tcBorders>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p>
      <w:pPr>
        <w:jc w:val="center"/>
        <w:ind w:right="-840"/>
        <w:spacing w:after="0"/>
        <w:rPr>
          <w:sz w:val="20"/>
          <w:szCs w:val="20"/>
          <w:color w:val="auto"/>
        </w:rPr>
      </w:pPr>
      <w:r>
        <w:rPr>
          <w:rFonts w:ascii="Arial" w:cs="Arial" w:eastAsia="Arial" w:hAnsi="Arial"/>
          <w:sz w:val="17"/>
          <w:szCs w:val="17"/>
          <w:b w:val="1"/>
          <w:bCs w:val="1"/>
          <w:color w:val="auto"/>
        </w:rPr>
        <w:t>INDEX TO EXHIBITS FILED WITH</w:t>
      </w:r>
    </w:p>
    <w:p>
      <w:pPr>
        <w:spacing w:after="0" w:line="28"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THE CURRENT REPORT ON FORM 8-K DATED FEBRUARY 23, 2009</w:t>
      </w:r>
    </w:p>
    <w:p>
      <w:pPr>
        <w:spacing w:after="0" w:line="200" w:lineRule="exact"/>
        <w:rPr>
          <w:sz w:val="20"/>
          <w:szCs w:val="20"/>
          <w:color w:val="auto"/>
        </w:rPr>
      </w:pPr>
    </w:p>
    <w:p>
      <w:pPr>
        <w:spacing w:after="0" w:line="270"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Exhibit</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18415</wp:posOffset>
            </wp:positionV>
            <wp:extent cx="725297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3" w:lineRule="exact"/>
        <w:rPr>
          <w:sz w:val="20"/>
          <w:szCs w:val="20"/>
          <w:color w:val="auto"/>
        </w:rPr>
      </w:pPr>
    </w:p>
    <w:p>
      <w:pPr>
        <w:ind w:left="120"/>
        <w:spacing w:after="0"/>
        <w:tabs>
          <w:tab w:leader="none" w:pos="112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Press Release issued on February 23,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78105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859"/>
          </w:cols>
          <w:pgMar w:left="600" w:top="728" w:right="1440" w:bottom="1440" w:gutter="0" w:footer="0" w:header="0"/>
        </w:sectPr>
      </w:pPr>
    </w:p>
    <w:bookmarkStart w:id="4" w:name="page5"/>
    <w:bookmarkEnd w:id="4"/>
    <w:p>
      <w:pPr>
        <w:ind w:left="10180"/>
        <w:spacing w:after="0"/>
        <w:rPr>
          <w:sz w:val="20"/>
          <w:szCs w:val="20"/>
          <w:color w:val="auto"/>
        </w:rPr>
      </w:pPr>
      <w:r>
        <w:rPr>
          <w:rFonts w:ascii="Arial" w:cs="Arial" w:eastAsia="Arial" w:hAnsi="Arial"/>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60" w:type="dxa"/>
            <w:vAlign w:val="bottom"/>
          </w:tcPr>
          <w:p>
            <w:pPr>
              <w:spacing w:after="0"/>
              <w:rPr>
                <w:sz w:val="20"/>
                <w:szCs w:val="20"/>
                <w:color w:val="auto"/>
              </w:rPr>
            </w:pPr>
            <w:r>
              <w:rPr>
                <w:rFonts w:ascii="Arial" w:cs="Arial" w:eastAsia="Arial" w:hAnsi="Arial"/>
                <w:sz w:val="17"/>
                <w:szCs w:val="17"/>
                <w:b w:val="1"/>
                <w:bCs w:val="1"/>
                <w:color w:val="auto"/>
              </w:rPr>
              <w:t>FOR IMMEDIATE RELEASE</w:t>
            </w:r>
          </w:p>
        </w:tc>
        <w:tc>
          <w:tcPr>
            <w:tcW w:w="342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428"/>
        </w:trPr>
        <w:tc>
          <w:tcPr>
            <w:tcW w:w="3060" w:type="dxa"/>
            <w:vAlign w:val="bottom"/>
          </w:tcPr>
          <w:p>
            <w:pPr>
              <w:spacing w:after="0"/>
              <w:rPr>
                <w:sz w:val="20"/>
                <w:szCs w:val="20"/>
                <w:color w:val="auto"/>
              </w:rPr>
            </w:pPr>
            <w:r>
              <w:rPr>
                <w:rFonts w:ascii="Arial" w:cs="Arial" w:eastAsia="Arial" w:hAnsi="Arial"/>
                <w:sz w:val="17"/>
                <w:szCs w:val="17"/>
                <w:color w:val="auto"/>
              </w:rPr>
              <w:t>Contacts:</w:t>
            </w:r>
          </w:p>
        </w:tc>
        <w:tc>
          <w:tcPr>
            <w:tcW w:w="3420" w:type="dxa"/>
            <w:vAlign w:val="bottom"/>
          </w:tcPr>
          <w:p>
            <w:pPr>
              <w:ind w:left="760"/>
              <w:spacing w:after="0"/>
              <w:rPr>
                <w:sz w:val="20"/>
                <w:szCs w:val="20"/>
                <w:color w:val="auto"/>
              </w:rPr>
            </w:pPr>
            <w:r>
              <w:rPr>
                <w:rFonts w:ascii="Arial" w:cs="Arial" w:eastAsia="Arial" w:hAnsi="Arial"/>
                <w:sz w:val="17"/>
                <w:szCs w:val="17"/>
                <w:color w:val="auto"/>
              </w:rPr>
              <w:t>Kipp A. Bedard</w:t>
            </w:r>
          </w:p>
        </w:tc>
        <w:tc>
          <w:tcPr>
            <w:tcW w:w="2840" w:type="dxa"/>
            <w:vAlign w:val="bottom"/>
          </w:tcPr>
          <w:p>
            <w:pPr>
              <w:ind w:left="1140"/>
              <w:spacing w:after="0"/>
              <w:rPr>
                <w:sz w:val="20"/>
                <w:szCs w:val="20"/>
                <w:color w:val="auto"/>
              </w:rPr>
            </w:pPr>
            <w:r>
              <w:rPr>
                <w:rFonts w:ascii="Arial" w:cs="Arial" w:eastAsia="Arial" w:hAnsi="Arial"/>
                <w:sz w:val="17"/>
                <w:szCs w:val="17"/>
                <w:color w:val="auto"/>
              </w:rPr>
              <w:t>Daniel Francisco</w:t>
            </w:r>
          </w:p>
        </w:tc>
      </w:tr>
      <w:tr>
        <w:trPr>
          <w:trHeight w:val="206"/>
        </w:trPr>
        <w:tc>
          <w:tcPr>
            <w:tcW w:w="3060" w:type="dxa"/>
            <w:vAlign w:val="bottom"/>
          </w:tcPr>
          <w:p>
            <w:pPr>
              <w:spacing w:after="0"/>
              <w:rPr>
                <w:sz w:val="17"/>
                <w:szCs w:val="17"/>
                <w:color w:val="auto"/>
              </w:rPr>
            </w:pPr>
          </w:p>
        </w:tc>
        <w:tc>
          <w:tcPr>
            <w:tcW w:w="3420" w:type="dxa"/>
            <w:vAlign w:val="bottom"/>
          </w:tcPr>
          <w:p>
            <w:pPr>
              <w:ind w:left="760"/>
              <w:spacing w:after="0"/>
              <w:rPr>
                <w:sz w:val="20"/>
                <w:szCs w:val="20"/>
                <w:color w:val="auto"/>
              </w:rPr>
            </w:pPr>
            <w:r>
              <w:rPr>
                <w:rFonts w:ascii="Arial" w:cs="Arial" w:eastAsia="Arial" w:hAnsi="Arial"/>
                <w:sz w:val="17"/>
                <w:szCs w:val="17"/>
                <w:color w:val="auto"/>
              </w:rPr>
              <w:t>Investor Relations</w:t>
            </w:r>
          </w:p>
        </w:tc>
        <w:tc>
          <w:tcPr>
            <w:tcW w:w="2840" w:type="dxa"/>
            <w:vAlign w:val="bottom"/>
          </w:tcPr>
          <w:p>
            <w:pPr>
              <w:ind w:left="1140"/>
              <w:spacing w:after="0"/>
              <w:rPr>
                <w:sz w:val="20"/>
                <w:szCs w:val="20"/>
                <w:color w:val="auto"/>
              </w:rPr>
            </w:pPr>
            <w:r>
              <w:rPr>
                <w:rFonts w:ascii="Arial" w:cs="Arial" w:eastAsia="Arial" w:hAnsi="Arial"/>
                <w:sz w:val="17"/>
                <w:szCs w:val="17"/>
                <w:color w:val="auto"/>
              </w:rPr>
              <w:t>Media Relations</w:t>
            </w:r>
          </w:p>
        </w:tc>
      </w:tr>
      <w:tr>
        <w:trPr>
          <w:trHeight w:val="206"/>
        </w:trPr>
        <w:tc>
          <w:tcPr>
            <w:tcW w:w="3060" w:type="dxa"/>
            <w:vAlign w:val="bottom"/>
          </w:tcPr>
          <w:p>
            <w:pPr>
              <w:spacing w:after="0"/>
              <w:rPr>
                <w:sz w:val="17"/>
                <w:szCs w:val="17"/>
                <w:color w:val="auto"/>
              </w:rPr>
            </w:pPr>
          </w:p>
        </w:tc>
        <w:tc>
          <w:tcPr>
            <w:tcW w:w="3420" w:type="dxa"/>
            <w:vAlign w:val="bottom"/>
          </w:tcPr>
          <w:p>
            <w:pPr>
              <w:ind w:left="760"/>
              <w:spacing w:after="0"/>
              <w:rPr>
                <w:sz w:val="20"/>
                <w:szCs w:val="20"/>
                <w:color w:val="auto"/>
              </w:rPr>
            </w:pPr>
            <w:r>
              <w:rPr>
                <w:rFonts w:ascii="Arial" w:cs="Arial" w:eastAsia="Arial" w:hAnsi="Arial"/>
                <w:sz w:val="17"/>
                <w:szCs w:val="17"/>
                <w:color w:val="auto"/>
              </w:rPr>
              <w:t>kbedard@micron.com</w:t>
            </w:r>
          </w:p>
        </w:tc>
        <w:tc>
          <w:tcPr>
            <w:tcW w:w="2840" w:type="dxa"/>
            <w:vAlign w:val="bottom"/>
          </w:tcPr>
          <w:p>
            <w:pPr>
              <w:ind w:left="1140"/>
              <w:spacing w:after="0"/>
              <w:rPr>
                <w:sz w:val="20"/>
                <w:szCs w:val="20"/>
                <w:color w:val="auto"/>
              </w:rPr>
            </w:pPr>
            <w:r>
              <w:rPr>
                <w:rFonts w:ascii="Arial" w:cs="Arial" w:eastAsia="Arial" w:hAnsi="Arial"/>
                <w:sz w:val="17"/>
                <w:szCs w:val="17"/>
                <w:color w:val="auto"/>
                <w:w w:val="91"/>
              </w:rPr>
              <w:t>dfrancisco@micron.com</w:t>
            </w:r>
          </w:p>
        </w:tc>
      </w:tr>
      <w:tr>
        <w:trPr>
          <w:trHeight w:val="217"/>
        </w:trPr>
        <w:tc>
          <w:tcPr>
            <w:tcW w:w="3060" w:type="dxa"/>
            <w:vAlign w:val="bottom"/>
          </w:tcPr>
          <w:p>
            <w:pPr>
              <w:spacing w:after="0"/>
              <w:rPr>
                <w:sz w:val="18"/>
                <w:szCs w:val="18"/>
                <w:color w:val="auto"/>
              </w:rPr>
            </w:pPr>
          </w:p>
        </w:tc>
        <w:tc>
          <w:tcPr>
            <w:tcW w:w="3420" w:type="dxa"/>
            <w:vAlign w:val="bottom"/>
          </w:tcPr>
          <w:p>
            <w:pPr>
              <w:ind w:left="760"/>
              <w:spacing w:after="0"/>
              <w:rPr>
                <w:sz w:val="20"/>
                <w:szCs w:val="20"/>
                <w:color w:val="auto"/>
              </w:rPr>
            </w:pPr>
            <w:r>
              <w:rPr>
                <w:rFonts w:ascii="Arial" w:cs="Arial" w:eastAsia="Arial" w:hAnsi="Arial"/>
                <w:sz w:val="17"/>
                <w:szCs w:val="17"/>
                <w:color w:val="auto"/>
              </w:rPr>
              <w:t>(208) 368-4465</w:t>
            </w:r>
          </w:p>
        </w:tc>
        <w:tc>
          <w:tcPr>
            <w:tcW w:w="2840" w:type="dxa"/>
            <w:vAlign w:val="bottom"/>
          </w:tcPr>
          <w:p>
            <w:pPr>
              <w:ind w:left="1140"/>
              <w:spacing w:after="0"/>
              <w:rPr>
                <w:sz w:val="20"/>
                <w:szCs w:val="20"/>
                <w:color w:val="auto"/>
              </w:rPr>
            </w:pPr>
            <w:r>
              <w:rPr>
                <w:rFonts w:ascii="Arial" w:cs="Arial" w:eastAsia="Arial" w:hAnsi="Arial"/>
                <w:sz w:val="17"/>
                <w:szCs w:val="17"/>
                <w:color w:val="auto"/>
              </w:rPr>
              <w:t>(208) 368-5584</w:t>
            </w:r>
          </w:p>
        </w:tc>
      </w:tr>
    </w:tbl>
    <w:p>
      <w:pPr>
        <w:spacing w:after="0" w:line="216"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MICRON TECHNOLOGY RESPONDS TO CONTINUED DECREASES IN DEMAND</w:t>
      </w:r>
    </w:p>
    <w:p>
      <w:pPr>
        <w:spacing w:after="0" w:line="24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color w:val="auto"/>
        </w:rPr>
        <w:t xml:space="preserve">BOISE, Idaho, Feb. 23, 2009 </w:t>
      </w:r>
      <w:r>
        <w:rPr>
          <w:rFonts w:ascii="Arial" w:cs="Arial" w:eastAsia="Arial" w:hAnsi="Arial"/>
          <w:sz w:val="17"/>
          <w:szCs w:val="17"/>
          <w:color w:val="auto"/>
        </w:rPr>
        <w:t>– Deteriorating economic conditions and decreased demand for 200 millimeter (mm) specialty DRAM products have created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challenges for Micron Technology, Inc.’s Boise manufacturing operations. As a result, Micron announced today that it will phase out 200mm wafer manufacturing oper at the company’s Boise facility. This action will reduce employment at Micron’s Idaho sites by approximately 500 employees in the near term and as many as 2,000 po by the end of the company’s fiscal year. The company has sufficient manufacturing capacity remaining and does not expect any disruption in product supply required f customer needs.</w:t>
      </w:r>
    </w:p>
    <w:p>
      <w:pPr>
        <w:spacing w:after="0" w:line="20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remained hopeful that the demand for these products would stabilize in the marketplace and start to improve as we moved into the spring. Unfortunately, a better environment has not materialized, and we are at a point where we wanted to let our employees and the community know in advance what will occur later this summer,” Steve Appleton, Micron Chairman and CEO.</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will continue to operate its 300mm research and development fabrication facility at the Boise site and perform a variety of other activities, including retic manufacturing, product design and support, quality assurance, systems integration and related manufacturing, corporate and general services. These workforce changes not anticipated or included in Micron’s earlier 15 percent global workforce reduction announcement last October. Following these changes, Micron will employ more t 5,000 in the state.</w:t>
      </w:r>
    </w:p>
    <w:p>
      <w:pPr>
        <w:spacing w:after="0" w:line="20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Cash restructuring charges will be approximately $50 million, which will generate a gross annualized operating cash benefit of $150 million. The net operating cash flo effect will be neutral for fiscal year 2009.</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Micron is committed to assisting employees affected by the workforce reductions and is providing severance and outplacement services.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4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Micron Technology, Inc., is one of the world's leading providers of advanced semiconductor solutions. Through its worldwide operations, Micron manufactures and ma DRAM, NAND flash memory, CMOS image sensors, other semiconductor components, and memory modules for use in leading-edge computing, consumer, networkin mobile products. Micron's common stock is traded on the New York Stock Exchange (NYSE) under the MU symbol. To learn more about Micron Technology, Inc., vis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33"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i w:val="1"/>
          <w:iCs w:val="1"/>
          <w:color w:val="auto"/>
        </w:rPr>
        <w:t>This press release contains forward-looking statements regarding reductions in DRAM production levels, the number of employees affected by the restructuring of the Company’s memory operations, cash restructuring charges and other related expenses and the cash operating margin benefit.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and Form 10-Q. These documents contain and identify important factors that could cause the actual results for the Company on a consolidated basis to differ materially from those contained in our forward-looking statements (see Certain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sectPr>
      <w:pgSz w:w="11900" w:h="16838" w:orient="portrait"/>
      <w:cols w:equalWidth="0" w:num="1">
        <w:col w:w="11520"/>
      </w:cols>
      <w:pgMar w:left="240" w:top="35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1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2019-12-10T05:00:54Z</dcterms:created>
  <dcterms:modified xsi:type="dcterms:W3CDTF">2019-12-10T05:00:54Z</dcterms:modified>
</cp:coreProperties>
</file>