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0" w:lineRule="exact"/>
        <w:rPr>
          <w:sz w:val="24"/>
          <w:szCs w:val="24"/>
          <w:color w:val="auto"/>
        </w:rPr>
      </w:pPr>
    </w:p>
    <w:p>
      <w:pPr>
        <w:spacing w:after="0" w:line="30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5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316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3980" w:type="dxa"/>
            <w:vAlign w:val="bottom"/>
          </w:tcPr>
          <w:p>
            <w:pPr>
              <w:jc w:val="right"/>
              <w:ind w:right="1510"/>
              <w:spacing w:after="0"/>
              <w:rPr>
                <w:sz w:val="20"/>
                <w:szCs w:val="20"/>
                <w:color w:val="auto"/>
              </w:rPr>
            </w:pPr>
            <w:r>
              <w:rPr>
                <w:rFonts w:ascii="Arial" w:cs="Arial" w:eastAsia="Arial" w:hAnsi="Arial"/>
                <w:sz w:val="18"/>
                <w:szCs w:val="18"/>
                <w:b w:val="1"/>
                <w:bCs w:val="1"/>
                <w:color w:val="auto"/>
              </w:rPr>
              <w:t>75-1618004</w:t>
            </w:r>
          </w:p>
        </w:tc>
      </w:tr>
      <w:tr>
        <w:trPr>
          <w:trHeight w:val="54"/>
        </w:trPr>
        <w:tc>
          <w:tcPr>
            <w:tcW w:w="4280" w:type="dxa"/>
            <w:vAlign w:val="bottom"/>
            <w:tcBorders>
              <w:bottom w:val="single" w:sz="8" w:color="auto"/>
            </w:tcBorders>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r>
      <w:tr>
        <w:trPr>
          <w:trHeight w:val="237"/>
        </w:trPr>
        <w:tc>
          <w:tcPr>
            <w:tcW w:w="428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 incorporation)</w:t>
            </w:r>
          </w:p>
        </w:tc>
        <w:tc>
          <w:tcPr>
            <w:tcW w:w="3160" w:type="dxa"/>
            <w:vAlign w:val="bottom"/>
          </w:tcPr>
          <w:p>
            <w:pPr>
              <w:jc w:val="center"/>
              <w:ind w:right="10"/>
              <w:spacing w:after="0"/>
              <w:rPr>
                <w:sz w:val="20"/>
                <w:szCs w:val="20"/>
                <w:color w:val="auto"/>
              </w:rPr>
            </w:pPr>
            <w:r>
              <w:rPr>
                <w:rFonts w:ascii="Arial" w:cs="Arial" w:eastAsia="Arial" w:hAnsi="Arial"/>
                <w:sz w:val="18"/>
                <w:szCs w:val="18"/>
                <w:color w:val="auto"/>
                <w:w w:val="92"/>
              </w:rPr>
              <w:t>(Commission File Number)</w:t>
            </w:r>
          </w:p>
        </w:tc>
        <w:tc>
          <w:tcPr>
            <w:tcW w:w="398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3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8000 South Federal Way</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1977390</wp:posOffset>
            </wp:positionH>
            <wp:positionV relativeFrom="paragraph">
              <wp:posOffset>51435</wp:posOffset>
            </wp:positionV>
            <wp:extent cx="3310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1986280</wp:posOffset>
            </wp:positionH>
            <wp:positionV relativeFrom="paragraph">
              <wp:posOffset>34290</wp:posOffset>
            </wp:positionV>
            <wp:extent cx="32931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6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ind w:right="120"/>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0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0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400685</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417830</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269" w:right="239" w:bottom="1440" w:gutter="0" w:footer="0" w:header="0"/>
        </w:sectPr>
      </w:pPr>
    </w:p>
    <w:bookmarkStart w:id="1" w:name="page2"/>
    <w:bookmarkEnd w:id="1"/>
    <w:p>
      <w:pPr>
        <w:ind w:left="140"/>
        <w:spacing w:after="0"/>
        <w:tabs>
          <w:tab w:leader="none" w:pos="14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00" w:firstLine="324"/>
        <w:spacing w:after="0" w:line="324" w:lineRule="auto"/>
        <w:rPr>
          <w:sz w:val="20"/>
          <w:szCs w:val="20"/>
          <w:color w:val="auto"/>
        </w:rPr>
      </w:pPr>
      <w:r>
        <w:rPr>
          <w:rFonts w:ascii="Arial" w:cs="Arial" w:eastAsia="Arial" w:hAnsi="Arial"/>
          <w:sz w:val="18"/>
          <w:szCs w:val="18"/>
          <w:color w:val="auto"/>
        </w:rPr>
        <w:t>On June 30, 2016, the Company announced its financial results for the third quarter of fiscal year 2016 ended June 2, 2016. The full text of the press release issued in connection with the announcement is attached as Exhibit 99.1 to this Current Report on Form 8-K.</w:t>
      </w:r>
    </w:p>
    <w:p>
      <w:pPr>
        <w:spacing w:after="0" w:line="200" w:lineRule="exact"/>
        <w:rPr>
          <w:sz w:val="20"/>
          <w:szCs w:val="20"/>
          <w:color w:val="auto"/>
        </w:rPr>
      </w:pPr>
    </w:p>
    <w:p>
      <w:pPr>
        <w:spacing w:after="0" w:line="304" w:lineRule="exact"/>
        <w:rPr>
          <w:sz w:val="20"/>
          <w:szCs w:val="20"/>
          <w:color w:val="auto"/>
        </w:rPr>
      </w:pPr>
    </w:p>
    <w:p>
      <w:pPr>
        <w:ind w:left="140"/>
        <w:spacing w:after="0"/>
        <w:tabs>
          <w:tab w:leader="none" w:pos="1480" w:val="left"/>
        </w:tabs>
        <w:rPr>
          <w:sz w:val="20"/>
          <w:szCs w:val="20"/>
          <w:color w:val="auto"/>
        </w:rPr>
      </w:pPr>
      <w:r>
        <w:rPr>
          <w:rFonts w:ascii="Arial" w:cs="Arial" w:eastAsia="Arial" w:hAnsi="Arial"/>
          <w:sz w:val="18"/>
          <w:szCs w:val="18"/>
          <w:b w:val="1"/>
          <w:bCs w:val="1"/>
          <w:color w:val="auto"/>
        </w:rPr>
        <w:t>Item 2.05.</w:t>
      </w:r>
      <w:r>
        <w:rPr>
          <w:sz w:val="20"/>
          <w:szCs w:val="20"/>
          <w:color w:val="auto"/>
        </w:rPr>
        <w:tab/>
      </w:r>
      <w:r>
        <w:rPr>
          <w:rFonts w:ascii="Arial" w:cs="Arial" w:eastAsia="Arial" w:hAnsi="Arial"/>
          <w:sz w:val="15"/>
          <w:szCs w:val="15"/>
          <w:b w:val="1"/>
          <w:bCs w:val="1"/>
          <w:color w:val="auto"/>
        </w:rPr>
        <w:t>Costs Associated with Exit or Disposal Activities.</w:t>
      </w:r>
    </w:p>
    <w:p>
      <w:pPr>
        <w:spacing w:after="0" w:line="391" w:lineRule="exact"/>
        <w:rPr>
          <w:sz w:val="20"/>
          <w:szCs w:val="20"/>
          <w:color w:val="auto"/>
        </w:rPr>
      </w:pPr>
    </w:p>
    <w:p>
      <w:pPr>
        <w:ind w:right="20" w:firstLine="324"/>
        <w:spacing w:after="0" w:line="329" w:lineRule="auto"/>
        <w:rPr>
          <w:sz w:val="20"/>
          <w:szCs w:val="20"/>
          <w:color w:val="auto"/>
        </w:rPr>
      </w:pPr>
      <w:r>
        <w:rPr>
          <w:rFonts w:ascii="Arial" w:cs="Arial" w:eastAsia="Arial" w:hAnsi="Arial"/>
          <w:sz w:val="17"/>
          <w:szCs w:val="17"/>
          <w:color w:val="auto"/>
        </w:rPr>
        <w:t>On June 30, 2016, the Company announced a restructure plan in response to the current business environment and the need to accelerate focus on the Company's key priorities. The Company plans to implement a cost savings program in which it expects to save approximately $80 million per quarter in fiscal 2017. The savings are expected to result from a combination of a more focused set of projects and programs, the permanent closure of a number of open headcount requisitions, a workforce reduction in certain areas of the business, and other non-headcount related spending reductions.</w:t>
      </w:r>
    </w:p>
    <w:p>
      <w:pPr>
        <w:spacing w:after="0" w:line="36" w:lineRule="exact"/>
        <w:rPr>
          <w:sz w:val="20"/>
          <w:szCs w:val="20"/>
          <w:color w:val="auto"/>
        </w:rPr>
      </w:pPr>
    </w:p>
    <w:p>
      <w:pPr>
        <w:ind w:right="660" w:firstLine="324"/>
        <w:spacing w:after="0" w:line="324" w:lineRule="auto"/>
        <w:rPr>
          <w:sz w:val="20"/>
          <w:szCs w:val="20"/>
          <w:color w:val="auto"/>
        </w:rPr>
      </w:pPr>
      <w:r>
        <w:rPr>
          <w:rFonts w:ascii="Arial" w:cs="Arial" w:eastAsia="Arial" w:hAnsi="Arial"/>
          <w:sz w:val="18"/>
          <w:szCs w:val="18"/>
          <w:color w:val="auto"/>
        </w:rPr>
        <w:t>In connection with the plan, the Company expects to incur charges of $70 million, substantially all in cash expenditures, the majority of which is expected to be incurred in the fourth quarter of fiscal 2016, with the remainder in the early part of fiscal 2017.</w:t>
      </w:r>
    </w:p>
    <w:p>
      <w:pPr>
        <w:spacing w:after="0" w:line="200" w:lineRule="exact"/>
        <w:rPr>
          <w:sz w:val="20"/>
          <w:szCs w:val="20"/>
          <w:color w:val="auto"/>
        </w:rPr>
      </w:pPr>
    </w:p>
    <w:p>
      <w:pPr>
        <w:spacing w:after="0" w:line="22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i w:val="1"/>
          <w:iCs w:val="1"/>
          <w:color w:val="auto"/>
        </w:rPr>
        <w:t>This Current Report on Form 8-K contains "forward-looking statements" as defined in the Private Securities Litigation Reform Act of 1995 regarding future restructure charges. Actual events or results could differ materially from those contained in the forward-looking statements. Please refer to the documents the Company files on a consolidated basis from time to time with the Securities and Exchange Commission, specifically the Company's most recent Form 10-K and Form 10-Q. These documents contain and identify important factors that could cause the actual results for the Company on a consolidated basis to differ materially from those contained in its forward-looking statements (see Risk Factors). The forward-looking statements are based on information available to the Company as of the date hereof and are based on management's current views and assumptions and should not be relied upon as representing the Company's views as of any subsequent date. Although the Company believes that the expectations reflected in the forward-looking statements are reasonable, it cannot guarantee future results, levels of activity, performance or achievements. The Company does not undertake any obligation to release publicly any revisions to these forward-looking statements to reflect events or circumstances after the date hereof or to reflect the occurrence of unanticipated events, unless the securities laws require the Company to do so.</w:t>
      </w:r>
    </w:p>
    <w:p>
      <w:pPr>
        <w:spacing w:after="0" w:line="200" w:lineRule="exact"/>
        <w:rPr>
          <w:sz w:val="20"/>
          <w:szCs w:val="20"/>
          <w:color w:val="auto"/>
        </w:rPr>
      </w:pPr>
    </w:p>
    <w:p>
      <w:pPr>
        <w:spacing w:after="0" w:line="257" w:lineRule="exact"/>
        <w:rPr>
          <w:sz w:val="20"/>
          <w:szCs w:val="20"/>
          <w:color w:val="auto"/>
        </w:rPr>
      </w:pPr>
    </w:p>
    <w:p>
      <w:pPr>
        <w:ind w:left="140"/>
        <w:spacing w:after="0"/>
        <w:tabs>
          <w:tab w:leader="none" w:pos="14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9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60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 No.</w:t>
            </w:r>
          </w:p>
        </w:tc>
        <w:tc>
          <w:tcPr>
            <w:tcW w:w="9760" w:type="dxa"/>
            <w:vAlign w:val="bottom"/>
          </w:tcPr>
          <w:p>
            <w:pPr>
              <w:ind w:left="80"/>
              <w:spacing w:after="0"/>
              <w:rPr>
                <w:sz w:val="20"/>
                <w:szCs w:val="20"/>
                <w:color w:val="auto"/>
              </w:rPr>
            </w:pPr>
            <w:r>
              <w:rPr>
                <w:rFonts w:ascii="Arial" w:cs="Arial" w:eastAsia="Arial" w:hAnsi="Arial"/>
                <w:sz w:val="18"/>
                <w:szCs w:val="18"/>
                <w:b w:val="1"/>
                <w:bCs w:val="1"/>
                <w:color w:val="auto"/>
              </w:rPr>
              <w:t>Description</w:t>
            </w:r>
          </w:p>
        </w:tc>
      </w:tr>
      <w:tr>
        <w:trPr>
          <w:trHeight w:val="54"/>
        </w:trPr>
        <w:tc>
          <w:tcPr>
            <w:tcW w:w="13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9760" w:type="dxa"/>
            <w:vAlign w:val="bottom"/>
            <w:tcBorders>
              <w:bottom w:val="single" w:sz="8" w:color="auto"/>
            </w:tcBorders>
          </w:tcPr>
          <w:p>
            <w:pPr>
              <w:spacing w:after="0"/>
              <w:rPr>
                <w:sz w:val="4"/>
                <w:szCs w:val="4"/>
                <w:color w:val="auto"/>
              </w:rPr>
            </w:pPr>
          </w:p>
        </w:tc>
      </w:tr>
      <w:tr>
        <w:trPr>
          <w:trHeight w:val="237"/>
        </w:trPr>
        <w:tc>
          <w:tcPr>
            <w:tcW w:w="1360" w:type="dxa"/>
            <w:vAlign w:val="bottom"/>
          </w:tcPr>
          <w:p>
            <w:pPr>
              <w:jc w:val="right"/>
              <w:ind w:right="41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0"/>
                <w:szCs w:val="20"/>
                <w:color w:val="auto"/>
              </w:rPr>
            </w:pPr>
          </w:p>
        </w:tc>
        <w:tc>
          <w:tcPr>
            <w:tcW w:w="9760" w:type="dxa"/>
            <w:vAlign w:val="bottom"/>
          </w:tcPr>
          <w:p>
            <w:pPr>
              <w:ind w:left="80"/>
              <w:spacing w:after="0"/>
              <w:rPr>
                <w:sz w:val="20"/>
                <w:szCs w:val="20"/>
                <w:color w:val="auto"/>
              </w:rPr>
            </w:pPr>
            <w:r>
              <w:rPr>
                <w:rFonts w:ascii="Arial" w:cs="Arial" w:eastAsia="Arial" w:hAnsi="Arial"/>
                <w:sz w:val="18"/>
                <w:szCs w:val="18"/>
                <w:color w:val="auto"/>
              </w:rPr>
              <w:t>Press Release issued on June 30, 2016</w:t>
            </w:r>
          </w:p>
        </w:tc>
      </w:tr>
    </w:tbl>
    <w:p>
      <w:pPr>
        <w:sectPr>
          <w:pgSz w:w="11900" w:h="16838" w:orient="portrait"/>
          <w:cols w:equalWidth="0" w:num="1">
            <w:col w:w="11420"/>
          </w:cols>
          <w:pgMar w:left="240" w:top="918"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0"/>
          <w:szCs w:val="20"/>
          <w:color w:val="auto"/>
        </w:rPr>
      </w:pPr>
    </w:p>
    <w:p>
      <w:pPr>
        <w:ind w:right="200" w:firstLine="324"/>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7080" w:type="dxa"/>
            <w:vAlign w:val="bottom"/>
            <w:gridSpan w:val="2"/>
          </w:tcPr>
          <w:p>
            <w:pPr>
              <w:ind w:left="188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91"/>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80"/>
              <w:spacing w:after="0"/>
              <w:rPr>
                <w:sz w:val="20"/>
                <w:szCs w:val="20"/>
                <w:color w:val="auto"/>
              </w:rPr>
            </w:pPr>
            <w:r>
              <w:rPr>
                <w:rFonts w:ascii="Arial" w:cs="Arial" w:eastAsia="Arial" w:hAnsi="Arial"/>
                <w:sz w:val="18"/>
                <w:szCs w:val="18"/>
                <w:color w:val="auto"/>
              </w:rPr>
              <w:t>June 30, 2016</w:t>
            </w:r>
          </w:p>
        </w:tc>
        <w:tc>
          <w:tcPr>
            <w:tcW w:w="2760" w:type="dxa"/>
            <w:vAlign w:val="bottom"/>
          </w:tcPr>
          <w:p>
            <w:pPr>
              <w:ind w:left="1880"/>
              <w:spacing w:after="0"/>
              <w:rPr>
                <w:sz w:val="20"/>
                <w:szCs w:val="20"/>
                <w:color w:val="auto"/>
              </w:rPr>
            </w:pPr>
            <w:r>
              <w:rPr>
                <w:rFonts w:ascii="Arial" w:cs="Arial" w:eastAsia="Arial" w:hAnsi="Arial"/>
                <w:sz w:val="18"/>
                <w:szCs w:val="18"/>
                <w:color w:val="auto"/>
              </w:rPr>
              <w:t>By:</w:t>
            </w:r>
          </w:p>
        </w:tc>
        <w:tc>
          <w:tcPr>
            <w:tcW w:w="4320" w:type="dxa"/>
            <w:vAlign w:val="bottom"/>
          </w:tcPr>
          <w:p>
            <w:pPr>
              <w:ind w:left="8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54"/>
        </w:trPr>
        <w:tc>
          <w:tcPr>
            <w:tcW w:w="580" w:type="dxa"/>
            <w:vAlign w:val="bottom"/>
          </w:tcPr>
          <w:p>
            <w:pPr>
              <w:spacing w:after="0"/>
              <w:rPr>
                <w:sz w:val="4"/>
                <w:szCs w:val="4"/>
                <w:color w:val="auto"/>
              </w:rPr>
            </w:pPr>
          </w:p>
        </w:tc>
        <w:tc>
          <w:tcPr>
            <w:tcW w:w="3060" w:type="dxa"/>
            <w:vAlign w:val="bottom"/>
          </w:tcPr>
          <w:p>
            <w:pPr>
              <w:spacing w:after="0"/>
              <w:rPr>
                <w:sz w:val="4"/>
                <w:szCs w:val="4"/>
                <w:color w:val="auto"/>
              </w:rPr>
            </w:pPr>
          </w:p>
        </w:tc>
        <w:tc>
          <w:tcPr>
            <w:tcW w:w="2760" w:type="dxa"/>
            <w:vAlign w:val="bottom"/>
            <w:vMerge w:val="restart"/>
          </w:tcPr>
          <w:p>
            <w:pPr>
              <w:ind w:left="1880"/>
              <w:spacing w:after="0"/>
              <w:rPr>
                <w:sz w:val="20"/>
                <w:szCs w:val="20"/>
                <w:color w:val="auto"/>
              </w:rPr>
            </w:pPr>
            <w:r>
              <w:rPr>
                <w:rFonts w:ascii="Arial" w:cs="Arial" w:eastAsia="Arial" w:hAnsi="Arial"/>
                <w:sz w:val="18"/>
                <w:szCs w:val="18"/>
                <w:color w:val="auto"/>
              </w:rPr>
              <w:t>Name:</w:t>
            </w:r>
          </w:p>
        </w:tc>
        <w:tc>
          <w:tcPr>
            <w:tcW w:w="4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760" w:type="dxa"/>
            <w:vAlign w:val="bottom"/>
            <w:vMerge w:val="continue"/>
          </w:tcPr>
          <w:p>
            <w:pPr>
              <w:spacing w:after="0"/>
              <w:rPr>
                <w:sz w:val="20"/>
                <w:szCs w:val="20"/>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310"/>
        </w:trPr>
        <w:tc>
          <w:tcPr>
            <w:tcW w:w="5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760" w:type="dxa"/>
            <w:vAlign w:val="bottom"/>
          </w:tcPr>
          <w:p>
            <w:pPr>
              <w:ind w:left="1880"/>
              <w:spacing w:after="0"/>
              <w:rPr>
                <w:sz w:val="20"/>
                <w:szCs w:val="20"/>
                <w:color w:val="auto"/>
              </w:rPr>
            </w:pPr>
            <w:r>
              <w:rPr>
                <w:rFonts w:ascii="Arial" w:cs="Arial" w:eastAsia="Arial" w:hAnsi="Arial"/>
                <w:sz w:val="18"/>
                <w:szCs w:val="18"/>
                <w:color w:val="auto"/>
              </w:rPr>
              <w:t>Title:</w:t>
            </w:r>
          </w:p>
        </w:tc>
        <w:tc>
          <w:tcPr>
            <w:tcW w:w="4320" w:type="dxa"/>
            <w:vAlign w:val="bottom"/>
          </w:tcPr>
          <w:p>
            <w:pPr>
              <w:ind w:left="8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Vice President, Finance</w:t>
            </w:r>
          </w:p>
        </w:tc>
        <w:tc>
          <w:tcPr>
            <w:tcW w:w="0" w:type="dxa"/>
            <w:vAlign w:val="bottom"/>
          </w:tcPr>
          <w:p>
            <w:pPr>
              <w:spacing w:after="0"/>
              <w:rPr>
                <w:sz w:val="1"/>
                <w:szCs w:val="1"/>
                <w:color w:val="auto"/>
              </w:rPr>
            </w:pPr>
          </w:p>
        </w:tc>
      </w:tr>
    </w:tbl>
    <w:p>
      <w:pPr>
        <w:sectPr>
          <w:pgSz w:w="11900" w:h="16838" w:orient="portrait"/>
          <w:cols w:equalWidth="0" w:num="1">
            <w:col w:w="10860"/>
          </w:cols>
          <w:pgMar w:left="240" w:top="864" w:right="799" w:bottom="1440" w:gutter="0" w:footer="0" w:header="0"/>
        </w:sectPr>
      </w:pPr>
    </w:p>
    <w:bookmarkStart w:id="3" w:name="page4"/>
    <w:bookmarkEnd w:id="3"/>
    <w:p>
      <w:pPr>
        <w:jc w:val="center"/>
        <w:ind w:right="-720"/>
        <w:spacing w:after="0"/>
        <w:rPr>
          <w:sz w:val="20"/>
          <w:szCs w:val="20"/>
          <w:color w:val="auto"/>
        </w:rPr>
      </w:pPr>
      <w:r>
        <w:rPr>
          <w:rFonts w:ascii="Arial" w:cs="Arial" w:eastAsia="Arial" w:hAnsi="Arial"/>
          <w:sz w:val="18"/>
          <w:szCs w:val="18"/>
          <w:b w:val="1"/>
          <w:bCs w:val="1"/>
          <w:color w:val="auto"/>
        </w:rPr>
        <w:t>INDEX TO EXHIBITS FILED WITH</w:t>
      </w:r>
    </w:p>
    <w:p>
      <w:pPr>
        <w:spacing w:after="0" w:line="50"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THE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51435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88" w:lineRule="exact"/>
        <w:rPr>
          <w:sz w:val="20"/>
          <w:szCs w:val="20"/>
          <w:color w:val="auto"/>
        </w:rPr>
      </w:pPr>
    </w:p>
    <w:p>
      <w:pPr>
        <w:ind w:left="14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June 30, 2016</w:t>
      </w:r>
    </w:p>
    <w:p>
      <w:pPr>
        <w:sectPr>
          <w:pgSz w:w="11900" w:h="16838" w:orient="portrait"/>
          <w:cols w:equalWidth="0" w:num="1">
            <w:col w:w="9739"/>
          </w:cols>
          <w:pgMar w:left="720" w:top="10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960" w:type="dxa"/>
            <w:vAlign w:val="bottom"/>
            <w:gridSpan w:val="3"/>
          </w:tcPr>
          <w:p>
            <w:pPr>
              <w:spacing w:after="0"/>
              <w:rPr>
                <w:sz w:val="20"/>
                <w:szCs w:val="20"/>
                <w:color w:val="auto"/>
              </w:rPr>
            </w:pPr>
            <w:r>
              <w:rPr>
                <w:rFonts w:ascii="Arial" w:cs="Arial" w:eastAsia="Arial" w:hAnsi="Arial"/>
                <w:sz w:val="22"/>
                <w:szCs w:val="22"/>
                <w:b w:val="1"/>
                <w:bCs w:val="1"/>
                <w:color w:val="auto"/>
              </w:rPr>
              <w:t>FOR IMMEDIATE RELEASE</w:t>
            </w:r>
          </w:p>
        </w:tc>
        <w:tc>
          <w:tcPr>
            <w:tcW w:w="2120" w:type="dxa"/>
            <w:vAlign w:val="bottom"/>
          </w:tcPr>
          <w:p>
            <w:pPr>
              <w:spacing w:after="0"/>
              <w:rPr>
                <w:sz w:val="24"/>
                <w:szCs w:val="24"/>
                <w:color w:val="auto"/>
              </w:rPr>
            </w:pPr>
          </w:p>
        </w:tc>
      </w:tr>
      <w:tr>
        <w:trPr>
          <w:trHeight w:val="638"/>
        </w:trPr>
        <w:tc>
          <w:tcPr>
            <w:tcW w:w="3960" w:type="dxa"/>
            <w:vAlign w:val="bottom"/>
            <w:gridSpan w:val="3"/>
          </w:tcPr>
          <w:p>
            <w:pPr>
              <w:ind w:left="40"/>
              <w:spacing w:after="0"/>
              <w:rPr>
                <w:sz w:val="20"/>
                <w:szCs w:val="20"/>
                <w:color w:val="auto"/>
              </w:rPr>
            </w:pPr>
            <w:r>
              <w:rPr>
                <w:rFonts w:ascii="Arial" w:cs="Arial" w:eastAsia="Arial" w:hAnsi="Arial"/>
                <w:sz w:val="22"/>
                <w:szCs w:val="22"/>
                <w:color w:val="auto"/>
                <w:w w:val="88"/>
              </w:rPr>
              <w:t>Contacts:Ivan Donaldson</w:t>
            </w:r>
          </w:p>
        </w:tc>
        <w:tc>
          <w:tcPr>
            <w:tcW w:w="2120" w:type="dxa"/>
            <w:vAlign w:val="bottom"/>
          </w:tcPr>
          <w:p>
            <w:pPr>
              <w:spacing w:after="0"/>
              <w:rPr>
                <w:sz w:val="20"/>
                <w:szCs w:val="20"/>
                <w:color w:val="auto"/>
              </w:rPr>
            </w:pPr>
            <w:r>
              <w:rPr>
                <w:rFonts w:ascii="Arial" w:cs="Arial" w:eastAsia="Arial" w:hAnsi="Arial"/>
                <w:sz w:val="22"/>
                <w:szCs w:val="22"/>
                <w:color w:val="auto"/>
              </w:rPr>
              <w:t>Daniel Francisco</w:t>
            </w:r>
          </w:p>
        </w:tc>
      </w:tr>
      <w:tr>
        <w:trPr>
          <w:trHeight w:val="297"/>
        </w:trPr>
        <w:tc>
          <w:tcPr>
            <w:tcW w:w="126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22"/>
                <w:szCs w:val="22"/>
                <w:color w:val="auto"/>
              </w:rPr>
              <w:t>Investor Relations</w:t>
            </w:r>
          </w:p>
        </w:tc>
        <w:tc>
          <w:tcPr>
            <w:tcW w:w="2120" w:type="dxa"/>
            <w:vAlign w:val="bottom"/>
          </w:tcPr>
          <w:p>
            <w:pPr>
              <w:spacing w:after="0"/>
              <w:rPr>
                <w:sz w:val="20"/>
                <w:szCs w:val="20"/>
                <w:color w:val="auto"/>
              </w:rPr>
            </w:pPr>
            <w:r>
              <w:rPr>
                <w:rFonts w:ascii="Arial" w:cs="Arial" w:eastAsia="Arial" w:hAnsi="Arial"/>
                <w:sz w:val="22"/>
                <w:szCs w:val="22"/>
                <w:color w:val="auto"/>
              </w:rPr>
              <w:t>Media Relations</w:t>
            </w:r>
          </w:p>
        </w:tc>
      </w:tr>
      <w:tr>
        <w:trPr>
          <w:trHeight w:val="247"/>
        </w:trPr>
        <w:tc>
          <w:tcPr>
            <w:tcW w:w="1260" w:type="dxa"/>
            <w:vAlign w:val="bottom"/>
          </w:tcPr>
          <w:p>
            <w:pPr>
              <w:spacing w:after="0"/>
              <w:rPr>
                <w:sz w:val="21"/>
                <w:szCs w:val="21"/>
                <w:color w:val="auto"/>
              </w:rPr>
            </w:pPr>
          </w:p>
        </w:tc>
        <w:tc>
          <w:tcPr>
            <w:tcW w:w="2180" w:type="dxa"/>
            <w:vAlign w:val="bottom"/>
            <w:tcBorders>
              <w:bottom w:val="single" w:sz="8" w:color="0000FF"/>
            </w:tcBorders>
          </w:tcPr>
          <w:p>
            <w:pPr>
              <w:spacing w:after="0" w:line="246" w:lineRule="exact"/>
              <w:rPr>
                <w:sz w:val="20"/>
                <w:szCs w:val="20"/>
                <w:color w:val="auto"/>
              </w:rPr>
            </w:pPr>
            <w:r>
              <w:rPr>
                <w:rFonts w:ascii="Arial" w:cs="Arial" w:eastAsia="Arial" w:hAnsi="Arial"/>
                <w:sz w:val="22"/>
                <w:szCs w:val="22"/>
                <w:color w:val="0000FF"/>
                <w:w w:val="89"/>
              </w:rPr>
              <w:t>idonaldson@micron.com</w:t>
            </w:r>
          </w:p>
        </w:tc>
        <w:tc>
          <w:tcPr>
            <w:tcW w:w="520" w:type="dxa"/>
            <w:vAlign w:val="bottom"/>
          </w:tcPr>
          <w:p>
            <w:pPr>
              <w:spacing w:after="0"/>
              <w:rPr>
                <w:sz w:val="21"/>
                <w:szCs w:val="21"/>
                <w:color w:val="auto"/>
              </w:rPr>
            </w:pPr>
          </w:p>
        </w:tc>
        <w:tc>
          <w:tcPr>
            <w:tcW w:w="2120" w:type="dxa"/>
            <w:vAlign w:val="bottom"/>
            <w:tcBorders>
              <w:bottom w:val="single" w:sz="8" w:color="0000FF"/>
            </w:tcBorders>
          </w:tcPr>
          <w:p>
            <w:pPr>
              <w:spacing w:after="0" w:line="246" w:lineRule="exact"/>
              <w:rPr>
                <w:sz w:val="20"/>
                <w:szCs w:val="20"/>
                <w:color w:val="auto"/>
              </w:rPr>
            </w:pPr>
            <w:r>
              <w:rPr>
                <w:rFonts w:ascii="Arial" w:cs="Arial" w:eastAsia="Arial" w:hAnsi="Arial"/>
                <w:sz w:val="22"/>
                <w:szCs w:val="22"/>
                <w:color w:val="0000FF"/>
                <w:w w:val="88"/>
              </w:rPr>
              <w:t>dfrancisco@micron.com</w:t>
            </w:r>
          </w:p>
        </w:tc>
      </w:tr>
      <w:tr>
        <w:trPr>
          <w:trHeight w:val="328"/>
        </w:trPr>
        <w:tc>
          <w:tcPr>
            <w:tcW w:w="3440" w:type="dxa"/>
            <w:vAlign w:val="bottom"/>
            <w:gridSpan w:val="2"/>
          </w:tcPr>
          <w:p>
            <w:pPr>
              <w:ind w:left="1260"/>
              <w:spacing w:after="0"/>
              <w:rPr>
                <w:sz w:val="20"/>
                <w:szCs w:val="20"/>
                <w:color w:val="auto"/>
              </w:rPr>
            </w:pPr>
            <w:r>
              <w:rPr>
                <w:rFonts w:ascii="Arial" w:cs="Arial" w:eastAsia="Arial" w:hAnsi="Arial"/>
                <w:sz w:val="22"/>
                <w:szCs w:val="22"/>
                <w:color w:val="auto"/>
              </w:rPr>
              <w:t>(208) 368-4093</w:t>
            </w:r>
          </w:p>
        </w:tc>
        <w:tc>
          <w:tcPr>
            <w:tcW w:w="52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Arial" w:cs="Arial" w:eastAsia="Arial" w:hAnsi="Arial"/>
                <w:sz w:val="22"/>
                <w:szCs w:val="22"/>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THIRD QUARTER OF FISCAL 2016</w:t>
      </w:r>
    </w:p>
    <w:p>
      <w:pPr>
        <w:spacing w:after="0" w:line="290" w:lineRule="exact"/>
        <w:rPr>
          <w:sz w:val="20"/>
          <w:szCs w:val="20"/>
          <w:color w:val="auto"/>
        </w:rPr>
      </w:pPr>
    </w:p>
    <w:p>
      <w:pPr>
        <w:jc w:val="both"/>
        <w:ind w:right="80" w:firstLine="324"/>
        <w:spacing w:after="0" w:line="354" w:lineRule="auto"/>
        <w:rPr>
          <w:sz w:val="20"/>
          <w:szCs w:val="20"/>
          <w:color w:val="auto"/>
        </w:rPr>
      </w:pPr>
      <w:r>
        <w:rPr>
          <w:rFonts w:ascii="Arial" w:cs="Arial" w:eastAsia="Arial" w:hAnsi="Arial"/>
          <w:sz w:val="22"/>
          <w:szCs w:val="22"/>
          <w:b w:val="1"/>
          <w:bCs w:val="1"/>
          <w:color w:val="auto"/>
        </w:rPr>
        <w:t xml:space="preserve">BOISE, Idaho, </w:t>
      </w:r>
      <w:r>
        <w:rPr>
          <w:rFonts w:ascii="Arial" w:cs="Arial" w:eastAsia="Arial" w:hAnsi="Arial"/>
          <w:sz w:val="22"/>
          <w:szCs w:val="22"/>
          <w:color w:val="auto"/>
        </w:rPr>
        <w:t>June 30, 2016 – Micron Technology, Inc., (NASDAQ: MU) today announced results of operations for its third</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fiscal 2016, which ended June 2, 2016. Revenues for the third quarter of fiscal 2016 were $2.90 billion and were slightly lower compared to the second quarter of fiscal 2016 and 25 percent lower compared to the third quarter of fiscal 2015. Cash flows from operations were $389 million for the third quarter of fiscal 2016.</w:t>
      </w:r>
    </w:p>
    <w:p>
      <w:pPr>
        <w:spacing w:after="0" w:line="272" w:lineRule="exact"/>
        <w:rPr>
          <w:sz w:val="20"/>
          <w:szCs w:val="20"/>
          <w:color w:val="auto"/>
        </w:rPr>
      </w:pPr>
    </w:p>
    <w:p>
      <w:pPr>
        <w:jc w:val="both"/>
        <w:ind w:right="100" w:firstLine="324"/>
        <w:spacing w:after="0" w:line="340" w:lineRule="auto"/>
        <w:rPr>
          <w:sz w:val="20"/>
          <w:szCs w:val="20"/>
          <w:color w:val="auto"/>
        </w:rPr>
      </w:pPr>
      <w:r>
        <w:rPr>
          <w:rFonts w:ascii="Arial" w:cs="Arial" w:eastAsia="Arial" w:hAnsi="Arial"/>
          <w:sz w:val="22"/>
          <w:szCs w:val="22"/>
          <w:b w:val="1"/>
          <w:bCs w:val="1"/>
          <w:color w:val="auto"/>
        </w:rPr>
        <w:t xml:space="preserve">GAAP Income and Per Share Data </w:t>
      </w:r>
      <w:r>
        <w:rPr>
          <w:rFonts w:ascii="Arial" w:cs="Arial" w:eastAsia="Arial" w:hAnsi="Arial"/>
          <w:sz w:val="22"/>
          <w:szCs w:val="22"/>
          <w:color w:val="auto"/>
        </w:rPr>
        <w:t>– On a GAAP</w:t>
      </w:r>
      <w:r>
        <w:rPr>
          <w:rFonts w:ascii="Arial" w:cs="Arial" w:eastAsia="Arial" w:hAnsi="Arial"/>
          <w:sz w:val="28"/>
          <w:szCs w:val="28"/>
          <w:color w:val="auto"/>
          <w:vertAlign w:val="superscript"/>
        </w:rPr>
        <w:t>(1)</w:t>
      </w:r>
      <w:r>
        <w:rPr>
          <w:rFonts w:ascii="Arial" w:cs="Arial" w:eastAsia="Arial" w:hAnsi="Arial"/>
          <w:sz w:val="22"/>
          <w:szCs w:val="22"/>
          <w:b w:val="1"/>
          <w:bCs w:val="1"/>
          <w:color w:val="auto"/>
        </w:rPr>
        <w:t xml:space="preserve"> </w:t>
      </w:r>
      <w:r>
        <w:rPr>
          <w:rFonts w:ascii="Arial" w:cs="Arial" w:eastAsia="Arial" w:hAnsi="Arial"/>
          <w:sz w:val="22"/>
          <w:szCs w:val="22"/>
          <w:color w:val="auto"/>
        </w:rPr>
        <w:t>basis, net loss attributable to Micron shareholders for the third quarter of</w:t>
      </w:r>
      <w:r>
        <w:rPr>
          <w:rFonts w:ascii="Arial" w:cs="Arial" w:eastAsia="Arial" w:hAnsi="Arial"/>
          <w:sz w:val="22"/>
          <w:szCs w:val="22"/>
          <w:b w:val="1"/>
          <w:bCs w:val="1"/>
          <w:color w:val="auto"/>
        </w:rPr>
        <w:t xml:space="preserve"> </w:t>
      </w:r>
      <w:r>
        <w:rPr>
          <w:rFonts w:ascii="Arial" w:cs="Arial" w:eastAsia="Arial" w:hAnsi="Arial"/>
          <w:sz w:val="22"/>
          <w:szCs w:val="22"/>
          <w:color w:val="auto"/>
        </w:rPr>
        <w:t>fiscal 2016 was $215 million, or ($0.21) per diluted share, compared to net loss of $97 million, or ($0.09) per diluted share, for the second quarter of fiscal 2016.</w:t>
      </w:r>
    </w:p>
    <w:p>
      <w:pPr>
        <w:spacing w:after="0" w:line="286" w:lineRule="exact"/>
        <w:rPr>
          <w:sz w:val="20"/>
          <w:szCs w:val="20"/>
          <w:color w:val="auto"/>
        </w:rPr>
      </w:pPr>
    </w:p>
    <w:p>
      <w:pPr>
        <w:ind w:right="140" w:firstLine="324"/>
        <w:spacing w:after="0" w:line="342" w:lineRule="auto"/>
        <w:rPr>
          <w:sz w:val="20"/>
          <w:szCs w:val="20"/>
          <w:color w:val="auto"/>
        </w:rPr>
      </w:pPr>
      <w:r>
        <w:rPr>
          <w:rFonts w:ascii="Arial" w:cs="Arial" w:eastAsia="Arial" w:hAnsi="Arial"/>
          <w:sz w:val="22"/>
          <w:szCs w:val="22"/>
          <w:b w:val="1"/>
          <w:bCs w:val="1"/>
          <w:color w:val="auto"/>
        </w:rPr>
        <w:t xml:space="preserve">Non-GAAP Income and Per Share Data </w:t>
      </w:r>
      <w:r>
        <w:rPr>
          <w:rFonts w:ascii="Arial" w:cs="Arial" w:eastAsia="Arial" w:hAnsi="Arial"/>
          <w:sz w:val="22"/>
          <w:szCs w:val="22"/>
          <w:color w:val="auto"/>
        </w:rPr>
        <w:t>– On a non-GAAP</w:t>
      </w:r>
      <w:r>
        <w:rPr>
          <w:rFonts w:ascii="Arial" w:cs="Arial" w:eastAsia="Arial" w:hAnsi="Arial"/>
          <w:sz w:val="28"/>
          <w:szCs w:val="28"/>
          <w:color w:val="auto"/>
          <w:vertAlign w:val="superscript"/>
        </w:rPr>
        <w:t>(2)</w:t>
      </w:r>
      <w:r>
        <w:rPr>
          <w:rFonts w:ascii="Arial" w:cs="Arial" w:eastAsia="Arial" w:hAnsi="Arial"/>
          <w:sz w:val="22"/>
          <w:szCs w:val="22"/>
          <w:b w:val="1"/>
          <w:bCs w:val="1"/>
          <w:color w:val="auto"/>
        </w:rPr>
        <w:t xml:space="preserve"> </w:t>
      </w:r>
      <w:r>
        <w:rPr>
          <w:rFonts w:ascii="Arial" w:cs="Arial" w:eastAsia="Arial" w:hAnsi="Arial"/>
          <w:sz w:val="22"/>
          <w:szCs w:val="22"/>
          <w:color w:val="auto"/>
        </w:rPr>
        <w:t>basis, net loss attributable to Micron shareholders for the third</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fiscal 2016 was $79 million, or ($0.08) per diluted share, compared to net loss of $48 million, or ($0.05) per diluted share, for the second quarter of fiscal 2016. For a reconciliation of GAAP to non-GAAP results, see the accompanying financial tables and footnotes.</w:t>
      </w:r>
    </w:p>
    <w:p>
      <w:pPr>
        <w:spacing w:after="0" w:line="348" w:lineRule="exact"/>
        <w:rPr>
          <w:sz w:val="20"/>
          <w:szCs w:val="20"/>
          <w:color w:val="auto"/>
        </w:rPr>
      </w:pPr>
    </w:p>
    <w:p>
      <w:pPr>
        <w:ind w:right="140" w:firstLine="324"/>
        <w:spacing w:after="0" w:line="352" w:lineRule="auto"/>
        <w:rPr>
          <w:sz w:val="20"/>
          <w:szCs w:val="20"/>
          <w:color w:val="auto"/>
        </w:rPr>
      </w:pPr>
      <w:r>
        <w:rPr>
          <w:rFonts w:ascii="Arial" w:cs="Arial" w:eastAsia="Arial" w:hAnsi="Arial"/>
          <w:sz w:val="22"/>
          <w:szCs w:val="22"/>
          <w:color w:val="auto"/>
        </w:rPr>
        <w:t>"Although we have made good progress in deploying our advanced DRAM and NAND technologies, we continue to face challenging market conditions," said Micron CEO Mark Durcan. "To address the current market environment and strengthen our competitive position, we are implementing a number of initiatives to reduce costs, drive greater efficiencies, and increase focus on our strategic priorities."</w:t>
      </w:r>
    </w:p>
    <w:p>
      <w:pPr>
        <w:spacing w:after="0" w:line="339"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initiatives, which include a global workforce reduction, are expected to save the company over $300 million in fiscal 2017.</w:t>
      </w:r>
    </w:p>
    <w:p>
      <w:pPr>
        <w:sectPr>
          <w:pgSz w:w="11900" w:h="16838" w:orient="portrait"/>
          <w:cols w:equalWidth="0" w:num="1">
            <w:col w:w="11420"/>
          </w:cols>
          <w:pgMar w:left="240" w:top="801" w:right="239" w:bottom="1440" w:gutter="0" w:footer="0" w:header="0"/>
        </w:sectPr>
      </w:pPr>
    </w:p>
    <w:bookmarkStart w:id="5" w:name="page6"/>
    <w:bookmarkEnd w:id="5"/>
    <w:p>
      <w:pPr>
        <w:ind w:right="60" w:firstLine="324"/>
        <w:spacing w:after="0" w:line="349" w:lineRule="auto"/>
        <w:rPr>
          <w:sz w:val="20"/>
          <w:szCs w:val="20"/>
          <w:color w:val="auto"/>
        </w:rPr>
      </w:pPr>
      <w:r>
        <w:rPr>
          <w:rFonts w:ascii="Arial" w:cs="Arial" w:eastAsia="Arial" w:hAnsi="Arial"/>
          <w:sz w:val="22"/>
          <w:szCs w:val="22"/>
          <w:color w:val="auto"/>
        </w:rPr>
        <w:t>Revenues for the third quarter of fiscal 2016 were slightly lower compared to the second quarter of fiscal 2016 as increases in sales of DRAM products were offset by decreases in sales of trade Non-Volatile products. DRAM revenues increased in the third quarter of fiscal 2016 as a result of a 22 percent increase in unit sales partially offset by an 11 percent decline in average selling prices. Sales of trade Non-Volatile products decreased due to a 10 percent decrease in units sales and a six percent decline in average selling prices. The company's overall consolidated gross margin of 17 percent for the third quarter of fiscal 2016 was three percent lower compared to the second quarter primarily due to lower average selling prices partially offset by manufacturing cost reductions.</w:t>
      </w:r>
    </w:p>
    <w:p>
      <w:pPr>
        <w:spacing w:after="0" w:line="342" w:lineRule="exact"/>
        <w:rPr>
          <w:sz w:val="20"/>
          <w:szCs w:val="20"/>
          <w:color w:val="auto"/>
        </w:rPr>
      </w:pPr>
    </w:p>
    <w:p>
      <w:pPr>
        <w:ind w:right="80" w:firstLine="324"/>
        <w:spacing w:after="0" w:line="366" w:lineRule="auto"/>
        <w:rPr>
          <w:sz w:val="20"/>
          <w:szCs w:val="20"/>
          <w:color w:val="auto"/>
        </w:rPr>
      </w:pPr>
      <w:r>
        <w:rPr>
          <w:rFonts w:ascii="Arial" w:cs="Arial" w:eastAsia="Arial" w:hAnsi="Arial"/>
          <w:sz w:val="22"/>
          <w:szCs w:val="22"/>
          <w:color w:val="auto"/>
        </w:rPr>
        <w:t>Investments in capital expenditures for the third quarter of fiscal 2016 were $1.69 billion. The company ended the third quarter of fiscal 2016 with cash and marketable investments of $5.65 billion.</w:t>
      </w:r>
    </w:p>
    <w:p>
      <w:pPr>
        <w:spacing w:after="0" w:line="322" w:lineRule="exact"/>
        <w:rPr>
          <w:sz w:val="20"/>
          <w:szCs w:val="20"/>
          <w:color w:val="auto"/>
        </w:rPr>
      </w:pPr>
    </w:p>
    <w:p>
      <w:pPr>
        <w:ind w:firstLine="324"/>
        <w:spacing w:after="0" w:line="352" w:lineRule="auto"/>
        <w:rPr>
          <w:sz w:val="20"/>
          <w:szCs w:val="20"/>
          <w:color w:val="auto"/>
        </w:rPr>
      </w:pPr>
      <w:r>
        <w:rPr>
          <w:rFonts w:ascii="Arial" w:cs="Arial" w:eastAsia="Arial" w:hAnsi="Arial"/>
          <w:sz w:val="22"/>
          <w:szCs w:val="22"/>
          <w:color w:val="auto"/>
        </w:rPr>
        <w:t xml:space="preserve">The company will host a conference call Thursday, June 30, 2016 at 2:30 p.m. MT to discuss its financial results. The call, audio, and slides will be available online at </w:t>
      </w:r>
      <w:r>
        <w:rPr>
          <w:rFonts w:ascii="Arial" w:cs="Arial" w:eastAsia="Arial" w:hAnsi="Arial"/>
          <w:sz w:val="19"/>
          <w:szCs w:val="19"/>
          <w:u w:val="single" w:color="auto"/>
          <w:color w:val="0563C1"/>
        </w:rPr>
        <w:t>http://edge.media-server.com/m/p/4thwofg6</w:t>
      </w:r>
      <w:r>
        <w:rPr>
          <w:rFonts w:ascii="Arial" w:cs="Arial" w:eastAsia="Arial" w:hAnsi="Arial"/>
          <w:sz w:val="22"/>
          <w:szCs w:val="22"/>
          <w:color w:val="auto"/>
        </w:rPr>
        <w:t xml:space="preserve">. A webcast replay will be available on the company's website until June 30, 2017. A taped audio replay of the conference call will also be available at 1-404-537-3406 or 1-855-859-2056 (conference number: 29438318) beginning at 5:30 p.m. MT, Thursday, June 30, 2016 and continuing through Friday, July 8, 2016. </w:t>
      </w:r>
      <w:r>
        <w:rPr>
          <w:rFonts w:ascii="Arial" w:cs="Arial" w:eastAsia="Arial" w:hAnsi="Arial"/>
          <w:sz w:val="22"/>
          <w:szCs w:val="22"/>
          <w:color w:val="222222"/>
        </w:rPr>
        <w:t>For</w:t>
      </w:r>
      <w:r>
        <w:rPr>
          <w:rFonts w:ascii="Arial" w:cs="Arial" w:eastAsia="Arial" w:hAnsi="Arial"/>
          <w:sz w:val="22"/>
          <w:szCs w:val="22"/>
          <w:color w:val="auto"/>
        </w:rPr>
        <w:t xml:space="preserve"> Investor Relations and other company updates, follow @MicronTech on Twitter at </w:t>
      </w:r>
      <w:r>
        <w:rPr>
          <w:rFonts w:ascii="Arial" w:cs="Arial" w:eastAsia="Arial" w:hAnsi="Arial"/>
          <w:sz w:val="22"/>
          <w:szCs w:val="22"/>
          <w:u w:val="single" w:color="auto"/>
          <w:color w:val="006EBF"/>
        </w:rPr>
        <w:t>https://twitter.com/MicronTech</w:t>
      </w:r>
      <w:r>
        <w:rPr>
          <w:rFonts w:ascii="Arial" w:cs="Arial" w:eastAsia="Arial" w:hAnsi="Arial"/>
          <w:sz w:val="22"/>
          <w:szCs w:val="22"/>
          <w:color w:val="000000"/>
        </w:rPr>
        <w:t>.</w:t>
      </w:r>
    </w:p>
    <w:p>
      <w:pPr>
        <w:spacing w:after="0" w:line="340" w:lineRule="exact"/>
        <w:rPr>
          <w:sz w:val="20"/>
          <w:szCs w:val="20"/>
          <w:color w:val="auto"/>
        </w:rPr>
      </w:pPr>
    </w:p>
    <w:p>
      <w:pPr>
        <w:ind w:right="140" w:firstLine="324"/>
        <w:spacing w:after="0" w:line="350" w:lineRule="auto"/>
        <w:rPr>
          <w:sz w:val="20"/>
          <w:szCs w:val="20"/>
          <w:color w:val="auto"/>
        </w:rPr>
      </w:pPr>
      <w:r>
        <w:rPr>
          <w:rFonts w:ascii="Arial" w:cs="Arial" w:eastAsia="Arial" w:hAnsi="Arial"/>
          <w:sz w:val="22"/>
          <w:szCs w:val="22"/>
          <w:color w:val="auto"/>
        </w:rPr>
        <w:t xml:space="preserve">Micron Technology, Inc., is a global leader in advanced semiconductor systems. Micron's broad portfolio of high-performance memory technologies—including DRAM, NAND, and NOR Flash—is the basis for solid state drives, modules, multichip packages, and other system solutions. Backed by more than 35 years of technology leadership, Micron's memory solutions enable the world's most innovative computing, consumer, enterprise storage, networking, mobile, embedded, and automotive applications. Micron's common stock is traded on the NASDAQ under the MU symbol. To learn more about Micron Technology, Inc., visit </w:t>
      </w:r>
      <w:r>
        <w:rPr>
          <w:rFonts w:ascii="Arial" w:cs="Arial" w:eastAsia="Arial" w:hAnsi="Arial"/>
          <w:sz w:val="22"/>
          <w:szCs w:val="22"/>
          <w:u w:val="single" w:color="auto"/>
          <w:color w:val="006EBF"/>
        </w:rPr>
        <w:t>www.micron.com</w:t>
      </w:r>
      <w:r>
        <w:rPr>
          <w:rFonts w:ascii="Arial" w:cs="Arial" w:eastAsia="Arial" w:hAnsi="Arial"/>
          <w:sz w:val="22"/>
          <w:szCs w:val="22"/>
          <w:color w:val="auto"/>
        </w:rPr>
        <w:t>.</w:t>
      </w:r>
    </w:p>
    <w:p>
      <w:pPr>
        <w:spacing w:after="0" w:line="303" w:lineRule="exact"/>
        <w:rPr>
          <w:sz w:val="20"/>
          <w:szCs w:val="20"/>
          <w:color w:val="auto"/>
        </w:rPr>
      </w:pPr>
    </w:p>
    <w:p>
      <w:pPr>
        <w:ind w:left="560" w:hanging="228"/>
        <w:spacing w:after="0"/>
        <w:tabs>
          <w:tab w:leader="none" w:pos="560" w:val="left"/>
        </w:tabs>
        <w:numPr>
          <w:ilvl w:val="0"/>
          <w:numId w:val="2"/>
        </w:numPr>
        <w:rPr>
          <w:rFonts w:ascii="Arial" w:cs="Arial" w:eastAsia="Arial" w:hAnsi="Arial"/>
          <w:sz w:val="27"/>
          <w:szCs w:val="27"/>
          <w:i w:val="1"/>
          <w:iCs w:val="1"/>
          <w:color w:val="auto"/>
          <w:vertAlign w:val="superscript"/>
        </w:rPr>
      </w:pPr>
      <w:r>
        <w:rPr>
          <w:rFonts w:ascii="Arial" w:cs="Arial" w:eastAsia="Arial" w:hAnsi="Arial"/>
          <w:sz w:val="20"/>
          <w:szCs w:val="20"/>
          <w:i w:val="1"/>
          <w:iCs w:val="1"/>
          <w:color w:val="auto"/>
        </w:rPr>
        <w:t>GAAP represents U.S. Generally Accepted Accounting Principles.</w:t>
      </w:r>
    </w:p>
    <w:p>
      <w:pPr>
        <w:spacing w:after="0" w:line="90" w:lineRule="exact"/>
        <w:rPr>
          <w:rFonts w:ascii="Arial" w:cs="Arial" w:eastAsia="Arial" w:hAnsi="Arial"/>
          <w:sz w:val="27"/>
          <w:szCs w:val="27"/>
          <w:i w:val="1"/>
          <w:iCs w:val="1"/>
          <w:color w:val="auto"/>
          <w:vertAlign w:val="superscript"/>
        </w:rPr>
      </w:pPr>
    </w:p>
    <w:p>
      <w:pPr>
        <w:ind w:right="440" w:firstLine="332"/>
        <w:spacing w:after="0" w:line="375" w:lineRule="auto"/>
        <w:tabs>
          <w:tab w:leader="none" w:pos="546" w:val="left"/>
        </w:tabs>
        <w:numPr>
          <w:ilvl w:val="0"/>
          <w:numId w:val="2"/>
        </w:numPr>
        <w:rPr>
          <w:rFonts w:ascii="Arial" w:cs="Arial" w:eastAsia="Arial" w:hAnsi="Arial"/>
          <w:sz w:val="26"/>
          <w:szCs w:val="26"/>
          <w:i w:val="1"/>
          <w:iCs w:val="1"/>
          <w:color w:val="auto"/>
          <w:vertAlign w:val="superscript"/>
        </w:rPr>
      </w:pPr>
      <w:r>
        <w:rPr>
          <w:rFonts w:ascii="Arial" w:cs="Arial" w:eastAsia="Arial" w:hAnsi="Arial"/>
          <w:sz w:val="19"/>
          <w:szCs w:val="19"/>
          <w:i w:val="1"/>
          <w:iCs w:val="1"/>
          <w:color w:val="auto"/>
        </w:rPr>
        <w:t>Non-GAAP represents GAAP excluding the impact of certain activities which the company's management excludes in analyzing the company's operating results and understanding trends in the company's earnings. Non-GAAP also includes the impact on shares used in per share calculations of the company's outstanding capped call transactions. For a reconciliation of GAAP to non-GAAP results, see the accompanying financial tables and footnotes.</w:t>
      </w:r>
    </w:p>
    <w:p>
      <w:pPr>
        <w:sectPr>
          <w:pgSz w:w="11900" w:h="16838" w:orient="portrait"/>
          <w:cols w:equalWidth="0" w:num="1">
            <w:col w:w="11400"/>
          </w:cols>
          <w:pgMar w:left="240" w:top="861" w:right="259" w:bottom="1440" w:gutter="0" w:footer="0" w:header="0"/>
        </w:sectPr>
      </w:pPr>
    </w:p>
    <w:bookmarkStart w:id="6" w:name="page7"/>
    <w:bookmarkEnd w:id="6"/>
    <w:p>
      <w:pPr>
        <w:jc w:val="center"/>
        <w:ind w:left="340"/>
        <w:spacing w:after="0"/>
        <w:rPr>
          <w:sz w:val="20"/>
          <w:szCs w:val="20"/>
          <w:color w:val="auto"/>
        </w:rPr>
      </w:pPr>
      <w:r>
        <w:rPr>
          <w:rFonts w:ascii="Arial" w:cs="Arial" w:eastAsia="Arial" w:hAnsi="Arial"/>
          <w:sz w:val="22"/>
          <w:szCs w:val="22"/>
          <w:b w:val="1"/>
          <w:bCs w:val="1"/>
          <w:color w:val="auto"/>
        </w:rPr>
        <w:t>MICRON TECHNOLOGY, INC.</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CONSOLIDATED FINANCIAL SUMMARY</w:t>
      </w: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3260" w:type="dxa"/>
            <w:vAlign w:val="bottom"/>
            <w:gridSpan w:val="7"/>
          </w:tcPr>
          <w:p>
            <w:pPr>
              <w:ind w:left="60"/>
              <w:spacing w:after="0"/>
              <w:rPr>
                <w:sz w:val="20"/>
                <w:szCs w:val="20"/>
                <w:color w:val="auto"/>
              </w:rPr>
            </w:pPr>
            <w:r>
              <w:rPr>
                <w:rFonts w:ascii="Arial" w:cs="Arial" w:eastAsia="Arial" w:hAnsi="Arial"/>
                <w:sz w:val="18"/>
                <w:szCs w:val="18"/>
                <w:b w:val="1"/>
                <w:bCs w:val="1"/>
                <w:color w:val="auto"/>
                <w:w w:val="96"/>
              </w:rPr>
              <w:t>(in millions except per share amounts)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610"/>
        </w:trPr>
        <w:tc>
          <w:tcPr>
            <w:tcW w:w="4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3</w:t>
            </w:r>
            <w:r>
              <w:rPr>
                <w:rFonts w:ascii="Arial" w:cs="Arial" w:eastAsia="Arial" w:hAnsi="Arial"/>
                <w:sz w:val="25"/>
                <w:szCs w:val="25"/>
                <w:b w:val="1"/>
                <w:bCs w:val="1"/>
                <w:color w:val="auto"/>
                <w:w w:val="87"/>
                <w:vertAlign w:val="superscript"/>
              </w:rPr>
              <w:t>rd</w:t>
            </w:r>
            <w:r>
              <w:rPr>
                <w:rFonts w:ascii="Arial" w:cs="Arial" w:eastAsia="Arial" w:hAnsi="Arial"/>
                <w:sz w:val="18"/>
                <w:szCs w:val="18"/>
                <w:b w:val="1"/>
                <w:bCs w:val="1"/>
                <w:color w:val="auto"/>
                <w:w w:val="87"/>
              </w:rPr>
              <w:t xml:space="preserve"> Qtr.</w:t>
            </w:r>
          </w:p>
        </w:tc>
        <w:tc>
          <w:tcPr>
            <w:tcW w:w="220" w:type="dxa"/>
            <w:vAlign w:val="bottom"/>
          </w:tcPr>
          <w:p>
            <w:pPr>
              <w:spacing w:after="0"/>
              <w:rPr>
                <w:sz w:val="24"/>
                <w:szCs w:val="24"/>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25"/>
                <w:szCs w:val="25"/>
                <w:b w:val="1"/>
                <w:bCs w:val="1"/>
                <w:color w:val="auto"/>
                <w:vertAlign w:val="superscript"/>
              </w:rPr>
              <w:t>nd</w:t>
            </w:r>
            <w:r>
              <w:rPr>
                <w:rFonts w:ascii="Arial" w:cs="Arial" w:eastAsia="Arial" w:hAnsi="Arial"/>
                <w:sz w:val="18"/>
                <w:szCs w:val="18"/>
                <w:b w:val="1"/>
                <w:bCs w:val="1"/>
                <w:color w:val="auto"/>
              </w:rPr>
              <w:t xml:space="preserve"> Qtr.</w:t>
            </w:r>
          </w:p>
        </w:tc>
        <w:tc>
          <w:tcPr>
            <w:tcW w:w="220" w:type="dxa"/>
            <w:vAlign w:val="bottom"/>
          </w:tcPr>
          <w:p>
            <w:pPr>
              <w:spacing w:after="0"/>
              <w:rPr>
                <w:sz w:val="24"/>
                <w:szCs w:val="2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3</w:t>
            </w:r>
            <w:r>
              <w:rPr>
                <w:rFonts w:ascii="Arial" w:cs="Arial" w:eastAsia="Arial" w:hAnsi="Arial"/>
                <w:sz w:val="25"/>
                <w:szCs w:val="25"/>
                <w:b w:val="1"/>
                <w:bCs w:val="1"/>
                <w:color w:val="auto"/>
                <w:w w:val="87"/>
                <w:vertAlign w:val="superscript"/>
              </w:rPr>
              <w:t>rd</w:t>
            </w:r>
            <w:r>
              <w:rPr>
                <w:rFonts w:ascii="Arial" w:cs="Arial" w:eastAsia="Arial" w:hAnsi="Arial"/>
                <w:sz w:val="18"/>
                <w:szCs w:val="18"/>
                <w:b w:val="1"/>
                <w:bCs w:val="1"/>
                <w:color w:val="auto"/>
                <w:w w:val="87"/>
              </w:rPr>
              <w:t xml:space="preserve"> Qtr.</w:t>
            </w:r>
          </w:p>
        </w:tc>
        <w:tc>
          <w:tcPr>
            <w:tcW w:w="220" w:type="dxa"/>
            <w:vAlign w:val="bottom"/>
          </w:tcPr>
          <w:p>
            <w:pPr>
              <w:spacing w:after="0"/>
              <w:rPr>
                <w:sz w:val="24"/>
                <w:szCs w:val="24"/>
                <w:color w:val="auto"/>
              </w:rPr>
            </w:pPr>
          </w:p>
        </w:tc>
        <w:tc>
          <w:tcPr>
            <w:tcW w:w="24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r>
      <w:tr>
        <w:trPr>
          <w:trHeight w:val="216"/>
        </w:trPr>
        <w:tc>
          <w:tcPr>
            <w:tcW w:w="4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June 2,</w:t>
            </w: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w:t>
            </w:r>
          </w:p>
        </w:tc>
        <w:tc>
          <w:tcPr>
            <w:tcW w:w="22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June 4,</w:t>
            </w:r>
          </w:p>
        </w:tc>
        <w:tc>
          <w:tcPr>
            <w:tcW w:w="22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2,</w:t>
            </w:r>
          </w:p>
        </w:tc>
        <w:tc>
          <w:tcPr>
            <w:tcW w:w="220" w:type="dxa"/>
            <w:vAlign w:val="bottom"/>
          </w:tcPr>
          <w:p>
            <w:pPr>
              <w:spacing w:after="0"/>
              <w:rPr>
                <w:sz w:val="18"/>
                <w:szCs w:val="18"/>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4,</w:t>
            </w:r>
          </w:p>
        </w:tc>
      </w:tr>
      <w:tr>
        <w:trPr>
          <w:trHeight w:val="234"/>
        </w:trPr>
        <w:tc>
          <w:tcPr>
            <w:tcW w:w="4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41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12,592</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2,651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7,256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8,347</w:t>
            </w:r>
          </w:p>
        </w:tc>
      </w:tr>
      <w:tr>
        <w:trPr>
          <w:trHeight w:val="27"/>
        </w:trPr>
        <w:tc>
          <w:tcPr>
            <w:tcW w:w="41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4,245</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549</w:t>
            </w:r>
          </w:p>
        </w:tc>
      </w:tr>
      <w:tr>
        <w:trPr>
          <w:trHeight w:val="27"/>
        </w:trPr>
        <w:tc>
          <w:tcPr>
            <w:tcW w:w="4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Other operating (income) expense, net</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1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2,571</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7"/>
        </w:trPr>
        <w:tc>
          <w:tcPr>
            <w:tcW w:w="4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1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non-operating income (expense), net </w:t>
            </w:r>
            <w:r>
              <w:rPr>
                <w:rFonts w:ascii="Arial" w:cs="Arial" w:eastAsia="Arial" w:hAnsi="Arial"/>
                <w:sz w:val="25"/>
                <w:szCs w:val="25"/>
                <w:color w:val="auto"/>
                <w:vertAlign w:val="superscript"/>
              </w:rPr>
              <w:t>(1)</w:t>
            </w:r>
          </w:p>
        </w:tc>
        <w:tc>
          <w:tcPr>
            <w:tcW w:w="4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41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Income tax (provision) benefit </w:t>
            </w:r>
            <w:r>
              <w:rPr>
                <w:rFonts w:ascii="Arial" w:cs="Arial" w:eastAsia="Arial" w:hAnsi="Arial"/>
                <w:sz w:val="25"/>
                <w:szCs w:val="25"/>
                <w:color w:val="auto"/>
                <w:vertAlign w:val="superscript"/>
              </w:rPr>
              <w:t>(2)</w:t>
            </w: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Equity in net income (loss) of equity method investees</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w w:val="92"/>
              </w:rPr>
              <w:t>Net (income) loss attributable to noncontrolling interests</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(loss) attributable to Micron</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2,428</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share:</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Basic</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2.26</w:t>
            </w:r>
          </w:p>
        </w:tc>
      </w:tr>
      <w:tr>
        <w:trPr>
          <w:trHeight w:val="27"/>
        </w:trPr>
        <w:tc>
          <w:tcPr>
            <w:tcW w:w="4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r>
      <w:tr>
        <w:trPr>
          <w:trHeight w:val="297"/>
        </w:trPr>
        <w:tc>
          <w:tcPr>
            <w:tcW w:w="4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shares used in per share calculations:</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1,072</w:t>
            </w:r>
          </w:p>
        </w:tc>
      </w:tr>
      <w:tr>
        <w:trPr>
          <w:trHeight w:val="27"/>
        </w:trPr>
        <w:tc>
          <w:tcPr>
            <w:tcW w:w="4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1,185</w:t>
            </w:r>
          </w:p>
        </w:tc>
      </w:tr>
      <w:tr>
        <w:trPr>
          <w:trHeight w:val="27"/>
        </w:trPr>
        <w:tc>
          <w:tcPr>
            <w:tcW w:w="4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801"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CONSOLIDATED FINANCIAL SUMMARY, Continued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2,</w:t>
            </w: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w:t>
            </w:r>
          </w:p>
        </w:tc>
        <w:tc>
          <w:tcPr>
            <w:tcW w:w="18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September 3,</w:t>
            </w:r>
          </w:p>
        </w:tc>
      </w:t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28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short-term investments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3,521</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2,507</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2,340</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10,110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8,805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8,596</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marketable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2,113</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13,209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11,819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10,554</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24,143</w:t>
            </w:r>
          </w:p>
        </w:tc>
      </w:tr>
      <w:tr>
        <w:trPr>
          <w:trHeight w:val="297"/>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2,611</w:t>
            </w: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Current debt </w:t>
            </w:r>
            <w:r>
              <w:rPr>
                <w:rFonts w:ascii="Arial" w:cs="Arial" w:eastAsia="Arial" w:hAnsi="Arial"/>
                <w:sz w:val="25"/>
                <w:szCs w:val="25"/>
                <w:color w:val="auto"/>
                <w:vertAlign w:val="superscript"/>
              </w:rPr>
              <w:t>(1)(3)</w:t>
            </w:r>
          </w:p>
        </w:tc>
        <w:tc>
          <w:tcPr>
            <w:tcW w:w="2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1,089</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3,905</w:t>
            </w: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(1)(3)</w:t>
            </w:r>
          </w:p>
        </w:tc>
        <w:tc>
          <w:tcPr>
            <w:tcW w:w="2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8,919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6,494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6,252</w:t>
            </w:r>
          </w:p>
        </w:tc>
      </w:tr>
      <w:tr>
        <w:trPr>
          <w:trHeight w:val="297"/>
        </w:trPr>
        <w:tc>
          <w:tcPr>
            <w:tcW w:w="6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Micron shareholders' equity</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12,187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12,264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12,302</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equity</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13,034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13,239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13,239</w:t>
            </w: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52"/>
        </w:trPr>
        <w:tc>
          <w:tcPr>
            <w:tcW w:w="8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2,</w:t>
            </w:r>
          </w:p>
        </w:tc>
        <w:tc>
          <w:tcPr>
            <w:tcW w:w="280" w:type="dxa"/>
            <w:vAlign w:val="bottom"/>
          </w:tcPr>
          <w:p>
            <w:pPr>
              <w:spacing w:after="0"/>
              <w:rPr>
                <w:sz w:val="21"/>
                <w:szCs w:val="21"/>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4,</w:t>
            </w:r>
          </w:p>
        </w:tc>
      </w:tr>
      <w:tr>
        <w:trPr>
          <w:trHeight w:val="234"/>
        </w:trPr>
        <w:tc>
          <w:tcPr>
            <w:tcW w:w="8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cash provided by (used for) investing activities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(4,722)</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r>
      <w:tr>
        <w:trPr>
          <w:trHeight w:val="297"/>
        </w:trPr>
        <w:tc>
          <w:tcPr>
            <w:tcW w:w="8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Expenditures for property, plant, and equipment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(2,256)</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debt and equipment sale-leaseback transactions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Repayments of debt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(2,051)</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to acquire treasury stock</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7"/>
        </w:trPr>
        <w:tc>
          <w:tcPr>
            <w:tcW w:w="8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80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(1) Other non-operating income (expense) consisted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580" w:type="dxa"/>
            <w:vAlign w:val="bottom"/>
          </w:tcPr>
          <w:p>
            <w:pPr>
              <w:spacing w:after="0"/>
              <w:rPr>
                <w:sz w:val="24"/>
                <w:szCs w:val="24"/>
                <w:color w:val="auto"/>
              </w:rPr>
            </w:pPr>
          </w:p>
        </w:tc>
        <w:tc>
          <w:tcPr>
            <w:tcW w:w="920" w:type="dxa"/>
            <w:vAlign w:val="bottom"/>
          </w:tcPr>
          <w:p>
            <w:pPr>
              <w:jc w:val="center"/>
              <w:ind w:left="270"/>
              <w:spacing w:after="0"/>
              <w:rPr>
                <w:sz w:val="20"/>
                <w:szCs w:val="20"/>
                <w:color w:val="auto"/>
              </w:rPr>
            </w:pPr>
            <w:r>
              <w:rPr>
                <w:rFonts w:ascii="Arial" w:cs="Arial" w:eastAsia="Arial" w:hAnsi="Arial"/>
                <w:sz w:val="18"/>
                <w:szCs w:val="18"/>
                <w:b w:val="1"/>
                <w:bCs w:val="1"/>
                <w:color w:val="auto"/>
                <w:w w:val="87"/>
              </w:rPr>
              <w:t>3</w:t>
            </w:r>
            <w:r>
              <w:rPr>
                <w:rFonts w:ascii="Arial" w:cs="Arial" w:eastAsia="Arial" w:hAnsi="Arial"/>
                <w:sz w:val="25"/>
                <w:szCs w:val="25"/>
                <w:b w:val="1"/>
                <w:bCs w:val="1"/>
                <w:color w:val="auto"/>
                <w:w w:val="87"/>
                <w:vertAlign w:val="superscript"/>
              </w:rPr>
              <w:t>rd</w:t>
            </w:r>
            <w:r>
              <w:rPr>
                <w:rFonts w:ascii="Arial" w:cs="Arial" w:eastAsia="Arial" w:hAnsi="Arial"/>
                <w:sz w:val="18"/>
                <w:szCs w:val="18"/>
                <w:b w:val="1"/>
                <w:bCs w:val="1"/>
                <w:color w:val="auto"/>
                <w:w w:val="87"/>
              </w:rPr>
              <w:t xml:space="preserve"> Qtr.</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ind w:left="250"/>
              <w:spacing w:after="0"/>
              <w:rPr>
                <w:sz w:val="20"/>
                <w:szCs w:val="20"/>
                <w:color w:val="auto"/>
              </w:rPr>
            </w:pPr>
            <w:r>
              <w:rPr>
                <w:rFonts w:ascii="Arial" w:cs="Arial" w:eastAsia="Arial" w:hAnsi="Arial"/>
                <w:sz w:val="18"/>
                <w:szCs w:val="18"/>
                <w:b w:val="1"/>
                <w:bCs w:val="1"/>
                <w:color w:val="auto"/>
                <w:w w:val="85"/>
              </w:rPr>
              <w:t>2</w:t>
            </w:r>
            <w:r>
              <w:rPr>
                <w:rFonts w:ascii="Arial" w:cs="Arial" w:eastAsia="Arial" w:hAnsi="Arial"/>
                <w:sz w:val="25"/>
                <w:szCs w:val="25"/>
                <w:b w:val="1"/>
                <w:bCs w:val="1"/>
                <w:color w:val="auto"/>
                <w:w w:val="85"/>
                <w:vertAlign w:val="superscript"/>
              </w:rPr>
              <w:t>nd</w:t>
            </w:r>
            <w:r>
              <w:rPr>
                <w:rFonts w:ascii="Arial" w:cs="Arial" w:eastAsia="Arial" w:hAnsi="Arial"/>
                <w:sz w:val="18"/>
                <w:szCs w:val="18"/>
                <w:b w:val="1"/>
                <w:bCs w:val="1"/>
                <w:color w:val="auto"/>
                <w:w w:val="85"/>
              </w:rPr>
              <w:t xml:space="preserve"> Qtr.</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3</w:t>
            </w:r>
            <w:r>
              <w:rPr>
                <w:rFonts w:ascii="Arial" w:cs="Arial" w:eastAsia="Arial" w:hAnsi="Arial"/>
                <w:sz w:val="25"/>
                <w:szCs w:val="25"/>
                <w:b w:val="1"/>
                <w:bCs w:val="1"/>
                <w:color w:val="auto"/>
                <w:w w:val="87"/>
                <w:vertAlign w:val="superscript"/>
              </w:rPr>
              <w:t>rd</w:t>
            </w:r>
            <w:r>
              <w:rPr>
                <w:rFonts w:ascii="Arial" w:cs="Arial" w:eastAsia="Arial" w:hAnsi="Arial"/>
                <w:sz w:val="18"/>
                <w:szCs w:val="18"/>
                <w:b w:val="1"/>
                <w:bCs w:val="1"/>
                <w:color w:val="auto"/>
                <w:w w:val="87"/>
              </w:rPr>
              <w:t xml:space="preserve"> Qtr.</w:t>
            </w:r>
          </w:p>
        </w:tc>
        <w:tc>
          <w:tcPr>
            <w:tcW w:w="220" w:type="dxa"/>
            <w:vAlign w:val="bottom"/>
          </w:tcPr>
          <w:p>
            <w:pPr>
              <w:spacing w:after="0"/>
              <w:rPr>
                <w:sz w:val="24"/>
                <w:szCs w:val="24"/>
                <w:color w:val="auto"/>
              </w:rPr>
            </w:pPr>
          </w:p>
        </w:tc>
        <w:tc>
          <w:tcPr>
            <w:tcW w:w="24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r>
      <w:tr>
        <w:trPr>
          <w:trHeight w:val="216"/>
        </w:trPr>
        <w:tc>
          <w:tcPr>
            <w:tcW w:w="4580" w:type="dxa"/>
            <w:vAlign w:val="bottom"/>
          </w:tcPr>
          <w:p>
            <w:pPr>
              <w:spacing w:after="0"/>
              <w:rPr>
                <w:sz w:val="18"/>
                <w:szCs w:val="18"/>
                <w:color w:val="auto"/>
              </w:rPr>
            </w:pPr>
          </w:p>
        </w:tc>
        <w:tc>
          <w:tcPr>
            <w:tcW w:w="920" w:type="dxa"/>
            <w:vAlign w:val="bottom"/>
          </w:tcPr>
          <w:p>
            <w:pPr>
              <w:jc w:val="center"/>
              <w:ind w:left="230"/>
              <w:spacing w:after="0"/>
              <w:rPr>
                <w:sz w:val="20"/>
                <w:szCs w:val="20"/>
                <w:color w:val="auto"/>
              </w:rPr>
            </w:pPr>
            <w:r>
              <w:rPr>
                <w:rFonts w:ascii="Arial" w:cs="Arial" w:eastAsia="Arial" w:hAnsi="Arial"/>
                <w:sz w:val="18"/>
                <w:szCs w:val="18"/>
                <w:b w:val="1"/>
                <w:bCs w:val="1"/>
                <w:color w:val="auto"/>
                <w:w w:val="90"/>
              </w:rPr>
              <w:t>June 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left="210"/>
              <w:spacing w:after="0"/>
              <w:rPr>
                <w:sz w:val="20"/>
                <w:szCs w:val="20"/>
                <w:color w:val="auto"/>
              </w:rPr>
            </w:pPr>
            <w:r>
              <w:rPr>
                <w:rFonts w:ascii="Arial" w:cs="Arial" w:eastAsia="Arial" w:hAnsi="Arial"/>
                <w:sz w:val="18"/>
                <w:szCs w:val="18"/>
                <w:b w:val="1"/>
                <w:bCs w:val="1"/>
                <w:color w:val="auto"/>
                <w:w w:val="95"/>
              </w:rPr>
              <w:t>March 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June 4,</w:t>
            </w:r>
          </w:p>
        </w:tc>
        <w:tc>
          <w:tcPr>
            <w:tcW w:w="22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2,</w:t>
            </w:r>
          </w:p>
        </w:tc>
        <w:tc>
          <w:tcPr>
            <w:tcW w:w="220" w:type="dxa"/>
            <w:vAlign w:val="bottom"/>
          </w:tcPr>
          <w:p>
            <w:pPr>
              <w:spacing w:after="0"/>
              <w:rPr>
                <w:sz w:val="18"/>
                <w:szCs w:val="18"/>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4,</w:t>
            </w:r>
          </w:p>
        </w:tc>
      </w:tr>
      <w:tr>
        <w:trPr>
          <w:trHeight w:val="234"/>
        </w:trPr>
        <w:tc>
          <w:tcPr>
            <w:tcW w:w="4580" w:type="dxa"/>
            <w:vAlign w:val="bottom"/>
          </w:tcPr>
          <w:p>
            <w:pPr>
              <w:spacing w:after="0"/>
              <w:rPr>
                <w:sz w:val="20"/>
                <w:szCs w:val="20"/>
                <w:color w:val="auto"/>
              </w:rPr>
            </w:pPr>
          </w:p>
        </w:tc>
        <w:tc>
          <w:tcPr>
            <w:tcW w:w="92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2016</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2016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45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changes in currency exchange rates</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Loss on restructure of debt</w:t>
            </w:r>
          </w:p>
        </w:tc>
        <w:tc>
          <w:tcPr>
            <w:tcW w:w="9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4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37"/>
        </w:trPr>
        <w:tc>
          <w:tcPr>
            <w:tcW w:w="4580" w:type="dxa"/>
            <w:vAlign w:val="bottom"/>
          </w:tcPr>
          <w:p>
            <w:pPr>
              <w:spacing w:after="0"/>
              <w:rPr>
                <w:sz w:val="20"/>
                <w:szCs w:val="20"/>
                <w:color w:val="auto"/>
              </w:rPr>
            </w:pPr>
          </w:p>
        </w:tc>
        <w:tc>
          <w:tcPr>
            <w:tcW w:w="92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(34)</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45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120"/>
        <w:spacing w:after="0" w:line="286" w:lineRule="auto"/>
        <w:rPr>
          <w:sz w:val="20"/>
          <w:szCs w:val="20"/>
          <w:color w:val="auto"/>
        </w:rPr>
      </w:pPr>
      <w:r>
        <w:rPr>
          <w:rFonts w:ascii="Arial" w:cs="Arial" w:eastAsia="Arial" w:hAnsi="Arial"/>
          <w:sz w:val="17"/>
          <w:szCs w:val="17"/>
          <w:color w:val="auto"/>
        </w:rPr>
        <w:t>In the third quarter of fiscal 2016, the company recognized other non-operating expense of $30 million to write off indemnification receivables upon the resolution of uncertain tax positions. In the first nine months of fiscal 2015, the company recognized losses of $48 million from transactions to restructure its debt, including conversions, settlements, and repurchases of convertible notes, and the early repayment of a note.</w:t>
      </w:r>
    </w:p>
    <w:p>
      <w:pPr>
        <w:spacing w:after="0" w:line="166" w:lineRule="exact"/>
        <w:rPr>
          <w:sz w:val="20"/>
          <w:szCs w:val="20"/>
          <w:color w:val="auto"/>
        </w:rPr>
      </w:pPr>
    </w:p>
    <w:p>
      <w:pPr>
        <w:ind w:left="340" w:right="60" w:hanging="332"/>
        <w:spacing w:after="0" w:line="255"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Income taxes for the third quarter of fiscal 2016, second quarter of fiscal 2016, and third quarter of fiscal 2015 included provisions of $71 million, $10 million and $67 million, respectively, related to utilization of, and other changes in, deferred tax assets of MMJ and MMT. Income taxes for the third and second quarters of fiscal 2016 also included tax benefits of $52 million and $6 million, respectively, related to the favorable resolution of certain prior year tax matters. Income taxes in the first quarter of fiscal 2016 included a benefit of $41 million from business acquisition activities. Remaining taxes for fiscal 2016 and 2015 primarily reflect taxes for the company's non-U.S. operations. Income taxes for U.S. operations in fiscal 2016 and 2015 were substantially offset by changes in the valuation allowance.</w:t>
      </w:r>
    </w:p>
    <w:p>
      <w:pPr>
        <w:spacing w:after="0" w:line="193" w:lineRule="exact"/>
        <w:rPr>
          <w:rFonts w:ascii="Arial" w:cs="Arial" w:eastAsia="Arial" w:hAnsi="Arial"/>
          <w:sz w:val="18"/>
          <w:szCs w:val="18"/>
          <w:color w:val="auto"/>
        </w:rPr>
      </w:pPr>
    </w:p>
    <w:p>
      <w:pPr>
        <w:ind w:left="340" w:right="160" w:hanging="332"/>
        <w:spacing w:after="0" w:line="297"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April 26, 2016, the company entered into the 2022 Term Loan B and drew an aggregate principal amount of $750 million due April 2022. The 2022 Term Loan B is collateralized by substantially all of the assets of Micron Technology, Inc. (the parent company) and Micron Semiconductor Products, Inc. ("MSP"), a subsidiary of the parent company, subject to certain exceptions and permitted liens on such assets. The assets collateralizing the 2022 Term Loan B also collateralize the 2023 Secured Notes, described below, on an equal and ratable basis, subject to certain limitations. Issuance costs for the 2022 Term Loan B totaled $16 million, which included an original issue discount of 1% of the initial aggregate principal amount.</w:t>
      </w:r>
    </w:p>
    <w:p>
      <w:pPr>
        <w:spacing w:after="0" w:line="158" w:lineRule="exact"/>
        <w:rPr>
          <w:rFonts w:ascii="Arial" w:cs="Arial" w:eastAsia="Arial" w:hAnsi="Arial"/>
          <w:sz w:val="16"/>
          <w:szCs w:val="16"/>
          <w:color w:val="auto"/>
        </w:rPr>
      </w:pPr>
    </w:p>
    <w:p>
      <w:pPr>
        <w:ind w:left="340" w:right="180"/>
        <w:spacing w:after="0" w:line="259" w:lineRule="auto"/>
        <w:rPr>
          <w:rFonts w:ascii="Arial" w:cs="Arial" w:eastAsia="Arial" w:hAnsi="Arial"/>
          <w:sz w:val="16"/>
          <w:szCs w:val="16"/>
          <w:color w:val="auto"/>
        </w:rPr>
      </w:pPr>
      <w:r>
        <w:rPr>
          <w:rFonts w:ascii="Arial" w:cs="Arial" w:eastAsia="Arial" w:hAnsi="Arial"/>
          <w:sz w:val="18"/>
          <w:szCs w:val="18"/>
          <w:color w:val="auto"/>
        </w:rPr>
        <w:t>On April 26, 2016, the company issued $1.25 billion in principal amount of 2023 Secured Notes due September 2023. The 2023 Secured Notes are collateralized by substantially all of the assets of Micron Technology, Inc. and MSP, subject to certain exceptions and permitted liens on such assets, on an equal and ratable right with the 2022 Term Loan B described above, subject to certain exceptions. Issuance costs for the 2023 Secured Notes totaled $13 million.</w:t>
      </w:r>
    </w:p>
    <w:p>
      <w:pPr>
        <w:spacing w:after="0" w:line="186" w:lineRule="exact"/>
        <w:rPr>
          <w:rFonts w:ascii="Arial" w:cs="Arial" w:eastAsia="Arial" w:hAnsi="Arial"/>
          <w:sz w:val="16"/>
          <w:szCs w:val="16"/>
          <w:color w:val="auto"/>
        </w:rPr>
      </w:pPr>
    </w:p>
    <w:p>
      <w:pPr>
        <w:ind w:left="340" w:right="40"/>
        <w:spacing w:after="0" w:line="277" w:lineRule="auto"/>
        <w:rPr>
          <w:rFonts w:ascii="Arial" w:cs="Arial" w:eastAsia="Arial" w:hAnsi="Arial"/>
          <w:sz w:val="16"/>
          <w:szCs w:val="16"/>
          <w:color w:val="auto"/>
        </w:rPr>
      </w:pPr>
      <w:r>
        <w:rPr>
          <w:rFonts w:ascii="Arial" w:cs="Arial" w:eastAsia="Arial" w:hAnsi="Arial"/>
          <w:sz w:val="18"/>
          <w:szCs w:val="18"/>
          <w:color w:val="auto"/>
        </w:rPr>
        <w:t>In connection with entering into the 2022 Term Loan B, on April 25, 2016, the company terminated its revolving credit facility entered into on December 2, 2014, and repaid the $50 million outstanding principal amount.</w:t>
      </w:r>
    </w:p>
    <w:p>
      <w:pPr>
        <w:spacing w:after="0" w:line="170" w:lineRule="exact"/>
        <w:rPr>
          <w:rFonts w:ascii="Arial" w:cs="Arial" w:eastAsia="Arial" w:hAnsi="Arial"/>
          <w:sz w:val="16"/>
          <w:szCs w:val="16"/>
          <w:color w:val="auto"/>
        </w:rPr>
      </w:pPr>
    </w:p>
    <w:p>
      <w:pPr>
        <w:jc w:val="both"/>
        <w:ind w:left="340"/>
        <w:spacing w:after="0" w:line="264" w:lineRule="auto"/>
        <w:rPr>
          <w:rFonts w:ascii="Arial" w:cs="Arial" w:eastAsia="Arial" w:hAnsi="Arial"/>
          <w:sz w:val="16"/>
          <w:szCs w:val="16"/>
          <w:color w:val="auto"/>
        </w:rPr>
      </w:pPr>
      <w:r>
        <w:rPr>
          <w:rFonts w:ascii="Arial" w:cs="Arial" w:eastAsia="Arial" w:hAnsi="Arial"/>
          <w:sz w:val="18"/>
          <w:szCs w:val="18"/>
          <w:color w:val="auto"/>
        </w:rPr>
        <w:t>In the third and second quarters of fiscal 2016, the company recorded capital lease obligations aggregating $130 million and $424 million, respectively, at weighted-average effective interest rates of 3.5% and 2.7%, respectively. In the first quarter of fiscal 2016, the company drew the remaining $174 million of financing under a term loan agreement, collateralized by certain property, plant, and equipment.</w:t>
      </w:r>
    </w:p>
    <w:p>
      <w:pPr>
        <w:sectPr>
          <w:pgSz w:w="11900" w:h="16838" w:orient="portrait"/>
          <w:cols w:equalWidth="0" w:num="1">
            <w:col w:w="11420"/>
          </w:cols>
          <w:pgMar w:left="240" w:top="800" w:right="239" w:bottom="1440" w:gutter="0" w:footer="0" w:header="0"/>
        </w:sectPr>
      </w:pPr>
    </w:p>
    <w:bookmarkStart w:id="9" w:name="page10"/>
    <w:bookmarkEnd w:id="9"/>
    <w:p>
      <w:pPr>
        <w:jc w:val="center"/>
        <w:ind w:left="34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4660" w:type="dxa"/>
            <w:vAlign w:val="bottom"/>
            <w:gridSpan w:val="2"/>
          </w:tcPr>
          <w:p>
            <w:pPr>
              <w:jc w:val="right"/>
              <w:ind w:right="1640"/>
              <w:spacing w:after="0"/>
              <w:rPr>
                <w:sz w:val="20"/>
                <w:szCs w:val="20"/>
                <w:color w:val="auto"/>
              </w:rPr>
            </w:pPr>
            <w:r>
              <w:rPr>
                <w:rFonts w:ascii="Arial" w:cs="Arial" w:eastAsia="Arial" w:hAnsi="Arial"/>
                <w:sz w:val="18"/>
                <w:szCs w:val="18"/>
                <w:b w:val="1"/>
                <w:bCs w:val="1"/>
                <w:color w:val="auto"/>
                <w:w w:val="91"/>
              </w:rPr>
              <w:t>(in millions except per share amounts)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12"/>
        </w:trPr>
        <w:tc>
          <w:tcPr>
            <w:tcW w:w="41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3</w:t>
            </w:r>
            <w:r>
              <w:rPr>
                <w:rFonts w:ascii="Arial" w:cs="Arial" w:eastAsia="Arial" w:hAnsi="Arial"/>
                <w:sz w:val="25"/>
                <w:szCs w:val="25"/>
                <w:b w:val="1"/>
                <w:bCs w:val="1"/>
                <w:color w:val="auto"/>
                <w:w w:val="87"/>
                <w:vertAlign w:val="superscript"/>
              </w:rPr>
              <w:t>rd</w:t>
            </w:r>
            <w:r>
              <w:rPr>
                <w:rFonts w:ascii="Arial" w:cs="Arial" w:eastAsia="Arial" w:hAnsi="Arial"/>
                <w:sz w:val="18"/>
                <w:szCs w:val="18"/>
                <w:b w:val="1"/>
                <w:bCs w:val="1"/>
                <w:color w:val="auto"/>
                <w:w w:val="87"/>
              </w:rPr>
              <w:t xml:space="preserve"> Qtr.</w:t>
            </w:r>
          </w:p>
        </w:tc>
        <w:tc>
          <w:tcPr>
            <w:tcW w:w="220" w:type="dxa"/>
            <w:vAlign w:val="bottom"/>
          </w:tcPr>
          <w:p>
            <w:pPr>
              <w:spacing w:after="0"/>
              <w:rPr>
                <w:sz w:val="24"/>
                <w:szCs w:val="24"/>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85"/>
              </w:rPr>
              <w:t>2</w:t>
            </w:r>
            <w:r>
              <w:rPr>
                <w:rFonts w:ascii="Arial" w:cs="Arial" w:eastAsia="Arial" w:hAnsi="Arial"/>
                <w:sz w:val="25"/>
                <w:szCs w:val="25"/>
                <w:b w:val="1"/>
                <w:bCs w:val="1"/>
                <w:color w:val="auto"/>
                <w:w w:val="85"/>
                <w:vertAlign w:val="superscript"/>
              </w:rPr>
              <w:t>nd</w:t>
            </w:r>
            <w:r>
              <w:rPr>
                <w:rFonts w:ascii="Arial" w:cs="Arial" w:eastAsia="Arial" w:hAnsi="Arial"/>
                <w:sz w:val="18"/>
                <w:szCs w:val="18"/>
                <w:b w:val="1"/>
                <w:bCs w:val="1"/>
                <w:color w:val="auto"/>
                <w:w w:val="85"/>
              </w:rPr>
              <w:t xml:space="preserve"> Qtr.</w:t>
            </w:r>
          </w:p>
        </w:tc>
      </w:tr>
      <w:tr>
        <w:trPr>
          <w:trHeight w:val="216"/>
        </w:trPr>
        <w:tc>
          <w:tcPr>
            <w:tcW w:w="41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June 2,</w:t>
            </w:r>
          </w:p>
        </w:tc>
        <w:tc>
          <w:tcPr>
            <w:tcW w:w="22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March 3,</w:t>
            </w:r>
          </w:p>
        </w:tc>
      </w:tr>
      <w:tr>
        <w:trPr>
          <w:trHeight w:val="234"/>
        </w:trPr>
        <w:tc>
          <w:tcPr>
            <w:tcW w:w="41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414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net income (loss) attributable to Micron</w:t>
            </w:r>
          </w:p>
        </w:tc>
        <w:tc>
          <w:tcPr>
            <w:tcW w:w="4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4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1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Restructure and asset impairments</w:t>
            </w:r>
          </w:p>
        </w:tc>
        <w:tc>
          <w:tcPr>
            <w:tcW w:w="4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4140" w:type="dxa"/>
            <w:vAlign w:val="bottom"/>
          </w:tcPr>
          <w:p>
            <w:pPr>
              <w:ind w:left="200"/>
              <w:spacing w:after="0"/>
              <w:rPr>
                <w:sz w:val="20"/>
                <w:szCs w:val="20"/>
                <w:color w:val="auto"/>
              </w:rPr>
            </w:pPr>
            <w:r>
              <w:rPr>
                <w:rFonts w:ascii="Arial" w:cs="Arial" w:eastAsia="Arial" w:hAnsi="Arial"/>
                <w:sz w:val="18"/>
                <w:szCs w:val="18"/>
                <w:color w:val="auto"/>
              </w:rPr>
              <w:t>Amortization of debt discount and other costs</w:t>
            </w:r>
          </w:p>
        </w:tc>
        <w:tc>
          <w:tcPr>
            <w:tcW w:w="4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41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Loss on restructure of debt</w:t>
            </w:r>
          </w:p>
        </w:tc>
        <w:tc>
          <w:tcPr>
            <w:tcW w:w="4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40" w:type="dxa"/>
            <w:vAlign w:val="bottom"/>
          </w:tcPr>
          <w:p>
            <w:pPr>
              <w:ind w:left="200"/>
              <w:spacing w:after="0"/>
              <w:rPr>
                <w:sz w:val="20"/>
                <w:szCs w:val="20"/>
                <w:color w:val="auto"/>
              </w:rPr>
            </w:pPr>
            <w:r>
              <w:rPr>
                <w:rFonts w:ascii="Arial" w:cs="Arial" w:eastAsia="Arial" w:hAnsi="Arial"/>
                <w:sz w:val="18"/>
                <w:szCs w:val="18"/>
                <w:color w:val="auto"/>
                <w:w w:val="92"/>
              </w:rPr>
              <w:t>(Gain) loss from changes in currency exchange rates</w:t>
            </w:r>
          </w:p>
        </w:tc>
        <w:tc>
          <w:tcPr>
            <w:tcW w:w="4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41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4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40" w:type="dxa"/>
            <w:vAlign w:val="bottom"/>
          </w:tcPr>
          <w:p>
            <w:pPr>
              <w:ind w:left="360"/>
              <w:spacing w:after="0"/>
              <w:rPr>
                <w:sz w:val="20"/>
                <w:szCs w:val="20"/>
                <w:color w:val="auto"/>
              </w:rPr>
            </w:pPr>
            <w:r>
              <w:rPr>
                <w:rFonts w:ascii="Arial" w:cs="Arial" w:eastAsia="Arial" w:hAnsi="Arial"/>
                <w:sz w:val="18"/>
                <w:szCs w:val="18"/>
                <w:color w:val="auto"/>
              </w:rPr>
              <w:t>Estimated tax effects of above items</w:t>
            </w:r>
          </w:p>
        </w:tc>
        <w:tc>
          <w:tcPr>
            <w:tcW w:w="4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1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Non-cash taxes from MMJ, MMT, and Inotera</w:t>
            </w:r>
          </w:p>
        </w:tc>
        <w:tc>
          <w:tcPr>
            <w:tcW w:w="44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37"/>
        </w:trPr>
        <w:tc>
          <w:tcPr>
            <w:tcW w:w="4140" w:type="dxa"/>
            <w:vAlign w:val="bottom"/>
          </w:tcPr>
          <w:p>
            <w:pPr>
              <w:ind w:left="360"/>
              <w:spacing w:after="0"/>
              <w:rPr>
                <w:sz w:val="20"/>
                <w:szCs w:val="20"/>
                <w:color w:val="auto"/>
              </w:rPr>
            </w:pPr>
            <w:r>
              <w:rPr>
                <w:rFonts w:ascii="Arial" w:cs="Arial" w:eastAsia="Arial" w:hAnsi="Arial"/>
                <w:sz w:val="18"/>
                <w:szCs w:val="18"/>
                <w:color w:val="auto"/>
              </w:rPr>
              <w:t>Total non-GAAP adjustments</w:t>
            </w:r>
          </w:p>
        </w:tc>
        <w:tc>
          <w:tcPr>
            <w:tcW w:w="44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414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(loss) attributable to Micron</w:t>
            </w:r>
          </w:p>
        </w:tc>
        <w:tc>
          <w:tcPr>
            <w:tcW w:w="4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1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Number of shares used in diluted per share calculations:</w:t>
            </w:r>
          </w:p>
        </w:tc>
        <w:tc>
          <w:tcPr>
            <w:tcW w:w="4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tcPr>
          <w:p>
            <w:pPr>
              <w:ind w:left="200"/>
              <w:spacing w:after="0"/>
              <w:rPr>
                <w:sz w:val="20"/>
                <w:szCs w:val="20"/>
                <w:color w:val="auto"/>
              </w:rPr>
            </w:pPr>
            <w:r>
              <w:rPr>
                <w:rFonts w:ascii="Arial" w:cs="Arial" w:eastAsia="Arial" w:hAnsi="Arial"/>
                <w:sz w:val="18"/>
                <w:szCs w:val="18"/>
                <w:color w:val="auto"/>
              </w:rPr>
              <w:t>GAAP</w:t>
            </w:r>
          </w:p>
        </w:tc>
        <w:tc>
          <w:tcPr>
            <w:tcW w:w="4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1,036</w:t>
            </w:r>
          </w:p>
        </w:tc>
      </w:tr>
      <w:tr>
        <w:trPr>
          <w:trHeight w:val="27"/>
        </w:trPr>
        <w:tc>
          <w:tcPr>
            <w:tcW w:w="41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Effect of capped calls</w:t>
            </w:r>
          </w:p>
        </w:tc>
        <w:tc>
          <w:tcPr>
            <w:tcW w:w="44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41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Non-GAAP</w:t>
            </w:r>
          </w:p>
        </w:tc>
        <w:tc>
          <w:tcPr>
            <w:tcW w:w="44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1,036</w:t>
            </w:r>
          </w:p>
        </w:tc>
      </w:tr>
      <w:tr>
        <w:trPr>
          <w:trHeight w:val="284"/>
        </w:trPr>
        <w:tc>
          <w:tcPr>
            <w:tcW w:w="4140" w:type="dxa"/>
            <w:vAlign w:val="bottom"/>
            <w:shd w:val="clear" w:color="auto" w:fill="CCEEFF"/>
          </w:tcPr>
          <w:p>
            <w:pPr>
              <w:spacing w:after="0"/>
              <w:rPr>
                <w:sz w:val="24"/>
                <w:szCs w:val="24"/>
                <w:color w:val="auto"/>
              </w:rPr>
            </w:pPr>
          </w:p>
        </w:tc>
        <w:tc>
          <w:tcPr>
            <w:tcW w:w="44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4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1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GAAP</w:t>
            </w:r>
          </w:p>
        </w:tc>
        <w:tc>
          <w:tcPr>
            <w:tcW w:w="4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43"/>
        </w:trPr>
        <w:tc>
          <w:tcPr>
            <w:tcW w:w="4140" w:type="dxa"/>
            <w:vAlign w:val="bottom"/>
          </w:tcPr>
          <w:p>
            <w:pPr>
              <w:ind w:left="200"/>
              <w:spacing w:after="0"/>
              <w:rPr>
                <w:sz w:val="20"/>
                <w:szCs w:val="20"/>
                <w:color w:val="auto"/>
              </w:rPr>
            </w:pPr>
            <w:r>
              <w:rPr>
                <w:rFonts w:ascii="Arial" w:cs="Arial" w:eastAsia="Arial" w:hAnsi="Arial"/>
                <w:sz w:val="18"/>
                <w:szCs w:val="18"/>
                <w:color w:val="auto"/>
              </w:rPr>
              <w:t>Effects of above</w:t>
            </w:r>
          </w:p>
        </w:tc>
        <w:tc>
          <w:tcPr>
            <w:tcW w:w="4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27"/>
        </w:trPr>
        <w:tc>
          <w:tcPr>
            <w:tcW w:w="414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Non-GAAP</w:t>
            </w:r>
          </w:p>
        </w:tc>
        <w:tc>
          <w:tcPr>
            <w:tcW w:w="4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firstLine="324"/>
        <w:spacing w:after="0" w:line="272" w:lineRule="auto"/>
        <w:rPr>
          <w:sz w:val="20"/>
          <w:szCs w:val="20"/>
          <w:color w:val="auto"/>
        </w:rPr>
      </w:pPr>
      <w:r>
        <w:rPr>
          <w:rFonts w:ascii="Arial" w:cs="Arial" w:eastAsia="Arial" w:hAnsi="Arial"/>
          <w:sz w:val="17"/>
          <w:szCs w:val="17"/>
          <w:color w:val="auto"/>
        </w:rPr>
        <w:t>The table above sets forth non-GAAP net income (loss) attributable to Micron, diluted shares and diluted earnings (loss) per share. The adjustments above may or may not be infrequent or nonrecurring in nature but are a result of periodic or non-core operating activities of the company. The company believes this non-GAAP information is helpful to understanding trends and in analyzing the company's operating results and earnings. The company is providing this information to investors to assist in performing analyses of the company's operating results. When evaluating performance and making decisions on how to allocate company resources, management uses this non-GAAP information and believes investors should have access to similar data when making their investment decisions. The presentation of these adjusted amounts vary from numbers presented in accordance with U.S. GAAP and therefore may not be comparable to amounts reported by other companies.</w:t>
      </w:r>
    </w:p>
    <w:p>
      <w:pPr>
        <w:spacing w:after="0" w:line="178"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The company's management excludes the following items in analyzing the company's operating results and understanding trends in the company's earnings:</w:t>
      </w:r>
    </w:p>
    <w:p>
      <w:pPr>
        <w:spacing w:after="0" w:line="1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23"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Amortization of debt discount and other costs, including the accretion of non-cash interest expense associated with the company's convertible debt and the MMJ installment debt;</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on restructure of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(Gain) loss from changes in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estimated tax effects of above items; and</w:t>
      </w:r>
    </w:p>
    <w:p>
      <w:pPr>
        <w:spacing w:after="0" w:line="9" w:lineRule="exact"/>
        <w:rPr>
          <w:rFonts w:ascii="Arial" w:cs="Arial" w:eastAsia="Arial" w:hAnsi="Arial"/>
          <w:sz w:val="18"/>
          <w:szCs w:val="18"/>
          <w:color w:val="auto"/>
        </w:rPr>
      </w:pPr>
    </w:p>
    <w:p>
      <w:pPr>
        <w:ind w:left="660" w:right="2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Non-cash taxes related to utilization of, and other changes in, deferred tax assets of MMJ, MMT, and Inotera (an equity method investment of the company).</w:t>
      </w:r>
    </w:p>
    <w:p>
      <w:pPr>
        <w:spacing w:after="0" w:line="184"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Non-GAAP diluted shares include the impact of the company's outstanding capped call transactions, which are anti-dilutive in GAAP earnings per share but are expected to mitigate the dilutive effect of the company's convertible notes. The anti-dilutive effect of the capped calls is based on the average share price for the period the capped calls are outstanding during the quarter.</w:t>
      </w:r>
    </w:p>
    <w:sectPr>
      <w:pgSz w:w="11900" w:h="16838" w:orient="portrait"/>
      <w:cols w:equalWidth="0" w:num="1">
        <w:col w:w="11400"/>
      </w:cols>
      <w:pgMar w:left="240" w:top="79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2019-12-05T16:49:34Z</dcterms:created>
  <dcterms:modified xsi:type="dcterms:W3CDTF">2019-12-05T16:49:34Z</dcterms:modified>
</cp:coreProperties>
</file>