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color w:val="auto"/>
        </w:rPr>
        <w:t>SEC Form 4</w:t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7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ind w:left="380"/>
        <w:spacing w:after="0" w:line="239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39370</wp:posOffset>
            </wp:positionH>
            <wp:positionV relativeFrom="paragraph">
              <wp:posOffset>-244475</wp:posOffset>
            </wp:positionV>
            <wp:extent cx="137160" cy="13716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160" cy="1371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6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5"/>
        </w:trPr>
        <w:tc>
          <w:tcPr>
            <w:tcW w:w="6580" w:type="dxa"/>
            <w:vAlign w:val="bottom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5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9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5506720</wp:posOffset>
            </wp:positionH>
            <wp:positionV relativeFrom="paragraph">
              <wp:posOffset>-655320</wp:posOffset>
            </wp:positionV>
            <wp:extent cx="59690" cy="66865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4168775</wp:posOffset>
            </wp:positionH>
            <wp:positionV relativeFrom="paragraph">
              <wp:posOffset>-655320</wp:posOffset>
            </wp:positionV>
            <wp:extent cx="59690" cy="66865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-1670685</wp:posOffset>
            </wp:positionH>
            <wp:positionV relativeFrom="paragraph">
              <wp:posOffset>13970</wp:posOffset>
            </wp:positionV>
            <wp:extent cx="7272020" cy="517080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72020" cy="517080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96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80" w:space="240"/>
            <w:col w:w="8800"/>
          </w:cols>
          <w:pgMar w:left="240" w:top="226" w:right="23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2"/>
          <w:szCs w:val="22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2"/>
            <w:szCs w:val="22"/>
            <w:u w:val="single" w:color="auto"/>
            <w:color w:val="0000EE"/>
          </w:rPr>
          <w:t>Shields Brian</w:t>
        </w:r>
      </w:hyperlink>
    </w:p>
    <w:p>
      <w:pPr>
        <w:spacing w:after="0" w:line="317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80" w:val="left"/>
          <w:tab w:leader="none" w:pos="26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(Middle)</w:t>
      </w:r>
    </w:p>
    <w:p>
      <w:pPr>
        <w:spacing w:after="0" w:line="61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8000 S FEDERAL WAY</w:t>
      </w:r>
    </w:p>
    <w:p>
      <w:pPr>
        <w:spacing w:after="0" w:line="63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MS 1-557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2. Issuer Name </w:t>
      </w: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Ticker or Trading Symbol</w:t>
      </w:r>
    </w:p>
    <w:p>
      <w:pPr>
        <w:spacing w:after="0" w:line="1" w:lineRule="exact"/>
        <w:rPr>
          <w:sz w:val="24"/>
          <w:szCs w:val="24"/>
          <w:color w:val="auto"/>
        </w:rPr>
      </w:pPr>
    </w:p>
    <w:p>
      <w:pPr>
        <w:spacing w:after="0"/>
        <w:rPr>
          <w:rFonts w:ascii="Arial" w:cs="Arial" w:eastAsia="Arial" w:hAnsi="Arial"/>
          <w:sz w:val="21"/>
          <w:szCs w:val="21"/>
          <w:color w:val="0000EE"/>
        </w:rPr>
      </w:pPr>
      <w:hyperlink r:id="rId13">
        <w:r>
          <w:rPr>
            <w:rFonts w:ascii="Arial" w:cs="Arial" w:eastAsia="Arial" w:hAnsi="Arial"/>
            <w:sz w:val="21"/>
            <w:szCs w:val="21"/>
            <w:u w:val="single" w:color="auto"/>
            <w:color w:val="0000EE"/>
          </w:rPr>
          <w:t>MICRON TECHNOLOGY INC</w:t>
        </w:r>
        <w:r>
          <w:rPr>
            <w:rFonts w:ascii="Arial" w:cs="Arial" w:eastAsia="Arial" w:hAnsi="Arial"/>
            <w:sz w:val="21"/>
            <w:szCs w:val="21"/>
            <w:color w:val="0000EE"/>
          </w:rPr>
          <w:t xml:space="preserve"> </w:t>
        </w:r>
      </w:hyperlink>
      <w:r>
        <w:rPr>
          <w:rFonts w:ascii="Arial" w:cs="Arial" w:eastAsia="Arial" w:hAnsi="Arial"/>
          <w:sz w:val="21"/>
          <w:szCs w:val="21"/>
          <w:color w:val="000000"/>
        </w:rPr>
        <w:t>[</w:t>
      </w:r>
      <w:r>
        <w:rPr>
          <w:rFonts w:ascii="Arial" w:cs="Arial" w:eastAsia="Arial" w:hAnsi="Arial"/>
          <w:sz w:val="21"/>
          <w:szCs w:val="21"/>
          <w:color w:val="0000EE"/>
        </w:rPr>
        <w:t xml:space="preserve"> </w:t>
      </w:r>
      <w:r>
        <w:rPr>
          <w:rFonts w:ascii="Arial" w:cs="Arial" w:eastAsia="Arial" w:hAnsi="Arial"/>
          <w:sz w:val="16"/>
          <w:szCs w:val="16"/>
          <w:color w:val="0000FF"/>
        </w:rPr>
        <w:t>MU</w:t>
      </w:r>
      <w:r>
        <w:rPr>
          <w:rFonts w:ascii="Arial" w:cs="Arial" w:eastAsia="Arial" w:hAnsi="Arial"/>
          <w:sz w:val="21"/>
          <w:szCs w:val="21"/>
          <w:color w:val="0000EE"/>
        </w:rPr>
        <w:t xml:space="preserve"> </w:t>
      </w:r>
      <w:r>
        <w:rPr>
          <w:rFonts w:ascii="Arial" w:cs="Arial" w:eastAsia="Arial" w:hAnsi="Arial"/>
          <w:sz w:val="21"/>
          <w:szCs w:val="21"/>
          <w:color w:val="000000"/>
        </w:rPr>
        <w:t>]</w:t>
      </w:r>
    </w:p>
    <w:p>
      <w:pPr>
        <w:spacing w:after="0" w:line="376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3. Date of Earliest Transaction (Month/Day/Year)</w:t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09/26/2010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ind w:left="3" w:right="520" w:hanging="3"/>
        <w:spacing w:after="0" w:line="231" w:lineRule="auto"/>
        <w:tabs>
          <w:tab w:leader="none" w:pos="153" w:val="left"/>
        </w:tabs>
        <w:numPr>
          <w:ilvl w:val="0"/>
          <w:numId w:val="1"/>
        </w:numPr>
        <w:rPr>
          <w:rFonts w:ascii="Arial" w:cs="Arial" w:eastAsia="Arial" w:hAnsi="Arial"/>
          <w:sz w:val="14"/>
          <w:szCs w:val="14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Relationship of Reporting Person(s) to Issuer (Check all applicable)</w:t>
      </w:r>
    </w:p>
    <w:p>
      <w:pPr>
        <w:spacing w:after="0" w:line="28" w:lineRule="exact"/>
        <w:rPr>
          <w:sz w:val="24"/>
          <w:szCs w:val="24"/>
          <w:color w:val="auto"/>
        </w:rPr>
      </w:pPr>
    </w:p>
    <w:tbl>
      <w:tblPr>
        <w:tblLayout w:type="fixed"/>
        <w:tblInd w:w="203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2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Director</w:t>
            </w:r>
          </w:p>
        </w:tc>
        <w:tc>
          <w:tcPr>
            <w:tcW w:w="118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2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X</w:t>
            </w:r>
          </w:p>
        </w:tc>
        <w:tc>
          <w:tcPr>
            <w:tcW w:w="14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Officer (give title</w:t>
            </w:r>
          </w:p>
        </w:tc>
        <w:tc>
          <w:tcPr>
            <w:tcW w:w="118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4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7"/>
        </w:trPr>
        <w:tc>
          <w:tcPr>
            <w:tcW w:w="2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118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6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3" w:lineRule="exact"/>
        <w:rPr>
          <w:sz w:val="24"/>
          <w:szCs w:val="24"/>
          <w:color w:val="auto"/>
        </w:rPr>
      </w:pPr>
    </w:p>
    <w:p>
      <w:pPr>
        <w:ind w:left="703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VP World Wide Wafer Fab</w:t>
      </w:r>
    </w:p>
    <w:p>
      <w:pPr>
        <w:spacing w:after="0" w:line="406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360" w:space="720"/>
            <w:col w:w="3400" w:space="577"/>
            <w:col w:w="3363"/>
          </w:cols>
          <w:pgMar w:left="240" w:top="226" w:right="239" w:bottom="1440" w:gutter="0" w:footer="0" w:header="0"/>
          <w:type w:val="continuous"/>
        </w:sect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880" w:type="dxa"/>
            <w:vAlign w:val="bottom"/>
            <w:gridSpan w:val="7"/>
          </w:tcPr>
          <w:p>
            <w:pPr>
              <w:ind w:left="160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4. If Amendment, Date of Original Filed (Month/Day/Year)</w:t>
            </w:r>
          </w:p>
        </w:tc>
        <w:tc>
          <w:tcPr>
            <w:tcW w:w="3620" w:type="dxa"/>
            <w:vAlign w:val="bottom"/>
            <w:gridSpan w:val="7"/>
          </w:tcPr>
          <w:p>
            <w:pPr>
              <w:ind w:left="260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(Street)</w:t>
            </w: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Line)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260" w:type="dxa"/>
            <w:vAlign w:val="bottom"/>
            <w:gridSpan w:val="6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 xml:space="preserve">X   </w:t>
            </w:r>
            <w:r>
              <w:rPr>
                <w:rFonts w:ascii="Arial" w:cs="Arial" w:eastAsia="Arial" w:hAnsi="Arial"/>
                <w:sz w:val="13"/>
                <w:szCs w:val="13"/>
                <w:color w:val="000000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BOISE</w:t>
            </w:r>
          </w:p>
        </w:tc>
        <w:tc>
          <w:tcPr>
            <w:tcW w:w="860" w:type="dxa"/>
            <w:vAlign w:val="bottom"/>
            <w:vMerge w:val="restart"/>
          </w:tcPr>
          <w:p>
            <w:pPr>
              <w:ind w:left="6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ID</w:t>
            </w: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83707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60" w:type="dxa"/>
            <w:vAlign w:val="bottom"/>
            <w:gridSpan w:val="6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6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980" w:type="dxa"/>
            <w:vAlign w:val="bottom"/>
            <w:gridSpan w:val="5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Form filed by More than One 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98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Person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(City)</w:t>
            </w:r>
          </w:p>
        </w:tc>
        <w:tc>
          <w:tcPr>
            <w:tcW w:w="1900" w:type="dxa"/>
            <w:vAlign w:val="bottom"/>
            <w:gridSpan w:val="2"/>
            <w:vMerge w:val="restart"/>
          </w:tcPr>
          <w:p>
            <w:pPr>
              <w:ind w:left="6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(State)</w:t>
            </w:r>
          </w:p>
        </w:tc>
        <w:tc>
          <w:tcPr>
            <w:tcW w:w="126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(Zip)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9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6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54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80" w:type="dxa"/>
            <w:vAlign w:val="bottom"/>
            <w:tcBorders>
              <w:top w:val="single" w:sz="8" w:color="2C2C2C"/>
            </w:tcBorders>
            <w:gridSpan w:val="14"/>
          </w:tcPr>
          <w:p>
            <w:pPr>
              <w:jc w:val="center"/>
              <w:ind w:left="2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Table I - Non-Derivative Securities Acquired, Disposed of, or Beneficially Owned</w:t>
            </w:r>
          </w:p>
        </w:tc>
        <w:tc>
          <w:tcPr>
            <w:tcW w:w="9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4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7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4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840" w:type="dxa"/>
            <w:vAlign w:val="bottom"/>
            <w:gridSpan w:val="3"/>
          </w:tcPr>
          <w:p>
            <w:pPr>
              <w:ind w:left="7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0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2060" w:type="dxa"/>
            <w:vAlign w:val="bottom"/>
            <w:gridSpan w:val="4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7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Transaction</w:t>
            </w:r>
          </w:p>
        </w:tc>
        <w:tc>
          <w:tcPr>
            <w:tcW w:w="2060" w:type="dxa"/>
            <w:vAlign w:val="bottom"/>
            <w:gridSpan w:val="4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40" w:type="dxa"/>
            <w:vAlign w:val="bottom"/>
            <w:gridSpan w:val="3"/>
          </w:tcPr>
          <w:p>
            <w:pPr>
              <w:ind w:left="7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0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Code (Instr.</w:t>
            </w:r>
          </w:p>
        </w:tc>
        <w:tc>
          <w:tcPr>
            <w:tcW w:w="700" w:type="dxa"/>
            <w:vAlign w:val="bottom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2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restart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restart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700" w:type="dxa"/>
            <w:vAlign w:val="bottom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720" w:type="dxa"/>
            <w:vAlign w:val="bottom"/>
          </w:tcPr>
          <w:p>
            <w:pPr>
              <w:ind w:left="2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4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vMerge w:val="restart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</w:t>
            </w: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8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8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09/26/2010</w:t>
            </w: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F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3,529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ind w:lef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right"/>
              <w:ind w:right="3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98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  <w:w w:val="98"/>
              </w:rPr>
              <w:t>7.2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w w:val="98"/>
                <w:vertAlign w:val="superscript"/>
              </w:rPr>
              <w:t>(1)</w:t>
            </w: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right"/>
              <w:ind w:right="31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316,017</w:t>
            </w: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60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</w:t>
            </w: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0" w:type="dxa"/>
            <w:vAlign w:val="bottom"/>
            <w:vMerge w:val="restart"/>
          </w:tcPr>
          <w:p>
            <w:pPr>
              <w:jc w:val="right"/>
              <w:ind w:right="45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6"/>
              </w:rPr>
              <w:t>444</w:t>
            </w:r>
          </w:p>
        </w:tc>
        <w:tc>
          <w:tcPr>
            <w:tcW w:w="920" w:type="dxa"/>
            <w:vAlign w:val="bottom"/>
            <w:vMerge w:val="restart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I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Held by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2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Spouse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76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54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80" w:type="dxa"/>
            <w:vAlign w:val="bottom"/>
            <w:tcBorders>
              <w:top w:val="single" w:sz="8" w:color="2C2C2C"/>
            </w:tcBorders>
            <w:gridSpan w:val="13"/>
          </w:tcPr>
          <w:p>
            <w:pPr>
              <w:jc w:val="center"/>
              <w:ind w:left="84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Table II - Derivative Securities Acquired, Disposed of, or Beneficially Owned</w:t>
            </w:r>
          </w:p>
        </w:tc>
        <w:tc>
          <w:tcPr>
            <w:tcW w:w="8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780" w:type="dxa"/>
            <w:vAlign w:val="bottom"/>
            <w:gridSpan w:val="11"/>
          </w:tcPr>
          <w:p>
            <w:pPr>
              <w:jc w:val="center"/>
              <w:ind w:left="27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(e.g., puts, calls, warrants, options, convertible securities)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04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72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80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4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20" w:type="dxa"/>
            <w:vAlign w:val="bottom"/>
            <w:gridSpan w:val="3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72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4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20" w:type="dxa"/>
            <w:vAlign w:val="bottom"/>
            <w:gridSpan w:val="3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2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58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80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60" w:type="dxa"/>
            <w:vAlign w:val="bottom"/>
            <w:gridSpan w:val="3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 3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4)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2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360" w:type="dxa"/>
            <w:vAlign w:val="bottom"/>
            <w:gridSpan w:val="3"/>
          </w:tcPr>
          <w:p>
            <w:pPr>
              <w:ind w:left="5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5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60" w:type="dxa"/>
            <w:vAlign w:val="bottom"/>
            <w:gridSpan w:val="3"/>
          </w:tcPr>
          <w:p>
            <w:pPr>
              <w:ind w:left="5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0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720" w:type="dxa"/>
            <w:vAlign w:val="bottom"/>
          </w:tcPr>
          <w:p>
            <w:pPr>
              <w:ind w:left="5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360" w:type="dxa"/>
            <w:vAlign w:val="bottom"/>
            <w:gridSpan w:val="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   Shares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96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Explanation of Responses:</w:t>
      </w:r>
    </w:p>
    <w:p>
      <w:pPr>
        <w:spacing w:after="0" w:line="47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008000"/>
        </w:rPr>
        <w:t>1. Withholding of shares of common stock to satisfy tax withholding obligations in connection with the vesting of restricted stock awarded under the Issuer's 2004 Equity Incentive Plan.</w:t>
      </w:r>
    </w:p>
    <w:p>
      <w:pPr>
        <w:spacing w:after="0" w:line="34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Remarks:</w:t>
      </w:r>
    </w:p>
    <w:p>
      <w:pPr>
        <w:spacing w:after="0" w:line="118" w:lineRule="exact"/>
        <w:rPr>
          <w:sz w:val="24"/>
          <w:szCs w:val="24"/>
          <w:color w:val="auto"/>
        </w:rPr>
      </w:pPr>
    </w:p>
    <w:tbl>
      <w:tblPr>
        <w:tblLayout w:type="fixed"/>
        <w:tblInd w:w="686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07"/>
        </w:trPr>
        <w:tc>
          <w:tcPr>
            <w:tcW w:w="20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2"/>
              </w:rPr>
              <w:t>Katie Reid, Attorney-in-fact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960" w:type="dxa"/>
            <w:vAlign w:val="bottom"/>
            <w:gridSpan w:val="2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6"/>
              </w:rPr>
              <w:t>09/26/2010</w:t>
            </w:r>
          </w:p>
        </w:tc>
      </w:tr>
      <w:tr>
        <w:trPr>
          <w:trHeight w:val="20"/>
        </w:trPr>
        <w:tc>
          <w:tcPr>
            <w:tcW w:w="200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6"/>
        </w:trPr>
        <w:tc>
          <w:tcPr>
            <w:tcW w:w="20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7"/>
              </w:rPr>
              <w:t>** Signature of Reporting Person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60" w:type="dxa"/>
            <w:vAlign w:val="bottom"/>
            <w:gridSpan w:val="2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Date</w:t>
            </w:r>
          </w:p>
        </w:tc>
      </w:tr>
    </w:tbl>
    <w:p>
      <w:pPr>
        <w:spacing w:after="0" w:line="4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Reminder: Report on a separate line for each class of securities beneficially owned directly or indirectly.</w:t>
      </w:r>
    </w:p>
    <w:p>
      <w:pPr>
        <w:spacing w:after="0" w:line="28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4"/>
          <w:szCs w:val="14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Instruction 4 (b)(v).</w:t>
      </w:r>
    </w:p>
    <w:p>
      <w:pPr>
        <w:spacing w:after="0" w:line="42" w:lineRule="exact"/>
        <w:rPr>
          <w:sz w:val="24"/>
          <w:szCs w:val="24"/>
          <w:color w:val="auto"/>
        </w:rPr>
      </w:pPr>
    </w:p>
    <w:p>
      <w:pPr>
        <w:jc w:val="both"/>
        <w:ind w:left="40" w:right="3580" w:firstLine="9"/>
        <w:spacing w:after="0" w:line="350" w:lineRule="auto"/>
        <w:tabs>
          <w:tab w:leader="none" w:pos="183" w:val="left"/>
        </w:tabs>
        <w:numPr>
          <w:ilvl w:val="0"/>
          <w:numId w:val="2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420"/>
      </w:cols>
      <w:pgMar w:left="240" w:top="226" w:right="2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hyperlink" Target="http://www.sec.gov/cgi-bin/browse-edgar?action=getcompany&amp;CIK=0001361309" TargetMode="External"/><Relationship Id="rId13" Type="http://schemas.openxmlformats.org/officeDocument/2006/relationships/hyperlink" Target="http://www.sec.gov/cgi-bin/browse-edgar?action=getcompany&amp;CIK=0000723125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2019-12-16T03:52:01Z</dcterms:created>
  <dcterms:modified xsi:type="dcterms:W3CDTF">2019-12-16T03:52:01Z</dcterms:modified>
</cp:coreProperties>
</file>