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the Issuer)</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US$0.10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595112103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Nanya Technology Corp.</w:t>
      </w:r>
    </w:p>
    <w:p>
      <w:pPr>
        <w:spacing w:after="0" w:line="50"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No. 98, Nanlin Rd.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Taishan Dist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Taipei City 24308, Taiwan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and Telephone Number of Person Authorized to Receive Notices and Communications)</w:t>
      </w: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a copy to:</w:t>
      </w:r>
    </w:p>
    <w:p>
      <w:pPr>
        <w:spacing w:after="0" w:line="32"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Remsen Kinne, Esq.</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K&amp;L Gates LLP</w:t>
      </w:r>
    </w:p>
    <w:p>
      <w:pPr>
        <w:spacing w:after="0" w:line="50"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Suite 1200</w:t>
      </w:r>
    </w:p>
    <w:p>
      <w:pPr>
        <w:spacing w:after="0" w:line="36"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Four Embarcadero</w:t>
      </w:r>
    </w:p>
    <w:p>
      <w:pPr>
        <w:spacing w:after="0" w:line="5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San Francisco, CA 94111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(415) 882 8200</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1" w:name="page2"/>
    <w:bookmarkEnd w:id="1"/>
    <w:p>
      <w:pPr>
        <w:ind w:right="5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10" w:lineRule="exact"/>
        <w:rPr>
          <w:sz w:val="20"/>
          <w:szCs w:val="20"/>
          <w:color w:val="auto"/>
        </w:rPr>
      </w:pPr>
    </w:p>
    <w:p>
      <w:pPr>
        <w:ind w:right="22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w:t>
      </w:r>
      <w:r>
        <w:rPr>
          <w:rFonts w:ascii="Arial" w:cs="Arial" w:eastAsia="Arial" w:hAnsi="Arial"/>
          <w:sz w:val="16"/>
          <w:szCs w:val="16"/>
          <w:b w:val="1"/>
          <w:bCs w:val="1"/>
          <w:color w:val="auto"/>
        </w:rPr>
        <w:t>Act</w:t>
      </w:r>
      <w:r>
        <w:rPr>
          <w:rFonts w:ascii="Arial" w:cs="Arial" w:eastAsia="Arial" w:hAnsi="Arial"/>
          <w:sz w:val="16"/>
          <w:szCs w:val="16"/>
          <w:color w:val="auto"/>
        </w:rPr>
        <w:t>”) or otherwise subject to the liabilities of that section of the Act but shall be subject to all other provisions of the Act (however, see the Notes).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5676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676900"/>
                    </a:xfrm>
                    <a:prstGeom prst="rect">
                      <a:avLst/>
                    </a:prstGeom>
                    <a:noFill/>
                  </pic:spPr>
                </pic:pic>
              </a:graphicData>
            </a:graphic>
          </wp:anchor>
        </w:drawing>
        <w:t>CUSIP No. 595112103</w:t>
      </w:r>
    </w:p>
    <w:p>
      <w:pPr>
        <w:spacing w:after="0" w:line="162" w:lineRule="exact"/>
        <w:rPr>
          <w:sz w:val="20"/>
          <w:szCs w:val="20"/>
          <w:color w:val="auto"/>
        </w:rPr>
      </w:pPr>
    </w:p>
    <w:p>
      <w:pPr>
        <w:ind w:left="1380" w:hanging="8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9"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Nanya Technology Corp.</w:t>
      </w:r>
    </w:p>
    <w:p>
      <w:pPr>
        <w:spacing w:after="0" w:line="143" w:lineRule="exact"/>
        <w:rPr>
          <w:rFonts w:ascii="Arial" w:cs="Arial" w:eastAsia="Arial" w:hAnsi="Arial"/>
          <w:sz w:val="18"/>
          <w:szCs w:val="18"/>
          <w:color w:val="auto"/>
        </w:rPr>
      </w:pPr>
    </w:p>
    <w:p>
      <w:pPr>
        <w:ind w:left="1380" w:hanging="8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w:t>
      </w:r>
    </w:p>
    <w:p>
      <w:pPr>
        <w:spacing w:after="0" w:line="23" w:lineRule="exact"/>
        <w:rPr>
          <w:rFonts w:ascii="Arial" w:cs="Arial" w:eastAsia="Arial" w:hAnsi="Arial"/>
          <w:sz w:val="18"/>
          <w:szCs w:val="18"/>
          <w:color w:val="auto"/>
        </w:rPr>
      </w:pPr>
    </w:p>
    <w:p>
      <w:pPr>
        <w:ind w:left="1640" w:hanging="253"/>
        <w:spacing w:after="0" w:line="207" w:lineRule="exact"/>
        <w:tabs>
          <w:tab w:leader="none" w:pos="16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640" w:hanging="253"/>
        <w:spacing w:after="0" w:line="207" w:lineRule="exact"/>
        <w:tabs>
          <w:tab w:leader="none" w:pos="16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41" w:lineRule="exact"/>
        <w:rPr>
          <w:rFonts w:ascii="Arial" w:cs="Arial" w:eastAsia="Arial" w:hAnsi="Arial"/>
          <w:sz w:val="18"/>
          <w:szCs w:val="18"/>
          <w:color w:val="auto"/>
        </w:rPr>
      </w:pPr>
    </w:p>
    <w:p>
      <w:pPr>
        <w:ind w:left="1380" w:hanging="8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 w:lineRule="exact"/>
        <w:rPr>
          <w:rFonts w:ascii="Arial" w:cs="Arial" w:eastAsia="Arial" w:hAnsi="Arial"/>
          <w:sz w:val="18"/>
          <w:szCs w:val="18"/>
          <w:color w:val="auto"/>
        </w:rPr>
      </w:pPr>
    </w:p>
    <w:p>
      <w:pPr>
        <w:ind w:left="1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5" w:lineRule="exact"/>
        <w:rPr>
          <w:rFonts w:ascii="Arial" w:cs="Arial" w:eastAsia="Arial" w:hAnsi="Arial"/>
          <w:sz w:val="18"/>
          <w:szCs w:val="18"/>
          <w:color w:val="auto"/>
        </w:rPr>
      </w:pPr>
    </w:p>
    <w:p>
      <w:pPr>
        <w:ind w:left="1380" w:hanging="8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143" w:lineRule="exact"/>
        <w:rPr>
          <w:rFonts w:ascii="Arial" w:cs="Arial" w:eastAsia="Arial" w:hAnsi="Arial"/>
          <w:sz w:val="18"/>
          <w:szCs w:val="18"/>
          <w:color w:val="auto"/>
        </w:rPr>
      </w:pPr>
    </w:p>
    <w:p>
      <w:pPr>
        <w:ind w:left="1380" w:hanging="8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8" w:lineRule="exact"/>
        <w:rPr>
          <w:rFonts w:ascii="Arial" w:cs="Arial" w:eastAsia="Arial" w:hAnsi="Arial"/>
          <w:sz w:val="18"/>
          <w:szCs w:val="18"/>
          <w:color w:val="auto"/>
        </w:rPr>
      </w:pPr>
    </w:p>
    <w:p>
      <w:pPr>
        <w:ind w:left="1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5" w:lineRule="exact"/>
        <w:rPr>
          <w:rFonts w:ascii="Arial" w:cs="Arial" w:eastAsia="Arial" w:hAnsi="Arial"/>
          <w:sz w:val="18"/>
          <w:szCs w:val="18"/>
          <w:color w:val="auto"/>
        </w:rPr>
      </w:pPr>
    </w:p>
    <w:p>
      <w:pPr>
        <w:ind w:left="1380" w:hanging="824"/>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Taiwan, Republic of China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92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0"/>
        </w:trPr>
        <w:tc>
          <w:tcPr>
            <w:tcW w:w="1640" w:type="dxa"/>
            <w:vAlign w:val="bottom"/>
          </w:tcPr>
          <w:p>
            <w:pPr>
              <w:spacing w:after="0"/>
              <w:rPr>
                <w:sz w:val="20"/>
                <w:szCs w:val="20"/>
                <w:color w:val="auto"/>
              </w:rPr>
            </w:pPr>
            <w:r>
              <w:rPr>
                <w:rFonts w:ascii="Arial" w:cs="Arial" w:eastAsia="Arial" w:hAnsi="Arial"/>
                <w:sz w:val="18"/>
                <w:szCs w:val="18"/>
                <w:color w:val="auto"/>
              </w:rPr>
              <w:t>SHARES</w:t>
            </w:r>
          </w:p>
        </w:tc>
        <w:tc>
          <w:tcPr>
            <w:tcW w:w="500" w:type="dxa"/>
            <w:vAlign w:val="bottom"/>
          </w:tcPr>
          <w:p>
            <w:pPr>
              <w:spacing w:after="0"/>
              <w:rPr>
                <w:sz w:val="19"/>
                <w:szCs w:val="19"/>
                <w:color w:val="auto"/>
              </w:rPr>
            </w:pPr>
          </w:p>
        </w:tc>
        <w:tc>
          <w:tcPr>
            <w:tcW w:w="9200" w:type="dxa"/>
            <w:vAlign w:val="bottom"/>
          </w:tcPr>
          <w:p>
            <w:pPr>
              <w:ind w:left="160"/>
              <w:spacing w:after="0"/>
              <w:rPr>
                <w:sz w:val="20"/>
                <w:szCs w:val="20"/>
                <w:color w:val="auto"/>
              </w:rPr>
            </w:pPr>
            <w:r>
              <w:rPr>
                <w:rFonts w:ascii="Arial" w:cs="Arial" w:eastAsia="Arial" w:hAnsi="Arial"/>
                <w:sz w:val="18"/>
                <w:szCs w:val="18"/>
                <w:b w:val="1"/>
                <w:bCs w:val="1"/>
                <w:color w:val="auto"/>
              </w:rPr>
              <w:t>46,166,058</w:t>
            </w:r>
          </w:p>
        </w:tc>
        <w:tc>
          <w:tcPr>
            <w:tcW w:w="0" w:type="dxa"/>
            <w:vAlign w:val="bottom"/>
          </w:tcPr>
          <w:p>
            <w:pPr>
              <w:spacing w:after="0"/>
              <w:rPr>
                <w:sz w:val="1"/>
                <w:szCs w:val="1"/>
                <w:color w:val="auto"/>
              </w:rPr>
            </w:pPr>
          </w:p>
        </w:tc>
      </w:tr>
      <w:tr>
        <w:trPr>
          <w:trHeight w:val="82"/>
        </w:trPr>
        <w:tc>
          <w:tcPr>
            <w:tcW w:w="16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500" w:type="dxa"/>
            <w:vAlign w:val="bottom"/>
            <w:tcBorders>
              <w:bottom w:val="single" w:sz="8" w:color="auto"/>
            </w:tcBorders>
          </w:tcPr>
          <w:p>
            <w:pPr>
              <w:spacing w:after="0"/>
              <w:rPr>
                <w:sz w:val="7"/>
                <w:szCs w:val="7"/>
                <w:color w:val="auto"/>
              </w:rPr>
            </w:pPr>
          </w:p>
        </w:tc>
        <w:tc>
          <w:tcPr>
            <w:tcW w:w="9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640" w:type="dxa"/>
            <w:vAlign w:val="bottom"/>
            <w:vMerge w:val="continue"/>
          </w:tcPr>
          <w:p>
            <w:pPr>
              <w:spacing w:after="0"/>
              <w:rPr>
                <w:sz w:val="9"/>
                <w:szCs w:val="9"/>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5"/>
        </w:trPr>
        <w:tc>
          <w:tcPr>
            <w:tcW w:w="1640" w:type="dxa"/>
            <w:vAlign w:val="bottom"/>
            <w:vMerge w:val="restart"/>
          </w:tcPr>
          <w:p>
            <w:pPr>
              <w:spacing w:after="0"/>
              <w:rPr>
                <w:sz w:val="20"/>
                <w:szCs w:val="20"/>
                <w:color w:val="auto"/>
              </w:rPr>
            </w:pPr>
            <w:r>
              <w:rPr>
                <w:rFonts w:ascii="Arial" w:cs="Arial" w:eastAsia="Arial" w:hAnsi="Arial"/>
                <w:sz w:val="18"/>
                <w:szCs w:val="18"/>
                <w:color w:val="auto"/>
              </w:rPr>
              <w:t>OWNED BY EACH</w:t>
            </w:r>
          </w:p>
        </w:tc>
        <w:tc>
          <w:tcPr>
            <w:tcW w:w="500" w:type="dxa"/>
            <w:vAlign w:val="bottom"/>
            <w:vMerge w:val="continue"/>
          </w:tcPr>
          <w:p>
            <w:pPr>
              <w:spacing w:after="0"/>
              <w:rPr>
                <w:sz w:val="12"/>
                <w:szCs w:val="12"/>
                <w:color w:val="auto"/>
              </w:rPr>
            </w:pPr>
          </w:p>
        </w:tc>
        <w:tc>
          <w:tcPr>
            <w:tcW w:w="9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6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92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163"/>
        </w:trPr>
        <w:tc>
          <w:tcPr>
            <w:tcW w:w="16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640" w:type="dxa"/>
            <w:vAlign w:val="bottom"/>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color w:val="auto"/>
              </w:rPr>
              <w:t>9.</w:t>
            </w:r>
          </w:p>
        </w:tc>
        <w:tc>
          <w:tcPr>
            <w:tcW w:w="92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8"/>
        </w:trPr>
        <w:tc>
          <w:tcPr>
            <w:tcW w:w="16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9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0" w:type="dxa"/>
            <w:vAlign w:val="bottom"/>
          </w:tcPr>
          <w:p>
            <w:pPr>
              <w:ind w:left="160"/>
              <w:spacing w:after="0"/>
              <w:rPr>
                <w:sz w:val="20"/>
                <w:szCs w:val="20"/>
                <w:color w:val="auto"/>
              </w:rPr>
            </w:pPr>
            <w:r>
              <w:rPr>
                <w:rFonts w:ascii="Arial" w:cs="Arial" w:eastAsia="Arial" w:hAnsi="Arial"/>
                <w:sz w:val="18"/>
                <w:szCs w:val="18"/>
                <w:b w:val="1"/>
                <w:bCs w:val="1"/>
                <w:color w:val="auto"/>
              </w:rPr>
              <w:t>46,166,058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300" w:hanging="479"/>
        <w:spacing w:after="0"/>
        <w:tabs>
          <w:tab w:leader="none" w:pos="2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b w:val="1"/>
          <w:bCs w:val="1"/>
          <w:color w:val="auto"/>
        </w:rPr>
        <w:t>N/A</w:t>
      </w:r>
    </w:p>
    <w:p>
      <w:pPr>
        <w:spacing w:after="0" w:line="143" w:lineRule="exact"/>
        <w:rPr>
          <w:rFonts w:ascii="Arial" w:cs="Arial" w:eastAsia="Arial" w:hAnsi="Arial"/>
          <w:sz w:val="18"/>
          <w:szCs w:val="18"/>
          <w:color w:val="auto"/>
        </w:rPr>
      </w:pPr>
    </w:p>
    <w:p>
      <w:pPr>
        <w:ind w:left="1380" w:hanging="866"/>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46,166,058</w:t>
      </w:r>
    </w:p>
    <w:p>
      <w:pPr>
        <w:spacing w:after="0" w:line="143" w:lineRule="exact"/>
        <w:rPr>
          <w:rFonts w:ascii="Arial" w:cs="Arial" w:eastAsia="Arial" w:hAnsi="Arial"/>
          <w:sz w:val="18"/>
          <w:szCs w:val="18"/>
          <w:color w:val="auto"/>
        </w:rPr>
      </w:pPr>
    </w:p>
    <w:p>
      <w:pPr>
        <w:ind w:left="1380" w:hanging="869"/>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N/A</w:t>
      </w:r>
    </w:p>
    <w:p>
      <w:pPr>
        <w:spacing w:after="0" w:line="143" w:lineRule="exact"/>
        <w:rPr>
          <w:rFonts w:ascii="Arial" w:cs="Arial" w:eastAsia="Arial" w:hAnsi="Arial"/>
          <w:sz w:val="18"/>
          <w:szCs w:val="18"/>
          <w:color w:val="auto"/>
        </w:rPr>
      </w:pPr>
    </w:p>
    <w:p>
      <w:pPr>
        <w:ind w:left="1380" w:hanging="869"/>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4.17%</w:t>
      </w:r>
    </w:p>
    <w:p>
      <w:pPr>
        <w:spacing w:after="0" w:line="143" w:lineRule="exact"/>
        <w:rPr>
          <w:rFonts w:ascii="Arial" w:cs="Arial" w:eastAsia="Arial" w:hAnsi="Arial"/>
          <w:sz w:val="18"/>
          <w:szCs w:val="18"/>
          <w:color w:val="auto"/>
        </w:rPr>
      </w:pPr>
    </w:p>
    <w:p>
      <w:pPr>
        <w:ind w:left="1380" w:hanging="869"/>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0" w:lineRule="exact"/>
        <w:rPr>
          <w:sz w:val="20"/>
          <w:szCs w:val="20"/>
          <w:color w:val="auto"/>
        </w:rPr>
      </w:pPr>
    </w:p>
    <w:p>
      <w:pPr>
        <w:spacing w:after="0" w:line="29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320" w:top="445" w:right="239" w:bottom="1440" w:gutter="0" w:footer="0" w:header="0"/>
        </w:sectPr>
      </w:pPr>
    </w:p>
    <w:bookmarkStart w:id="3" w:name="page4"/>
    <w:bookmarkEnd w:id="3"/>
    <w:p>
      <w:pPr>
        <w:jc w:val="both"/>
        <w:ind w:firstLine="648"/>
        <w:spacing w:after="0" w:line="281" w:lineRule="auto"/>
        <w:rPr>
          <w:sz w:val="20"/>
          <w:szCs w:val="20"/>
          <w:color w:val="auto"/>
        </w:rPr>
      </w:pPr>
      <w:r>
        <w:rPr>
          <w:rFonts w:ascii="Arial" w:cs="Arial" w:eastAsia="Arial" w:hAnsi="Arial"/>
          <w:sz w:val="17"/>
          <w:szCs w:val="17"/>
          <w:color w:val="auto"/>
        </w:rPr>
        <w:t>This amendment No. 1 (the “</w:t>
      </w:r>
      <w:r>
        <w:rPr>
          <w:rFonts w:ascii="Arial" w:cs="Arial" w:eastAsia="Arial" w:hAnsi="Arial"/>
          <w:sz w:val="17"/>
          <w:szCs w:val="17"/>
          <w:b w:val="1"/>
          <w:bCs w:val="1"/>
          <w:color w:val="auto"/>
        </w:rPr>
        <w:t>Amendment No. 1</w:t>
      </w:r>
      <w:r>
        <w:rPr>
          <w:rFonts w:ascii="Arial" w:cs="Arial" w:eastAsia="Arial" w:hAnsi="Arial"/>
          <w:sz w:val="17"/>
          <w:szCs w:val="17"/>
          <w:color w:val="auto"/>
        </w:rPr>
        <w:t>”) to Schedule 13D relates to the Schedule 13D filed on December 12, 2016 (the “</w:t>
      </w:r>
      <w:r>
        <w:rPr>
          <w:rFonts w:ascii="Arial" w:cs="Arial" w:eastAsia="Arial" w:hAnsi="Arial"/>
          <w:sz w:val="17"/>
          <w:szCs w:val="17"/>
          <w:b w:val="1"/>
          <w:bCs w:val="1"/>
          <w:color w:val="auto"/>
        </w:rPr>
        <w:t>Original</w:t>
      </w:r>
      <w:r>
        <w:rPr>
          <w:rFonts w:ascii="Arial" w:cs="Arial" w:eastAsia="Arial" w:hAnsi="Arial"/>
          <w:sz w:val="17"/>
          <w:szCs w:val="17"/>
          <w:color w:val="auto"/>
        </w:rPr>
        <w:t xml:space="preserve"> </w:t>
      </w:r>
      <w:r>
        <w:rPr>
          <w:rFonts w:ascii="Arial" w:cs="Arial" w:eastAsia="Arial" w:hAnsi="Arial"/>
          <w:sz w:val="17"/>
          <w:szCs w:val="17"/>
          <w:b w:val="1"/>
          <w:bCs w:val="1"/>
          <w:color w:val="auto"/>
        </w:rPr>
        <w:t>Schedule 13D</w:t>
      </w:r>
      <w:r>
        <w:rPr>
          <w:rFonts w:ascii="Arial" w:cs="Arial" w:eastAsia="Arial" w:hAnsi="Arial"/>
          <w:sz w:val="17"/>
          <w:szCs w:val="17"/>
          <w:color w:val="auto"/>
        </w:rPr>
        <w:t>”, as amended and supplemented through the date of this Amendment No. 1, the “</w:t>
      </w:r>
      <w:r>
        <w:rPr>
          <w:rFonts w:ascii="Arial" w:cs="Arial" w:eastAsia="Arial" w:hAnsi="Arial"/>
          <w:sz w:val="17"/>
          <w:szCs w:val="17"/>
          <w:b w:val="1"/>
          <w:bCs w:val="1"/>
          <w:color w:val="auto"/>
        </w:rPr>
        <w:t>Schedule 13D</w:t>
      </w:r>
      <w:r>
        <w:rPr>
          <w:rFonts w:ascii="Arial" w:cs="Arial" w:eastAsia="Arial" w:hAnsi="Arial"/>
          <w:sz w:val="17"/>
          <w:szCs w:val="17"/>
          <w:color w:val="auto"/>
        </w:rPr>
        <w:t>”) by Nanya Technology Corp., a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by shares incorporated under the laws of the Republic of China (Taiwan) (“</w:t>
      </w:r>
      <w:r>
        <w:rPr>
          <w:rFonts w:ascii="Arial" w:cs="Arial" w:eastAsia="Arial" w:hAnsi="Arial"/>
          <w:sz w:val="17"/>
          <w:szCs w:val="17"/>
          <w:b w:val="1"/>
          <w:bCs w:val="1"/>
          <w:color w:val="auto"/>
        </w:rPr>
        <w:t>Nanya</w:t>
      </w:r>
      <w:r>
        <w:rPr>
          <w:rFonts w:ascii="Arial" w:cs="Arial" w:eastAsia="Arial" w:hAnsi="Arial"/>
          <w:sz w:val="17"/>
          <w:szCs w:val="17"/>
          <w:color w:val="auto"/>
        </w:rPr>
        <w:t>”) relating to the shares of Common Stock, US$0.10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Micron Technology, Inc., a company under the laws of the State of Delaware, U.S.A. (“</w:t>
      </w:r>
      <w:r>
        <w:rPr>
          <w:rFonts w:ascii="Arial" w:cs="Arial" w:eastAsia="Arial" w:hAnsi="Arial"/>
          <w:sz w:val="17"/>
          <w:szCs w:val="17"/>
          <w:b w:val="1"/>
          <w:bCs w:val="1"/>
          <w:color w:val="auto"/>
        </w:rPr>
        <w:t>Micron</w:t>
      </w:r>
      <w:r>
        <w:rPr>
          <w:rFonts w:ascii="Arial" w:cs="Arial" w:eastAsia="Arial" w:hAnsi="Arial"/>
          <w:sz w:val="17"/>
          <w:szCs w:val="17"/>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but not defined in this Amendment No. 1 shall have the meanings set forth in the Schedule 13D.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specifically amended by this Amendment No. 1, the Schedule 13D is unchanged.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Source and Amount of Funds or Other Considerations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3 of the Schedule 13D is hereby amended and supplemented by adding the following information as the second paragraph:</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June 14 to 26, 2017, Nanya sold a total of 11,614,080 shares of Common Stock on the public market. As of the date of this Amendment No. 1, Nanya beneficially owns 46,166,058 shares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Interest in Securities of the Issuer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of the Schedule 13D is hereby amended and supplemented by adding the following information:</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(b) Nanya beneficially owns 46,166,058 shares of Common Stock, representing approximately 4.17% (rounded off to nearest tenth) of the issued and outstanding share capital of Micron. This ownership percentage has been calculated based on 1,106,307,123 shares of Common Stock outstanding as of March 21, 2017 as reported in Micron’s Quarterly Report on Form 10-Q filed on March 28, 2017 for the quarterly period ended March 2, 2017/</w:t>
      </w:r>
    </w:p>
    <w:p>
      <w:pPr>
        <w:spacing w:after="0" w:line="174" w:lineRule="exact"/>
        <w:rPr>
          <w:sz w:val="20"/>
          <w:szCs w:val="20"/>
          <w:color w:val="auto"/>
        </w:rPr>
      </w:pPr>
    </w:p>
    <w:p>
      <w:pPr>
        <w:ind w:right="20" w:firstLine="656"/>
        <w:spacing w:after="0" w:line="277" w:lineRule="auto"/>
        <w:tabs>
          <w:tab w:leader="none" w:pos="904"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 99.1, which is incorporated by reference into this Item 5(c) as if restated in full, describes all of the transactions in the Common Stock that were effected in the past 60 days by Nanya.”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Contracts, Arrangements, Understandings or Relationships with Respect to Securities of the Issuer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6 of the Schedule 13D is hereby amended and supplemented by adding the following information as the second paragraph:</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“Nanya sold a total of 11,614,080 shares of Common Stock on the public market. as set forth in 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7. Material to Be Filed as 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7 of the Schedule 13D is hereby amended and supplemented by adding the following exhibit:</w:t>
      </w:r>
    </w:p>
    <w:p>
      <w:pPr>
        <w:spacing w:after="0" w:line="25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Trading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ind w:left="20"/>
              <w:spacing w:after="0"/>
              <w:rPr>
                <w:sz w:val="20"/>
                <w:szCs w:val="20"/>
                <w:color w:val="auto"/>
              </w:rPr>
            </w:pPr>
            <w:r>
              <w:rPr>
                <w:rFonts w:ascii="Arial" w:cs="Arial" w:eastAsia="Arial" w:hAnsi="Arial"/>
                <w:sz w:val="18"/>
                <w:szCs w:val="18"/>
                <w:color w:val="auto"/>
              </w:rPr>
              <w:t>Dated: June 28, 2017</w:t>
            </w:r>
          </w:p>
        </w:tc>
        <w:tc>
          <w:tcPr>
            <w:tcW w:w="6360" w:type="dxa"/>
            <w:vAlign w:val="bottom"/>
            <w:gridSpan w:val="3"/>
          </w:tcPr>
          <w:p>
            <w:pPr>
              <w:ind w:left="1800"/>
              <w:spacing w:after="0"/>
              <w:rPr>
                <w:sz w:val="20"/>
                <w:szCs w:val="20"/>
                <w:color w:val="auto"/>
              </w:rPr>
            </w:pPr>
            <w:r>
              <w:rPr>
                <w:rFonts w:ascii="Arial" w:cs="Arial" w:eastAsia="Arial" w:hAnsi="Arial"/>
                <w:sz w:val="18"/>
                <w:szCs w:val="18"/>
                <w:b w:val="1"/>
                <w:bCs w:val="1"/>
                <w:color w:val="auto"/>
              </w:rPr>
              <w:t>NANYA TECHNOLOGY CORP</w:t>
            </w:r>
          </w:p>
        </w:tc>
        <w:tc>
          <w:tcPr>
            <w:tcW w:w="1700" w:type="dxa"/>
            <w:vAlign w:val="bottom"/>
          </w:tcPr>
          <w:p>
            <w:pPr>
              <w:spacing w:after="0"/>
              <w:rPr>
                <w:sz w:val="20"/>
                <w:szCs w:val="20"/>
                <w:color w:val="auto"/>
              </w:rPr>
            </w:pPr>
          </w:p>
        </w:tc>
      </w:tr>
      <w:tr>
        <w:trPr>
          <w:trHeight w:val="493"/>
        </w:trPr>
        <w:tc>
          <w:tcPr>
            <w:tcW w:w="3360" w:type="dxa"/>
            <w:vAlign w:val="bottom"/>
          </w:tcPr>
          <w:p>
            <w:pPr>
              <w:spacing w:after="0"/>
              <w:rPr>
                <w:sz w:val="24"/>
                <w:szCs w:val="24"/>
                <w:color w:val="auto"/>
              </w:rPr>
            </w:pPr>
          </w:p>
        </w:tc>
        <w:tc>
          <w:tcPr>
            <w:tcW w:w="2300" w:type="dxa"/>
            <w:vAlign w:val="bottom"/>
          </w:tcPr>
          <w:p>
            <w:pPr>
              <w:ind w:left="180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Pei-Ing Lee</w:t>
            </w:r>
          </w:p>
        </w:tc>
        <w:tc>
          <w:tcPr>
            <w:tcW w:w="1700" w:type="dxa"/>
            <w:vAlign w:val="bottom"/>
          </w:tcPr>
          <w:p>
            <w:pPr>
              <w:spacing w:after="0"/>
              <w:rPr>
                <w:sz w:val="24"/>
                <w:szCs w:val="24"/>
                <w:color w:val="auto"/>
              </w:rPr>
            </w:pPr>
          </w:p>
        </w:tc>
      </w:tr>
      <w:tr>
        <w:trPr>
          <w:trHeight w:val="237"/>
        </w:trPr>
        <w:tc>
          <w:tcPr>
            <w:tcW w:w="3360" w:type="dxa"/>
            <w:vAlign w:val="bottom"/>
          </w:tcPr>
          <w:p>
            <w:pPr>
              <w:spacing w:after="0"/>
              <w:rPr>
                <w:sz w:val="20"/>
                <w:szCs w:val="20"/>
                <w:color w:val="auto"/>
              </w:rPr>
            </w:pPr>
          </w:p>
        </w:tc>
        <w:tc>
          <w:tcPr>
            <w:tcW w:w="2300" w:type="dxa"/>
            <w:vAlign w:val="bottom"/>
          </w:tcPr>
          <w:p>
            <w:pPr>
              <w:ind w:left="1800"/>
              <w:spacing w:after="0"/>
              <w:rPr>
                <w:sz w:val="20"/>
                <w:szCs w:val="20"/>
                <w:color w:val="auto"/>
              </w:rPr>
            </w:pPr>
            <w:r>
              <w:rPr>
                <w:rFonts w:ascii="Arial" w:cs="Arial" w:eastAsia="Arial" w:hAnsi="Arial"/>
                <w:sz w:val="18"/>
                <w:szCs w:val="18"/>
                <w:color w:val="auto"/>
                <w:w w:val="90"/>
              </w:rPr>
              <w:t>Name:</w:t>
            </w:r>
          </w:p>
        </w:tc>
        <w:tc>
          <w:tcPr>
            <w:tcW w:w="8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Pei-Ing Lee</w:t>
            </w:r>
          </w:p>
        </w:tc>
        <w:tc>
          <w:tcPr>
            <w:tcW w:w="1700" w:type="dxa"/>
            <w:vAlign w:val="bottom"/>
          </w:tcPr>
          <w:p>
            <w:pPr>
              <w:spacing w:after="0"/>
              <w:rPr>
                <w:sz w:val="20"/>
                <w:szCs w:val="20"/>
                <w:color w:val="auto"/>
              </w:rPr>
            </w:pPr>
          </w:p>
        </w:tc>
      </w:tr>
      <w:tr>
        <w:trPr>
          <w:trHeight w:val="237"/>
        </w:trPr>
        <w:tc>
          <w:tcPr>
            <w:tcW w:w="3360" w:type="dxa"/>
            <w:vAlign w:val="bottom"/>
          </w:tcPr>
          <w:p>
            <w:pPr>
              <w:spacing w:after="0"/>
              <w:rPr>
                <w:sz w:val="20"/>
                <w:szCs w:val="20"/>
                <w:color w:val="auto"/>
              </w:rPr>
            </w:pPr>
          </w:p>
        </w:tc>
        <w:tc>
          <w:tcPr>
            <w:tcW w:w="2300" w:type="dxa"/>
            <w:vAlign w:val="bottom"/>
          </w:tcPr>
          <w:p>
            <w:pPr>
              <w:ind w:left="180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1700" w:type="dxa"/>
            <w:vAlign w:val="bottom"/>
          </w:tcPr>
          <w:p>
            <w:pPr>
              <w:spacing w:after="0"/>
              <w:rPr>
                <w:sz w:val="20"/>
                <w:szCs w:val="20"/>
                <w:color w:val="auto"/>
              </w:rPr>
            </w:pPr>
          </w:p>
        </w:tc>
      </w:tr>
      <w:tr>
        <w:trPr>
          <w:trHeight w:val="851"/>
        </w:trPr>
        <w:tc>
          <w:tcPr>
            <w:tcW w:w="3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60" w:type="dxa"/>
            <w:vAlign w:val="bottom"/>
            <w:gridSpan w:val="2"/>
          </w:tcPr>
          <w:p>
            <w:pPr>
              <w:jc w:val="right"/>
              <w:ind w:right="3870"/>
              <w:spacing w:after="0"/>
              <w:rPr>
                <w:sz w:val="20"/>
                <w:szCs w:val="20"/>
                <w:color w:val="auto"/>
              </w:rPr>
            </w:pPr>
            <w:r>
              <w:rPr>
                <w:rFonts w:ascii="Arial" w:cs="Arial" w:eastAsia="Arial" w:hAnsi="Arial"/>
                <w:sz w:val="18"/>
                <w:szCs w:val="18"/>
                <w:color w:val="auto"/>
                <w:w w:val="79"/>
              </w:rPr>
              <w:t>5</w:t>
            </w:r>
          </w:p>
        </w:tc>
        <w:tc>
          <w:tcPr>
            <w:tcW w:w="1700" w:type="dxa"/>
            <w:vAlign w:val="bottom"/>
          </w:tcPr>
          <w:p>
            <w:pPr>
              <w:spacing w:after="0"/>
              <w:rPr>
                <w:sz w:val="24"/>
                <w:szCs w:val="24"/>
                <w:color w:val="auto"/>
              </w:rPr>
            </w:pPr>
          </w:p>
        </w:tc>
      </w:tr>
      <w:tr>
        <w:trPr>
          <w:trHeight w:val="61"/>
        </w:trPr>
        <w:tc>
          <w:tcPr>
            <w:tcW w:w="336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9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jc w:val="right"/>
        <w:ind w:right="3599"/>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Trading Data</w:t>
      </w:r>
    </w:p>
    <w:p>
      <w:pPr>
        <w:sectPr>
          <w:pgSz w:w="11900" w:h="16838" w:orient="portrait"/>
          <w:cols w:equalWidth="0" w:num="1">
            <w:col w:w="10219"/>
          </w:cols>
          <w:pgMar w:left="240" w:top="364"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Exhibit 99.1 Trading Data</w:t>
      </w:r>
    </w:p>
    <w:p>
      <w:pPr>
        <w:spacing w:after="0" w:line="200" w:lineRule="exact"/>
        <w:rPr>
          <w:sz w:val="20"/>
          <w:szCs w:val="20"/>
          <w:color w:val="auto"/>
        </w:rPr>
      </w:pP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440" w:type="dxa"/>
            <w:vAlign w:val="bottom"/>
            <w:tcBorders>
              <w:top w:val="single" w:sz="8" w:color="auto"/>
              <w:left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Name</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Security</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Purchase (P) /</w:t>
            </w:r>
          </w:p>
        </w:tc>
        <w:tc>
          <w:tcPr>
            <w:tcW w:w="1880" w:type="dxa"/>
            <w:vAlign w:val="bottom"/>
            <w:tcBorders>
              <w:top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Quantity</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Price ($)</w:t>
            </w:r>
          </w:p>
        </w:tc>
        <w:tc>
          <w:tcPr>
            <w:tcW w:w="13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Trade Date</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Sales(S)</w:t>
            </w:r>
          </w:p>
        </w:tc>
        <w:tc>
          <w:tcPr>
            <w:tcW w:w="18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41"/>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r>
      <w:tr>
        <w:trPr>
          <w:trHeight w:val="250"/>
        </w:trPr>
        <w:tc>
          <w:tcPr>
            <w:tcW w:w="2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Nanya Technology Corp.</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MU COMMON STOCK</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S</w:t>
            </w:r>
          </w:p>
        </w:tc>
        <w:tc>
          <w:tcPr>
            <w:tcW w:w="18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1,264,080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31.554000</w:t>
            </w:r>
          </w:p>
        </w:tc>
        <w:tc>
          <w:tcPr>
            <w:tcW w:w="1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6/14/2017</w:t>
            </w:r>
          </w:p>
        </w:tc>
      </w:tr>
      <w:tr>
        <w:trPr>
          <w:trHeight w:val="41"/>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r>
      <w:tr>
        <w:trPr>
          <w:trHeight w:val="250"/>
        </w:trPr>
        <w:tc>
          <w:tcPr>
            <w:tcW w:w="2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Nanya Technology Corp.</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MU COMMON STOCK</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S</w:t>
            </w:r>
          </w:p>
        </w:tc>
        <w:tc>
          <w:tcPr>
            <w:tcW w:w="18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5,000,000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30.541056</w:t>
            </w:r>
          </w:p>
        </w:tc>
        <w:tc>
          <w:tcPr>
            <w:tcW w:w="1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6/15/2017</w:t>
            </w:r>
          </w:p>
        </w:tc>
      </w:tr>
      <w:tr>
        <w:trPr>
          <w:trHeight w:val="41"/>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r>
      <w:tr>
        <w:trPr>
          <w:trHeight w:val="250"/>
        </w:trPr>
        <w:tc>
          <w:tcPr>
            <w:tcW w:w="2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Nanya Technology Corp.</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MU COMMON STOCK</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S</w:t>
            </w:r>
          </w:p>
        </w:tc>
        <w:tc>
          <w:tcPr>
            <w:tcW w:w="18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1,000,000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31.037165</w:t>
            </w:r>
          </w:p>
        </w:tc>
        <w:tc>
          <w:tcPr>
            <w:tcW w:w="1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6/19/2017</w:t>
            </w:r>
          </w:p>
        </w:tc>
      </w:tr>
      <w:tr>
        <w:trPr>
          <w:trHeight w:val="41"/>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r>
      <w:tr>
        <w:trPr>
          <w:trHeight w:val="250"/>
        </w:trPr>
        <w:tc>
          <w:tcPr>
            <w:tcW w:w="2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Nanya Technology Corp.</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MU COMMON STOCK</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S</w:t>
            </w:r>
          </w:p>
        </w:tc>
        <w:tc>
          <w:tcPr>
            <w:tcW w:w="18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1,000,000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31.197444</w:t>
            </w:r>
          </w:p>
        </w:tc>
        <w:tc>
          <w:tcPr>
            <w:tcW w:w="1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6/20/2017</w:t>
            </w:r>
          </w:p>
        </w:tc>
      </w:tr>
      <w:tr>
        <w:trPr>
          <w:trHeight w:val="41"/>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r>
      <w:tr>
        <w:trPr>
          <w:trHeight w:val="250"/>
        </w:trPr>
        <w:tc>
          <w:tcPr>
            <w:tcW w:w="2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Nanya Technology Corp.</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MU COMMON STOCK</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S</w:t>
            </w:r>
          </w:p>
        </w:tc>
        <w:tc>
          <w:tcPr>
            <w:tcW w:w="18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1,750,000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31.647114</w:t>
            </w:r>
          </w:p>
        </w:tc>
        <w:tc>
          <w:tcPr>
            <w:tcW w:w="1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6/21/2017</w:t>
            </w:r>
          </w:p>
        </w:tc>
      </w:tr>
      <w:tr>
        <w:trPr>
          <w:trHeight w:val="41"/>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r>
      <w:tr>
        <w:trPr>
          <w:trHeight w:val="250"/>
        </w:trPr>
        <w:tc>
          <w:tcPr>
            <w:tcW w:w="2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Nanya Technology Corp.</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MU COMMON STOCK</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S</w:t>
            </w:r>
          </w:p>
        </w:tc>
        <w:tc>
          <w:tcPr>
            <w:tcW w:w="18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286,288</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32.128556</w:t>
            </w:r>
          </w:p>
        </w:tc>
        <w:tc>
          <w:tcPr>
            <w:tcW w:w="1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6/22/2017</w:t>
            </w:r>
          </w:p>
        </w:tc>
      </w:tr>
      <w:tr>
        <w:trPr>
          <w:trHeight w:val="41"/>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r>
      <w:tr>
        <w:trPr>
          <w:trHeight w:val="250"/>
        </w:trPr>
        <w:tc>
          <w:tcPr>
            <w:tcW w:w="2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Nanya Technology Corp.</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MU COMMON STOCK</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S</w:t>
            </w:r>
          </w:p>
        </w:tc>
        <w:tc>
          <w:tcPr>
            <w:tcW w:w="18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311,644</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32.008572</w:t>
            </w:r>
          </w:p>
        </w:tc>
        <w:tc>
          <w:tcPr>
            <w:tcW w:w="1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6/23/2017</w:t>
            </w:r>
          </w:p>
        </w:tc>
      </w:tr>
      <w:tr>
        <w:trPr>
          <w:trHeight w:val="41"/>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r>
      <w:tr>
        <w:trPr>
          <w:trHeight w:val="250"/>
        </w:trPr>
        <w:tc>
          <w:tcPr>
            <w:tcW w:w="24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Nanya Technology Corp.</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MU COMMON STOCK</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S</w:t>
            </w:r>
          </w:p>
        </w:tc>
        <w:tc>
          <w:tcPr>
            <w:tcW w:w="18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1,002,068</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32.609155</w:t>
            </w:r>
          </w:p>
        </w:tc>
        <w:tc>
          <w:tcPr>
            <w:tcW w:w="13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6/26/2017</w:t>
            </w:r>
          </w:p>
        </w:tc>
      </w:tr>
      <w:tr>
        <w:trPr>
          <w:trHeight w:val="41"/>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88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decimal"/>
      <w:start w:val="10"/>
    </w:lvl>
  </w:abstractNum>
  <w:abstractNum w:abstractNumId="3">
    <w:nsid w:val="238E1F29"/>
    <w:multiLevelType w:val="hybridMultilevel"/>
    <w:lvl w:ilvl="0">
      <w:lvlJc w:val="left"/>
      <w:lvlText w:val="%1."/>
      <w:numFmt w:val="decimal"/>
      <w:start w:val="11"/>
    </w:lvl>
    <w:lvl w:ilvl="1">
      <w:lvlJc w:val="left"/>
      <w:lvlText w:val="%2"/>
      <w:numFmt w:val="decimal"/>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2019-12-16T07:50:23Z</dcterms:created>
  <dcterms:modified xsi:type="dcterms:W3CDTF">2019-12-16T07:50:23Z</dcterms:modified>
</cp:coreProperties>
</file>