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929640</wp:posOffset>
            </wp:positionH>
            <wp:positionV relativeFrom="page">
              <wp:posOffset>612140</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14, 2015</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40005</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5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1-10658</w:t>
            </w:r>
          </w:p>
        </w:tc>
        <w:tc>
          <w:tcPr>
            <w:tcW w:w="3020" w:type="dxa"/>
            <w:vAlign w:val="bottom"/>
          </w:tcPr>
          <w:p>
            <w:pPr>
              <w:jc w:val="right"/>
              <w:ind w:right="9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64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589280</wp:posOffset>
            </wp:positionV>
            <wp:extent cx="5702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606425</wp:posOffset>
            </wp:positionV>
            <wp:extent cx="5702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December 14, 2015 (the “Effective Date”), Micron Technology, Inc. (“Micron”) entered into a binding Memorandum of Understanding on Technology Transfer (the “Technology Transfer MOU”) with Nanya Technology Corporation (“NTC”), pursuant to which Micron and NTC have agreed to use their reasonable best efforts to enter into the following definitive agreements (the “Definitive Technology Transfer Agreements”) within 60 days following the Effective Date: (1) a Technology Transfer and License Option Agreement for 1X Process Node, pursuant to which NTC would have the right but not the obligation to require Micron to transfer to NTC certain technology and deliverables developed by Micron relating to the next DRAM process node generation after the 20nm process node (the “1X Process Node”) for NTC’s use in the manufacture of DRAM products, whereupon NTC would pay royalties to Micron for a license granted to NTC in connection with the transferred technology and Micron would receive an equity stake in Nanya upon the achievement of certain milestones; (2) a Technology Transfer and License Option Agreement for 1Y Process Node, pursuant to which NTC would have the right but not the obligation to require Micron to transfer to NTC certain technology and deliverables developed by Micron relating to the next DRAM process node generation after the 1X Process Node for NTC’s use in the manufacture of DRAM products, whereupon NTC would pay royalties to Micron for a license granted to NTC in connection with the transferred technology and Micron would receive an equity stake in Nanya upon the achievement of certain milestones; and (3) an amendment to certain other arrangements between Micron and NTC relating to intellectual property rights in order to reflect the existence of such Technology Transfer and License Option Agreements.</w:t>
      </w:r>
    </w:p>
    <w:p>
      <w:pPr>
        <w:spacing w:after="0" w:line="18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Micron may terminate the Technology Transfer MOU if Micron and NTC do not enter into the Definitive Technology Transfer Agreements within 60 days following the Effective Date.</w:t>
      </w:r>
    </w:p>
    <w:p>
      <w:pPr>
        <w:spacing w:after="0" w:line="329"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December 14, 2015 the Company issued a press release related to the Technology Transfer MOU. A copy of the press release is filed as Exhibit 99.1 to this report and is incorporated herein by reference.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29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0"/>
                <w:szCs w:val="20"/>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Press Release issued on December 14,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42" w:right="27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3160" w:type="dxa"/>
            <w:vAlign w:val="bottom"/>
          </w:tcPr>
          <w:p>
            <w:pPr>
              <w:spacing w:after="0"/>
              <w:rPr>
                <w:sz w:val="20"/>
                <w:szCs w:val="20"/>
                <w:color w:val="auto"/>
              </w:rPr>
            </w:pPr>
            <w:r>
              <w:rPr>
                <w:rFonts w:ascii="Arial" w:cs="Arial" w:eastAsia="Arial" w:hAnsi="Arial"/>
                <w:sz w:val="18"/>
                <w:szCs w:val="18"/>
                <w:color w:val="auto"/>
              </w:rPr>
              <w:t>Date:   December 14, 2015</w:t>
            </w:r>
          </w:p>
        </w:tc>
        <w:tc>
          <w:tcPr>
            <w:tcW w:w="2060" w:type="dxa"/>
            <w:vAlign w:val="bottom"/>
          </w:tcPr>
          <w:p>
            <w:pPr>
              <w:ind w:left="1340"/>
              <w:spacing w:after="0"/>
              <w:rPr>
                <w:sz w:val="20"/>
                <w:szCs w:val="20"/>
                <w:color w:val="auto"/>
              </w:rPr>
            </w:pPr>
            <w:r>
              <w:rPr>
                <w:rFonts w:ascii="Arial" w:cs="Arial" w:eastAsia="Arial" w:hAnsi="Arial"/>
                <w:sz w:val="18"/>
                <w:szCs w:val="18"/>
                <w:color w:val="auto"/>
              </w:rPr>
              <w:t>By:</w:t>
            </w:r>
          </w:p>
        </w:tc>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Name:</w:t>
            </w:r>
          </w:p>
        </w:tc>
        <w:tc>
          <w:tcPr>
            <w:tcW w:w="3520" w:type="dxa"/>
            <w:vAlign w:val="bottom"/>
          </w:tcPr>
          <w:p>
            <w:pPr>
              <w:ind w:left="40"/>
              <w:spacing w:after="0"/>
              <w:rPr>
                <w:sz w:val="20"/>
                <w:szCs w:val="20"/>
                <w:color w:val="auto"/>
              </w:rPr>
            </w:pPr>
            <w:r>
              <w:rPr>
                <w:rFonts w:ascii="Arial" w:cs="Arial" w:eastAsia="Arial" w:hAnsi="Arial"/>
                <w:sz w:val="18"/>
                <w:szCs w:val="18"/>
                <w:color w:val="auto"/>
              </w:rPr>
              <w:t>Ernest E. Maddock</w:t>
            </w:r>
          </w:p>
        </w:tc>
      </w:tr>
      <w:tr>
        <w:trPr>
          <w:trHeight w:val="256"/>
        </w:trPr>
        <w:tc>
          <w:tcPr>
            <w:tcW w:w="3160" w:type="dxa"/>
            <w:vAlign w:val="bottom"/>
          </w:tcPr>
          <w:p>
            <w:pPr>
              <w:spacing w:after="0"/>
              <w:rPr>
                <w:sz w:val="22"/>
                <w:szCs w:val="22"/>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Title:</w:t>
            </w:r>
          </w:p>
        </w:tc>
        <w:tc>
          <w:tcPr>
            <w:tcW w:w="3520" w:type="dxa"/>
            <w:vAlign w:val="bottom"/>
          </w:tcPr>
          <w:p>
            <w:pPr>
              <w:ind w:left="4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40"/>
              <w:spacing w:after="0"/>
              <w:rPr>
                <w:sz w:val="20"/>
                <w:szCs w:val="20"/>
                <w:color w:val="auto"/>
              </w:rPr>
            </w:pPr>
            <w:r>
              <w:rPr>
                <w:rFonts w:ascii="Arial" w:cs="Arial" w:eastAsia="Arial" w:hAnsi="Arial"/>
                <w:sz w:val="18"/>
                <w:szCs w:val="18"/>
                <w:color w:val="auto"/>
              </w:rPr>
              <w:t>Vice President, Finance</w:t>
            </w:r>
          </w:p>
        </w:tc>
      </w:tr>
      <w:tr>
        <w:trPr>
          <w:trHeight w:val="702"/>
        </w:trPr>
        <w:tc>
          <w:tcPr>
            <w:tcW w:w="3160" w:type="dxa"/>
            <w:vAlign w:val="bottom"/>
          </w:tcPr>
          <w:p>
            <w:pPr>
              <w:spacing w:after="0"/>
              <w:rPr>
                <w:sz w:val="24"/>
                <w:szCs w:val="24"/>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3</w:t>
            </w:r>
          </w:p>
        </w:tc>
        <w:tc>
          <w:tcPr>
            <w:tcW w:w="3520" w:type="dxa"/>
            <w:vAlign w:val="bottom"/>
          </w:tcPr>
          <w:p>
            <w:pPr>
              <w:spacing w:after="0"/>
              <w:rPr>
                <w:sz w:val="24"/>
                <w:szCs w:val="24"/>
                <w:color w:val="auto"/>
              </w:rPr>
            </w:pPr>
          </w:p>
        </w:tc>
      </w:tr>
    </w:tbl>
    <w:p>
      <w:pPr>
        <w:sectPr>
          <w:pgSz w:w="11900" w:h="16838" w:orient="portrait"/>
          <w:cols w:equalWidth="0" w:num="1">
            <w:col w:w="10660"/>
          </w:cols>
          <w:pgMar w:left="240" w:top="580" w:right="9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THE CURRENT REPORT ON FORM 8-K DATED DECEMBER 14,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14,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99"/>
          </w:cols>
          <w:pgMar w:left="6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Contacts:</w:t>
            </w:r>
          </w:p>
        </w:tc>
        <w:tc>
          <w:tcPr>
            <w:tcW w:w="2500" w:type="dxa"/>
            <w:vAlign w:val="bottom"/>
            <w:gridSpan w:val="2"/>
          </w:tcPr>
          <w:p>
            <w:pPr>
              <w:spacing w:after="0"/>
              <w:rPr>
                <w:sz w:val="20"/>
                <w:szCs w:val="20"/>
                <w:color w:val="auto"/>
              </w:rPr>
            </w:pPr>
            <w:r>
              <w:rPr>
                <w:rFonts w:ascii="Arial" w:cs="Arial" w:eastAsia="Arial" w:hAnsi="Arial"/>
                <w:sz w:val="18"/>
                <w:szCs w:val="18"/>
                <w:color w:val="auto"/>
              </w:rPr>
              <w:t>Ivan Donaldson</w:t>
            </w: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rPr>
              <w:t>Daniel Francisco</w:t>
            </w:r>
          </w:p>
        </w:tc>
      </w:tr>
      <w:tr>
        <w:trPr>
          <w:trHeight w:val="270"/>
        </w:trPr>
        <w:tc>
          <w:tcPr>
            <w:tcW w:w="1620" w:type="dxa"/>
            <w:vAlign w:val="bottom"/>
          </w:tcPr>
          <w:p>
            <w:pPr>
              <w:spacing w:after="0"/>
              <w:rPr>
                <w:sz w:val="23"/>
                <w:szCs w:val="23"/>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Micron Investor Relations</w:t>
            </w: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w w:val="93"/>
              </w:rPr>
              <w:t>Micron Media Relations</w:t>
            </w:r>
          </w:p>
        </w:tc>
      </w:tr>
      <w:tr>
        <w:trPr>
          <w:trHeight w:val="230"/>
        </w:trPr>
        <w:tc>
          <w:tcPr>
            <w:tcW w:w="1620" w:type="dxa"/>
            <w:vAlign w:val="bottom"/>
          </w:tcPr>
          <w:p>
            <w:pPr>
              <w:spacing w:after="0"/>
              <w:rPr>
                <w:sz w:val="19"/>
                <w:szCs w:val="19"/>
                <w:color w:val="auto"/>
              </w:rPr>
            </w:pPr>
          </w:p>
        </w:tc>
        <w:tc>
          <w:tcPr>
            <w:tcW w:w="18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idonaldson@micron.com</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dfrancisco@micron.com</w:t>
            </w:r>
          </w:p>
        </w:tc>
      </w:tr>
      <w:tr>
        <w:trPr>
          <w:trHeight w:val="291"/>
        </w:trPr>
        <w:tc>
          <w:tcPr>
            <w:tcW w:w="16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(208) 368-4093</w:t>
            </w:r>
          </w:p>
        </w:tc>
        <w:tc>
          <w:tcPr>
            <w:tcW w:w="680" w:type="dxa"/>
            <w:vAlign w:val="bottom"/>
          </w:tcPr>
          <w:p>
            <w:pPr>
              <w:spacing w:after="0"/>
              <w:rPr>
                <w:sz w:val="24"/>
                <w:szCs w:val="24"/>
                <w:color w:val="auto"/>
              </w:rPr>
            </w:pP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MICRON TECHNOLOGY TO LICENSE 1X AND 1Y DRAM TECHNOLOGIES TO NANYA TECHNOLOGY CORPORATION</w:t>
      </w:r>
    </w:p>
    <w:p>
      <w:pPr>
        <w:spacing w:after="0" w:line="374"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BOISE, Idaho, Dec. 14, 2015 - </w:t>
      </w:r>
      <w:r>
        <w:rPr>
          <w:rFonts w:ascii="Arial" w:cs="Arial" w:eastAsia="Arial" w:hAnsi="Arial"/>
          <w:sz w:val="18"/>
          <w:szCs w:val="18"/>
          <w:color w:val="auto"/>
        </w:rPr>
        <w:t>Micron Technology, Inc. (NASDAQ: MU) today announced it has entered into a memorandum of understanding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Nanya Technology an option to license Micron 1x and 1y DRAM technologies. This new license agreement is in addition to Micron’s existing license agreement for 20 nanometer (nm) technology with Nanya.</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“Micron and Nanya have enjoyed a strong relationship over the years, and this agreement extends our strategic relationship while also providing further value to both companies and their shareholders,” said Micron CEO Mark Durcan.</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license agreements contemplated by the memorandum, in each case when Nanya exercises its option to license the 1x or 1y technology and subject to the satisfaction of certain conditions, Micron will receive an equity stake in Nanya and also royalties based on revenues from products implementing the technology-subject to an agreed cap. The new licenses are limited to a specific facility footprint, are subject to an overall quarterly cap on production, are not transferrable and terminate upon a change of control of Nanya. The new licenses do not impact the existing 20nm DRAM technology agreement between Micron and Nanya.</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“Nanya and Micron have a strong and successful history of collaboration, and we expect to build on this foundation with our new agreement,” said Nanya President Dr. Pei-Ing Lee.</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memorandum of understanding provides an additional 60-day period for Micron and Nanya to enter into definitive agreements with further specified mechanics and details of the licenses. The memorandum is subject to termination if these additional agreements are not reached within that timeframe or if certain other conditions are not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0000FF"/>
        </w:rPr>
        <w:t>www.micron.com</w:t>
      </w:r>
      <w:r>
        <w:rPr>
          <w:rFonts w:ascii="Arial" w:cs="Arial" w:eastAsia="Arial" w:hAnsi="Arial"/>
          <w:sz w:val="18"/>
          <w:szCs w:val="18"/>
          <w:color w:val="auto"/>
        </w:rPr>
        <w:t>.</w:t>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2019-12-05T21:09:19Z</dcterms:created>
  <dcterms:modified xsi:type="dcterms:W3CDTF">2019-12-05T21:09:19Z</dcterms:modified>
</cp:coreProperties>
</file>